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8E05D">
      <w:pPr>
        <w:pStyle w:val="4"/>
        <w:bidi w:val="0"/>
        <w:rPr>
          <w:color w:val="auto"/>
        </w:rPr>
      </w:pPr>
      <w:bookmarkStart w:id="176" w:name="_GoBack"/>
      <w:bookmarkEnd w:id="176"/>
    </w:p>
    <w:p w14:paraId="01F0B0CF">
      <w:pPr>
        <w:spacing w:line="280" w:lineRule="exact"/>
        <w:rPr>
          <w:rFonts w:ascii="宋体" w:hAnsi="宋体" w:cs="宋体"/>
          <w:color w:val="auto"/>
          <w:spacing w:val="116"/>
          <w:sz w:val="52"/>
          <w:szCs w:val="20"/>
          <w:highlight w:val="none"/>
        </w:rPr>
      </w:pPr>
    </w:p>
    <w:p w14:paraId="41224781">
      <w:pPr>
        <w:jc w:val="center"/>
        <w:rPr>
          <w:rFonts w:ascii="宋体" w:hAnsi="宋体" w:cs="宋体"/>
          <w:b/>
          <w:color w:val="auto"/>
          <w:spacing w:val="20"/>
          <w:sz w:val="48"/>
          <w:szCs w:val="48"/>
          <w:highlight w:val="none"/>
        </w:rPr>
      </w:pPr>
      <w:r>
        <w:rPr>
          <w:rFonts w:hint="eastAsia" w:ascii="宋体" w:hAnsi="宋体" w:cs="宋体"/>
          <w:b/>
          <w:color w:val="auto"/>
          <w:spacing w:val="20"/>
          <w:sz w:val="48"/>
          <w:szCs w:val="48"/>
          <w:highlight w:val="none"/>
        </w:rPr>
        <w:t xml:space="preserve">  广西建汇工程咨询有限公司</w:t>
      </w:r>
    </w:p>
    <w:p w14:paraId="79BE05E0">
      <w:pPr>
        <w:pStyle w:val="45"/>
        <w:rPr>
          <w:rFonts w:ascii="宋体" w:hAnsi="宋体" w:cs="宋体"/>
          <w:b/>
          <w:color w:val="auto"/>
          <w:spacing w:val="20"/>
          <w:sz w:val="44"/>
          <w:szCs w:val="44"/>
          <w:highlight w:val="none"/>
        </w:rPr>
      </w:pPr>
    </w:p>
    <w:p w14:paraId="7C16DDDD">
      <w:pPr>
        <w:jc w:val="center"/>
        <w:rPr>
          <w:rFonts w:ascii="宋体" w:hAnsi="宋体" w:cs="宋体"/>
          <w:iCs/>
          <w:color w:val="auto"/>
          <w:sz w:val="48"/>
          <w:szCs w:val="48"/>
          <w:highlight w:val="none"/>
        </w:rPr>
      </w:pPr>
      <w:r>
        <w:rPr>
          <w:rFonts w:hint="eastAsia" w:ascii="宋体" w:hAnsi="宋体" w:cs="宋体"/>
          <w:iCs/>
          <w:color w:val="auto"/>
          <w:sz w:val="48"/>
          <w:szCs w:val="48"/>
          <w:highlight w:val="none"/>
        </w:rPr>
        <w:drawing>
          <wp:inline distT="0" distB="0" distL="114300" distR="114300">
            <wp:extent cx="1640205" cy="1140460"/>
            <wp:effectExtent l="0" t="0" r="17145" b="2540"/>
            <wp:docPr id="1" name="图片 1" descr="72e7eabc668db03e627e8490b74e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2e7eabc668db03e627e8490b74e2c7"/>
                    <pic:cNvPicPr>
                      <a:picLocks noChangeAspect="1"/>
                    </pic:cNvPicPr>
                  </pic:nvPicPr>
                  <pic:blipFill>
                    <a:blip r:embed="rId27"/>
                    <a:stretch>
                      <a:fillRect/>
                    </a:stretch>
                  </pic:blipFill>
                  <pic:spPr>
                    <a:xfrm>
                      <a:off x="0" y="0"/>
                      <a:ext cx="1640205" cy="1140460"/>
                    </a:xfrm>
                    <a:prstGeom prst="rect">
                      <a:avLst/>
                    </a:prstGeom>
                    <a:noFill/>
                    <a:ln>
                      <a:noFill/>
                    </a:ln>
                  </pic:spPr>
                </pic:pic>
              </a:graphicData>
            </a:graphic>
          </wp:inline>
        </w:drawing>
      </w:r>
    </w:p>
    <w:p w14:paraId="7B01ECFB">
      <w:pPr>
        <w:pStyle w:val="45"/>
        <w:rPr>
          <w:rFonts w:ascii="宋体" w:hAnsi="宋体" w:cs="宋体"/>
          <w:iCs/>
          <w:color w:val="auto"/>
          <w:sz w:val="48"/>
          <w:szCs w:val="48"/>
          <w:highlight w:val="none"/>
        </w:rPr>
      </w:pPr>
    </w:p>
    <w:p w14:paraId="3D222547">
      <w:pPr>
        <w:jc w:val="center"/>
        <w:rPr>
          <w:rFonts w:ascii="宋体" w:hAnsi="宋体" w:cs="宋体"/>
          <w:color w:val="auto"/>
          <w:spacing w:val="80"/>
          <w:sz w:val="72"/>
          <w:szCs w:val="20"/>
          <w:highlight w:val="none"/>
        </w:rPr>
      </w:pPr>
      <w:r>
        <w:rPr>
          <w:rFonts w:hint="eastAsia" w:ascii="宋体" w:hAnsi="宋体" w:cs="宋体"/>
          <w:bCs/>
          <w:color w:val="auto"/>
          <w:spacing w:val="80"/>
          <w:sz w:val="84"/>
          <w:szCs w:val="20"/>
          <w:highlight w:val="none"/>
        </w:rPr>
        <w:t>招标文件</w:t>
      </w:r>
    </w:p>
    <w:p w14:paraId="208A15E2">
      <w:pPr>
        <w:jc w:val="center"/>
        <w:rPr>
          <w:rFonts w:ascii="宋体" w:hAnsi="宋体" w:cs="宋体"/>
          <w:color w:val="auto"/>
          <w:spacing w:val="80"/>
          <w:highlight w:val="none"/>
        </w:rPr>
      </w:pPr>
    </w:p>
    <w:p w14:paraId="6FDAB11E">
      <w:pPr>
        <w:rPr>
          <w:rFonts w:ascii="宋体" w:hAnsi="宋体" w:cs="宋体"/>
          <w:color w:val="auto"/>
          <w:highlight w:val="none"/>
        </w:rPr>
      </w:pPr>
    </w:p>
    <w:p w14:paraId="38D2F5A1">
      <w:pPr>
        <w:ind w:left="2877" w:leftChars="608" w:hanging="1600" w:hangingChars="500"/>
        <w:jc w:val="left"/>
        <w:rPr>
          <w:rFonts w:hint="eastAsia" w:ascii="宋体" w:hAnsi="宋体" w:eastAsia="宋体" w:cs="宋体"/>
          <w:color w:val="auto"/>
          <w:sz w:val="32"/>
          <w:szCs w:val="32"/>
          <w:highlight w:val="none"/>
          <w:lang w:eastAsia="zh-CN"/>
        </w:rPr>
      </w:pPr>
      <w:r>
        <w:rPr>
          <w:rFonts w:hint="eastAsia" w:ascii="宋体" w:hAnsi="宋体" w:cs="宋体"/>
          <w:color w:val="auto"/>
          <w:sz w:val="32"/>
          <w:szCs w:val="20"/>
          <w:highlight w:val="none"/>
        </w:rPr>
        <w:t>项目名称：</w:t>
      </w:r>
      <w:r>
        <w:rPr>
          <w:rFonts w:hint="eastAsia" w:ascii="宋体" w:hAnsi="宋体" w:cs="宋体"/>
          <w:color w:val="auto"/>
          <w:sz w:val="32"/>
          <w:szCs w:val="20"/>
          <w:highlight w:val="none"/>
          <w:lang w:val="en-US" w:eastAsia="zh-CN"/>
        </w:rPr>
        <w:t>陆川县人民医院分院项目一期监控系统采购</w:t>
      </w:r>
    </w:p>
    <w:p w14:paraId="2793048A">
      <w:pPr>
        <w:ind w:firstLine="1280" w:firstLineChars="400"/>
        <w:rPr>
          <w:rFonts w:hint="eastAsia" w:ascii="宋体" w:hAnsi="宋体" w:eastAsia="宋体" w:cs="宋体"/>
          <w:color w:val="auto"/>
          <w:sz w:val="32"/>
          <w:szCs w:val="20"/>
          <w:highlight w:val="none"/>
          <w:lang w:eastAsia="zh-CN"/>
        </w:rPr>
      </w:pPr>
      <w:r>
        <w:rPr>
          <w:rFonts w:hint="eastAsia" w:ascii="宋体" w:hAnsi="宋体" w:cs="宋体"/>
          <w:color w:val="auto"/>
          <w:sz w:val="32"/>
          <w:szCs w:val="20"/>
          <w:highlight w:val="none"/>
        </w:rPr>
        <w:t>项目编号：YLZC2024-G1-220347-GXJH</w:t>
      </w:r>
    </w:p>
    <w:p w14:paraId="6D163E84">
      <w:pPr>
        <w:rPr>
          <w:rFonts w:ascii="宋体" w:hAnsi="宋体" w:cs="宋体"/>
          <w:color w:val="auto"/>
          <w:sz w:val="32"/>
          <w:szCs w:val="20"/>
          <w:highlight w:val="none"/>
        </w:rPr>
      </w:pPr>
    </w:p>
    <w:p w14:paraId="42391BD4">
      <w:pPr>
        <w:pStyle w:val="10"/>
        <w:rPr>
          <w:color w:val="auto"/>
          <w:highlight w:val="none"/>
        </w:rPr>
      </w:pPr>
    </w:p>
    <w:p w14:paraId="5A0BC580">
      <w:pPr>
        <w:rPr>
          <w:rFonts w:ascii="宋体" w:hAnsi="宋体" w:cs="宋体"/>
          <w:color w:val="auto"/>
          <w:highlight w:val="none"/>
        </w:rPr>
      </w:pPr>
    </w:p>
    <w:p w14:paraId="711F0901">
      <w:pPr>
        <w:ind w:firstLine="1600" w:firstLineChars="500"/>
        <w:rPr>
          <w:rFonts w:ascii="宋体" w:hAnsi="宋体" w:cs="宋体"/>
          <w:color w:val="auto"/>
          <w:sz w:val="32"/>
          <w:szCs w:val="32"/>
          <w:highlight w:val="none"/>
        </w:rPr>
      </w:pPr>
      <w:r>
        <w:rPr>
          <w:rFonts w:hint="eastAsia" w:ascii="宋体" w:hAnsi="宋体" w:cs="宋体"/>
          <w:color w:val="auto"/>
          <w:sz w:val="32"/>
          <w:szCs w:val="32"/>
          <w:highlight w:val="none"/>
        </w:rPr>
        <w:t>采购人(盖章)：陆川县人民医院</w:t>
      </w:r>
    </w:p>
    <w:p w14:paraId="4B7B8CB6">
      <w:pPr>
        <w:rPr>
          <w:rFonts w:ascii="宋体" w:hAnsi="宋体" w:cs="宋体"/>
          <w:color w:val="auto"/>
          <w:sz w:val="32"/>
          <w:szCs w:val="32"/>
          <w:highlight w:val="none"/>
        </w:rPr>
      </w:pPr>
    </w:p>
    <w:p w14:paraId="66D49213">
      <w:pPr>
        <w:ind w:firstLine="1600" w:firstLineChars="500"/>
        <w:rPr>
          <w:rFonts w:ascii="宋体" w:hAnsi="宋体" w:cs="宋体"/>
          <w:color w:val="auto"/>
          <w:sz w:val="32"/>
          <w:szCs w:val="32"/>
          <w:highlight w:val="none"/>
        </w:rPr>
      </w:pPr>
      <w:r>
        <w:rPr>
          <w:rFonts w:hint="eastAsia" w:ascii="宋体" w:hAnsi="宋体" w:cs="宋体"/>
          <w:color w:val="auto"/>
          <w:sz w:val="32"/>
          <w:szCs w:val="32"/>
          <w:highlight w:val="none"/>
        </w:rPr>
        <w:t>采购代理机构（盖章）：广西建汇工程咨询有限公司</w:t>
      </w:r>
    </w:p>
    <w:p w14:paraId="18EF4F5C">
      <w:pPr>
        <w:ind w:firstLine="1216" w:firstLineChars="400"/>
        <w:rPr>
          <w:rFonts w:ascii="宋体" w:hAnsi="宋体" w:cs="宋体"/>
          <w:color w:val="auto"/>
          <w:spacing w:val="-8"/>
          <w:sz w:val="32"/>
          <w:szCs w:val="32"/>
          <w:highlight w:val="none"/>
        </w:rPr>
      </w:pPr>
    </w:p>
    <w:p w14:paraId="71F232B2">
      <w:pPr>
        <w:rPr>
          <w:rFonts w:hAnsi="宋体" w:cs="宋体"/>
          <w:b/>
          <w:color w:val="auto"/>
          <w:sz w:val="48"/>
          <w:szCs w:val="48"/>
          <w:highlight w:val="none"/>
        </w:rPr>
        <w:sectPr>
          <w:headerReference r:id="rId5" w:type="first"/>
          <w:headerReference r:id="rId3" w:type="default"/>
          <w:headerReference r:id="rId4" w:type="even"/>
          <w:footerReference r:id="rId6" w:type="even"/>
          <w:pgSz w:w="11906" w:h="16838"/>
          <w:pgMar w:top="1134" w:right="1361" w:bottom="1134" w:left="1361" w:header="720" w:footer="720" w:gutter="0"/>
          <w:pgNumType w:fmt="decimal" w:start="1"/>
          <w:cols w:space="720" w:num="1"/>
          <w:titlePg/>
          <w:docGrid w:type="lines" w:linePitch="331" w:charSpace="0"/>
        </w:sectPr>
      </w:pPr>
      <w:r>
        <w:rPr>
          <w:rFonts w:hint="eastAsia" w:ascii="宋体" w:hAnsi="宋体" w:cs="宋体"/>
          <w:color w:val="auto"/>
          <w:spacing w:val="-8"/>
          <w:sz w:val="32"/>
          <w:szCs w:val="32"/>
          <w:highlight w:val="none"/>
        </w:rPr>
        <w:t xml:space="preserve">                            202</w:t>
      </w:r>
      <w:r>
        <w:rPr>
          <w:rFonts w:hint="eastAsia" w:ascii="宋体" w:hAnsi="宋体" w:cs="宋体"/>
          <w:color w:val="auto"/>
          <w:spacing w:val="-8"/>
          <w:sz w:val="32"/>
          <w:szCs w:val="32"/>
          <w:highlight w:val="none"/>
          <w:lang w:val="en-US" w:eastAsia="zh-CN"/>
        </w:rPr>
        <w:t>4</w:t>
      </w:r>
      <w:r>
        <w:rPr>
          <w:rFonts w:hint="eastAsia" w:ascii="宋体" w:hAnsi="宋体" w:cs="宋体"/>
          <w:color w:val="auto"/>
          <w:spacing w:val="-8"/>
          <w:sz w:val="32"/>
          <w:szCs w:val="32"/>
          <w:highlight w:val="none"/>
        </w:rPr>
        <w:t xml:space="preserve">年 </w:t>
      </w:r>
      <w:r>
        <w:rPr>
          <w:rFonts w:hint="eastAsia" w:ascii="宋体" w:hAnsi="宋体" w:cs="宋体"/>
          <w:color w:val="auto"/>
          <w:spacing w:val="-8"/>
          <w:sz w:val="32"/>
          <w:szCs w:val="32"/>
          <w:highlight w:val="none"/>
          <w:lang w:val="en-US" w:eastAsia="zh-CN"/>
        </w:rPr>
        <w:t>12</w:t>
      </w:r>
      <w:r>
        <w:rPr>
          <w:rFonts w:hint="eastAsia" w:ascii="宋体" w:hAnsi="宋体" w:cs="宋体"/>
          <w:color w:val="auto"/>
          <w:spacing w:val="-8"/>
          <w:sz w:val="32"/>
          <w:szCs w:val="32"/>
          <w:highlight w:val="none"/>
        </w:rPr>
        <w:t>月</w:t>
      </w:r>
    </w:p>
    <w:p w14:paraId="2B7C8629">
      <w:pPr>
        <w:pStyle w:val="13"/>
        <w:jc w:val="both"/>
        <w:rPr>
          <w:rFonts w:hAnsi="宋体" w:cs="宋体"/>
          <w:b/>
          <w:color w:val="auto"/>
          <w:sz w:val="48"/>
          <w:szCs w:val="48"/>
          <w:highlight w:val="none"/>
        </w:rPr>
      </w:pPr>
    </w:p>
    <w:p w14:paraId="4906FA6C">
      <w:pPr>
        <w:pStyle w:val="13"/>
        <w:jc w:val="center"/>
        <w:rPr>
          <w:rFonts w:hAnsi="宋体" w:cs="宋体"/>
          <w:b/>
          <w:color w:val="auto"/>
          <w:sz w:val="48"/>
          <w:szCs w:val="48"/>
          <w:highlight w:val="none"/>
        </w:rPr>
      </w:pPr>
      <w:r>
        <w:rPr>
          <w:rFonts w:hint="eastAsia" w:hAnsi="宋体" w:cs="宋体"/>
          <w:b/>
          <w:color w:val="auto"/>
          <w:sz w:val="48"/>
          <w:szCs w:val="48"/>
          <w:highlight w:val="none"/>
        </w:rPr>
        <w:t>目     录</w:t>
      </w:r>
    </w:p>
    <w:p w14:paraId="71834C5A">
      <w:pPr>
        <w:pStyle w:val="17"/>
        <w:rPr>
          <w:rFonts w:ascii="宋体" w:hAnsi="宋体" w:cs="宋体"/>
          <w:bCs w:val="0"/>
          <w:caps w:val="0"/>
          <w:color w:val="auto"/>
          <w:sz w:val="24"/>
          <w:szCs w:val="24"/>
          <w:highlight w:val="none"/>
        </w:rPr>
      </w:pPr>
    </w:p>
    <w:p w14:paraId="0901314C">
      <w:pPr>
        <w:pStyle w:val="17"/>
        <w:tabs>
          <w:tab w:val="right" w:leader="dot" w:pos="8730"/>
        </w:tabs>
        <w:spacing w:before="0" w:after="0" w:line="600" w:lineRule="exact"/>
        <w:rPr>
          <w:rFonts w:ascii="宋体" w:hAnsi="宋体" w:cs="宋体"/>
          <w:b w:val="0"/>
          <w:bCs w:val="0"/>
          <w:color w:val="auto"/>
          <w:sz w:val="24"/>
          <w:szCs w:val="24"/>
          <w:highlight w:val="none"/>
        </w:rPr>
      </w:pPr>
      <w:bookmarkStart w:id="0" w:name="_Toc139966433"/>
      <w:bookmarkStart w:id="1" w:name="_Toc213206171"/>
      <w:bookmarkStart w:id="2" w:name="_Toc139967217"/>
      <w:bookmarkStart w:id="3" w:name="_Toc139967210"/>
      <w:bookmarkStart w:id="4" w:name="_Toc139966426"/>
      <w:r>
        <w:rPr>
          <w:rFonts w:hint="eastAsia" w:ascii="宋体" w:hAnsi="宋体" w:cs="宋体"/>
          <w:b w:val="0"/>
          <w:bCs w:val="0"/>
          <w:caps w:val="0"/>
          <w:color w:val="auto"/>
          <w:sz w:val="24"/>
          <w:szCs w:val="24"/>
          <w:highlight w:val="none"/>
        </w:rPr>
        <w:fldChar w:fldCharType="begin"/>
      </w:r>
      <w:r>
        <w:rPr>
          <w:rFonts w:hint="eastAsia" w:ascii="宋体" w:hAnsi="宋体" w:cs="宋体"/>
          <w:b w:val="0"/>
          <w:bCs w:val="0"/>
          <w:caps w:val="0"/>
          <w:color w:val="auto"/>
          <w:sz w:val="24"/>
          <w:szCs w:val="24"/>
          <w:highlight w:val="none"/>
        </w:rPr>
        <w:instrText xml:space="preserve"> TOC \o "1-3" \h \z \u </w:instrText>
      </w:r>
      <w:r>
        <w:rPr>
          <w:rFonts w:hint="eastAsia" w:ascii="宋体" w:hAnsi="宋体" w:cs="宋体"/>
          <w:b w:val="0"/>
          <w:bCs w:val="0"/>
          <w:caps w:val="0"/>
          <w:color w:val="auto"/>
          <w:sz w:val="24"/>
          <w:szCs w:val="24"/>
          <w:highlight w:val="none"/>
        </w:rPr>
        <w:fldChar w:fldCharType="separate"/>
      </w:r>
      <w:r>
        <w:rPr>
          <w:color w:val="auto"/>
          <w:highlight w:val="none"/>
        </w:rPr>
        <w:fldChar w:fldCharType="begin"/>
      </w:r>
      <w:r>
        <w:rPr>
          <w:color w:val="auto"/>
          <w:highlight w:val="none"/>
        </w:rPr>
        <w:instrText xml:space="preserve"> HYPERLINK \l "_Toc16569" </w:instrText>
      </w:r>
      <w:r>
        <w:rPr>
          <w:color w:val="auto"/>
          <w:highlight w:val="none"/>
        </w:rPr>
        <w:fldChar w:fldCharType="separate"/>
      </w:r>
      <w:r>
        <w:rPr>
          <w:rFonts w:hint="eastAsia" w:ascii="宋体" w:hAnsi="宋体" w:cs="宋体"/>
          <w:b w:val="0"/>
          <w:bCs w:val="0"/>
          <w:color w:val="auto"/>
          <w:sz w:val="24"/>
          <w:szCs w:val="24"/>
          <w:highlight w:val="none"/>
        </w:rPr>
        <w:t>第一章</w:t>
      </w:r>
      <w:r>
        <w:rPr>
          <w:rFonts w:hint="eastAsia" w:ascii="宋体" w:hAnsi="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rPr>
        <w:t>招标公告</w:t>
      </w:r>
      <w:r>
        <w:rPr>
          <w:rFonts w:hint="eastAsia" w:ascii="宋体" w:hAnsi="宋体" w:cs="宋体"/>
          <w:b w:val="0"/>
          <w:bCs w:val="0"/>
          <w:color w:val="auto"/>
          <w:sz w:val="24"/>
          <w:szCs w:val="24"/>
          <w:highlight w:val="none"/>
        </w:rPr>
        <w:tab/>
      </w:r>
      <w:r>
        <w:rPr>
          <w:rFonts w:hint="eastAsia" w:ascii="宋体" w:hAnsi="宋体" w:cs="宋体"/>
          <w:b w:val="0"/>
          <w:bCs w:val="0"/>
          <w:color w:val="auto"/>
          <w:sz w:val="24"/>
          <w:szCs w:val="24"/>
          <w:highlight w:val="none"/>
        </w:rPr>
        <w:fldChar w:fldCharType="begin"/>
      </w:r>
      <w:r>
        <w:rPr>
          <w:rFonts w:hint="eastAsia" w:ascii="宋体" w:hAnsi="宋体" w:cs="宋体"/>
          <w:b w:val="0"/>
          <w:bCs w:val="0"/>
          <w:color w:val="auto"/>
          <w:sz w:val="24"/>
          <w:szCs w:val="24"/>
          <w:highlight w:val="none"/>
        </w:rPr>
        <w:instrText xml:space="preserve"> PAGEREF _Toc16569 \h </w:instrText>
      </w:r>
      <w:r>
        <w:rPr>
          <w:rFonts w:hint="eastAsia" w:ascii="宋体" w:hAnsi="宋体" w:cs="宋体"/>
          <w:b w:val="0"/>
          <w:bCs w:val="0"/>
          <w:color w:val="auto"/>
          <w:sz w:val="24"/>
          <w:szCs w:val="24"/>
          <w:highlight w:val="none"/>
        </w:rPr>
        <w:fldChar w:fldCharType="separate"/>
      </w:r>
      <w:r>
        <w:rPr>
          <w:rFonts w:hint="eastAsia" w:ascii="宋体" w:hAnsi="宋体" w:cs="宋体"/>
          <w:b w:val="0"/>
          <w:bCs w:val="0"/>
          <w:color w:val="auto"/>
          <w:sz w:val="24"/>
          <w:szCs w:val="24"/>
          <w:highlight w:val="none"/>
        </w:rPr>
        <w:t>2</w:t>
      </w:r>
      <w:r>
        <w:rPr>
          <w:rFonts w:hint="eastAsia" w:ascii="宋体" w:hAnsi="宋体" w:cs="宋体"/>
          <w:b w:val="0"/>
          <w:bCs w:val="0"/>
          <w:color w:val="auto"/>
          <w:sz w:val="24"/>
          <w:szCs w:val="24"/>
          <w:highlight w:val="none"/>
        </w:rPr>
        <w:fldChar w:fldCharType="end"/>
      </w:r>
      <w:r>
        <w:rPr>
          <w:rFonts w:hint="eastAsia" w:ascii="宋体" w:hAnsi="宋体" w:cs="宋体"/>
          <w:b w:val="0"/>
          <w:bCs w:val="0"/>
          <w:color w:val="auto"/>
          <w:sz w:val="24"/>
          <w:szCs w:val="24"/>
          <w:highlight w:val="none"/>
        </w:rPr>
        <w:fldChar w:fldCharType="end"/>
      </w:r>
    </w:p>
    <w:p w14:paraId="4F395709">
      <w:pPr>
        <w:pStyle w:val="17"/>
        <w:tabs>
          <w:tab w:val="right" w:leader="dot" w:pos="8730"/>
        </w:tabs>
        <w:spacing w:before="0" w:after="0" w:line="600" w:lineRule="exact"/>
        <w:rPr>
          <w:rFonts w:ascii="宋体" w:hAnsi="宋体" w:cs="宋体"/>
          <w:b w:val="0"/>
          <w:bCs w:val="0"/>
          <w:color w:val="auto"/>
          <w:sz w:val="24"/>
          <w:szCs w:val="24"/>
          <w:highlight w:val="none"/>
        </w:rPr>
      </w:pPr>
      <w:r>
        <w:rPr>
          <w:color w:val="auto"/>
          <w:highlight w:val="none"/>
        </w:rPr>
        <w:fldChar w:fldCharType="begin"/>
      </w:r>
      <w:r>
        <w:rPr>
          <w:color w:val="auto"/>
          <w:highlight w:val="none"/>
        </w:rPr>
        <w:instrText xml:space="preserve"> HYPERLINK \l "_Toc14081" </w:instrText>
      </w:r>
      <w:r>
        <w:rPr>
          <w:color w:val="auto"/>
          <w:highlight w:val="none"/>
        </w:rPr>
        <w:fldChar w:fldCharType="separate"/>
      </w:r>
      <w:r>
        <w:rPr>
          <w:rFonts w:hint="eastAsia" w:ascii="宋体" w:hAnsi="宋体" w:cs="宋体"/>
          <w:b w:val="0"/>
          <w:bCs w:val="0"/>
          <w:color w:val="auto"/>
          <w:sz w:val="24"/>
          <w:szCs w:val="24"/>
          <w:highlight w:val="none"/>
        </w:rPr>
        <w:t>第二章  采购需求</w:t>
      </w:r>
      <w:r>
        <w:rPr>
          <w:rFonts w:hint="eastAsia" w:ascii="宋体" w:hAnsi="宋体" w:cs="宋体"/>
          <w:b w:val="0"/>
          <w:bCs w:val="0"/>
          <w:color w:val="auto"/>
          <w:sz w:val="24"/>
          <w:szCs w:val="24"/>
          <w:highlight w:val="none"/>
        </w:rPr>
        <w:tab/>
      </w:r>
      <w:r>
        <w:rPr>
          <w:rFonts w:hint="eastAsia" w:ascii="宋体" w:hAnsi="宋体" w:cs="宋体"/>
          <w:b w:val="0"/>
          <w:bCs w:val="0"/>
          <w:color w:val="auto"/>
          <w:sz w:val="24"/>
          <w:szCs w:val="24"/>
          <w:highlight w:val="none"/>
        </w:rPr>
        <w:fldChar w:fldCharType="begin"/>
      </w:r>
      <w:r>
        <w:rPr>
          <w:rFonts w:hint="eastAsia" w:ascii="宋体" w:hAnsi="宋体" w:cs="宋体"/>
          <w:b w:val="0"/>
          <w:bCs w:val="0"/>
          <w:color w:val="auto"/>
          <w:sz w:val="24"/>
          <w:szCs w:val="24"/>
          <w:highlight w:val="none"/>
        </w:rPr>
        <w:instrText xml:space="preserve"> PAGEREF _Toc14081 \h </w:instrText>
      </w:r>
      <w:r>
        <w:rPr>
          <w:rFonts w:hint="eastAsia" w:ascii="宋体" w:hAnsi="宋体" w:cs="宋体"/>
          <w:b w:val="0"/>
          <w:bCs w:val="0"/>
          <w:color w:val="auto"/>
          <w:sz w:val="24"/>
          <w:szCs w:val="24"/>
          <w:highlight w:val="none"/>
        </w:rPr>
        <w:fldChar w:fldCharType="separate"/>
      </w:r>
      <w:r>
        <w:rPr>
          <w:rFonts w:hint="eastAsia" w:ascii="宋体" w:hAnsi="宋体" w:cs="宋体"/>
          <w:b w:val="0"/>
          <w:bCs w:val="0"/>
          <w:color w:val="auto"/>
          <w:sz w:val="24"/>
          <w:szCs w:val="24"/>
          <w:highlight w:val="none"/>
        </w:rPr>
        <w:t>6</w:t>
      </w:r>
      <w:r>
        <w:rPr>
          <w:rFonts w:hint="eastAsia" w:ascii="宋体" w:hAnsi="宋体" w:cs="宋体"/>
          <w:b w:val="0"/>
          <w:bCs w:val="0"/>
          <w:color w:val="auto"/>
          <w:sz w:val="24"/>
          <w:szCs w:val="24"/>
          <w:highlight w:val="none"/>
        </w:rPr>
        <w:fldChar w:fldCharType="end"/>
      </w:r>
      <w:r>
        <w:rPr>
          <w:rFonts w:hint="eastAsia" w:ascii="宋体" w:hAnsi="宋体" w:cs="宋体"/>
          <w:b w:val="0"/>
          <w:bCs w:val="0"/>
          <w:color w:val="auto"/>
          <w:sz w:val="24"/>
          <w:szCs w:val="24"/>
          <w:highlight w:val="none"/>
        </w:rPr>
        <w:fldChar w:fldCharType="end"/>
      </w:r>
    </w:p>
    <w:p w14:paraId="521BF073">
      <w:pPr>
        <w:pStyle w:val="21"/>
        <w:tabs>
          <w:tab w:val="right" w:leader="dot" w:pos="8730"/>
          <w:tab w:val="clear" w:pos="9628"/>
        </w:tabs>
        <w:spacing w:line="600" w:lineRule="exact"/>
        <w:ind w:left="0" w:firstLine="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"_Toc5021" </w:instrText>
      </w:r>
      <w:r>
        <w:rPr>
          <w:color w:val="auto"/>
          <w:highlight w:val="none"/>
        </w:rPr>
        <w:fldChar w:fldCharType="separate"/>
      </w:r>
      <w:r>
        <w:rPr>
          <w:rFonts w:hint="eastAsia" w:ascii="宋体" w:hAnsi="宋体" w:cs="宋体"/>
          <w:color w:val="auto"/>
          <w:sz w:val="24"/>
          <w:szCs w:val="24"/>
          <w:highlight w:val="none"/>
        </w:rPr>
        <w:t>第三章  投标人须知</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_Toc5021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511DEE53">
      <w:pPr>
        <w:pStyle w:val="21"/>
        <w:tabs>
          <w:tab w:val="right" w:leader="dot" w:pos="8730"/>
          <w:tab w:val="clear" w:pos="9628"/>
        </w:tabs>
        <w:spacing w:line="600" w:lineRule="exact"/>
        <w:ind w:left="0" w:firstLine="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"_Toc13851" </w:instrText>
      </w:r>
      <w:r>
        <w:rPr>
          <w:color w:val="auto"/>
          <w:highlight w:val="none"/>
        </w:rPr>
        <w:fldChar w:fldCharType="separate"/>
      </w:r>
      <w:r>
        <w:rPr>
          <w:rFonts w:hint="eastAsia" w:ascii="宋体" w:hAnsi="宋体" w:cs="宋体"/>
          <w:color w:val="auto"/>
          <w:sz w:val="24"/>
          <w:szCs w:val="24"/>
          <w:highlight w:val="none"/>
        </w:rPr>
        <w:t>第四章  评标方法及评标标准</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_Toc13851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49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1D4F4CEB">
      <w:pPr>
        <w:pStyle w:val="21"/>
        <w:tabs>
          <w:tab w:val="right" w:leader="dot" w:pos="8730"/>
          <w:tab w:val="clear" w:pos="9628"/>
        </w:tabs>
        <w:spacing w:line="600" w:lineRule="exact"/>
        <w:ind w:left="0" w:firstLine="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"_Toc31314" </w:instrText>
      </w:r>
      <w:r>
        <w:rPr>
          <w:color w:val="auto"/>
          <w:highlight w:val="none"/>
        </w:rPr>
        <w:fldChar w:fldCharType="separate"/>
      </w:r>
      <w:r>
        <w:rPr>
          <w:rFonts w:hint="eastAsia" w:ascii="宋体" w:hAnsi="宋体" w:cs="宋体"/>
          <w:color w:val="auto"/>
          <w:sz w:val="24"/>
          <w:szCs w:val="24"/>
          <w:highlight w:val="none"/>
        </w:rPr>
        <w:t>第五章  拟签订的合同文本</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_Toc31314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167442B3">
      <w:pPr>
        <w:pStyle w:val="21"/>
        <w:tabs>
          <w:tab w:val="right" w:leader="dot" w:pos="8730"/>
          <w:tab w:val="clear" w:pos="9628"/>
        </w:tabs>
        <w:spacing w:line="600" w:lineRule="exact"/>
        <w:ind w:left="0" w:firstLine="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"_Toc12068" </w:instrText>
      </w:r>
      <w:r>
        <w:rPr>
          <w:color w:val="auto"/>
          <w:highlight w:val="none"/>
        </w:rPr>
        <w:fldChar w:fldCharType="separate"/>
      </w:r>
      <w:r>
        <w:rPr>
          <w:rFonts w:hint="eastAsia" w:ascii="宋体" w:hAnsi="宋体" w:cs="宋体"/>
          <w:color w:val="auto"/>
          <w:sz w:val="24"/>
          <w:szCs w:val="24"/>
          <w:highlight w:val="none"/>
        </w:rPr>
        <w:t>第六章　投标文件格式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_Toc12068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65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19E2B18C">
      <w:pPr>
        <w:pStyle w:val="17"/>
        <w:tabs>
          <w:tab w:val="right" w:leader="dot" w:pos="8730"/>
        </w:tabs>
        <w:spacing w:before="0" w:after="0" w:line="600" w:lineRule="exact"/>
        <w:rPr>
          <w:rFonts w:ascii="宋体" w:hAnsi="宋体" w:cs="宋体"/>
          <w:b w:val="0"/>
          <w:bCs w:val="0"/>
          <w:color w:val="auto"/>
          <w:sz w:val="24"/>
          <w:szCs w:val="24"/>
          <w:highlight w:val="none"/>
        </w:rPr>
      </w:pPr>
      <w:r>
        <w:rPr>
          <w:color w:val="auto"/>
          <w:highlight w:val="none"/>
        </w:rPr>
        <w:fldChar w:fldCharType="begin"/>
      </w:r>
      <w:r>
        <w:rPr>
          <w:color w:val="auto"/>
          <w:highlight w:val="none"/>
        </w:rPr>
        <w:instrText xml:space="preserve"> HYPERLINK \l "_Toc14053" </w:instrText>
      </w:r>
      <w:r>
        <w:rPr>
          <w:color w:val="auto"/>
          <w:highlight w:val="none"/>
        </w:rPr>
        <w:fldChar w:fldCharType="separate"/>
      </w:r>
      <w:r>
        <w:rPr>
          <w:rFonts w:hint="eastAsia" w:ascii="宋体" w:hAnsi="宋体" w:cs="宋体"/>
          <w:b w:val="0"/>
          <w:bCs w:val="0"/>
          <w:color w:val="auto"/>
          <w:sz w:val="24"/>
          <w:szCs w:val="24"/>
          <w:highlight w:val="none"/>
        </w:rPr>
        <w:t>第七章 质疑、投诉证明材料格式</w:t>
      </w:r>
      <w:r>
        <w:rPr>
          <w:rFonts w:hint="eastAsia" w:ascii="宋体" w:hAnsi="宋体" w:cs="宋体"/>
          <w:b w:val="0"/>
          <w:bCs w:val="0"/>
          <w:color w:val="auto"/>
          <w:sz w:val="24"/>
          <w:szCs w:val="24"/>
          <w:highlight w:val="none"/>
        </w:rPr>
        <w:tab/>
      </w:r>
      <w:r>
        <w:rPr>
          <w:rFonts w:hint="eastAsia" w:ascii="宋体" w:hAnsi="宋体" w:cs="宋体"/>
          <w:b w:val="0"/>
          <w:bCs w:val="0"/>
          <w:color w:val="auto"/>
          <w:sz w:val="24"/>
          <w:szCs w:val="24"/>
          <w:highlight w:val="none"/>
        </w:rPr>
        <w:fldChar w:fldCharType="begin"/>
      </w:r>
      <w:r>
        <w:rPr>
          <w:rFonts w:hint="eastAsia" w:ascii="宋体" w:hAnsi="宋体" w:cs="宋体"/>
          <w:b w:val="0"/>
          <w:bCs w:val="0"/>
          <w:color w:val="auto"/>
          <w:sz w:val="24"/>
          <w:szCs w:val="24"/>
          <w:highlight w:val="none"/>
        </w:rPr>
        <w:instrText xml:space="preserve"> PAGEREF _Toc14053 \h </w:instrText>
      </w:r>
      <w:r>
        <w:rPr>
          <w:rFonts w:hint="eastAsia" w:ascii="宋体" w:hAnsi="宋体" w:cs="宋体"/>
          <w:b w:val="0"/>
          <w:bCs w:val="0"/>
          <w:color w:val="auto"/>
          <w:sz w:val="24"/>
          <w:szCs w:val="24"/>
          <w:highlight w:val="none"/>
        </w:rPr>
        <w:fldChar w:fldCharType="separate"/>
      </w:r>
      <w:r>
        <w:rPr>
          <w:rFonts w:hint="eastAsia" w:ascii="宋体" w:hAnsi="宋体" w:cs="宋体"/>
          <w:b w:val="0"/>
          <w:bCs w:val="0"/>
          <w:color w:val="auto"/>
          <w:sz w:val="24"/>
          <w:szCs w:val="24"/>
          <w:highlight w:val="none"/>
        </w:rPr>
        <w:t>98</w:t>
      </w:r>
      <w:r>
        <w:rPr>
          <w:rFonts w:hint="eastAsia" w:ascii="宋体" w:hAnsi="宋体" w:cs="宋体"/>
          <w:b w:val="0"/>
          <w:bCs w:val="0"/>
          <w:color w:val="auto"/>
          <w:sz w:val="24"/>
          <w:szCs w:val="24"/>
          <w:highlight w:val="none"/>
        </w:rPr>
        <w:fldChar w:fldCharType="end"/>
      </w:r>
      <w:r>
        <w:rPr>
          <w:rFonts w:hint="eastAsia" w:ascii="宋体" w:hAnsi="宋体" w:cs="宋体"/>
          <w:b w:val="0"/>
          <w:bCs w:val="0"/>
          <w:color w:val="auto"/>
          <w:sz w:val="24"/>
          <w:szCs w:val="24"/>
          <w:highlight w:val="none"/>
        </w:rPr>
        <w:fldChar w:fldCharType="end"/>
      </w:r>
    </w:p>
    <w:p w14:paraId="6DCD2460">
      <w:pPr>
        <w:pStyle w:val="13"/>
        <w:spacing w:line="600" w:lineRule="exact"/>
        <w:jc w:val="center"/>
        <w:outlineLvl w:val="0"/>
        <w:rPr>
          <w:rFonts w:hAnsi="宋体" w:cs="宋体"/>
          <w:caps/>
          <w:color w:val="auto"/>
          <w:sz w:val="24"/>
          <w:highlight w:val="none"/>
        </w:rPr>
      </w:pPr>
      <w:r>
        <w:rPr>
          <w:rFonts w:hint="eastAsia" w:hAnsi="宋体" w:cs="宋体"/>
          <w:caps/>
          <w:color w:val="auto"/>
          <w:sz w:val="24"/>
          <w:highlight w:val="none"/>
        </w:rPr>
        <w:fldChar w:fldCharType="end"/>
      </w:r>
      <w:bookmarkStart w:id="5" w:name="_Toc213325920"/>
      <w:bookmarkStart w:id="6" w:name="_Toc16569"/>
    </w:p>
    <w:p w14:paraId="2F91A96C">
      <w:pPr>
        <w:pStyle w:val="13"/>
        <w:tabs>
          <w:tab w:val="left" w:pos="4182"/>
        </w:tabs>
        <w:spacing w:line="600" w:lineRule="exact"/>
        <w:jc w:val="left"/>
        <w:outlineLvl w:val="0"/>
        <w:rPr>
          <w:rFonts w:hint="eastAsia" w:hAnsi="宋体" w:eastAsia="宋体" w:cs="宋体"/>
          <w:caps/>
          <w:color w:val="auto"/>
          <w:sz w:val="24"/>
          <w:highlight w:val="none"/>
          <w:lang w:eastAsia="zh-CN"/>
        </w:rPr>
      </w:pPr>
      <w:r>
        <w:rPr>
          <w:rFonts w:hint="eastAsia" w:hAnsi="宋体" w:cs="宋体"/>
          <w:caps/>
          <w:color w:val="auto"/>
          <w:sz w:val="24"/>
          <w:highlight w:val="none"/>
          <w:lang w:eastAsia="zh-CN"/>
        </w:rPr>
        <w:tab/>
      </w:r>
    </w:p>
    <w:p w14:paraId="0F2205F5">
      <w:pPr>
        <w:pStyle w:val="13"/>
        <w:spacing w:line="600" w:lineRule="exact"/>
        <w:jc w:val="center"/>
        <w:outlineLvl w:val="0"/>
        <w:rPr>
          <w:rFonts w:hAnsi="宋体" w:cs="宋体"/>
          <w:caps/>
          <w:color w:val="auto"/>
          <w:sz w:val="24"/>
          <w:highlight w:val="none"/>
        </w:rPr>
      </w:pPr>
    </w:p>
    <w:p w14:paraId="30822A09">
      <w:pPr>
        <w:pStyle w:val="13"/>
        <w:spacing w:line="600" w:lineRule="exact"/>
        <w:jc w:val="center"/>
        <w:outlineLvl w:val="0"/>
        <w:rPr>
          <w:rFonts w:hAnsi="宋体" w:cs="宋体"/>
          <w:caps/>
          <w:color w:val="auto"/>
          <w:sz w:val="24"/>
          <w:highlight w:val="none"/>
        </w:rPr>
      </w:pPr>
    </w:p>
    <w:p w14:paraId="39EEE4C3">
      <w:pPr>
        <w:pStyle w:val="13"/>
        <w:spacing w:line="600" w:lineRule="exact"/>
        <w:jc w:val="center"/>
        <w:outlineLvl w:val="0"/>
        <w:rPr>
          <w:rFonts w:hAnsi="宋体" w:cs="宋体"/>
          <w:caps/>
          <w:color w:val="auto"/>
          <w:sz w:val="24"/>
          <w:highlight w:val="none"/>
        </w:rPr>
      </w:pPr>
    </w:p>
    <w:p w14:paraId="72EACD57">
      <w:pPr>
        <w:pStyle w:val="13"/>
        <w:spacing w:line="600" w:lineRule="exact"/>
        <w:jc w:val="center"/>
        <w:outlineLvl w:val="0"/>
        <w:rPr>
          <w:rFonts w:hAnsi="宋体" w:cs="宋体"/>
          <w:caps/>
          <w:color w:val="auto"/>
          <w:sz w:val="24"/>
          <w:highlight w:val="none"/>
        </w:rPr>
      </w:pPr>
    </w:p>
    <w:p w14:paraId="1FB23B78">
      <w:pPr>
        <w:pStyle w:val="13"/>
        <w:spacing w:line="600" w:lineRule="exact"/>
        <w:jc w:val="center"/>
        <w:outlineLvl w:val="0"/>
        <w:rPr>
          <w:rFonts w:hAnsi="宋体" w:cs="宋体"/>
          <w:caps/>
          <w:color w:val="auto"/>
          <w:sz w:val="24"/>
          <w:highlight w:val="none"/>
        </w:rPr>
      </w:pPr>
    </w:p>
    <w:p w14:paraId="19266BC2">
      <w:pPr>
        <w:pStyle w:val="13"/>
        <w:spacing w:line="600" w:lineRule="exact"/>
        <w:jc w:val="center"/>
        <w:outlineLvl w:val="0"/>
        <w:rPr>
          <w:rFonts w:hAnsi="宋体" w:cs="宋体"/>
          <w:caps/>
          <w:color w:val="auto"/>
          <w:sz w:val="24"/>
          <w:highlight w:val="none"/>
        </w:rPr>
      </w:pPr>
    </w:p>
    <w:p w14:paraId="4CF6D50D">
      <w:pPr>
        <w:pStyle w:val="13"/>
        <w:spacing w:line="600" w:lineRule="exact"/>
        <w:jc w:val="center"/>
        <w:outlineLvl w:val="0"/>
        <w:rPr>
          <w:rFonts w:hAnsi="宋体" w:cs="宋体"/>
          <w:caps/>
          <w:color w:val="auto"/>
          <w:sz w:val="24"/>
          <w:highlight w:val="none"/>
        </w:rPr>
      </w:pPr>
    </w:p>
    <w:p w14:paraId="2D6E7A34">
      <w:pPr>
        <w:pStyle w:val="13"/>
        <w:spacing w:line="600" w:lineRule="exact"/>
        <w:jc w:val="center"/>
        <w:outlineLvl w:val="0"/>
        <w:rPr>
          <w:rFonts w:hAnsi="宋体" w:cs="宋体"/>
          <w:caps/>
          <w:color w:val="auto"/>
          <w:sz w:val="24"/>
          <w:highlight w:val="none"/>
        </w:rPr>
      </w:pPr>
    </w:p>
    <w:p w14:paraId="03174B60">
      <w:pPr>
        <w:rPr>
          <w:rFonts w:hAnsi="宋体" w:cs="宋体"/>
          <w:caps/>
          <w:color w:val="auto"/>
          <w:sz w:val="24"/>
          <w:highlight w:val="none"/>
        </w:rPr>
      </w:pPr>
    </w:p>
    <w:p w14:paraId="49D0E57F">
      <w:pPr>
        <w:pStyle w:val="20"/>
        <w:rPr>
          <w:rFonts w:hAnsi="宋体" w:cs="宋体"/>
          <w:caps/>
          <w:color w:val="auto"/>
          <w:sz w:val="24"/>
          <w:highlight w:val="none"/>
        </w:rPr>
      </w:pPr>
    </w:p>
    <w:p w14:paraId="605E257C">
      <w:pPr>
        <w:pStyle w:val="20"/>
        <w:rPr>
          <w:rFonts w:hAnsi="宋体" w:cs="宋体"/>
          <w:caps/>
          <w:color w:val="auto"/>
          <w:sz w:val="24"/>
          <w:highlight w:val="none"/>
        </w:rPr>
      </w:pPr>
    </w:p>
    <w:p w14:paraId="2A103D96">
      <w:pPr>
        <w:pStyle w:val="20"/>
        <w:rPr>
          <w:rFonts w:hAnsi="宋体" w:cs="宋体"/>
          <w:caps/>
          <w:color w:val="auto"/>
          <w:sz w:val="24"/>
          <w:highlight w:val="none"/>
        </w:rPr>
      </w:pPr>
    </w:p>
    <w:p w14:paraId="15E9063F">
      <w:pPr>
        <w:pStyle w:val="13"/>
        <w:spacing w:line="600" w:lineRule="exact"/>
        <w:outlineLvl w:val="0"/>
        <w:rPr>
          <w:rFonts w:hAnsi="宋体" w:cs="宋体"/>
          <w:caps/>
          <w:color w:val="auto"/>
          <w:sz w:val="24"/>
          <w:highlight w:val="none"/>
        </w:rPr>
      </w:pPr>
    </w:p>
    <w:p w14:paraId="18F3BBE0">
      <w:pPr>
        <w:pStyle w:val="13"/>
        <w:spacing w:line="600" w:lineRule="exact"/>
        <w:jc w:val="center"/>
        <w:outlineLvl w:val="0"/>
        <w:rPr>
          <w:rFonts w:hAnsi="宋体" w:cs="宋体"/>
          <w:b/>
          <w:color w:val="auto"/>
          <w:sz w:val="36"/>
          <w:szCs w:val="36"/>
          <w:highlight w:val="none"/>
        </w:rPr>
      </w:pPr>
      <w:r>
        <w:rPr>
          <w:rFonts w:hint="eastAsia" w:hAnsi="宋体" w:cs="宋体"/>
          <w:b/>
          <w:color w:val="auto"/>
          <w:sz w:val="36"/>
          <w:highlight w:val="none"/>
        </w:rPr>
        <w:t>第一章</w:t>
      </w:r>
      <w:bookmarkEnd w:id="0"/>
      <w:bookmarkEnd w:id="1"/>
      <w:bookmarkEnd w:id="2"/>
      <w:bookmarkEnd w:id="5"/>
      <w:bookmarkEnd w:id="6"/>
    </w:p>
    <w:p w14:paraId="544276F5">
      <w:pPr>
        <w:autoSpaceDE w:val="0"/>
        <w:autoSpaceDN w:val="0"/>
        <w:adjustRightInd w:val="0"/>
        <w:spacing w:line="400" w:lineRule="exact"/>
        <w:jc w:val="center"/>
        <w:outlineLvl w:val="0"/>
        <w:rPr>
          <w:rFonts w:hint="eastAsia" w:ascii="宋体" w:hAnsi="宋体" w:cs="宋体"/>
          <w:b/>
          <w:color w:val="auto"/>
          <w:sz w:val="30"/>
          <w:szCs w:val="30"/>
          <w:highlight w:val="none"/>
          <w:lang w:eastAsia="zh-CN"/>
        </w:rPr>
      </w:pPr>
      <w:bookmarkStart w:id="7" w:name="_Toc22465"/>
      <w:bookmarkStart w:id="8" w:name="_Toc10796"/>
      <w:bookmarkStart w:id="9" w:name="_Toc26132"/>
      <w:bookmarkStart w:id="10" w:name="_Toc1414"/>
      <w:bookmarkStart w:id="11" w:name="OLE_LINK10"/>
      <w:bookmarkStart w:id="12" w:name="_Toc139966431"/>
      <w:bookmarkStart w:id="13" w:name="_Toc213206172"/>
      <w:bookmarkStart w:id="14" w:name="_Toc139967215"/>
      <w:bookmarkStart w:id="15" w:name="_Toc213325921"/>
      <w:r>
        <w:rPr>
          <w:rFonts w:hint="eastAsia" w:ascii="宋体" w:hAnsi="宋体" w:cs="宋体"/>
          <w:b/>
          <w:color w:val="auto"/>
          <w:sz w:val="30"/>
          <w:szCs w:val="30"/>
          <w:highlight w:val="none"/>
          <w:lang w:eastAsia="zh-CN"/>
        </w:rPr>
        <w:t>陆川县人民医院分院项目一期监控系统采购</w:t>
      </w:r>
    </w:p>
    <w:p w14:paraId="12D294F7">
      <w:pPr>
        <w:autoSpaceDE w:val="0"/>
        <w:autoSpaceDN w:val="0"/>
        <w:adjustRightInd w:val="0"/>
        <w:spacing w:line="400" w:lineRule="exact"/>
        <w:jc w:val="center"/>
        <w:outlineLvl w:val="0"/>
        <w:rPr>
          <w:rFonts w:ascii="宋体" w:hAnsi="宋体" w:cs="宋体"/>
          <w:color w:val="auto"/>
          <w:sz w:val="30"/>
          <w:szCs w:val="30"/>
          <w:highlight w:val="none"/>
        </w:rPr>
      </w:pPr>
      <w:r>
        <w:rPr>
          <w:rFonts w:hint="eastAsia" w:ascii="宋体" w:hAnsi="宋体" w:cs="宋体"/>
          <w:b/>
          <w:color w:val="auto"/>
          <w:sz w:val="30"/>
          <w:szCs w:val="30"/>
          <w:highlight w:val="none"/>
        </w:rPr>
        <w:t>招标公告</w:t>
      </w:r>
      <w:bookmarkEnd w:id="7"/>
      <w:bookmarkEnd w:id="8"/>
      <w:bookmarkEnd w:id="9"/>
      <w:bookmarkEnd w:id="10"/>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14:paraId="1442F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9628" w:type="dxa"/>
            <w:noWrap/>
          </w:tcPr>
          <w:p w14:paraId="7CD2B814">
            <w:pPr>
              <w:keepNext w:val="0"/>
              <w:keepLines w:val="0"/>
              <w:pageBreakBefore w:val="0"/>
              <w:kinsoku/>
              <w:overflowPunct/>
              <w:topLinePunct w:val="0"/>
              <w:autoSpaceDE/>
              <w:autoSpaceDN/>
              <w:bidi w:val="0"/>
              <w:adjustRightInd/>
              <w:spacing w:line="42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项目概况</w:t>
            </w:r>
          </w:p>
          <w:p w14:paraId="4F749941">
            <w:pPr>
              <w:keepNext w:val="0"/>
              <w:keepLines w:val="0"/>
              <w:pageBreakBefore w:val="0"/>
              <w:kinsoku/>
              <w:overflowPunct/>
              <w:topLinePunct w:val="0"/>
              <w:autoSpaceDE/>
              <w:autoSpaceDN/>
              <w:bidi w:val="0"/>
              <w:adjustRightInd/>
              <w:spacing w:line="420" w:lineRule="exact"/>
              <w:ind w:firstLine="420" w:firstLineChars="200"/>
              <w:jc w:val="left"/>
              <w:textAlignment w:val="auto"/>
              <w:rPr>
                <w:rFonts w:ascii="宋体" w:hAnsi="宋体" w:cs="宋体"/>
                <w:b/>
                <w:bCs/>
                <w:color w:val="auto"/>
                <w:szCs w:val="21"/>
                <w:highlight w:val="none"/>
              </w:rPr>
            </w:pPr>
            <w:r>
              <w:rPr>
                <w:rFonts w:hint="eastAsia" w:ascii="宋体" w:hAnsi="宋体" w:cs="宋体"/>
                <w:color w:val="auto"/>
                <w:szCs w:val="21"/>
                <w:highlight w:val="none"/>
                <w:u w:val="single"/>
                <w:lang w:eastAsia="zh-CN"/>
              </w:rPr>
              <w:t>陆川县人民医院分院项目一期监控系统采购</w:t>
            </w:r>
            <w:r>
              <w:rPr>
                <w:rFonts w:hint="eastAsia" w:ascii="宋体" w:hAnsi="宋体" w:cs="宋体"/>
                <w:color w:val="auto"/>
                <w:szCs w:val="21"/>
                <w:highlight w:val="none"/>
              </w:rPr>
              <w:t>项目的潜在供应商应在广西政府采购云平台</w:t>
            </w:r>
            <w:r>
              <w:rPr>
                <w:rFonts w:hint="eastAsia" w:ascii="宋体" w:hAnsi="宋体" w:cs="宋体"/>
                <w:color w:val="auto"/>
                <w:szCs w:val="21"/>
                <w:highlight w:val="none"/>
                <w:lang w:eastAsia="zh-CN"/>
              </w:rPr>
              <w:t>（https：//www.gcy.zfcg.gxzf.gov.cn/）</w:t>
            </w:r>
            <w:r>
              <w:rPr>
                <w:rFonts w:hint="eastAsia" w:ascii="宋体" w:hAnsi="宋体" w:cs="宋体"/>
                <w:color w:val="auto"/>
                <w:szCs w:val="21"/>
                <w:highlight w:val="none"/>
              </w:rPr>
              <w:t>获取招标文件，并于</w:t>
            </w:r>
            <w:r>
              <w:rPr>
                <w:rFonts w:hint="eastAsia" w:ascii="宋体" w:hAnsi="宋体" w:cs="宋体"/>
                <w:color w:val="auto"/>
                <w:szCs w:val="21"/>
                <w:highlight w:val="none"/>
                <w:u w:val="single"/>
              </w:rPr>
              <w:t xml:space="preserve"> 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17</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分</w:t>
            </w:r>
            <w:r>
              <w:rPr>
                <w:rFonts w:hint="eastAsia" w:ascii="宋体" w:hAnsi="宋体" w:cs="宋体"/>
                <w:color w:val="auto"/>
                <w:szCs w:val="21"/>
                <w:highlight w:val="none"/>
              </w:rPr>
              <w:t>（北京时间）前递交投标文件。</w:t>
            </w:r>
          </w:p>
        </w:tc>
      </w:tr>
    </w:tbl>
    <w:p w14:paraId="5C15884F">
      <w:pPr>
        <w:keepNext w:val="0"/>
        <w:keepLines w:val="0"/>
        <w:pageBreakBefore w:val="0"/>
        <w:kinsoku/>
        <w:overflowPunct/>
        <w:topLinePunct w:val="0"/>
        <w:autoSpaceDE/>
        <w:autoSpaceDN/>
        <w:bidi w:val="0"/>
        <w:adjustRightInd/>
        <w:spacing w:line="420" w:lineRule="exact"/>
        <w:ind w:firstLine="422" w:firstLineChars="200"/>
        <w:jc w:val="left"/>
        <w:textAlignment w:val="auto"/>
        <w:outlineLvl w:val="0"/>
        <w:rPr>
          <w:rFonts w:ascii="宋体" w:hAnsi="宋体" w:cs="宋体"/>
          <w:b/>
          <w:bCs/>
          <w:color w:val="auto"/>
          <w:szCs w:val="21"/>
          <w:highlight w:val="none"/>
        </w:rPr>
      </w:pPr>
      <w:bookmarkStart w:id="16" w:name="_Toc17498"/>
      <w:bookmarkStart w:id="17" w:name="_Toc6809"/>
      <w:bookmarkStart w:id="18" w:name="_Toc14858"/>
      <w:r>
        <w:rPr>
          <w:rFonts w:hint="eastAsia" w:ascii="宋体" w:hAnsi="宋体" w:cs="宋体"/>
          <w:b/>
          <w:bCs/>
          <w:color w:val="auto"/>
          <w:szCs w:val="21"/>
          <w:highlight w:val="none"/>
        </w:rPr>
        <w:t>一、项目基本情况</w:t>
      </w:r>
      <w:bookmarkEnd w:id="16"/>
      <w:bookmarkEnd w:id="17"/>
      <w:bookmarkEnd w:id="18"/>
    </w:p>
    <w:p w14:paraId="4BE101A3">
      <w:pPr>
        <w:keepNext w:val="0"/>
        <w:keepLines w:val="0"/>
        <w:pageBreakBefore w:val="0"/>
        <w:kinsoku/>
        <w:overflowPunct/>
        <w:topLinePunct w:val="0"/>
        <w:autoSpaceDE/>
        <w:autoSpaceDN/>
        <w:bidi w:val="0"/>
        <w:adjustRightInd/>
        <w:spacing w:line="420" w:lineRule="exact"/>
        <w:ind w:firstLine="420" w:firstLineChars="200"/>
        <w:jc w:val="lef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项目编号：YLZC2024-G1-220347-GXJH</w:t>
      </w:r>
    </w:p>
    <w:p w14:paraId="29E207ED">
      <w:pPr>
        <w:keepNext w:val="0"/>
        <w:keepLines w:val="0"/>
        <w:pageBreakBefore w:val="0"/>
        <w:kinsoku/>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陆川县人民医院分院项目一期监控系统采购</w:t>
      </w:r>
    </w:p>
    <w:p w14:paraId="481C88A0">
      <w:pPr>
        <w:pStyle w:val="45"/>
        <w:keepNext w:val="0"/>
        <w:keepLines w:val="0"/>
        <w:pageBreakBefore w:val="0"/>
        <w:kinsoku/>
        <w:overflowPunct/>
        <w:topLinePunct w:val="0"/>
        <w:autoSpaceDE/>
        <w:autoSpaceDN/>
        <w:bidi w:val="0"/>
        <w:adjustRightInd/>
        <w:spacing w:before="0" w:after="0" w:line="420" w:lineRule="exact"/>
        <w:ind w:firstLine="46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采购方式：</w:t>
      </w:r>
      <w:r>
        <w:rPr>
          <w:rFonts w:hint="eastAsia" w:ascii="宋体" w:hAnsi="宋体" w:cs="宋体"/>
          <w:bCs/>
          <w:color w:val="auto"/>
          <w:spacing w:val="0"/>
          <w:sz w:val="21"/>
          <w:szCs w:val="21"/>
          <w:highlight w:val="none"/>
        </w:rPr>
        <w:t>公开招标</w:t>
      </w:r>
    </w:p>
    <w:p w14:paraId="2FA1F51D">
      <w:pPr>
        <w:keepNext w:val="0"/>
        <w:keepLines w:val="0"/>
        <w:pageBreakBefore w:val="0"/>
        <w:kinsoku/>
        <w:overflowPunct/>
        <w:topLinePunct w:val="0"/>
        <w:autoSpaceDE/>
        <w:autoSpaceDN/>
        <w:bidi w:val="0"/>
        <w:adjustRightInd/>
        <w:spacing w:line="420" w:lineRule="exact"/>
        <w:ind w:firstLine="420" w:firstLineChars="20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采购预算金额</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元</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2491699.65</w:t>
      </w:r>
    </w:p>
    <w:p w14:paraId="2F69C2DB">
      <w:pPr>
        <w:keepNext w:val="0"/>
        <w:keepLines w:val="0"/>
        <w:pageBreakBefore w:val="0"/>
        <w:kinsoku/>
        <w:overflowPunct/>
        <w:topLinePunct w:val="0"/>
        <w:autoSpaceDE/>
        <w:autoSpaceDN/>
        <w:bidi w:val="0"/>
        <w:adjustRightInd/>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采购需求：</w:t>
      </w:r>
    </w:p>
    <w:tbl>
      <w:tblPr>
        <w:tblStyle w:val="28"/>
        <w:tblW w:w="0" w:type="auto"/>
        <w:tblInd w:w="54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7"/>
        <w:gridCol w:w="2423"/>
        <w:gridCol w:w="1230"/>
        <w:gridCol w:w="4890"/>
      </w:tblGrid>
      <w:tr w14:paraId="4EC40D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07" w:type="dxa"/>
            <w:tcBorders>
              <w:top w:val="single" w:color="auto" w:sz="4" w:space="0"/>
              <w:left w:val="single" w:color="auto" w:sz="4" w:space="0"/>
              <w:bottom w:val="single" w:color="auto" w:sz="4" w:space="0"/>
              <w:right w:val="single" w:color="auto" w:sz="4" w:space="0"/>
            </w:tcBorders>
            <w:noWrap/>
            <w:vAlign w:val="center"/>
          </w:tcPr>
          <w:p w14:paraId="579EFC6E">
            <w:pPr>
              <w:keepNext w:val="0"/>
              <w:keepLines w:val="0"/>
              <w:pageBreakBefore w:val="0"/>
              <w:kinsoku/>
              <w:overflowPunct/>
              <w:topLinePunct w:val="0"/>
              <w:autoSpaceDE/>
              <w:autoSpaceDN/>
              <w:bidi w:val="0"/>
              <w:adjustRightInd/>
              <w:snapToGrid w:val="0"/>
              <w:spacing w:line="420" w:lineRule="exact"/>
              <w:jc w:val="center"/>
              <w:textAlignment w:val="auto"/>
              <w:rPr>
                <w:rFonts w:ascii="宋体" w:hAnsi="宋体"/>
                <w:color w:val="auto"/>
                <w:szCs w:val="21"/>
                <w:highlight w:val="none"/>
              </w:rPr>
            </w:pPr>
            <w:r>
              <w:rPr>
                <w:rFonts w:hint="eastAsia" w:ascii="宋体" w:hAnsi="宋体"/>
                <w:color w:val="auto"/>
                <w:szCs w:val="21"/>
                <w:highlight w:val="none"/>
              </w:rPr>
              <w:t>序号</w:t>
            </w:r>
          </w:p>
        </w:tc>
        <w:tc>
          <w:tcPr>
            <w:tcW w:w="2423" w:type="dxa"/>
            <w:tcBorders>
              <w:top w:val="single" w:color="auto" w:sz="4" w:space="0"/>
              <w:left w:val="single" w:color="auto" w:sz="4" w:space="0"/>
              <w:bottom w:val="single" w:color="auto" w:sz="4" w:space="0"/>
              <w:right w:val="single" w:color="auto" w:sz="4" w:space="0"/>
            </w:tcBorders>
            <w:noWrap/>
            <w:vAlign w:val="center"/>
          </w:tcPr>
          <w:p w14:paraId="237B1788">
            <w:pPr>
              <w:keepNext w:val="0"/>
              <w:keepLines w:val="0"/>
              <w:pageBreakBefore w:val="0"/>
              <w:kinsoku/>
              <w:overflowPunct/>
              <w:topLinePunct w:val="0"/>
              <w:autoSpaceDE/>
              <w:autoSpaceDN/>
              <w:bidi w:val="0"/>
              <w:adjustRightInd/>
              <w:snapToGrid w:val="0"/>
              <w:spacing w:line="420" w:lineRule="exact"/>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标项名称</w:t>
            </w:r>
          </w:p>
        </w:tc>
        <w:tc>
          <w:tcPr>
            <w:tcW w:w="1230" w:type="dxa"/>
            <w:tcBorders>
              <w:top w:val="single" w:color="auto" w:sz="4" w:space="0"/>
              <w:left w:val="single" w:color="auto" w:sz="4" w:space="0"/>
              <w:bottom w:val="single" w:color="auto" w:sz="4" w:space="0"/>
              <w:right w:val="single" w:color="auto" w:sz="4" w:space="0"/>
            </w:tcBorders>
            <w:noWrap/>
            <w:vAlign w:val="center"/>
          </w:tcPr>
          <w:p w14:paraId="180860CF">
            <w:pPr>
              <w:keepNext w:val="0"/>
              <w:keepLines w:val="0"/>
              <w:pageBreakBefore w:val="0"/>
              <w:kinsoku/>
              <w:overflowPunct/>
              <w:topLinePunct w:val="0"/>
              <w:autoSpaceDE/>
              <w:autoSpaceDN/>
              <w:bidi w:val="0"/>
              <w:adjustRightInd/>
              <w:snapToGrid w:val="0"/>
              <w:spacing w:line="420" w:lineRule="exact"/>
              <w:jc w:val="center"/>
              <w:textAlignment w:val="auto"/>
              <w:rPr>
                <w:rFonts w:ascii="宋体" w:hAnsi="宋体"/>
                <w:color w:val="auto"/>
                <w:szCs w:val="21"/>
                <w:highlight w:val="none"/>
              </w:rPr>
            </w:pPr>
            <w:r>
              <w:rPr>
                <w:rFonts w:hint="eastAsia" w:ascii="宋体" w:hAnsi="宋体"/>
                <w:color w:val="auto"/>
                <w:szCs w:val="21"/>
                <w:highlight w:val="none"/>
              </w:rPr>
              <w:t>数量及</w:t>
            </w:r>
          </w:p>
          <w:p w14:paraId="1D297A56">
            <w:pPr>
              <w:keepNext w:val="0"/>
              <w:keepLines w:val="0"/>
              <w:pageBreakBefore w:val="0"/>
              <w:kinsoku/>
              <w:overflowPunct/>
              <w:topLinePunct w:val="0"/>
              <w:autoSpaceDE/>
              <w:autoSpaceDN/>
              <w:bidi w:val="0"/>
              <w:adjustRightInd/>
              <w:snapToGrid w:val="0"/>
              <w:spacing w:line="420" w:lineRule="exact"/>
              <w:jc w:val="center"/>
              <w:textAlignment w:val="auto"/>
              <w:rPr>
                <w:rFonts w:ascii="宋体" w:hAnsi="宋体"/>
                <w:color w:val="auto"/>
                <w:szCs w:val="21"/>
                <w:highlight w:val="none"/>
              </w:rPr>
            </w:pPr>
            <w:r>
              <w:rPr>
                <w:rFonts w:hint="eastAsia" w:ascii="宋体" w:hAnsi="宋体"/>
                <w:color w:val="auto"/>
                <w:szCs w:val="21"/>
                <w:highlight w:val="none"/>
              </w:rPr>
              <w:t>单位</w:t>
            </w:r>
          </w:p>
        </w:tc>
        <w:tc>
          <w:tcPr>
            <w:tcW w:w="4890" w:type="dxa"/>
            <w:tcBorders>
              <w:top w:val="single" w:color="auto" w:sz="4" w:space="0"/>
              <w:left w:val="single" w:color="auto" w:sz="4" w:space="0"/>
              <w:bottom w:val="single" w:color="auto" w:sz="4" w:space="0"/>
              <w:right w:val="single" w:color="auto" w:sz="4" w:space="0"/>
            </w:tcBorders>
            <w:noWrap/>
            <w:vAlign w:val="center"/>
          </w:tcPr>
          <w:p w14:paraId="2D00EE92">
            <w:pPr>
              <w:keepNext w:val="0"/>
              <w:keepLines w:val="0"/>
              <w:pageBreakBefore w:val="0"/>
              <w:kinsoku/>
              <w:overflowPunct/>
              <w:topLinePunct w:val="0"/>
              <w:autoSpaceDE/>
              <w:autoSpaceDN/>
              <w:bidi w:val="0"/>
              <w:adjustRightInd/>
              <w:snapToGrid w:val="0"/>
              <w:spacing w:line="420" w:lineRule="exact"/>
              <w:jc w:val="center"/>
              <w:textAlignment w:val="auto"/>
              <w:rPr>
                <w:rFonts w:ascii="宋体" w:hAnsi="宋体"/>
                <w:color w:val="auto"/>
                <w:szCs w:val="21"/>
                <w:highlight w:val="none"/>
              </w:rPr>
            </w:pPr>
            <w:r>
              <w:rPr>
                <w:rFonts w:ascii="宋体" w:hAnsi="宋体"/>
                <w:color w:val="auto"/>
                <w:szCs w:val="21"/>
                <w:highlight w:val="none"/>
              </w:rPr>
              <w:t>简要规格描述或项目基本概况介绍、用途</w:t>
            </w:r>
          </w:p>
        </w:tc>
      </w:tr>
      <w:tr w14:paraId="65ED8C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07" w:type="dxa"/>
            <w:tcBorders>
              <w:top w:val="single" w:color="auto" w:sz="4" w:space="0"/>
              <w:left w:val="single" w:color="auto" w:sz="4" w:space="0"/>
              <w:bottom w:val="single" w:color="auto" w:sz="4" w:space="0"/>
              <w:right w:val="single" w:color="auto" w:sz="4" w:space="0"/>
            </w:tcBorders>
            <w:noWrap/>
            <w:vAlign w:val="center"/>
          </w:tcPr>
          <w:p w14:paraId="0714BF80">
            <w:pPr>
              <w:keepNext w:val="0"/>
              <w:keepLines w:val="0"/>
              <w:pageBreakBefore w:val="0"/>
              <w:kinsoku/>
              <w:overflowPunct/>
              <w:topLinePunct w:val="0"/>
              <w:autoSpaceDE/>
              <w:autoSpaceDN/>
              <w:bidi w:val="0"/>
              <w:adjustRightInd/>
              <w:snapToGrid w:val="0"/>
              <w:spacing w:line="420" w:lineRule="exact"/>
              <w:ind w:firstLine="210" w:firstLineChars="100"/>
              <w:jc w:val="left"/>
              <w:textAlignment w:val="auto"/>
              <w:rPr>
                <w:rFonts w:ascii="宋体" w:hAnsi="宋体"/>
                <w:color w:val="auto"/>
                <w:szCs w:val="21"/>
                <w:highlight w:val="none"/>
              </w:rPr>
            </w:pPr>
            <w:r>
              <w:rPr>
                <w:rFonts w:hint="eastAsia" w:ascii="宋体" w:hAnsi="宋体"/>
                <w:color w:val="auto"/>
                <w:szCs w:val="21"/>
                <w:highlight w:val="none"/>
              </w:rPr>
              <w:t>1</w:t>
            </w:r>
          </w:p>
        </w:tc>
        <w:tc>
          <w:tcPr>
            <w:tcW w:w="2423" w:type="dxa"/>
            <w:tcBorders>
              <w:top w:val="single" w:color="auto" w:sz="4" w:space="0"/>
              <w:left w:val="single" w:color="auto" w:sz="4" w:space="0"/>
              <w:bottom w:val="single" w:color="auto" w:sz="4" w:space="0"/>
              <w:right w:val="single" w:color="auto" w:sz="4" w:space="0"/>
            </w:tcBorders>
            <w:noWrap/>
            <w:vAlign w:val="center"/>
          </w:tcPr>
          <w:p w14:paraId="3A0D8A99">
            <w:pPr>
              <w:keepNext w:val="0"/>
              <w:keepLines w:val="0"/>
              <w:pageBreakBefore w:val="0"/>
              <w:kinsoku/>
              <w:overflowPunct/>
              <w:topLinePunct w:val="0"/>
              <w:autoSpaceDE/>
              <w:autoSpaceDN/>
              <w:bidi w:val="0"/>
              <w:adjustRightInd/>
              <w:snapToGrid w:val="0"/>
              <w:spacing w:line="420" w:lineRule="exact"/>
              <w:jc w:val="left"/>
              <w:textAlignment w:val="auto"/>
              <w:rPr>
                <w:rFonts w:hint="eastAsia" w:ascii="宋体" w:hAnsi="宋体" w:eastAsia="宋体"/>
                <w:color w:val="auto"/>
                <w:szCs w:val="21"/>
                <w:highlight w:val="none"/>
                <w:lang w:eastAsia="zh-CN"/>
              </w:rPr>
            </w:pPr>
            <w:r>
              <w:rPr>
                <w:rFonts w:hint="eastAsia" w:ascii="宋体" w:hAnsi="宋体" w:cs="宋体"/>
                <w:color w:val="auto"/>
                <w:szCs w:val="21"/>
                <w:highlight w:val="none"/>
                <w:lang w:eastAsia="zh-CN"/>
              </w:rPr>
              <w:t>陆川县人民医院分院项目一期监控系统采购</w:t>
            </w:r>
          </w:p>
        </w:tc>
        <w:tc>
          <w:tcPr>
            <w:tcW w:w="1230" w:type="dxa"/>
            <w:tcBorders>
              <w:top w:val="single" w:color="auto" w:sz="4" w:space="0"/>
              <w:left w:val="single" w:color="auto" w:sz="4" w:space="0"/>
              <w:bottom w:val="single" w:color="auto" w:sz="4" w:space="0"/>
              <w:right w:val="single" w:color="auto" w:sz="4" w:space="0"/>
            </w:tcBorders>
            <w:noWrap/>
            <w:vAlign w:val="center"/>
          </w:tcPr>
          <w:p w14:paraId="44223D6B">
            <w:pPr>
              <w:keepNext w:val="0"/>
              <w:keepLines w:val="0"/>
              <w:pageBreakBefore w:val="0"/>
              <w:kinsoku/>
              <w:overflowPunct/>
              <w:topLinePunct w:val="0"/>
              <w:autoSpaceDE/>
              <w:autoSpaceDN/>
              <w:bidi w:val="0"/>
              <w:adjustRightInd/>
              <w:snapToGrid w:val="0"/>
              <w:spacing w:line="420" w:lineRule="exact"/>
              <w:ind w:firstLine="210" w:firstLineChars="100"/>
              <w:jc w:val="left"/>
              <w:textAlignment w:val="auto"/>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1批</w:t>
            </w:r>
          </w:p>
        </w:tc>
        <w:tc>
          <w:tcPr>
            <w:tcW w:w="4890" w:type="dxa"/>
            <w:tcBorders>
              <w:top w:val="single" w:color="auto" w:sz="4" w:space="0"/>
              <w:left w:val="single" w:color="auto" w:sz="4" w:space="0"/>
              <w:bottom w:val="single" w:color="auto" w:sz="4" w:space="0"/>
              <w:right w:val="single" w:color="auto" w:sz="4" w:space="0"/>
            </w:tcBorders>
            <w:noWrap/>
            <w:vAlign w:val="center"/>
          </w:tcPr>
          <w:p w14:paraId="2DAEA052">
            <w:pPr>
              <w:pStyle w:val="7"/>
              <w:numPr>
                <w:ilvl w:val="0"/>
                <w:numId w:val="0"/>
              </w:numPr>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kern w:val="2"/>
                <w:sz w:val="21"/>
                <w:szCs w:val="21"/>
                <w:lang w:val="en-US" w:eastAsia="zh-CN" w:bidi="ar-SA"/>
              </w:rPr>
              <w:t>1.</w:t>
            </w:r>
            <w:r>
              <w:rPr>
                <w:rFonts w:hint="eastAsia" w:ascii="新宋体" w:hAnsi="新宋体" w:eastAsia="新宋体" w:cs="新宋体"/>
                <w:color w:val="auto"/>
                <w:sz w:val="21"/>
                <w:szCs w:val="21"/>
                <w:lang w:val="en-US" w:eastAsia="zh-CN"/>
              </w:rPr>
              <w:t>网络硬盘录像机 12台</w:t>
            </w:r>
          </w:p>
          <w:p w14:paraId="2AF27F4F">
            <w:pPr>
              <w:pStyle w:val="7"/>
              <w:numPr>
                <w:ilvl w:val="0"/>
                <w:numId w:val="0"/>
              </w:numPr>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kern w:val="2"/>
                <w:sz w:val="21"/>
                <w:szCs w:val="21"/>
                <w:lang w:val="en-US" w:eastAsia="zh-CN" w:bidi="ar-SA"/>
              </w:rPr>
              <w:t>2.</w:t>
            </w:r>
            <w:r>
              <w:rPr>
                <w:rFonts w:hint="eastAsia" w:ascii="新宋体" w:hAnsi="新宋体" w:eastAsia="新宋体" w:cs="新宋体"/>
                <w:color w:val="auto"/>
                <w:sz w:val="21"/>
                <w:szCs w:val="21"/>
                <w:lang w:val="en-US" w:eastAsia="zh-CN"/>
              </w:rPr>
              <w:t>存储硬盘 5块</w:t>
            </w:r>
          </w:p>
          <w:p w14:paraId="1E1F396A">
            <w:pPr>
              <w:pStyle w:val="7"/>
              <w:numPr>
                <w:ilvl w:val="0"/>
                <w:numId w:val="0"/>
              </w:numPr>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kern w:val="2"/>
                <w:sz w:val="21"/>
                <w:szCs w:val="21"/>
                <w:lang w:val="en-US" w:eastAsia="zh-CN" w:bidi="ar-SA"/>
              </w:rPr>
              <w:t>3.</w:t>
            </w:r>
            <w:r>
              <w:rPr>
                <w:rFonts w:hint="eastAsia" w:ascii="新宋体" w:hAnsi="新宋体" w:eastAsia="新宋体" w:cs="新宋体"/>
                <w:color w:val="auto"/>
                <w:sz w:val="21"/>
                <w:szCs w:val="21"/>
                <w:lang w:val="en-US" w:eastAsia="zh-CN"/>
              </w:rPr>
              <w:t>存储硬盘 93块</w:t>
            </w:r>
          </w:p>
          <w:p w14:paraId="5284FCE1">
            <w:pPr>
              <w:pStyle w:val="7"/>
              <w:numPr>
                <w:ilvl w:val="0"/>
                <w:numId w:val="0"/>
              </w:numPr>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w:t>
            </w:r>
          </w:p>
        </w:tc>
      </w:tr>
    </w:tbl>
    <w:p w14:paraId="349AF19F">
      <w:pPr>
        <w:pStyle w:val="45"/>
        <w:keepNext w:val="0"/>
        <w:keepLines w:val="0"/>
        <w:pageBreakBefore w:val="0"/>
        <w:kinsoku/>
        <w:overflowPunct/>
        <w:topLinePunct w:val="0"/>
        <w:autoSpaceDE/>
        <w:autoSpaceDN/>
        <w:bidi w:val="0"/>
        <w:adjustRightInd/>
        <w:spacing w:before="0" w:after="0" w:line="420" w:lineRule="exact"/>
        <w:ind w:firstLine="460" w:firstLineChars="200"/>
        <w:jc w:val="left"/>
        <w:textAlignment w:val="auto"/>
        <w:rPr>
          <w:rFonts w:hint="eastAsia" w:ascii="宋体" w:hAnsi="宋体" w:cs="宋体"/>
          <w:bCs w:val="0"/>
          <w:color w:val="auto"/>
          <w:spacing w:val="0"/>
          <w:kern w:val="2"/>
          <w:sz w:val="21"/>
          <w:szCs w:val="21"/>
          <w:highlight w:val="none"/>
          <w:lang w:val="en-US" w:eastAsia="zh-CN"/>
        </w:rPr>
      </w:pPr>
      <w:r>
        <w:rPr>
          <w:rFonts w:hint="eastAsia" w:ascii="宋体" w:hAnsi="宋体" w:cs="宋体"/>
          <w:color w:val="auto"/>
          <w:sz w:val="21"/>
          <w:szCs w:val="21"/>
          <w:highlight w:val="none"/>
        </w:rPr>
        <w:t>合同履行期限</w:t>
      </w:r>
      <w:r>
        <w:rPr>
          <w:rFonts w:hint="eastAsia" w:ascii="宋体" w:hAnsi="宋体" w:cs="宋体"/>
          <w:bCs w:val="0"/>
          <w:color w:val="auto"/>
          <w:spacing w:val="0"/>
          <w:kern w:val="2"/>
          <w:sz w:val="21"/>
          <w:szCs w:val="21"/>
          <w:highlight w:val="none"/>
        </w:rPr>
        <w:t>:自签订合同之日起90日历日内交货，并安装调试完毕且通过验收。</w:t>
      </w:r>
    </w:p>
    <w:p w14:paraId="5545C63F">
      <w:pPr>
        <w:pStyle w:val="45"/>
        <w:keepNext w:val="0"/>
        <w:keepLines w:val="0"/>
        <w:pageBreakBefore w:val="0"/>
        <w:kinsoku/>
        <w:overflowPunct/>
        <w:topLinePunct w:val="0"/>
        <w:autoSpaceDE/>
        <w:autoSpaceDN/>
        <w:bidi w:val="0"/>
        <w:adjustRightInd/>
        <w:spacing w:before="0" w:after="0" w:line="420" w:lineRule="exact"/>
        <w:ind w:firstLine="46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本项目不接受联合体投标。</w:t>
      </w:r>
    </w:p>
    <w:p w14:paraId="2F196F87">
      <w:pPr>
        <w:keepNext w:val="0"/>
        <w:keepLines w:val="0"/>
        <w:pageBreakBefore w:val="0"/>
        <w:kinsoku/>
        <w:overflowPunct/>
        <w:topLinePunct w:val="0"/>
        <w:autoSpaceDE/>
        <w:autoSpaceDN/>
        <w:bidi w:val="0"/>
        <w:adjustRightInd/>
        <w:spacing w:line="420" w:lineRule="exact"/>
        <w:ind w:firstLine="422" w:firstLineChars="200"/>
        <w:jc w:val="left"/>
        <w:textAlignment w:val="auto"/>
        <w:outlineLvl w:val="0"/>
        <w:rPr>
          <w:rFonts w:ascii="宋体" w:hAnsi="宋体" w:cs="宋体"/>
          <w:b/>
          <w:bCs/>
          <w:color w:val="auto"/>
          <w:szCs w:val="21"/>
          <w:highlight w:val="none"/>
        </w:rPr>
      </w:pPr>
      <w:bookmarkStart w:id="19" w:name="_Toc22910"/>
      <w:bookmarkStart w:id="20" w:name="_Toc24258"/>
      <w:bookmarkStart w:id="21" w:name="_Toc3397"/>
      <w:r>
        <w:rPr>
          <w:rFonts w:hint="eastAsia" w:ascii="宋体" w:hAnsi="宋体" w:cs="宋体"/>
          <w:b/>
          <w:bCs/>
          <w:color w:val="auto"/>
          <w:szCs w:val="21"/>
          <w:highlight w:val="none"/>
        </w:rPr>
        <w:t>二、申请人的资格要求：</w:t>
      </w:r>
      <w:bookmarkEnd w:id="19"/>
      <w:bookmarkEnd w:id="20"/>
      <w:bookmarkEnd w:id="21"/>
    </w:p>
    <w:p w14:paraId="673C4BD5">
      <w:pPr>
        <w:keepNext w:val="0"/>
        <w:keepLines w:val="0"/>
        <w:pageBreakBefore w:val="0"/>
        <w:kinsoku/>
        <w:overflowPunct/>
        <w:topLinePunct w:val="0"/>
        <w:autoSpaceDE/>
        <w:autoSpaceDN/>
        <w:bidi w:val="0"/>
        <w:adjustRightInd/>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1、符合《中华人民共和国政府采购法》第二十二条规定；</w:t>
      </w:r>
    </w:p>
    <w:p w14:paraId="516E9794">
      <w:pPr>
        <w:pStyle w:val="45"/>
        <w:keepNext w:val="0"/>
        <w:keepLines w:val="0"/>
        <w:pageBreakBefore w:val="0"/>
        <w:kinsoku/>
        <w:overflowPunct/>
        <w:topLinePunct w:val="0"/>
        <w:autoSpaceDE/>
        <w:autoSpaceDN/>
        <w:bidi w:val="0"/>
        <w:adjustRightInd/>
        <w:spacing w:before="0" w:after="0" w:line="420" w:lineRule="exact"/>
        <w:ind w:firstLine="420" w:firstLineChars="200"/>
        <w:jc w:val="left"/>
        <w:textAlignment w:val="auto"/>
        <w:rPr>
          <w:rFonts w:ascii="宋体" w:hAnsi="宋体" w:cs="宋体"/>
          <w:bCs w:val="0"/>
          <w:color w:val="auto"/>
          <w:spacing w:val="0"/>
          <w:kern w:val="2"/>
          <w:sz w:val="21"/>
          <w:szCs w:val="21"/>
          <w:highlight w:val="none"/>
        </w:rPr>
      </w:pPr>
      <w:r>
        <w:rPr>
          <w:rFonts w:hint="eastAsia" w:ascii="宋体" w:hAnsi="宋体" w:cs="宋体"/>
          <w:bCs w:val="0"/>
          <w:color w:val="auto"/>
          <w:spacing w:val="0"/>
          <w:kern w:val="2"/>
          <w:sz w:val="21"/>
          <w:szCs w:val="21"/>
          <w:highlight w:val="none"/>
        </w:rPr>
        <w:t>2、落实政府采购政策需满足的资格要求：</w:t>
      </w:r>
      <w:r>
        <w:rPr>
          <w:rFonts w:hint="eastAsia" w:ascii="宋体" w:hAnsi="宋体" w:cs="宋体"/>
          <w:bCs w:val="0"/>
          <w:color w:val="auto"/>
          <w:spacing w:val="0"/>
          <w:kern w:val="2"/>
          <w:sz w:val="21"/>
          <w:szCs w:val="21"/>
          <w:highlight w:val="none"/>
          <w:lang w:val="en-US" w:eastAsia="zh-CN"/>
        </w:rPr>
        <w:t>无</w:t>
      </w:r>
      <w:r>
        <w:rPr>
          <w:rFonts w:hint="eastAsia" w:ascii="宋体" w:hAnsi="宋体" w:cs="宋体"/>
          <w:color w:val="auto"/>
          <w:sz w:val="21"/>
          <w:szCs w:val="21"/>
          <w:highlight w:val="none"/>
          <w:lang w:val="en-US" w:eastAsia="zh-CN"/>
        </w:rPr>
        <w:t>。</w:t>
      </w:r>
    </w:p>
    <w:p w14:paraId="08619E5A">
      <w:pPr>
        <w:keepNext w:val="0"/>
        <w:keepLines w:val="0"/>
        <w:pageBreakBefore w:val="0"/>
        <w:kinsoku/>
        <w:overflowPunct/>
        <w:topLinePunct w:val="0"/>
        <w:autoSpaceDE/>
        <w:autoSpaceDN/>
        <w:bidi w:val="0"/>
        <w:adjustRightInd/>
        <w:spacing w:line="420" w:lineRule="exact"/>
        <w:ind w:firstLine="420" w:firstLineChars="200"/>
        <w:jc w:val="left"/>
        <w:textAlignment w:val="auto"/>
        <w:rPr>
          <w:rFonts w:ascii="宋体" w:hAnsi="宋体" w:cs="宋体"/>
          <w:b w:val="0"/>
          <w:bCs/>
          <w:color w:val="auto"/>
          <w:sz w:val="21"/>
          <w:szCs w:val="21"/>
          <w:highlight w:val="none"/>
        </w:rPr>
      </w:pPr>
      <w:r>
        <w:rPr>
          <w:rFonts w:hint="eastAsia" w:ascii="宋体" w:hAnsi="宋体" w:cs="宋体"/>
          <w:color w:val="auto"/>
          <w:szCs w:val="21"/>
          <w:highlight w:val="none"/>
        </w:rPr>
        <w:t>3、本项目的特定资格要求</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无</w:t>
      </w:r>
      <w:r>
        <w:rPr>
          <w:rFonts w:hint="eastAsia" w:ascii="宋体" w:hAnsi="宋体" w:eastAsia="宋体" w:cs="宋体"/>
          <w:b w:val="0"/>
          <w:bCs w:val="0"/>
          <w:color w:val="auto"/>
          <w:sz w:val="21"/>
          <w:szCs w:val="21"/>
          <w:highlight w:val="none"/>
          <w:lang w:val="en-US" w:eastAsia="zh-CN"/>
        </w:rPr>
        <w:t>。</w:t>
      </w:r>
    </w:p>
    <w:p w14:paraId="0520069A">
      <w:pPr>
        <w:pStyle w:val="45"/>
        <w:keepNext w:val="0"/>
        <w:keepLines w:val="0"/>
        <w:pageBreakBefore w:val="0"/>
        <w:kinsoku/>
        <w:overflowPunct/>
        <w:topLinePunct w:val="0"/>
        <w:autoSpaceDE/>
        <w:autoSpaceDN/>
        <w:bidi w:val="0"/>
        <w:adjustRightInd/>
        <w:spacing w:before="0" w:after="0" w:line="420" w:lineRule="exact"/>
        <w:ind w:firstLine="462" w:firstLineChars="200"/>
        <w:jc w:val="left"/>
        <w:textAlignment w:val="auto"/>
        <w:outlineLvl w:val="0"/>
        <w:rPr>
          <w:rFonts w:ascii="宋体" w:hAnsi="宋体" w:cs="宋体"/>
          <w:b/>
          <w:color w:val="auto"/>
          <w:sz w:val="21"/>
          <w:szCs w:val="21"/>
          <w:highlight w:val="none"/>
        </w:rPr>
      </w:pPr>
      <w:bookmarkStart w:id="22" w:name="_Toc28166"/>
      <w:bookmarkStart w:id="23" w:name="_Toc25662"/>
      <w:bookmarkStart w:id="24" w:name="_Toc20647"/>
      <w:r>
        <w:rPr>
          <w:rFonts w:hint="eastAsia" w:ascii="宋体" w:hAnsi="宋体" w:cs="宋体"/>
          <w:b/>
          <w:color w:val="auto"/>
          <w:sz w:val="21"/>
          <w:szCs w:val="21"/>
          <w:highlight w:val="none"/>
        </w:rPr>
        <w:t>三、获取招标文件</w:t>
      </w:r>
      <w:bookmarkEnd w:id="22"/>
      <w:bookmarkEnd w:id="23"/>
      <w:bookmarkEnd w:id="24"/>
    </w:p>
    <w:p w14:paraId="45C220A7">
      <w:pPr>
        <w:pStyle w:val="45"/>
        <w:keepNext w:val="0"/>
        <w:keepLines w:val="0"/>
        <w:pageBreakBefore w:val="0"/>
        <w:kinsoku/>
        <w:overflowPunct/>
        <w:topLinePunct w:val="0"/>
        <w:autoSpaceDE/>
        <w:autoSpaceDN/>
        <w:bidi w:val="0"/>
        <w:adjustRightInd/>
        <w:spacing w:before="0" w:after="0" w:line="420" w:lineRule="exact"/>
        <w:ind w:firstLine="46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时间：202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25</w:t>
      </w:r>
      <w:r>
        <w:rPr>
          <w:rFonts w:hint="eastAsia" w:ascii="宋体" w:hAnsi="宋体" w:cs="宋体"/>
          <w:color w:val="auto"/>
          <w:sz w:val="21"/>
          <w:szCs w:val="21"/>
          <w:highlight w:val="none"/>
        </w:rPr>
        <w:t>日至202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 xml:space="preserve"> 1</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日，每天上午08:00至12:00，下午</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:00至</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:00（北京时间，法定节假日除外）。</w:t>
      </w:r>
    </w:p>
    <w:p w14:paraId="36286117">
      <w:pPr>
        <w:pStyle w:val="45"/>
        <w:keepNext w:val="0"/>
        <w:keepLines w:val="0"/>
        <w:pageBreakBefore w:val="0"/>
        <w:kinsoku/>
        <w:overflowPunct/>
        <w:topLinePunct w:val="0"/>
        <w:autoSpaceDE/>
        <w:autoSpaceDN/>
        <w:bidi w:val="0"/>
        <w:adjustRightInd/>
        <w:spacing w:before="0" w:after="0" w:line="420" w:lineRule="exact"/>
        <w:ind w:firstLine="460" w:firstLineChars="200"/>
        <w:jc w:val="left"/>
        <w:textAlignment w:val="auto"/>
        <w:rPr>
          <w:rFonts w:ascii="宋体" w:hAnsi="宋体" w:cs="宋体"/>
          <w:bCs/>
          <w:color w:val="auto"/>
          <w:spacing w:val="0"/>
          <w:sz w:val="21"/>
          <w:szCs w:val="21"/>
          <w:highlight w:val="none"/>
        </w:rPr>
      </w:pPr>
      <w:r>
        <w:rPr>
          <w:rFonts w:hint="eastAsia" w:ascii="宋体" w:hAnsi="宋体" w:cs="宋体"/>
          <w:color w:val="auto"/>
          <w:kern w:val="2"/>
          <w:sz w:val="21"/>
          <w:szCs w:val="21"/>
          <w:highlight w:val="none"/>
        </w:rPr>
        <w:t>地点（网址）</w:t>
      </w:r>
      <w:r>
        <w:rPr>
          <w:rFonts w:hint="eastAsia" w:ascii="宋体" w:hAnsi="宋体" w:cs="宋体"/>
          <w:color w:val="auto"/>
          <w:sz w:val="21"/>
          <w:szCs w:val="21"/>
          <w:highlight w:val="none"/>
        </w:rPr>
        <w:t>：</w:t>
      </w:r>
      <w:r>
        <w:rPr>
          <w:rFonts w:hint="eastAsia" w:ascii="宋体" w:hAnsi="宋体" w:cs="宋体"/>
          <w:bCs/>
          <w:color w:val="auto"/>
          <w:spacing w:val="0"/>
          <w:sz w:val="21"/>
          <w:szCs w:val="21"/>
          <w:highlight w:val="none"/>
        </w:rPr>
        <w:t>广西政府采购云平台</w:t>
      </w:r>
      <w:r>
        <w:rPr>
          <w:rFonts w:hint="eastAsia" w:ascii="宋体" w:hAnsi="宋体" w:cs="宋体"/>
          <w:bCs/>
          <w:color w:val="auto"/>
          <w:spacing w:val="0"/>
          <w:sz w:val="21"/>
          <w:szCs w:val="21"/>
          <w:highlight w:val="none"/>
          <w:lang w:eastAsia="zh-CN"/>
        </w:rPr>
        <w:t>（https://www.gcy.zfcg.gxzf.gov.cn/）</w:t>
      </w:r>
    </w:p>
    <w:p w14:paraId="37319C99">
      <w:pPr>
        <w:pStyle w:val="45"/>
        <w:keepNext w:val="0"/>
        <w:keepLines w:val="0"/>
        <w:pageBreakBefore w:val="0"/>
        <w:kinsoku/>
        <w:overflowPunct/>
        <w:topLinePunct w:val="0"/>
        <w:autoSpaceDE/>
        <w:autoSpaceDN/>
        <w:bidi w:val="0"/>
        <w:adjustRightInd/>
        <w:spacing w:before="0" w:after="0" w:line="420" w:lineRule="exact"/>
        <w:ind w:firstLine="396" w:firstLineChars="200"/>
        <w:jc w:val="left"/>
        <w:textAlignment w:val="auto"/>
        <w:rPr>
          <w:rFonts w:ascii="宋体" w:hAnsi="宋体" w:cs="宋体"/>
          <w:color w:val="auto"/>
          <w:sz w:val="21"/>
          <w:szCs w:val="21"/>
          <w:highlight w:val="none"/>
        </w:rPr>
      </w:pPr>
      <w:r>
        <w:rPr>
          <w:rFonts w:hint="eastAsia" w:ascii="宋体" w:hAnsi="宋体" w:cs="宋体"/>
          <w:color w:val="auto"/>
          <w:spacing w:val="-6"/>
          <w:kern w:val="2"/>
          <w:sz w:val="21"/>
          <w:szCs w:val="21"/>
          <w:highlight w:val="none"/>
        </w:rPr>
        <w:t>方式：网上下载。</w:t>
      </w:r>
      <w:r>
        <w:rPr>
          <w:rFonts w:hint="eastAsia" w:ascii="宋体" w:hAnsi="宋体" w:cs="宋体"/>
          <w:bCs/>
          <w:color w:val="auto"/>
          <w:spacing w:val="0"/>
          <w:kern w:val="2"/>
          <w:sz w:val="21"/>
          <w:szCs w:val="21"/>
          <w:highlight w:val="none"/>
        </w:rPr>
        <w:t>本项目不提供纸质文件，潜在供应商需使用账号登录或者使用CA登录广西政府采购云平台（https://www.gcy.zfcg.gxzf.gov.cn/）-进入“项目采购”应用，在获取采购文件菜单中选择项目，获取招标文件（或在“广西政府采购云电子投标客户端-获取采购文件”跳转到广西政府采购云系统获取）。电子投标文件制作需要基于广西政府采购云平台获取的招标文件编制，通过其他方式获取招标文件的，将有可能导致供应商无法在广西政府采购云平台编制及上传投标文件。  </w:t>
      </w:r>
    </w:p>
    <w:p w14:paraId="31C6CADC">
      <w:pPr>
        <w:keepNext w:val="0"/>
        <w:keepLines w:val="0"/>
        <w:pageBreakBefore w:val="0"/>
        <w:kinsoku/>
        <w:overflowPunct/>
        <w:topLinePunct w:val="0"/>
        <w:autoSpaceDE/>
        <w:autoSpaceDN/>
        <w:bidi w:val="0"/>
        <w:adjustRightInd/>
        <w:snapToGrid w:val="0"/>
        <w:spacing w:line="420" w:lineRule="exact"/>
        <w:ind w:firstLine="472" w:firstLineChars="225"/>
        <w:jc w:val="left"/>
        <w:textAlignment w:val="auto"/>
        <w:rPr>
          <w:rFonts w:ascii="宋体" w:hAnsi="宋体"/>
          <w:color w:val="auto"/>
          <w:szCs w:val="21"/>
          <w:highlight w:val="none"/>
        </w:rPr>
      </w:pPr>
      <w:bookmarkStart w:id="25" w:name="_Toc28359082"/>
      <w:bookmarkStart w:id="26" w:name="_Toc28359005"/>
      <w:bookmarkStart w:id="27" w:name="_Toc35393624"/>
      <w:bookmarkStart w:id="28" w:name="_Toc35393793"/>
      <w:bookmarkStart w:id="29" w:name="_Toc17900"/>
      <w:r>
        <w:rPr>
          <w:rFonts w:hint="eastAsia" w:ascii="宋体" w:hAnsi="宋体"/>
          <w:color w:val="auto"/>
          <w:szCs w:val="21"/>
          <w:highlight w:val="none"/>
        </w:rPr>
        <w:t>售价：0元。</w:t>
      </w:r>
    </w:p>
    <w:p w14:paraId="1204427F">
      <w:pPr>
        <w:keepNext w:val="0"/>
        <w:keepLines w:val="0"/>
        <w:pageBreakBefore w:val="0"/>
        <w:kinsoku/>
        <w:overflowPunct/>
        <w:topLinePunct w:val="0"/>
        <w:autoSpaceDE/>
        <w:autoSpaceDN/>
        <w:bidi w:val="0"/>
        <w:adjustRightInd/>
        <w:spacing w:line="420" w:lineRule="exact"/>
        <w:ind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四、提交投标文件</w:t>
      </w:r>
      <w:bookmarkEnd w:id="25"/>
      <w:bookmarkEnd w:id="26"/>
      <w:r>
        <w:rPr>
          <w:rFonts w:hint="eastAsia" w:ascii="宋体" w:hAnsi="宋体" w:cs="宋体"/>
          <w:b/>
          <w:bCs/>
          <w:color w:val="auto"/>
          <w:sz w:val="24"/>
          <w:highlight w:val="none"/>
        </w:rPr>
        <w:t>截止时间、开标时间和地点</w:t>
      </w:r>
      <w:bookmarkEnd w:id="27"/>
      <w:bookmarkEnd w:id="28"/>
    </w:p>
    <w:p w14:paraId="291A72F2">
      <w:pPr>
        <w:keepNext w:val="0"/>
        <w:keepLines w:val="0"/>
        <w:pageBreakBefore w:val="0"/>
        <w:kinsoku/>
        <w:overflowPunct/>
        <w:topLinePunct w:val="0"/>
        <w:autoSpaceDE/>
        <w:autoSpaceDN/>
        <w:bidi w:val="0"/>
        <w:adjustRightInd/>
        <w:spacing w:line="440" w:lineRule="exact"/>
        <w:ind w:firstLine="420" w:firstLineChars="200"/>
        <w:jc w:val="left"/>
        <w:textAlignment w:val="auto"/>
        <w:rPr>
          <w:rFonts w:cs="宋体" w:asciiTheme="minorEastAsia" w:hAnsiTheme="minorEastAsia" w:eastAsiaTheme="minorEastAsia"/>
          <w:color w:val="auto"/>
          <w:szCs w:val="21"/>
          <w:u w:val="single"/>
        </w:rPr>
      </w:pPr>
      <w:r>
        <w:rPr>
          <w:rFonts w:hint="eastAsia" w:cs="宋体" w:asciiTheme="minorEastAsia" w:hAnsiTheme="minorEastAsia" w:eastAsiaTheme="minorEastAsia"/>
          <w:bCs/>
          <w:color w:val="auto"/>
          <w:szCs w:val="21"/>
        </w:rPr>
        <w:t>1、提交投标文件截止时间和开标时间：</w:t>
      </w:r>
      <w:bookmarkStart w:id="30" w:name="PO_3000001867_PM015_1"/>
      <w:r>
        <w:rPr>
          <w:rFonts w:cs="宋体" w:asciiTheme="minorEastAsia" w:hAnsiTheme="minorEastAsia" w:eastAsiaTheme="minorEastAsia"/>
          <w:bCs/>
          <w:color w:val="auto"/>
          <w:szCs w:val="21"/>
          <w:u w:val="single"/>
        </w:rPr>
        <w:t>202</w:t>
      </w:r>
      <w:r>
        <w:rPr>
          <w:rFonts w:hint="eastAsia" w:cs="宋体" w:asciiTheme="minorEastAsia" w:hAnsiTheme="minorEastAsia" w:eastAsiaTheme="minorEastAsia"/>
          <w:bCs/>
          <w:color w:val="auto"/>
          <w:szCs w:val="21"/>
          <w:u w:val="single"/>
          <w:lang w:val="en-US" w:eastAsia="zh-CN"/>
        </w:rPr>
        <w:t>5</w:t>
      </w:r>
      <w:r>
        <w:rPr>
          <w:rFonts w:cs="宋体" w:asciiTheme="minorEastAsia" w:hAnsiTheme="minorEastAsia" w:eastAsiaTheme="minorEastAsia"/>
          <w:bCs/>
          <w:color w:val="auto"/>
          <w:szCs w:val="21"/>
          <w:u w:val="single"/>
        </w:rPr>
        <w:t>年</w:t>
      </w:r>
      <w:r>
        <w:rPr>
          <w:rFonts w:hint="eastAsia" w:cs="宋体" w:asciiTheme="minorEastAsia" w:hAnsiTheme="minorEastAsia" w:eastAsiaTheme="minorEastAsia"/>
          <w:bCs/>
          <w:color w:val="auto"/>
          <w:szCs w:val="21"/>
          <w:u w:val="single"/>
          <w:lang w:val="en-US" w:eastAsia="zh-CN"/>
        </w:rPr>
        <w:t>1</w:t>
      </w:r>
      <w:r>
        <w:rPr>
          <w:rFonts w:cs="宋体" w:asciiTheme="minorEastAsia" w:hAnsiTheme="minorEastAsia" w:eastAsiaTheme="minorEastAsia"/>
          <w:bCs/>
          <w:color w:val="auto"/>
          <w:szCs w:val="21"/>
          <w:u w:val="single"/>
        </w:rPr>
        <w:t>月</w:t>
      </w:r>
      <w:r>
        <w:rPr>
          <w:rFonts w:hint="eastAsia" w:cs="宋体" w:asciiTheme="minorEastAsia" w:hAnsiTheme="minorEastAsia" w:eastAsiaTheme="minorEastAsia"/>
          <w:bCs/>
          <w:color w:val="auto"/>
          <w:szCs w:val="21"/>
          <w:u w:val="single"/>
          <w:lang w:val="en-US" w:eastAsia="zh-CN"/>
        </w:rPr>
        <w:t>17</w:t>
      </w:r>
      <w:r>
        <w:rPr>
          <w:rFonts w:cs="宋体" w:asciiTheme="minorEastAsia" w:hAnsiTheme="minorEastAsia" w:eastAsiaTheme="minorEastAsia"/>
          <w:bCs/>
          <w:color w:val="auto"/>
          <w:szCs w:val="21"/>
          <w:u w:val="single"/>
        </w:rPr>
        <w:t>日09</w:t>
      </w:r>
      <w:r>
        <w:rPr>
          <w:rFonts w:hint="eastAsia" w:cs="宋体" w:asciiTheme="minorEastAsia" w:hAnsiTheme="minorEastAsia" w:eastAsiaTheme="minorEastAsia"/>
          <w:bCs/>
          <w:color w:val="auto"/>
          <w:szCs w:val="21"/>
          <w:u w:val="single"/>
          <w:lang w:val="en-US" w:eastAsia="zh-CN"/>
        </w:rPr>
        <w:t>时0</w:t>
      </w:r>
      <w:r>
        <w:rPr>
          <w:rFonts w:cs="宋体" w:asciiTheme="minorEastAsia" w:hAnsiTheme="minorEastAsia" w:eastAsiaTheme="minorEastAsia"/>
          <w:bCs/>
          <w:color w:val="auto"/>
          <w:szCs w:val="21"/>
          <w:u w:val="single"/>
        </w:rPr>
        <w:t>0分</w:t>
      </w:r>
      <w:r>
        <w:rPr>
          <w:rFonts w:hint="eastAsia" w:cs="宋体" w:asciiTheme="minorEastAsia" w:hAnsiTheme="minorEastAsia" w:eastAsiaTheme="minorEastAsia"/>
          <w:bCs/>
          <w:color w:val="auto"/>
          <w:szCs w:val="21"/>
        </w:rPr>
        <w:t>（北京时间）</w:t>
      </w:r>
      <w:bookmarkEnd w:id="30"/>
    </w:p>
    <w:p w14:paraId="0415EBBC">
      <w:pPr>
        <w:keepNext w:val="0"/>
        <w:keepLines w:val="0"/>
        <w:pageBreakBefore w:val="0"/>
        <w:kinsoku/>
        <w:overflowPunct/>
        <w:topLinePunct w:val="0"/>
        <w:autoSpaceDE/>
        <w:autoSpaceDN/>
        <w:bidi w:val="0"/>
        <w:adjustRightInd/>
        <w:spacing w:line="440" w:lineRule="exact"/>
        <w:ind w:firstLine="420" w:firstLineChars="200"/>
        <w:jc w:val="left"/>
        <w:textAlignment w:val="auto"/>
        <w:rPr>
          <w:rFonts w:ascii="宋体" w:hAnsi="宋体"/>
          <w:color w:val="auto"/>
          <w:szCs w:val="21"/>
          <w:highlight w:val="none"/>
        </w:rPr>
      </w:pPr>
      <w:r>
        <w:rPr>
          <w:rFonts w:hint="eastAsia" w:cs="宋体" w:asciiTheme="minorEastAsia" w:hAnsiTheme="minorEastAsia" w:eastAsiaTheme="minorEastAsia"/>
          <w:color w:val="auto"/>
          <w:szCs w:val="21"/>
        </w:rPr>
        <w:t>2、提交投标文件和开标地点：广西政府采购云平台（https://www.gcy.zfcg.gxzf.gov.cn/）</w:t>
      </w:r>
      <w:r>
        <w:rPr>
          <w:rFonts w:hint="eastAsia" w:ascii="宋体" w:hAnsi="宋体"/>
          <w:color w:val="auto"/>
          <w:szCs w:val="21"/>
          <w:highlight w:val="none"/>
        </w:rPr>
        <w:t> </w:t>
      </w:r>
    </w:p>
    <w:p w14:paraId="5E3B7D63">
      <w:pPr>
        <w:keepNext w:val="0"/>
        <w:keepLines w:val="0"/>
        <w:pageBreakBefore w:val="0"/>
        <w:kinsoku/>
        <w:overflowPunct/>
        <w:topLinePunct w:val="0"/>
        <w:autoSpaceDE/>
        <w:autoSpaceDN/>
        <w:bidi w:val="0"/>
        <w:adjustRightInd/>
        <w:spacing w:line="420" w:lineRule="exact"/>
        <w:ind w:firstLine="482" w:firstLineChars="200"/>
        <w:jc w:val="left"/>
        <w:textAlignment w:val="auto"/>
        <w:rPr>
          <w:rFonts w:ascii="黑体" w:hAnsi="黑体" w:eastAsia="黑体"/>
          <w:b/>
          <w:bCs/>
          <w:color w:val="auto"/>
          <w:sz w:val="24"/>
          <w:highlight w:val="none"/>
        </w:rPr>
      </w:pPr>
      <w:bookmarkStart w:id="31" w:name="_Toc28359007"/>
      <w:bookmarkStart w:id="32" w:name="_Toc35393794"/>
      <w:bookmarkStart w:id="33" w:name="_Toc35393625"/>
      <w:bookmarkStart w:id="34" w:name="_Toc28359084"/>
      <w:r>
        <w:rPr>
          <w:rFonts w:hint="eastAsia" w:ascii="宋体" w:hAnsi="宋体" w:cs="宋体"/>
          <w:b/>
          <w:bCs/>
          <w:color w:val="auto"/>
          <w:sz w:val="24"/>
          <w:highlight w:val="none"/>
        </w:rPr>
        <w:t>五、公告期限</w:t>
      </w:r>
      <w:bookmarkEnd w:id="31"/>
      <w:bookmarkEnd w:id="32"/>
      <w:bookmarkEnd w:id="33"/>
      <w:bookmarkEnd w:id="34"/>
    </w:p>
    <w:p w14:paraId="7476C92C">
      <w:pPr>
        <w:keepNext w:val="0"/>
        <w:keepLines w:val="0"/>
        <w:pageBreakBefore w:val="0"/>
        <w:kinsoku/>
        <w:overflowPunct/>
        <w:topLinePunct w:val="0"/>
        <w:autoSpaceDE/>
        <w:autoSpaceDN/>
        <w:bidi w:val="0"/>
        <w:adjustRightInd/>
        <w:spacing w:line="42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1FEE30C1">
      <w:pPr>
        <w:keepNext w:val="0"/>
        <w:keepLines w:val="0"/>
        <w:pageBreakBefore w:val="0"/>
        <w:kinsoku/>
        <w:overflowPunct/>
        <w:topLinePunct w:val="0"/>
        <w:autoSpaceDE/>
        <w:autoSpaceDN/>
        <w:bidi w:val="0"/>
        <w:adjustRightInd/>
        <w:spacing w:line="420" w:lineRule="exact"/>
        <w:ind w:firstLine="482" w:firstLineChars="200"/>
        <w:jc w:val="left"/>
        <w:textAlignment w:val="auto"/>
        <w:rPr>
          <w:rFonts w:ascii="宋体" w:hAnsi="宋体" w:cs="宋体"/>
          <w:b/>
          <w:bCs/>
          <w:color w:val="auto"/>
          <w:sz w:val="24"/>
          <w:highlight w:val="none"/>
        </w:rPr>
      </w:pPr>
      <w:bookmarkStart w:id="35" w:name="_Toc35393626"/>
      <w:bookmarkStart w:id="36" w:name="_Toc35393795"/>
      <w:r>
        <w:rPr>
          <w:rFonts w:hint="eastAsia" w:ascii="宋体" w:hAnsi="宋体" w:cs="宋体"/>
          <w:b/>
          <w:bCs/>
          <w:color w:val="auto"/>
          <w:sz w:val="24"/>
          <w:highlight w:val="none"/>
        </w:rPr>
        <w:t>六、其他补充事宜</w:t>
      </w:r>
      <w:bookmarkEnd w:id="35"/>
      <w:bookmarkEnd w:id="36"/>
    </w:p>
    <w:p w14:paraId="09BA6F6E">
      <w:pPr>
        <w:keepNext w:val="0"/>
        <w:keepLines w:val="0"/>
        <w:pageBreakBefore w:val="0"/>
        <w:kinsoku/>
        <w:wordWrap w:val="0"/>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1.投标保证金：本项目不收取投标保证金</w:t>
      </w:r>
      <w:r>
        <w:rPr>
          <w:rFonts w:hint="eastAsia" w:ascii="宋体" w:hAnsi="宋体" w:cs="宋体"/>
          <w:color w:val="auto"/>
          <w:kern w:val="0"/>
          <w:szCs w:val="21"/>
          <w:highlight w:val="none"/>
          <w:lang w:eastAsia="zh-CN"/>
        </w:rPr>
        <w:t>。</w:t>
      </w:r>
    </w:p>
    <w:p w14:paraId="1496F710">
      <w:pPr>
        <w:keepNext w:val="0"/>
        <w:keepLines w:val="0"/>
        <w:pageBreakBefore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spacing w:val="-6"/>
          <w:kern w:val="0"/>
          <w:sz w:val="21"/>
          <w:highlight w:val="none"/>
        </w:rPr>
      </w:pPr>
      <w:r>
        <w:rPr>
          <w:rFonts w:hint="eastAsia" w:ascii="宋体" w:hAnsi="宋体" w:cs="宋体"/>
          <w:color w:val="auto"/>
          <w:kern w:val="0"/>
          <w:szCs w:val="21"/>
          <w:highlight w:val="none"/>
        </w:rPr>
        <w:t>2.网上查询地址：</w:t>
      </w:r>
      <w:r>
        <w:rPr>
          <w:rFonts w:hint="eastAsia" w:ascii="宋体" w:hAnsi="宋体" w:cs="宋体"/>
          <w:color w:val="auto"/>
          <w:spacing w:val="-6"/>
          <w:kern w:val="0"/>
          <w:sz w:val="21"/>
          <w:szCs w:val="21"/>
          <w:highlight w:val="none"/>
        </w:rPr>
        <w:t>中国政府采购网</w:t>
      </w:r>
      <w:r>
        <w:rPr>
          <w:rFonts w:hint="eastAsia" w:ascii="宋体" w:hAnsi="宋体" w:cs="宋体"/>
          <w:color w:val="auto"/>
          <w:spacing w:val="-6"/>
          <w:kern w:val="0"/>
          <w:sz w:val="21"/>
          <w:szCs w:val="21"/>
          <w:highlight w:val="none"/>
          <w:lang w:eastAsia="zh-CN"/>
        </w:rPr>
        <w:t>（</w:t>
      </w:r>
      <w:r>
        <w:rPr>
          <w:rFonts w:hint="eastAsia" w:ascii="宋体" w:hAnsi="宋体" w:eastAsia="宋体" w:cs="宋体"/>
          <w:color w:val="auto"/>
          <w:spacing w:val="-6"/>
          <w:kern w:val="0"/>
          <w:sz w:val="21"/>
          <w:szCs w:val="21"/>
          <w:highlight w:val="none"/>
        </w:rPr>
        <w:t xml:space="preserve">http://www.ccgp.gov.cn </w:t>
      </w:r>
      <w:r>
        <w:rPr>
          <w:rFonts w:hint="eastAsia" w:ascii="宋体" w:hAnsi="宋体" w:eastAsia="宋体" w:cs="宋体"/>
          <w:color w:val="auto"/>
          <w:spacing w:val="-6"/>
          <w:kern w:val="0"/>
          <w:sz w:val="21"/>
          <w:szCs w:val="21"/>
          <w:highlight w:val="none"/>
          <w:lang w:eastAsia="zh-CN"/>
        </w:rPr>
        <w:t>）</w:t>
      </w:r>
      <w:r>
        <w:rPr>
          <w:rFonts w:hint="eastAsia" w:ascii="宋体" w:hAnsi="宋体" w:cs="宋体"/>
          <w:color w:val="auto"/>
          <w:spacing w:val="-6"/>
          <w:kern w:val="0"/>
          <w:sz w:val="21"/>
          <w:szCs w:val="21"/>
          <w:highlight w:val="none"/>
        </w:rPr>
        <w:t>、广西政府采购网</w:t>
      </w:r>
      <w:r>
        <w:rPr>
          <w:rFonts w:hint="eastAsia" w:ascii="宋体" w:hAnsi="宋体" w:cs="宋体"/>
          <w:color w:val="auto"/>
          <w:spacing w:val="-6"/>
          <w:kern w:val="0"/>
          <w:sz w:val="21"/>
          <w:szCs w:val="21"/>
          <w:highlight w:val="none"/>
          <w:lang w:eastAsia="zh-CN"/>
        </w:rPr>
        <w:t>（</w:t>
      </w:r>
      <w:r>
        <w:rPr>
          <w:rFonts w:hint="eastAsia" w:ascii="宋体" w:hAnsi="宋体" w:eastAsia="宋体" w:cs="宋体"/>
          <w:color w:val="auto"/>
          <w:spacing w:val="-6"/>
          <w:kern w:val="0"/>
          <w:sz w:val="21"/>
          <w:szCs w:val="21"/>
          <w:highlight w:val="none"/>
        </w:rPr>
        <w:t>http://zfcg.gxzf.gov.cn</w:t>
      </w:r>
      <w:r>
        <w:rPr>
          <w:rFonts w:hint="eastAsia" w:ascii="宋体" w:hAnsi="宋体" w:eastAsia="宋体" w:cs="宋体"/>
          <w:color w:val="auto"/>
          <w:spacing w:val="-6"/>
          <w:kern w:val="0"/>
          <w:sz w:val="21"/>
          <w:szCs w:val="21"/>
          <w:highlight w:val="none"/>
          <w:lang w:eastAsia="zh-CN"/>
        </w:rPr>
        <w:t>）</w:t>
      </w:r>
      <w:r>
        <w:rPr>
          <w:rFonts w:hint="eastAsia" w:ascii="宋体" w:hAnsi="宋体" w:cs="宋体"/>
          <w:color w:val="auto"/>
          <w:spacing w:val="-6"/>
          <w:kern w:val="0"/>
          <w:sz w:val="21"/>
          <w:szCs w:val="21"/>
          <w:highlight w:val="none"/>
        </w:rPr>
        <w:t>、全国公共资源交易平台（广西•玉林）</w:t>
      </w:r>
      <w:r>
        <w:rPr>
          <w:rFonts w:hint="eastAsia" w:ascii="宋体" w:hAnsi="宋体" w:cs="宋体"/>
          <w:color w:val="auto"/>
          <w:spacing w:val="-6"/>
          <w:kern w:val="0"/>
          <w:sz w:val="21"/>
          <w:szCs w:val="21"/>
          <w:highlight w:val="none"/>
          <w:lang w:eastAsia="zh-CN"/>
        </w:rPr>
        <w:t>（http://ggzy.jgswj.gxzf.gov.cn/ylggzy）</w:t>
      </w:r>
      <w:r>
        <w:rPr>
          <w:rFonts w:hint="eastAsia" w:ascii="宋体" w:hAnsi="宋体" w:cs="宋体"/>
          <w:color w:val="auto"/>
          <w:spacing w:val="-6"/>
          <w:kern w:val="0"/>
          <w:sz w:val="21"/>
          <w:szCs w:val="21"/>
          <w:highlight w:val="none"/>
        </w:rPr>
        <w:t>、广西玉林陆川县人民政府门户网站</w:t>
      </w:r>
      <w:r>
        <w:rPr>
          <w:rFonts w:hint="eastAsia" w:ascii="宋体" w:hAnsi="宋体" w:cs="宋体"/>
          <w:color w:val="auto"/>
          <w:spacing w:val="-6"/>
          <w:kern w:val="0"/>
          <w:sz w:val="21"/>
          <w:szCs w:val="21"/>
          <w:highlight w:val="none"/>
          <w:lang w:eastAsia="zh-CN"/>
        </w:rPr>
        <w:t>（http://www.luchuan.gov.cn/）</w:t>
      </w:r>
      <w:r>
        <w:rPr>
          <w:rFonts w:hint="eastAsia" w:ascii="宋体" w:hAnsi="宋体" w:eastAsia="宋体" w:cs="宋体"/>
          <w:color w:val="auto"/>
          <w:spacing w:val="-6"/>
          <w:kern w:val="0"/>
          <w:sz w:val="21"/>
          <w:highlight w:val="none"/>
        </w:rPr>
        <w:t>。</w:t>
      </w:r>
    </w:p>
    <w:p w14:paraId="7B6AD79F">
      <w:pPr>
        <w:keepNext w:val="0"/>
        <w:keepLines w:val="0"/>
        <w:pageBreakBefore w:val="0"/>
        <w:kinsoku/>
        <w:overflowPunct/>
        <w:topLinePunct w:val="0"/>
        <w:autoSpaceDE/>
        <w:autoSpaceDN/>
        <w:bidi w:val="0"/>
        <w:adjustRightInd/>
        <w:spacing w:line="42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3.本项目需要落实的政府采购政策：</w:t>
      </w:r>
    </w:p>
    <w:p w14:paraId="00126692">
      <w:pPr>
        <w:keepNext w:val="0"/>
        <w:keepLines w:val="0"/>
        <w:pageBreakBefore w:val="0"/>
        <w:kinsoku/>
        <w:overflowPunct/>
        <w:topLinePunct w:val="0"/>
        <w:autoSpaceDE/>
        <w:autoSpaceDN/>
        <w:bidi w:val="0"/>
        <w:adjustRightInd/>
        <w:spacing w:line="420" w:lineRule="exact"/>
        <w:ind w:firstLine="315" w:firstLineChars="15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04599582">
      <w:pPr>
        <w:keepNext w:val="0"/>
        <w:keepLines w:val="0"/>
        <w:pageBreakBefore w:val="0"/>
        <w:kinsoku/>
        <w:overflowPunct/>
        <w:topLinePunct w:val="0"/>
        <w:autoSpaceDE/>
        <w:autoSpaceDN/>
        <w:bidi w:val="0"/>
        <w:adjustRightInd/>
        <w:spacing w:line="420" w:lineRule="exact"/>
        <w:ind w:firstLine="315" w:firstLineChars="15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58AB95C9">
      <w:pPr>
        <w:keepNext w:val="0"/>
        <w:keepLines w:val="0"/>
        <w:pageBreakBefore w:val="0"/>
        <w:kinsoku/>
        <w:overflowPunct/>
        <w:topLinePunct w:val="0"/>
        <w:autoSpaceDE/>
        <w:autoSpaceDN/>
        <w:bidi w:val="0"/>
        <w:adjustRightInd/>
        <w:spacing w:line="420" w:lineRule="exact"/>
        <w:ind w:firstLine="315" w:firstLineChars="15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5E6AF62C">
      <w:pPr>
        <w:keepNext w:val="0"/>
        <w:keepLines w:val="0"/>
        <w:pageBreakBefore w:val="0"/>
        <w:kinsoku/>
        <w:overflowPunct/>
        <w:topLinePunct w:val="0"/>
        <w:autoSpaceDE/>
        <w:autoSpaceDN/>
        <w:bidi w:val="0"/>
        <w:adjustRightInd/>
        <w:spacing w:line="420" w:lineRule="exact"/>
        <w:ind w:firstLine="315" w:firstLineChars="15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389CBF58">
      <w:pPr>
        <w:keepNext w:val="0"/>
        <w:keepLines w:val="0"/>
        <w:pageBreakBefore w:val="0"/>
        <w:kinsoku/>
        <w:overflowPunct/>
        <w:topLinePunct w:val="0"/>
        <w:autoSpaceDE/>
        <w:autoSpaceDN/>
        <w:bidi w:val="0"/>
        <w:adjustRightInd/>
        <w:spacing w:line="420" w:lineRule="exact"/>
        <w:ind w:firstLine="315" w:firstLineChars="1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2835E4F8">
      <w:pPr>
        <w:keepNext w:val="0"/>
        <w:keepLines w:val="0"/>
        <w:pageBreakBefore w:val="0"/>
        <w:kinsoku/>
        <w:overflowPunct/>
        <w:topLinePunct w:val="0"/>
        <w:autoSpaceDE/>
        <w:autoSpaceDN/>
        <w:bidi w:val="0"/>
        <w:adjustRightInd/>
        <w:spacing w:line="420" w:lineRule="exact"/>
        <w:ind w:firstLine="315" w:firstLineChars="1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（6）扶持不发达地区和少数民族地区政策。</w:t>
      </w:r>
      <w:r>
        <w:rPr>
          <w:rFonts w:hint="eastAsia" w:ascii="宋体" w:hAnsi="宋体" w:cs="宋体"/>
          <w:color w:val="auto"/>
          <w:kern w:val="0"/>
          <w:szCs w:val="21"/>
          <w:highlight w:val="none"/>
          <w:lang w:val="en-US" w:eastAsia="zh-CN"/>
        </w:rPr>
        <w:t xml:space="preserve">          </w:t>
      </w:r>
    </w:p>
    <w:p w14:paraId="78CEBDCC">
      <w:pPr>
        <w:pStyle w:val="45"/>
        <w:keepNext w:val="0"/>
        <w:keepLines w:val="0"/>
        <w:pageBreakBefore w:val="0"/>
        <w:kinsoku/>
        <w:overflowPunct/>
        <w:topLinePunct w:val="0"/>
        <w:autoSpaceDE/>
        <w:autoSpaceDN/>
        <w:bidi w:val="0"/>
        <w:adjustRightInd/>
        <w:spacing w:before="0" w:after="0" w:line="420" w:lineRule="exact"/>
        <w:ind w:firstLine="460" w:firstLineChars="200"/>
        <w:jc w:val="left"/>
        <w:textAlignment w:val="auto"/>
        <w:rPr>
          <w:color w:val="auto"/>
          <w:highlight w:val="none"/>
        </w:rPr>
      </w:pPr>
      <w:r>
        <w:rPr>
          <w:rFonts w:hint="eastAsia" w:ascii="宋体" w:hAnsi="宋体" w:cs="宋体"/>
          <w:bCs w:val="0"/>
          <w:color w:val="auto"/>
          <w:kern w:val="2"/>
          <w:sz w:val="21"/>
          <w:szCs w:val="21"/>
          <w:highlight w:val="none"/>
          <w:lang w:val="en-US" w:eastAsia="zh-CN"/>
        </w:rPr>
        <w:t>4</w:t>
      </w:r>
      <w:r>
        <w:rPr>
          <w:rFonts w:hint="eastAsia" w:ascii="宋体" w:hAnsi="宋体" w:cs="宋体"/>
          <w:bCs w:val="0"/>
          <w:color w:val="auto"/>
          <w:kern w:val="2"/>
          <w:sz w:val="21"/>
          <w:szCs w:val="21"/>
          <w:highlight w:val="none"/>
        </w:rPr>
        <w:t>.监督部门：</w:t>
      </w:r>
      <w:r>
        <w:rPr>
          <w:rFonts w:hint="eastAsia" w:ascii="宋体" w:hAnsi="宋体" w:cs="宋体"/>
          <w:color w:val="auto"/>
          <w:sz w:val="21"/>
          <w:szCs w:val="21"/>
          <w:highlight w:val="none"/>
        </w:rPr>
        <w:t>陆川县财政局政府采购监督管理股   电话：0775-7235528</w:t>
      </w:r>
    </w:p>
    <w:p w14:paraId="4EB2D2BF">
      <w:pPr>
        <w:keepNext w:val="0"/>
        <w:keepLines w:val="0"/>
        <w:pageBreakBefore w:val="0"/>
        <w:kinsoku/>
        <w:overflowPunct/>
        <w:topLinePunct w:val="0"/>
        <w:autoSpaceDE/>
        <w:autoSpaceDN/>
        <w:bidi w:val="0"/>
        <w:adjustRightInd/>
        <w:spacing w:line="420" w:lineRule="exact"/>
        <w:ind w:firstLine="525" w:firstLineChars="25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.在线投标响应（电子投标）说明 ：</w:t>
      </w:r>
    </w:p>
    <w:p w14:paraId="41F7A7A9">
      <w:pPr>
        <w:keepNext w:val="0"/>
        <w:keepLines w:val="0"/>
        <w:pageBreakBefore w:val="0"/>
        <w:kinsoku/>
        <w:overflowPunct/>
        <w:topLinePunct w:val="0"/>
        <w:autoSpaceDE/>
        <w:autoSpaceDN/>
        <w:bidi w:val="0"/>
        <w:adjustRightInd/>
        <w:spacing w:line="420" w:lineRule="exact"/>
        <w:ind w:firstLine="315" w:firstLineChars="150"/>
        <w:jc w:val="left"/>
        <w:textAlignment w:val="auto"/>
        <w:rPr>
          <w:rFonts w:hint="eastAsia" w:ascii="宋体" w:hAnsi="宋体" w:eastAsia="宋体" w:cs="宋体"/>
          <w:color w:val="auto"/>
          <w:kern w:val="0"/>
          <w:szCs w:val="21"/>
          <w:highlight w:val="none"/>
          <w:lang w:val="en-US" w:eastAsia="zh-CN"/>
        </w:rPr>
      </w:pPr>
      <w:bookmarkStart w:id="37" w:name="_Toc17497"/>
      <w:bookmarkStart w:id="38" w:name="_Toc969"/>
      <w:r>
        <w:rPr>
          <w:rFonts w:hint="eastAsia" w:ascii="宋体" w:hAnsi="宋体" w:eastAsia="宋体" w:cs="宋体"/>
          <w:color w:val="auto"/>
          <w:kern w:val="0"/>
          <w:szCs w:val="21"/>
          <w:highlight w:val="none"/>
          <w:lang w:val="en-US" w:eastAsia="zh-CN"/>
        </w:rPr>
        <w:t>（1）投标文件提交方式：本项目为全流程电子化项目，通过“广西政府采购云平台”（https://www.gcy.zfcg.gxzf.gov.cn/）实行在线电子响应，投标人应先安装“广西政府采购云平台”新版客户端（新版客户端下载路径：广西政府采购网（访问地址http://zfcg.gxzf.gov.cn/）—办事服务—下载专区），并按照本项目招标文件和“广西政府采购云平台”的要求编制、加密后在投标文件提交截止时间前通过网络上传至“广西政府采购云平台”，投标人在“广西政府采购云平台”提交电子版投标文件时，请填写参加远程开标活动经办人联系方式。</w:t>
      </w:r>
      <w:r>
        <w:rPr>
          <w:rFonts w:hint="eastAsia" w:ascii="宋体" w:hAnsi="宋体" w:eastAsia="宋体" w:cs="宋体"/>
          <w:color w:val="auto"/>
          <w:kern w:val="0"/>
          <w:szCs w:val="21"/>
          <w:highlight w:val="none"/>
          <w:lang w:val="en-US" w:eastAsia="zh-CN"/>
        </w:rPr>
        <w:br w:type="textWrapping"/>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（2）未进行网上注册并办理数字证书（CA认证）的投标人将无法参与本项目政府采购活动，潜在投标人</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应当在首次投标文件提交截止时间前，完成电子交易平台上的CA数字证书办理及投标文件的提交。</w:t>
      </w:r>
      <w:r>
        <w:rPr>
          <w:rFonts w:hint="eastAsia" w:ascii="宋体" w:hAnsi="宋体" w:eastAsia="宋体" w:cs="宋体"/>
          <w:color w:val="auto"/>
          <w:kern w:val="0"/>
          <w:szCs w:val="21"/>
          <w:highlight w:val="none"/>
          <w:lang w:val="en-US" w:eastAsia="zh-CN"/>
        </w:rPr>
        <w:br w:type="textWrapping"/>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（3）为确保网上操作合法、有效和安全，请供应商确保在电子响应过程中能够对相关数据电文进行加密和使用电子签章，妥善保管CA数字证书并使用有效的CA数字证书参与整个采购活动。</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注：投标人应当在首次投标文件提交截止时间前完成电子投标文件的上传、递交，投标文件提交截止时间前可以补充、修改或者撤回投标文件。补充或者修改投标文件的，应当先行撤回原文件，补充、修改后重新上传、递交。投标文件提交截止时间前未完成上传、递交的，视为撤回投标文件。投标文件提交截止时间以后上传递交的投标文件的，“广西政府采购云平台”将予以拒收。</w:t>
      </w:r>
      <w:r>
        <w:rPr>
          <w:rFonts w:hint="eastAsia" w:ascii="宋体" w:hAnsi="宋体" w:eastAsia="宋体" w:cs="宋体"/>
          <w:color w:val="auto"/>
          <w:kern w:val="0"/>
          <w:szCs w:val="21"/>
          <w:highlight w:val="none"/>
          <w:lang w:val="en-US" w:eastAsia="zh-CN"/>
        </w:rPr>
        <w:br w:type="textWrapping"/>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（4）CA证书在线解密：首次投标文件开启时，需要投标人携带制作投标文件时用来加密的有效数字证书（CA认证）登录“广西政府采购云平台”电子开标大厅现场按规定时间对加密的投标文件进行解密。</w:t>
      </w:r>
      <w:r>
        <w:rPr>
          <w:rFonts w:hint="eastAsia" w:ascii="宋体" w:hAnsi="宋体" w:eastAsia="宋体" w:cs="宋体"/>
          <w:color w:val="auto"/>
          <w:kern w:val="0"/>
          <w:szCs w:val="21"/>
          <w:highlight w:val="none"/>
          <w:lang w:val="en-US" w:eastAsia="zh-CN"/>
        </w:rPr>
        <w:br w:type="textWrapping"/>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（5）投标人需要在具备有摄像头及语音功能且互联网网络状况良好的电脑登录“广西政府采购云平台”远程开标大厅参与本项目，否则后果自负。</w:t>
      </w:r>
      <w:r>
        <w:rPr>
          <w:rFonts w:hint="eastAsia" w:ascii="宋体" w:hAnsi="宋体" w:eastAsia="宋体" w:cs="宋体"/>
          <w:color w:val="auto"/>
          <w:kern w:val="0"/>
          <w:szCs w:val="21"/>
          <w:highlight w:val="none"/>
          <w:lang w:val="en-US" w:eastAsia="zh-CN"/>
        </w:rPr>
        <w:br w:type="textWrapping"/>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6）若对项目采购电子交易系统操作有疑问，可登录“广西政府采购云平台”（https://www.gcy.zfcg.gxzf.gov.cn/），点击右侧咨询小采，获取采小蜜智能服务管家帮助，或拨打“广西政府采购云平台”服务热线95763获取热线服务帮助。  </w:t>
      </w:r>
    </w:p>
    <w:p w14:paraId="0ADA6702">
      <w:pPr>
        <w:keepNext w:val="0"/>
        <w:keepLines w:val="0"/>
        <w:pageBreakBefore w:val="0"/>
        <w:kinsoku/>
        <w:overflowPunct/>
        <w:topLinePunct w:val="0"/>
        <w:autoSpaceDE/>
        <w:autoSpaceDN/>
        <w:bidi w:val="0"/>
        <w:adjustRightInd/>
        <w:spacing w:line="420" w:lineRule="exact"/>
        <w:ind w:firstLine="210" w:firstLineChars="100"/>
        <w:jc w:val="left"/>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8CFD2DC">
      <w:pPr>
        <w:keepNext w:val="0"/>
        <w:keepLines w:val="0"/>
        <w:pageBreakBefore w:val="0"/>
        <w:kinsoku/>
        <w:overflowPunct/>
        <w:topLinePunct w:val="0"/>
        <w:autoSpaceDE/>
        <w:autoSpaceDN/>
        <w:bidi w:val="0"/>
        <w:adjustRightInd/>
        <w:spacing w:line="420" w:lineRule="exact"/>
        <w:ind w:firstLine="210" w:firstLineChars="100"/>
        <w:jc w:val="left"/>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对在“信用中国”网站(www.creditchina.gov.cn) 、中国政府采购网(www.ccgp.gov.cn)被列入失信被执行人、重大税收违法案件当事人名单（税收违法黑名单）、政府采购严重违法失信行为记录名单及其他不符合《中华人民共和国政府采购法》第二十二条规定条件的供应商，不得参与政府采购活动。</w:t>
      </w:r>
    </w:p>
    <w:p w14:paraId="01DA115D">
      <w:pPr>
        <w:keepNext w:val="0"/>
        <w:keepLines w:val="0"/>
        <w:pageBreakBefore w:val="0"/>
        <w:kinsoku/>
        <w:overflowPunct/>
        <w:topLinePunct w:val="0"/>
        <w:autoSpaceDE/>
        <w:autoSpaceDN/>
        <w:bidi w:val="0"/>
        <w:adjustRightInd/>
        <w:spacing w:line="420" w:lineRule="exact"/>
        <w:ind w:firstLine="210" w:firstLineChars="100"/>
        <w:jc w:val="left"/>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w:t>
      </w:r>
      <w:r>
        <w:rPr>
          <w:rFonts w:hint="eastAsia" w:ascii="宋体" w:hAnsi="宋体" w:eastAsia="宋体" w:cs="宋体"/>
          <w:color w:val="auto"/>
          <w:kern w:val="0"/>
          <w:szCs w:val="21"/>
          <w:highlight w:val="none"/>
          <w:lang w:val="en-US" w:eastAsia="zh-CN"/>
        </w:rPr>
        <w:t>.本项目为远程异地全流程电子评标</w:t>
      </w:r>
      <w:r>
        <w:rPr>
          <w:rFonts w:hint="eastAsia" w:ascii="宋体" w:hAnsi="宋体" w:cs="宋体"/>
          <w:color w:val="auto"/>
          <w:kern w:val="0"/>
          <w:szCs w:val="21"/>
          <w:highlight w:val="none"/>
          <w:lang w:val="en-US" w:eastAsia="zh-CN"/>
        </w:rPr>
        <w:t>，</w:t>
      </w:r>
      <w:r>
        <w:rPr>
          <w:rFonts w:hint="eastAsia" w:ascii="宋体" w:hAnsi="宋体" w:cs="宋体"/>
          <w:color w:val="auto"/>
          <w:kern w:val="0"/>
          <w:sz w:val="21"/>
          <w:szCs w:val="21"/>
          <w:highlight w:val="none"/>
          <w:lang w:val="en-US" w:eastAsia="zh-CN" w:bidi="ar-SA"/>
        </w:rPr>
        <w:t>评审主场设在陆川县公共资源交易中心，副场设在浦北县公共资源交易中心</w:t>
      </w:r>
      <w:r>
        <w:rPr>
          <w:rFonts w:hint="eastAsia" w:ascii="宋体" w:hAnsi="宋体" w:eastAsia="宋体" w:cs="宋体"/>
          <w:color w:val="auto"/>
          <w:kern w:val="0"/>
          <w:szCs w:val="21"/>
          <w:highlight w:val="none"/>
          <w:lang w:val="en-US" w:eastAsia="zh-CN"/>
        </w:rPr>
        <w:t>。</w:t>
      </w:r>
    </w:p>
    <w:p w14:paraId="310C69B9">
      <w:pPr>
        <w:keepNext w:val="0"/>
        <w:keepLines w:val="0"/>
        <w:pageBreakBefore w:val="0"/>
        <w:kinsoku/>
        <w:overflowPunct/>
        <w:topLinePunct w:val="0"/>
        <w:autoSpaceDE/>
        <w:autoSpaceDN/>
        <w:bidi w:val="0"/>
        <w:adjustRightInd/>
        <w:spacing w:line="420" w:lineRule="exact"/>
        <w:ind w:firstLine="211" w:firstLineChars="100"/>
        <w:jc w:val="left"/>
        <w:textAlignment w:val="auto"/>
        <w:outlineLvl w:val="0"/>
        <w:rPr>
          <w:rFonts w:ascii="宋体" w:hAnsi="宋体" w:cs="宋体"/>
          <w:b/>
          <w:bCs/>
          <w:color w:val="auto"/>
          <w:szCs w:val="21"/>
          <w:highlight w:val="none"/>
        </w:rPr>
      </w:pPr>
      <w:r>
        <w:rPr>
          <w:rFonts w:hint="eastAsia" w:ascii="宋体" w:hAnsi="宋体" w:cs="宋体"/>
          <w:b/>
          <w:bCs/>
          <w:color w:val="auto"/>
          <w:szCs w:val="21"/>
          <w:highlight w:val="none"/>
        </w:rPr>
        <w:t>七、凡对本次采购提出询问，请按以下方式联系：</w:t>
      </w:r>
      <w:bookmarkEnd w:id="29"/>
      <w:bookmarkEnd w:id="37"/>
      <w:bookmarkEnd w:id="38"/>
    </w:p>
    <w:p w14:paraId="7F1A1D4F">
      <w:pPr>
        <w:keepNext w:val="0"/>
        <w:keepLines w:val="0"/>
        <w:pageBreakBefore w:val="0"/>
        <w:kinsoku/>
        <w:overflowPunct/>
        <w:topLinePunct w:val="0"/>
        <w:autoSpaceDE/>
        <w:autoSpaceDN/>
        <w:bidi w:val="0"/>
        <w:adjustRightInd/>
        <w:spacing w:line="420" w:lineRule="exact"/>
        <w:ind w:firstLine="420" w:firstLineChars="200"/>
        <w:jc w:val="left"/>
        <w:textAlignment w:val="auto"/>
        <w:outlineLvl w:val="0"/>
        <w:rPr>
          <w:rFonts w:ascii="宋体" w:hAnsi="宋体" w:cs="宋体"/>
          <w:bCs/>
          <w:color w:val="auto"/>
          <w:szCs w:val="21"/>
          <w:highlight w:val="none"/>
        </w:rPr>
      </w:pPr>
      <w:bookmarkStart w:id="39" w:name="_Toc17445"/>
      <w:bookmarkStart w:id="40" w:name="_Toc9754"/>
      <w:bookmarkStart w:id="41" w:name="_Toc3130"/>
      <w:bookmarkStart w:id="42" w:name="_Toc18023"/>
      <w:r>
        <w:rPr>
          <w:rFonts w:hint="eastAsia" w:ascii="宋体" w:hAnsi="宋体" w:cs="宋体"/>
          <w:bCs/>
          <w:color w:val="auto"/>
          <w:szCs w:val="21"/>
          <w:highlight w:val="none"/>
        </w:rPr>
        <w:t>1.采购人信息：</w:t>
      </w:r>
      <w:bookmarkEnd w:id="39"/>
      <w:bookmarkEnd w:id="40"/>
      <w:bookmarkEnd w:id="41"/>
      <w:bookmarkEnd w:id="42"/>
    </w:p>
    <w:p w14:paraId="1DB996FB">
      <w:pPr>
        <w:keepNext w:val="0"/>
        <w:keepLines w:val="0"/>
        <w:pageBreakBefore w:val="0"/>
        <w:kinsoku/>
        <w:overflowPunct/>
        <w:topLinePunct w:val="0"/>
        <w:autoSpaceDE/>
        <w:autoSpaceDN/>
        <w:bidi w:val="0"/>
        <w:adjustRightInd/>
        <w:spacing w:line="420" w:lineRule="exact"/>
        <w:ind w:firstLine="420" w:firstLineChars="200"/>
        <w:jc w:val="left"/>
        <w:textAlignment w:val="auto"/>
        <w:outlineLvl w:val="0"/>
        <w:rPr>
          <w:rFonts w:ascii="宋体" w:hAnsi="宋体" w:cs="宋体"/>
          <w:bCs/>
          <w:color w:val="auto"/>
          <w:szCs w:val="21"/>
          <w:highlight w:val="none"/>
        </w:rPr>
      </w:pPr>
      <w:bookmarkStart w:id="43" w:name="_Toc6205"/>
      <w:bookmarkStart w:id="44" w:name="_Toc9422"/>
      <w:bookmarkStart w:id="45" w:name="_Toc22842"/>
      <w:r>
        <w:rPr>
          <w:rFonts w:hint="eastAsia" w:ascii="宋体" w:hAnsi="宋体" w:cs="宋体"/>
          <w:bCs/>
          <w:color w:val="auto"/>
          <w:szCs w:val="21"/>
          <w:highlight w:val="none"/>
        </w:rPr>
        <w:t>名    称：</w:t>
      </w:r>
      <w:bookmarkEnd w:id="43"/>
      <w:r>
        <w:rPr>
          <w:rFonts w:hint="eastAsia" w:ascii="宋体" w:hAnsi="宋体" w:cs="宋体"/>
          <w:bCs/>
          <w:color w:val="auto"/>
          <w:szCs w:val="21"/>
          <w:highlight w:val="none"/>
        </w:rPr>
        <w:t>陆川县人民医院</w:t>
      </w:r>
      <w:bookmarkEnd w:id="44"/>
      <w:bookmarkEnd w:id="45"/>
    </w:p>
    <w:p w14:paraId="07307B7D">
      <w:pPr>
        <w:keepNext w:val="0"/>
        <w:keepLines w:val="0"/>
        <w:pageBreakBefore w:val="0"/>
        <w:kinsoku/>
        <w:overflowPunct/>
        <w:topLinePunct w:val="0"/>
        <w:autoSpaceDE/>
        <w:autoSpaceDN/>
        <w:bidi w:val="0"/>
        <w:adjustRightInd/>
        <w:spacing w:line="420" w:lineRule="exact"/>
        <w:ind w:firstLine="420" w:firstLineChars="200"/>
        <w:jc w:val="left"/>
        <w:textAlignment w:val="auto"/>
        <w:rPr>
          <w:rFonts w:ascii="宋体" w:hAnsi="宋体" w:cs="宋体"/>
          <w:bCs/>
          <w:color w:val="auto"/>
          <w:szCs w:val="21"/>
          <w:highlight w:val="none"/>
        </w:rPr>
      </w:pPr>
      <w:r>
        <w:rPr>
          <w:rFonts w:hint="eastAsia" w:ascii="宋体" w:hAnsi="宋体" w:cs="宋体"/>
          <w:bCs/>
          <w:color w:val="auto"/>
          <w:szCs w:val="21"/>
          <w:highlight w:val="none"/>
        </w:rPr>
        <w:t xml:space="preserve">地    址：陆川县新洲路146号 </w:t>
      </w:r>
    </w:p>
    <w:p w14:paraId="37C80209">
      <w:pPr>
        <w:pStyle w:val="10"/>
        <w:keepNext w:val="0"/>
        <w:keepLines w:val="0"/>
        <w:pageBreakBefore w:val="0"/>
        <w:kinsoku/>
        <w:overflowPunct/>
        <w:topLinePunct w:val="0"/>
        <w:autoSpaceDE/>
        <w:autoSpaceDN/>
        <w:bidi w:val="0"/>
        <w:adjustRightInd/>
        <w:spacing w:line="420" w:lineRule="exact"/>
        <w:ind w:firstLine="420" w:firstLineChars="200"/>
        <w:jc w:val="left"/>
        <w:textAlignment w:val="auto"/>
        <w:rPr>
          <w:rFonts w:hint="eastAsia" w:eastAsia="宋体"/>
          <w:color w:val="auto"/>
          <w:highlight w:val="none"/>
          <w:lang w:eastAsia="zh-CN"/>
        </w:rPr>
      </w:pPr>
      <w:r>
        <w:rPr>
          <w:rFonts w:hint="eastAsia"/>
          <w:color w:val="auto"/>
          <w:highlight w:val="none"/>
        </w:rPr>
        <w:t>联</w:t>
      </w:r>
      <w:r>
        <w:rPr>
          <w:rFonts w:hint="eastAsia"/>
          <w:color w:val="auto"/>
          <w:highlight w:val="none"/>
          <w:lang w:val="en-US" w:eastAsia="zh-CN"/>
        </w:rPr>
        <w:t xml:space="preserve"> </w:t>
      </w:r>
      <w:r>
        <w:rPr>
          <w:rFonts w:hint="eastAsia"/>
          <w:color w:val="auto"/>
          <w:highlight w:val="none"/>
        </w:rPr>
        <w:t>系</w:t>
      </w:r>
      <w:r>
        <w:rPr>
          <w:rFonts w:hint="eastAsia"/>
          <w:color w:val="auto"/>
          <w:highlight w:val="none"/>
          <w:lang w:val="en-US" w:eastAsia="zh-CN"/>
        </w:rPr>
        <w:t xml:space="preserve"> </w:t>
      </w:r>
      <w:r>
        <w:rPr>
          <w:rFonts w:hint="eastAsia"/>
          <w:color w:val="auto"/>
          <w:highlight w:val="none"/>
        </w:rPr>
        <w:t>人：</w:t>
      </w:r>
      <w:r>
        <w:rPr>
          <w:rFonts w:hint="eastAsia" w:ascii="宋体" w:hAnsi="宋体" w:eastAsia="宋体" w:cs="宋体"/>
          <w:bCs/>
          <w:color w:val="auto"/>
          <w:sz w:val="21"/>
          <w:szCs w:val="21"/>
          <w:highlight w:val="none"/>
        </w:rPr>
        <w:t>吕盛斌</w:t>
      </w:r>
    </w:p>
    <w:p w14:paraId="291DB53F">
      <w:pPr>
        <w:keepNext w:val="0"/>
        <w:keepLines w:val="0"/>
        <w:pageBreakBefore w:val="0"/>
        <w:kinsoku/>
        <w:overflowPunct/>
        <w:topLinePunct w:val="0"/>
        <w:autoSpaceDE/>
        <w:autoSpaceDN/>
        <w:bidi w:val="0"/>
        <w:adjustRightInd/>
        <w:spacing w:line="420" w:lineRule="exact"/>
        <w:ind w:firstLine="420" w:firstLineChars="200"/>
        <w:jc w:val="left"/>
        <w:textAlignment w:val="auto"/>
        <w:rPr>
          <w:rFonts w:ascii="宋体" w:hAnsi="宋体" w:cs="宋体"/>
          <w:color w:val="auto"/>
          <w:szCs w:val="21"/>
          <w:highlight w:val="none"/>
          <w:shd w:val="clear" w:color="auto" w:fill="FFFFFF"/>
        </w:rPr>
      </w:pPr>
      <w:r>
        <w:rPr>
          <w:rFonts w:hint="eastAsia" w:ascii="宋体" w:hAnsi="宋体" w:cs="宋体"/>
          <w:bCs/>
          <w:color w:val="auto"/>
          <w:szCs w:val="21"/>
          <w:highlight w:val="none"/>
        </w:rPr>
        <w:t>联系方式：</w:t>
      </w:r>
      <w:r>
        <w:rPr>
          <w:rFonts w:hint="eastAsia" w:ascii="宋体" w:hAnsi="宋体" w:eastAsia="宋体" w:cs="宋体"/>
          <w:bCs/>
          <w:color w:val="auto"/>
          <w:sz w:val="21"/>
          <w:szCs w:val="21"/>
          <w:highlight w:val="none"/>
        </w:rPr>
        <w:t>0775-7339169</w:t>
      </w:r>
    </w:p>
    <w:p w14:paraId="55EDE0D0">
      <w:pPr>
        <w:keepNext w:val="0"/>
        <w:keepLines w:val="0"/>
        <w:pageBreakBefore w:val="0"/>
        <w:kinsoku/>
        <w:overflowPunct/>
        <w:topLinePunct w:val="0"/>
        <w:autoSpaceDE/>
        <w:autoSpaceDN/>
        <w:bidi w:val="0"/>
        <w:adjustRightInd/>
        <w:spacing w:line="420" w:lineRule="exact"/>
        <w:ind w:firstLine="420" w:firstLineChars="200"/>
        <w:jc w:val="left"/>
        <w:textAlignment w:val="auto"/>
        <w:outlineLvl w:val="0"/>
        <w:rPr>
          <w:rFonts w:ascii="宋体" w:hAnsi="宋体" w:cs="宋体"/>
          <w:bCs/>
          <w:color w:val="auto"/>
          <w:szCs w:val="21"/>
          <w:highlight w:val="none"/>
        </w:rPr>
      </w:pPr>
      <w:bookmarkStart w:id="46" w:name="_Toc14547"/>
      <w:bookmarkStart w:id="47" w:name="_Toc10112"/>
      <w:bookmarkStart w:id="48" w:name="_Toc11566"/>
      <w:bookmarkStart w:id="49" w:name="_Toc23693"/>
      <w:r>
        <w:rPr>
          <w:rFonts w:hint="eastAsia" w:ascii="宋体" w:hAnsi="宋体" w:cs="宋体"/>
          <w:bCs/>
          <w:color w:val="auto"/>
          <w:szCs w:val="21"/>
          <w:highlight w:val="none"/>
        </w:rPr>
        <w:t>2.采购代理机构名称：</w:t>
      </w:r>
      <w:bookmarkEnd w:id="46"/>
      <w:bookmarkEnd w:id="47"/>
      <w:bookmarkEnd w:id="48"/>
    </w:p>
    <w:p w14:paraId="5DFB0245">
      <w:pPr>
        <w:keepNext w:val="0"/>
        <w:keepLines w:val="0"/>
        <w:pageBreakBefore w:val="0"/>
        <w:kinsoku/>
        <w:overflowPunct/>
        <w:topLinePunct w:val="0"/>
        <w:autoSpaceDE/>
        <w:autoSpaceDN/>
        <w:bidi w:val="0"/>
        <w:adjustRightInd/>
        <w:spacing w:line="420" w:lineRule="exact"/>
        <w:ind w:firstLine="420" w:firstLineChars="200"/>
        <w:jc w:val="left"/>
        <w:textAlignment w:val="auto"/>
        <w:outlineLvl w:val="0"/>
        <w:rPr>
          <w:rFonts w:ascii="宋体" w:hAnsi="宋体" w:cs="宋体"/>
          <w:bCs/>
          <w:color w:val="auto"/>
          <w:szCs w:val="21"/>
          <w:highlight w:val="none"/>
        </w:rPr>
      </w:pPr>
      <w:bookmarkStart w:id="50" w:name="_Toc12191"/>
      <w:bookmarkStart w:id="51" w:name="_Toc6218"/>
      <w:bookmarkStart w:id="52" w:name="_Toc30376"/>
      <w:r>
        <w:rPr>
          <w:rFonts w:hint="eastAsia" w:ascii="宋体" w:hAnsi="宋体" w:cs="宋体"/>
          <w:bCs/>
          <w:color w:val="auto"/>
          <w:szCs w:val="21"/>
          <w:highlight w:val="none"/>
        </w:rPr>
        <w:t>名    称：</w:t>
      </w:r>
      <w:bookmarkEnd w:id="49"/>
      <w:bookmarkEnd w:id="50"/>
      <w:r>
        <w:rPr>
          <w:rFonts w:hint="eastAsia" w:ascii="宋体" w:hAnsi="宋体" w:cs="宋体"/>
          <w:bCs/>
          <w:color w:val="auto"/>
          <w:szCs w:val="21"/>
          <w:highlight w:val="none"/>
        </w:rPr>
        <w:t>广西建汇工程咨询有限公司</w:t>
      </w:r>
      <w:bookmarkEnd w:id="51"/>
      <w:bookmarkEnd w:id="52"/>
    </w:p>
    <w:p w14:paraId="33581393">
      <w:pPr>
        <w:keepNext w:val="0"/>
        <w:keepLines w:val="0"/>
        <w:pageBreakBefore w:val="0"/>
        <w:kinsoku/>
        <w:overflowPunct/>
        <w:topLinePunct w:val="0"/>
        <w:autoSpaceDE/>
        <w:autoSpaceDN/>
        <w:bidi w:val="0"/>
        <w:adjustRightInd/>
        <w:spacing w:line="420" w:lineRule="exact"/>
        <w:ind w:firstLine="420" w:firstLineChars="200"/>
        <w:jc w:val="left"/>
        <w:textAlignment w:val="auto"/>
        <w:rPr>
          <w:rFonts w:ascii="宋体" w:hAnsi="宋体" w:cs="宋体"/>
          <w:bCs/>
          <w:color w:val="auto"/>
          <w:szCs w:val="21"/>
          <w:highlight w:val="none"/>
        </w:rPr>
      </w:pPr>
      <w:r>
        <w:rPr>
          <w:rFonts w:hint="eastAsia" w:ascii="宋体" w:hAnsi="宋体" w:cs="宋体"/>
          <w:bCs/>
          <w:color w:val="auto"/>
          <w:szCs w:val="21"/>
          <w:highlight w:val="none"/>
        </w:rPr>
        <w:t>地    址：</w:t>
      </w:r>
      <w:r>
        <w:rPr>
          <w:rFonts w:hint="eastAsia" w:ascii="宋体" w:hAnsi="宋体" w:eastAsia="宋体" w:cs="宋体"/>
          <w:color w:val="auto"/>
          <w:sz w:val="21"/>
          <w:szCs w:val="21"/>
          <w:highlight w:val="none"/>
          <w:u w:val="none"/>
          <w:lang w:eastAsia="zh-CN"/>
        </w:rPr>
        <w:t>玉林市玉州区江滨路东55号山水名城8栋10号商铺</w:t>
      </w:r>
    </w:p>
    <w:p w14:paraId="13070AF6">
      <w:pPr>
        <w:pStyle w:val="45"/>
        <w:keepNext w:val="0"/>
        <w:keepLines w:val="0"/>
        <w:pageBreakBefore w:val="0"/>
        <w:kinsoku/>
        <w:overflowPunct/>
        <w:topLinePunct w:val="0"/>
        <w:autoSpaceDE/>
        <w:autoSpaceDN/>
        <w:bidi w:val="0"/>
        <w:adjustRightInd/>
        <w:spacing w:before="0" w:after="0" w:line="420" w:lineRule="exact"/>
        <w:ind w:firstLine="46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项目联系人：梁妮</w:t>
      </w:r>
    </w:p>
    <w:p w14:paraId="3A19062A">
      <w:pPr>
        <w:pStyle w:val="45"/>
        <w:keepNext w:val="0"/>
        <w:keepLines w:val="0"/>
        <w:pageBreakBefore w:val="0"/>
        <w:kinsoku/>
        <w:overflowPunct/>
        <w:topLinePunct w:val="0"/>
        <w:autoSpaceDE/>
        <w:autoSpaceDN/>
        <w:bidi w:val="0"/>
        <w:adjustRightInd/>
        <w:spacing w:before="0" w:after="0" w:line="420" w:lineRule="exact"/>
        <w:ind w:firstLine="460" w:firstLineChars="20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电 话：0775-2698633</w:t>
      </w:r>
    </w:p>
    <w:p w14:paraId="68463E84">
      <w:pPr>
        <w:pStyle w:val="10"/>
      </w:pPr>
    </w:p>
    <w:p w14:paraId="4E322ADE">
      <w:pPr>
        <w:keepNext w:val="0"/>
        <w:keepLines w:val="0"/>
        <w:pageBreakBefore w:val="0"/>
        <w:kinsoku/>
        <w:overflowPunct/>
        <w:topLinePunct w:val="0"/>
        <w:autoSpaceDE/>
        <w:autoSpaceDN/>
        <w:bidi w:val="0"/>
        <w:adjustRightInd/>
        <w:spacing w:line="420" w:lineRule="exact"/>
        <w:ind w:firstLine="6090" w:firstLineChars="2900"/>
        <w:jc w:val="left"/>
        <w:textAlignment w:val="auto"/>
        <w:rPr>
          <w:rFonts w:ascii="宋体" w:hAnsi="宋体" w:cs="宋体"/>
          <w:color w:val="auto"/>
          <w:szCs w:val="21"/>
          <w:highlight w:val="none"/>
        </w:rPr>
      </w:pPr>
      <w:r>
        <w:rPr>
          <w:rFonts w:hint="eastAsia" w:ascii="宋体" w:hAnsi="宋体" w:cs="宋体"/>
          <w:bCs/>
          <w:color w:val="auto"/>
          <w:szCs w:val="21"/>
          <w:highlight w:val="none"/>
        </w:rPr>
        <w:t>广西建汇工程咨询有限公司</w:t>
      </w:r>
    </w:p>
    <w:p w14:paraId="4715218D">
      <w:pPr>
        <w:keepNext w:val="0"/>
        <w:keepLines w:val="0"/>
        <w:pageBreakBefore w:val="0"/>
        <w:kinsoku/>
        <w:overflowPunct/>
        <w:topLinePunct w:val="0"/>
        <w:autoSpaceDE/>
        <w:autoSpaceDN/>
        <w:bidi w:val="0"/>
        <w:adjustRightInd/>
        <w:spacing w:line="420" w:lineRule="exact"/>
        <w:ind w:firstLine="420" w:firstLineChars="200"/>
        <w:jc w:val="left"/>
        <w:textAlignment w:val="auto"/>
        <w:outlineLvl w:val="0"/>
        <w:rPr>
          <w:rFonts w:hint="eastAsia" w:ascii="宋体" w:hAnsi="宋体" w:cs="宋体"/>
          <w:color w:val="auto"/>
          <w:szCs w:val="21"/>
          <w:highlight w:val="none"/>
        </w:rPr>
      </w:pPr>
      <w:bookmarkStart w:id="53" w:name="_Toc28018"/>
      <w:bookmarkStart w:id="54" w:name="_Toc28543"/>
      <w:bookmarkStart w:id="55" w:name="_Toc3700"/>
      <w:bookmarkStart w:id="56" w:name="_Toc26140"/>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2024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bookmarkEnd w:id="53"/>
      <w:bookmarkEnd w:id="54"/>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日</w:t>
      </w:r>
      <w:bookmarkEnd w:id="11"/>
      <w:bookmarkEnd w:id="55"/>
      <w:bookmarkEnd w:id="56"/>
      <w:bookmarkStart w:id="57" w:name="_Toc213206174"/>
      <w:bookmarkStart w:id="58" w:name="_Toc213325923"/>
    </w:p>
    <w:p w14:paraId="227F9B3A">
      <w:pPr>
        <w:pStyle w:val="7"/>
        <w:rPr>
          <w:color w:val="auto"/>
        </w:rPr>
      </w:pPr>
    </w:p>
    <w:p w14:paraId="35698DDD">
      <w:pPr>
        <w:pStyle w:val="13"/>
        <w:spacing w:line="400" w:lineRule="exact"/>
        <w:jc w:val="center"/>
        <w:outlineLvl w:val="0"/>
        <w:rPr>
          <w:rFonts w:hint="eastAsia" w:hAnsi="宋体" w:cs="宋体"/>
          <w:b/>
          <w:color w:val="auto"/>
          <w:sz w:val="36"/>
          <w:highlight w:val="none"/>
        </w:rPr>
      </w:pPr>
      <w:bookmarkStart w:id="59" w:name="_Toc17107"/>
      <w:bookmarkStart w:id="60" w:name="_Toc14081"/>
    </w:p>
    <w:p w14:paraId="4AAA8108">
      <w:pPr>
        <w:rPr>
          <w:rFonts w:hint="eastAsia" w:hAnsi="宋体" w:cs="宋体"/>
          <w:b/>
          <w:color w:val="auto"/>
          <w:sz w:val="36"/>
          <w:highlight w:val="none"/>
        </w:rPr>
      </w:pPr>
    </w:p>
    <w:p w14:paraId="0B7577A2">
      <w:pPr>
        <w:pStyle w:val="20"/>
        <w:rPr>
          <w:rFonts w:hint="eastAsia"/>
        </w:rPr>
      </w:pPr>
    </w:p>
    <w:p w14:paraId="604E2FF2">
      <w:pPr>
        <w:pStyle w:val="13"/>
        <w:spacing w:line="400" w:lineRule="exact"/>
        <w:jc w:val="center"/>
        <w:outlineLvl w:val="0"/>
        <w:rPr>
          <w:rFonts w:hint="eastAsia" w:hAnsi="宋体" w:cs="宋体"/>
          <w:b/>
          <w:color w:val="auto"/>
          <w:sz w:val="36"/>
          <w:highlight w:val="none"/>
        </w:rPr>
      </w:pPr>
    </w:p>
    <w:p w14:paraId="0A609991">
      <w:pPr>
        <w:rPr>
          <w:rFonts w:hint="eastAsia"/>
        </w:rPr>
      </w:pPr>
    </w:p>
    <w:p w14:paraId="28E63C08">
      <w:pPr>
        <w:pStyle w:val="13"/>
        <w:spacing w:line="400" w:lineRule="exact"/>
        <w:jc w:val="center"/>
        <w:outlineLvl w:val="0"/>
        <w:rPr>
          <w:rFonts w:hAnsi="宋体" w:cs="宋体"/>
          <w:b/>
          <w:color w:val="auto"/>
          <w:sz w:val="36"/>
          <w:highlight w:val="none"/>
        </w:rPr>
      </w:pPr>
      <w:r>
        <w:rPr>
          <w:rFonts w:hint="eastAsia" w:hAnsi="宋体" w:cs="宋体"/>
          <w:b/>
          <w:color w:val="auto"/>
          <w:sz w:val="36"/>
          <w:highlight w:val="none"/>
        </w:rPr>
        <w:t>第二章  采购需求</w:t>
      </w:r>
      <w:bookmarkEnd w:id="59"/>
      <w:bookmarkEnd w:id="60"/>
    </w:p>
    <w:bookmarkEnd w:id="57"/>
    <w:bookmarkEnd w:id="58"/>
    <w:p w14:paraId="406E94A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说明：</w:t>
      </w:r>
    </w:p>
    <w:p w14:paraId="750B001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color w:val="auto"/>
          <w:highlight w:val="none"/>
        </w:rPr>
      </w:pPr>
      <w:r>
        <w:rPr>
          <w:rFonts w:hint="eastAsia" w:ascii="宋体" w:hAnsi="宋体" w:cs="宋体"/>
          <w:color w:val="auto"/>
          <w:highlight w:val="none"/>
        </w:rPr>
        <w:t>1、 为落</w:t>
      </w:r>
      <w:r>
        <w:rPr>
          <w:rFonts w:hint="eastAsia"/>
          <w:color w:val="auto"/>
          <w:highlight w:val="none"/>
        </w:rPr>
        <w:t>实政府采购政策需满足的要求</w:t>
      </w:r>
    </w:p>
    <w:p w14:paraId="7D3B5ED8">
      <w:pPr>
        <w:keepNext w:val="0"/>
        <w:keepLines w:val="0"/>
        <w:pageBreakBefore w:val="0"/>
        <w:widowControl w:val="0"/>
        <w:kinsoku/>
        <w:wordWrap/>
        <w:overflowPunct/>
        <w:topLinePunct w:val="0"/>
        <w:autoSpaceDE/>
        <w:autoSpaceDN/>
        <w:bidi w:val="0"/>
        <w:adjustRightInd/>
        <w:snapToGrid/>
        <w:spacing w:line="440" w:lineRule="exact"/>
        <w:ind w:firstLine="424" w:firstLineChars="202"/>
        <w:jc w:val="left"/>
        <w:textAlignment w:val="auto"/>
        <w:rPr>
          <w:rFonts w:ascii="宋体" w:hAnsi="宋体" w:cs="宋体"/>
          <w:color w:val="auto"/>
          <w:szCs w:val="21"/>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14:paraId="78AF3C91">
      <w:pPr>
        <w:keepNext w:val="0"/>
        <w:keepLines w:val="0"/>
        <w:pageBreakBefore w:val="0"/>
        <w:widowControl w:val="0"/>
        <w:kinsoku/>
        <w:wordWrap/>
        <w:overflowPunct/>
        <w:topLinePunct w:val="0"/>
        <w:autoSpaceDE/>
        <w:autoSpaceDN/>
        <w:bidi w:val="0"/>
        <w:adjustRightInd/>
        <w:snapToGrid/>
        <w:spacing w:line="440" w:lineRule="exact"/>
        <w:ind w:firstLine="424" w:firstLineChars="202"/>
        <w:jc w:val="left"/>
        <w:textAlignment w:val="auto"/>
        <w:rPr>
          <w:rFonts w:ascii="宋体" w:hAnsi="宋体" w:cs="宋体"/>
          <w:color w:val="auto"/>
          <w:szCs w:val="21"/>
          <w:highlight w:val="none"/>
        </w:rPr>
      </w:pPr>
      <w:r>
        <w:rPr>
          <w:rFonts w:hint="eastAsia" w:ascii="宋体" w:hAnsi="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w:t>
      </w:r>
      <w:r>
        <w:rPr>
          <w:color w:val="auto"/>
          <w:szCs w:val="21"/>
          <w:highlight w:val="none"/>
        </w:rPr>
        <w:t>加盖投标人电子签章</w:t>
      </w:r>
      <w:r>
        <w:rPr>
          <w:rFonts w:hint="eastAsia" w:ascii="宋体" w:hAnsi="宋体" w:cs="宋体"/>
          <w:color w:val="auto"/>
          <w:szCs w:val="21"/>
          <w:highlight w:val="none"/>
        </w:rPr>
        <w:t>），</w:t>
      </w:r>
      <w:r>
        <w:rPr>
          <w:rFonts w:hint="eastAsia" w:ascii="宋体" w:hAnsi="宋体" w:cs="宋体"/>
          <w:b/>
          <w:bCs/>
          <w:color w:val="auto"/>
          <w:szCs w:val="21"/>
          <w:highlight w:val="none"/>
        </w:rPr>
        <w:t>否则投标文件作无效处理</w:t>
      </w:r>
      <w:r>
        <w:rPr>
          <w:rFonts w:hint="eastAsia" w:ascii="宋体" w:hAnsi="宋体" w:cs="宋体"/>
          <w:color w:val="auto"/>
          <w:szCs w:val="21"/>
          <w:highlight w:val="none"/>
        </w:rPr>
        <w:t>。如本项目包含的货物属于品目清单内非标注“★”的产品时，应优先采购，具体详见“第四章 评标方法及评标标准”。</w:t>
      </w:r>
    </w:p>
    <w:p w14:paraId="7351BF83">
      <w:pPr>
        <w:keepNext w:val="0"/>
        <w:keepLines w:val="0"/>
        <w:pageBreakBefore w:val="0"/>
        <w:widowControl w:val="0"/>
        <w:kinsoku/>
        <w:wordWrap/>
        <w:overflowPunct/>
        <w:topLinePunct w:val="0"/>
        <w:autoSpaceDE/>
        <w:autoSpaceDN/>
        <w:bidi w:val="0"/>
        <w:adjustRightInd/>
        <w:snapToGrid/>
        <w:spacing w:line="440" w:lineRule="exact"/>
        <w:ind w:firstLine="424" w:firstLineChars="202"/>
        <w:jc w:val="left"/>
        <w:textAlignment w:val="auto"/>
        <w:rPr>
          <w:bCs/>
          <w:color w:val="auto"/>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投标人必须在投标文件中提供中国信息安全认证中心授予的有效的信息安全产品认证证书（加盖投标人公章），否则投标文件作无效处理。</w:t>
      </w:r>
    </w:p>
    <w:p w14:paraId="0D2E65D9">
      <w:pPr>
        <w:keepNext w:val="0"/>
        <w:keepLines w:val="0"/>
        <w:pageBreakBefore w:val="0"/>
        <w:widowControl w:val="0"/>
        <w:kinsoku/>
        <w:wordWrap/>
        <w:overflowPunct/>
        <w:topLinePunct w:val="0"/>
        <w:autoSpaceDE/>
        <w:autoSpaceDN/>
        <w:bidi w:val="0"/>
        <w:adjustRightInd/>
        <w:snapToGrid/>
        <w:spacing w:line="440" w:lineRule="exact"/>
        <w:ind w:firstLine="424" w:firstLineChars="202"/>
        <w:jc w:val="left"/>
        <w:textAlignment w:val="auto"/>
        <w:rPr>
          <w:rFonts w:ascii="宋体" w:hAnsi="宋体" w:cs="宋体"/>
          <w:color w:val="auto"/>
          <w:szCs w:val="21"/>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2、“实质性要求”是指招标文件中已经指明不满足则投标无效的条款，或者不能负偏离的条款，或者采购需求中带“▲”的条款。</w:t>
      </w:r>
    </w:p>
    <w:p w14:paraId="1DD162B2">
      <w:pPr>
        <w:keepNext w:val="0"/>
        <w:keepLines w:val="0"/>
        <w:pageBreakBefore w:val="0"/>
        <w:widowControl w:val="0"/>
        <w:kinsoku/>
        <w:wordWrap/>
        <w:overflowPunct/>
        <w:topLinePunct w:val="0"/>
        <w:autoSpaceDE/>
        <w:autoSpaceDN/>
        <w:bidi w:val="0"/>
        <w:adjustRightInd/>
        <w:snapToGrid/>
        <w:spacing w:line="440" w:lineRule="exact"/>
        <w:ind w:firstLine="424" w:firstLineChars="202"/>
        <w:jc w:val="left"/>
        <w:textAlignment w:val="auto"/>
        <w:rPr>
          <w:color w:val="auto"/>
          <w:highlight w:val="none"/>
        </w:rPr>
      </w:pPr>
      <w:r>
        <w:rPr>
          <w:rFonts w:hint="eastAsia" w:ascii="宋体" w:hAnsi="宋体" w:cs="宋体"/>
          <w:color w:val="auto"/>
          <w:szCs w:val="21"/>
          <w:highlight w:val="none"/>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30D06650">
      <w:pPr>
        <w:keepNext w:val="0"/>
        <w:keepLines w:val="0"/>
        <w:pageBreakBefore w:val="0"/>
        <w:widowControl w:val="0"/>
        <w:kinsoku/>
        <w:wordWrap/>
        <w:overflowPunct/>
        <w:topLinePunct w:val="0"/>
        <w:autoSpaceDE/>
        <w:autoSpaceDN/>
        <w:bidi w:val="0"/>
        <w:adjustRightInd/>
        <w:snapToGrid/>
        <w:spacing w:line="440" w:lineRule="exact"/>
        <w:ind w:firstLine="424" w:firstLineChars="202"/>
        <w:jc w:val="left"/>
        <w:textAlignment w:val="auto"/>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b/>
          <w:bCs/>
          <w:color w:val="auto"/>
          <w:szCs w:val="21"/>
        </w:rPr>
        <w:t>投标人应根据自身实际情况如实响应招标文件</w:t>
      </w:r>
      <w:r>
        <w:rPr>
          <w:rFonts w:hint="eastAsia" w:ascii="宋体" w:hAnsi="宋体"/>
          <w:b/>
          <w:bCs/>
          <w:color w:val="auto"/>
          <w:szCs w:val="21"/>
        </w:rPr>
        <w:t>，</w:t>
      </w:r>
      <w:r>
        <w:rPr>
          <w:rFonts w:hint="eastAsia" w:ascii="宋体" w:hAnsi="宋体"/>
          <w:b/>
          <w:bCs/>
          <w:color w:val="auto"/>
          <w:szCs w:val="21"/>
          <w:lang w:val="en-US" w:eastAsia="zh-CN"/>
        </w:rPr>
        <w:t>技术需求偏离表</w:t>
      </w:r>
      <w:r>
        <w:rPr>
          <w:rFonts w:hint="eastAsia" w:ascii="宋体" w:hAnsi="宋体"/>
          <w:b/>
          <w:bCs/>
          <w:color w:val="auto"/>
          <w:szCs w:val="21"/>
        </w:rPr>
        <w:t>中标注产品实际参数数值</w:t>
      </w:r>
      <w:r>
        <w:rPr>
          <w:rFonts w:hint="eastAsia" w:ascii="宋体" w:hAnsi="宋体"/>
          <w:b/>
          <w:bCs/>
          <w:color w:val="auto"/>
          <w:szCs w:val="21"/>
          <w:lang w:eastAsia="zh-CN"/>
        </w:rPr>
        <w:t>，</w:t>
      </w:r>
      <w:r>
        <w:rPr>
          <w:rFonts w:hint="eastAsia" w:ascii="宋体" w:hAnsi="宋体"/>
          <w:b/>
          <w:bCs/>
          <w:color w:val="auto"/>
          <w:szCs w:val="21"/>
        </w:rPr>
        <w:t>不得仅将招标文件内容简单复制粘贴作为投标响应，不注明实际数值</w:t>
      </w:r>
      <w:r>
        <w:rPr>
          <w:rFonts w:hint="eastAsia" w:ascii="宋体" w:hAnsi="宋体"/>
          <w:b/>
          <w:bCs/>
          <w:color w:val="auto"/>
          <w:szCs w:val="21"/>
          <w:lang w:val="en-US" w:eastAsia="zh-CN"/>
        </w:rPr>
        <w:t>的</w:t>
      </w:r>
      <w:r>
        <w:rPr>
          <w:rFonts w:hint="eastAsia" w:ascii="宋体" w:hAnsi="宋体"/>
          <w:b/>
          <w:bCs/>
          <w:color w:val="auto"/>
          <w:szCs w:val="21"/>
        </w:rPr>
        <w:t>视为未响应，将作无效响应处理（定制采购</w:t>
      </w:r>
      <w:r>
        <w:rPr>
          <w:rFonts w:hint="eastAsia" w:ascii="宋体" w:hAnsi="宋体"/>
          <w:b/>
          <w:bCs/>
          <w:color w:val="auto"/>
          <w:szCs w:val="21"/>
          <w:lang w:val="en-US" w:eastAsia="zh-CN"/>
        </w:rPr>
        <w:t>项目</w:t>
      </w:r>
      <w:r>
        <w:rPr>
          <w:rFonts w:hint="eastAsia" w:ascii="宋体" w:hAnsi="宋体"/>
          <w:b/>
          <w:bCs/>
          <w:color w:val="auto"/>
          <w:szCs w:val="21"/>
        </w:rPr>
        <w:t>不适用本条款）。</w:t>
      </w:r>
      <w:r>
        <w:rPr>
          <w:rFonts w:hint="eastAsia"/>
          <w:b/>
          <w:bCs/>
          <w:color w:val="auto"/>
        </w:rPr>
        <w:t>对于重要技术条款或技术参数应当在投标文件中提供技术支持资料，技术支持资料以招标文件中规定的形式为准，否则将视为无效技术支持资料。</w:t>
      </w:r>
    </w:p>
    <w:p w14:paraId="489F1CF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5、如投标人投标产品存在侵犯他人的知识产权或者专利成果行为的，应承担相应法律责任。</w:t>
      </w:r>
    </w:p>
    <w:p w14:paraId="2F27C6B4">
      <w:pPr>
        <w:keepNext w:val="0"/>
        <w:keepLines w:val="0"/>
        <w:pageBreakBefore w:val="0"/>
        <w:widowControl w:val="0"/>
        <w:kinsoku/>
        <w:wordWrap/>
        <w:overflowPunct/>
        <w:topLinePunct w:val="0"/>
        <w:autoSpaceDE/>
        <w:autoSpaceDN/>
        <w:bidi w:val="0"/>
        <w:adjustRightInd/>
        <w:snapToGrid/>
        <w:spacing w:line="440" w:lineRule="exact"/>
        <w:ind w:firstLine="424" w:firstLineChars="202"/>
        <w:jc w:val="left"/>
        <w:textAlignment w:val="auto"/>
        <w:rPr>
          <w:rFonts w:hint="eastAsia" w:ascii="宋体" w:hAnsi="宋体" w:cs="宋体"/>
          <w:color w:val="auto"/>
          <w:szCs w:val="21"/>
          <w:highlight w:val="none"/>
          <w:u w:val="single"/>
        </w:rPr>
      </w:pPr>
      <w:r>
        <w:rPr>
          <w:rFonts w:hint="eastAsia" w:ascii="宋体" w:hAnsi="宋体" w:cs="宋体"/>
          <w:color w:val="auto"/>
          <w:szCs w:val="21"/>
          <w:highlight w:val="none"/>
        </w:rPr>
        <w:t>6、采购内容所属行业：</w:t>
      </w:r>
      <w:r>
        <w:rPr>
          <w:rFonts w:hint="eastAsia" w:ascii="宋体" w:hAnsi="宋体" w:cs="宋体"/>
          <w:color w:val="auto"/>
          <w:szCs w:val="21"/>
          <w:highlight w:val="none"/>
          <w:u w:val="single"/>
          <w:lang w:eastAsia="zh-CN"/>
        </w:rPr>
        <w:t>工业</w:t>
      </w:r>
      <w:r>
        <w:rPr>
          <w:rFonts w:hint="eastAsia" w:ascii="宋体" w:hAnsi="宋体" w:cs="宋体"/>
          <w:color w:val="auto"/>
          <w:szCs w:val="21"/>
          <w:highlight w:val="none"/>
          <w:u w:val="single"/>
        </w:rPr>
        <w:t>。</w:t>
      </w:r>
    </w:p>
    <w:p w14:paraId="74EF01A2">
      <w:pPr>
        <w:rPr>
          <w:color w:val="auto"/>
          <w:highlight w:val="none"/>
        </w:rPr>
      </w:pPr>
    </w:p>
    <w:p w14:paraId="39FF8017">
      <w:pPr>
        <w:rPr>
          <w:color w:val="auto"/>
          <w:highlight w:val="none"/>
        </w:rPr>
      </w:pPr>
    </w:p>
    <w:p w14:paraId="07536A40">
      <w:pPr>
        <w:rPr>
          <w:color w:val="auto"/>
          <w:highlight w:val="none"/>
        </w:rPr>
      </w:pPr>
    </w:p>
    <w:p w14:paraId="46CC57D6">
      <w:pPr>
        <w:rPr>
          <w:color w:val="auto"/>
          <w:highlight w:val="none"/>
        </w:rPr>
      </w:pPr>
    </w:p>
    <w:p w14:paraId="5AE0D7E7">
      <w:pPr>
        <w:pStyle w:val="10"/>
        <w:rPr>
          <w:color w:val="auto"/>
          <w:highlight w:val="none"/>
        </w:rPr>
      </w:pPr>
    </w:p>
    <w:tbl>
      <w:tblPr>
        <w:tblStyle w:val="28"/>
        <w:tblW w:w="9660" w:type="dxa"/>
        <w:tblInd w:w="90" w:type="dxa"/>
        <w:tblLayout w:type="fixed"/>
        <w:tblCellMar>
          <w:top w:w="0" w:type="dxa"/>
          <w:left w:w="108" w:type="dxa"/>
          <w:bottom w:w="0" w:type="dxa"/>
          <w:right w:w="108" w:type="dxa"/>
        </w:tblCellMar>
      </w:tblPr>
      <w:tblGrid>
        <w:gridCol w:w="482"/>
        <w:gridCol w:w="885"/>
        <w:gridCol w:w="148"/>
        <w:gridCol w:w="675"/>
        <w:gridCol w:w="810"/>
        <w:gridCol w:w="6660"/>
      </w:tblGrid>
      <w:tr w14:paraId="4F05F7F4">
        <w:tblPrEx>
          <w:tblCellMar>
            <w:top w:w="0" w:type="dxa"/>
            <w:left w:w="108" w:type="dxa"/>
            <w:bottom w:w="0" w:type="dxa"/>
            <w:right w:w="108" w:type="dxa"/>
          </w:tblCellMar>
        </w:tblPrEx>
        <w:tc>
          <w:tcPr>
            <w:tcW w:w="96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66870">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bookmarkStart w:id="61" w:name="OLE_LINK27"/>
            <w:r>
              <w:rPr>
                <w:rFonts w:hint="eastAsia" w:ascii="新宋体" w:hAnsi="新宋体" w:eastAsia="新宋体" w:cs="新宋体"/>
                <w:b/>
                <w:bCs/>
                <w:color w:val="000000" w:themeColor="text1"/>
                <w:kern w:val="0"/>
                <w:sz w:val="21"/>
                <w:szCs w:val="21"/>
                <w:lang w:bidi="ar"/>
                <w14:textFill>
                  <w14:solidFill>
                    <w14:schemeClr w14:val="tx1"/>
                  </w14:solidFill>
                </w14:textFill>
              </w:rPr>
              <w:t>中心机房显示存储控制部分</w:t>
            </w:r>
          </w:p>
        </w:tc>
      </w:tr>
      <w:tr w14:paraId="00AE3F5B">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DA3B2">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序号</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260D4">
            <w:pPr>
              <w:widowControl/>
              <w:adjustRightInd/>
              <w:snapToGrid/>
              <w:spacing w:line="400" w:lineRule="exact"/>
              <w:jc w:val="center"/>
              <w:textAlignment w:val="center"/>
              <w:rPr>
                <w:rFonts w:hint="eastAsia" w:ascii="新宋体" w:hAnsi="新宋体" w:eastAsia="新宋体" w:cs="新宋体"/>
                <w:b/>
                <w:bCs/>
                <w:color w:val="000000" w:themeColor="text1"/>
                <w:kern w:val="0"/>
                <w:sz w:val="21"/>
                <w:szCs w:val="21"/>
                <w:lang w:bidi="ar"/>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标的</w:t>
            </w:r>
          </w:p>
          <w:p w14:paraId="14E75C04">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名称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BF08A">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AE6A">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数量</w:t>
            </w:r>
          </w:p>
        </w:tc>
        <w:tc>
          <w:tcPr>
            <w:tcW w:w="6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42100">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技术要求</w:t>
            </w:r>
          </w:p>
        </w:tc>
      </w:tr>
      <w:tr w14:paraId="4955C883">
        <w:tblPrEx>
          <w:tblCellMar>
            <w:top w:w="0" w:type="dxa"/>
            <w:left w:w="108" w:type="dxa"/>
            <w:bottom w:w="0" w:type="dxa"/>
            <w:right w:w="108" w:type="dxa"/>
          </w:tblCellMar>
        </w:tblPrEx>
        <w:trPr>
          <w:trHeight w:val="400" w:hRule="atLeast"/>
        </w:trPr>
        <w:tc>
          <w:tcPr>
            <w:tcW w:w="4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E2A2EE">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w:t>
            </w:r>
          </w:p>
        </w:tc>
        <w:tc>
          <w:tcPr>
            <w:tcW w:w="10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79318F">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网络硬盘录像机</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9B5189">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台</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57291">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12</w:t>
            </w:r>
          </w:p>
        </w:tc>
        <w:tc>
          <w:tcPr>
            <w:tcW w:w="6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9A99A6">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1、支持≥64路H.264、H.265格式高清码流接入，≥8个SATA接口，支持硬盘热插拔。</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2、支持输入带宽≥384Mbps，输出带宽≥256Mbps。</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设备具有≥2个HDMI接口，≥2个VGA接口，≥1个CVBS接口，支持≥3组异源输出，每组输出可独立配置全局音频预览；HDMI接口最大支持8K输出，当一路输出8K时，另一路最高支持1080P输出，两个HDMI接口可同时支持双4K异源输出，CVBS接口支持≥10档亮度调节，支持PAL和NTSC制式切换，CVBS最大支持≥16分屏。</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4、RAID模式支持RAID0、RAID1、RAID5、RAID6、RAID10，支持全局热备盘。</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5、可接入1T、2T、3T、4T、6T、8T、10T、12T、16TB容量的SATA接口硬盘，支持重要录像文件加锁保护功能。</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6、支持硬盘配额和硬盘盘组两种存储模式，可对不同通道分配不同的录像保存容量或周期。</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▲7、可同时解码输出≥32路H.265编码、30fps、1920×1080格式的视频图像，或同时解码输出≥8路 H.265编码、25fps、4096×2160或者3840×2160格式的视频图像，或同时解码输出≥6路 H.265编码、20fps、4000×3000格式的视频图像，或同时解码输出≥2路H.265编码、25fps、8160×3616格式的视频图像。</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8、支持即时回放功能，在预览画面下对指定通道的当前录像进行回放，并且不影响其他通道预览，支持最大≥16路同步回放及多路同步倒放。</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9、支持回放双进度条控制功能，一条为当前回放通道，一条为全部通道，支持鼠标在进度条上点击进行定位回放。</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10、具有存储安全保障策略功能，当存储压力过高或硬盘出现性能不足时，可优先录像业务存储。</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▲11、显示输出分辨率具有8K(7680×4320)/30Hz, 4K(3840×2160)/60Hz、4K(3840×2160)/30Hz、2K（2560×1440）/60Hz，1080P（1920×1080）/60Hz，UXGA（1600×1200）/60Hz，SXGA（1280×1024）/60Hz，720P（1280×720）/60Hz，XGA（1024×768）/60Hz设置选项。</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▲12、设备由冗余电源芯片进行负载均衡控制，当一个电源出现故障时，另一个电源可以接管其工作，在更换故障电源后，恢复到两个电源协同负载均衡工作。</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13、支持将设备日志上传到日志服务器，可配置日志服务器IP地址和端口。</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14、支持网络容错以及多址设定等应用，支持网络检测（网络流量监控、网络抓包、网络通畅）功能，支持1+1冗余电源。</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15、支持实时监测并显示正在进行的录像备份任务，可查看剩余录像大小、剩余时间、备份进度百分比和进度条。</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16、支持≥2个RJ45 千兆网络接口、≥2个USB2.0接口、≥2个USB3.0接口、≥1个eSata接口，≥1路音频输入接口、≥2路音频输出接口、≥16路报警输入接口、≥9路报警输出接口。</w:t>
            </w:r>
          </w:p>
        </w:tc>
      </w:tr>
      <w:tr w14:paraId="4CBEB36C">
        <w:tblPrEx>
          <w:tblCellMar>
            <w:top w:w="0" w:type="dxa"/>
            <w:left w:w="108" w:type="dxa"/>
            <w:bottom w:w="0" w:type="dxa"/>
            <w:right w:w="108" w:type="dxa"/>
          </w:tblCellMar>
        </w:tblPrEx>
        <w:trPr>
          <w:trHeight w:val="40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2E6AF">
            <w:pPr>
              <w:widowControl/>
              <w:adjustRightInd/>
              <w:snapToGrid/>
              <w:spacing w:line="400" w:lineRule="exact"/>
              <w:jc w:val="center"/>
              <w:rPr>
                <w:rFonts w:hint="eastAsia" w:ascii="新宋体" w:hAnsi="新宋体" w:eastAsia="新宋体" w:cs="新宋体"/>
                <w:color w:val="000000" w:themeColor="text1"/>
                <w:sz w:val="21"/>
                <w:szCs w:val="21"/>
                <w14:textFill>
                  <w14:solidFill>
                    <w14:schemeClr w14:val="tx1"/>
                  </w14:solidFill>
                </w14:textFill>
              </w:rPr>
            </w:pPr>
          </w:p>
        </w:tc>
        <w:tc>
          <w:tcPr>
            <w:tcW w:w="10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B83B7">
            <w:pPr>
              <w:widowControl/>
              <w:adjustRightInd/>
              <w:snapToGrid/>
              <w:spacing w:line="400" w:lineRule="exact"/>
              <w:jc w:val="center"/>
              <w:rPr>
                <w:rFonts w:hint="eastAsia" w:ascii="新宋体" w:hAnsi="新宋体" w:eastAsia="新宋体" w:cs="新宋体"/>
                <w:color w:val="000000" w:themeColor="text1"/>
                <w:sz w:val="21"/>
                <w:szCs w:val="21"/>
                <w14:textFill>
                  <w14:solidFill>
                    <w14:schemeClr w14:val="tx1"/>
                  </w14:solidFill>
                </w14:textFill>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EE891">
            <w:pPr>
              <w:widowControl/>
              <w:adjustRightInd/>
              <w:snapToGrid/>
              <w:spacing w:line="400" w:lineRule="exact"/>
              <w:jc w:val="center"/>
              <w:rPr>
                <w:rFonts w:hint="eastAsia" w:ascii="新宋体" w:hAnsi="新宋体" w:eastAsia="新宋体" w:cs="新宋体"/>
                <w:color w:val="000000" w:themeColor="text1"/>
                <w:sz w:val="21"/>
                <w:szCs w:val="21"/>
                <w14:textFill>
                  <w14:solidFill>
                    <w14:schemeClr w14:val="tx1"/>
                  </w14:solidFill>
                </w14:textFill>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CF7C8">
            <w:pPr>
              <w:widowControl/>
              <w:adjustRightInd/>
              <w:snapToGrid/>
              <w:spacing w:line="400" w:lineRule="exact"/>
              <w:jc w:val="center"/>
              <w:rPr>
                <w:rFonts w:hint="eastAsia" w:ascii="新宋体" w:hAnsi="新宋体" w:eastAsia="新宋体" w:cs="新宋体"/>
                <w:color w:val="000000" w:themeColor="text1"/>
                <w:sz w:val="21"/>
                <w:szCs w:val="21"/>
                <w14:textFill>
                  <w14:solidFill>
                    <w14:schemeClr w14:val="tx1"/>
                  </w14:solidFill>
                </w14:textFill>
              </w:rPr>
            </w:pPr>
          </w:p>
        </w:tc>
        <w:tc>
          <w:tcPr>
            <w:tcW w:w="6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818C9">
            <w:pPr>
              <w:widowControl/>
              <w:adjustRightInd/>
              <w:snapToGrid/>
              <w:spacing w:line="400" w:lineRule="exact"/>
              <w:jc w:val="left"/>
              <w:rPr>
                <w:rFonts w:hint="eastAsia" w:ascii="新宋体" w:hAnsi="新宋体" w:eastAsia="新宋体" w:cs="新宋体"/>
                <w:color w:val="000000" w:themeColor="text1"/>
                <w:sz w:val="21"/>
                <w:szCs w:val="21"/>
                <w14:textFill>
                  <w14:solidFill>
                    <w14:schemeClr w14:val="tx1"/>
                  </w14:solidFill>
                </w14:textFill>
              </w:rPr>
            </w:pPr>
          </w:p>
        </w:tc>
      </w:tr>
      <w:tr w14:paraId="5EAC645C">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D752">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2</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839669">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存储硬盘</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10EB7">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724D7">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5</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4626">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1、容量：≥10TB；</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2、缓存≥256M；</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3、尺寸：约3.5寸；</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4、转数：≥5400转/分钟。</w:t>
            </w:r>
          </w:p>
        </w:tc>
      </w:tr>
      <w:tr w14:paraId="338BAF5F">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8504">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3</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6FCCE0">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存储硬盘</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9098">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618A1">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93</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41D4">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1、容量：≥16TB；</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2、缓存≥512M；</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3、尺寸：约3.5寸；</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4、转数：≥5400转/分钟。</w:t>
            </w:r>
          </w:p>
        </w:tc>
      </w:tr>
      <w:tr w14:paraId="6A5EB925">
        <w:tblPrEx>
          <w:tblCellMar>
            <w:top w:w="0" w:type="dxa"/>
            <w:left w:w="108" w:type="dxa"/>
            <w:bottom w:w="0" w:type="dxa"/>
            <w:right w:w="108" w:type="dxa"/>
          </w:tblCellMar>
        </w:tblPrEx>
        <w:trPr>
          <w:trHeight w:val="400" w:hRule="atLeast"/>
        </w:trPr>
        <w:tc>
          <w:tcPr>
            <w:tcW w:w="4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8009D0">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4</w:t>
            </w:r>
          </w:p>
        </w:tc>
        <w:tc>
          <w:tcPr>
            <w:tcW w:w="10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E427EC">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高空抛物专用录像机</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69F695">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台</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C4336">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w:t>
            </w:r>
          </w:p>
        </w:tc>
        <w:tc>
          <w:tcPr>
            <w:tcW w:w="6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0055C8">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1、支持接入带宽≥320Mbps，存储带宽≥320Mbps，转发带宽≥256Mbps。</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2、可同时解码输出≥32路2MP、H.265编码、25fps、1920×1080格式的视频图像。</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支持≥4通道输出，包括HDMI1、HDMI2、VGA1、VGA2，各输出口均支持显示系统主菜单，且均可分别进行预览、回放、配置等操作；单个HDMI接口最大支持8K（7680×4320）输出，HDMI1和HDMI2同时支持异源4K（4096×2160）输出。</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4、具有≥2个HDMI接口、≥2个VGA接口、≥2个RJ45 千兆网络接口；≥2个USB2.0接口、≥2个USB3.0接口、≥1个RS232接口、≥1个RS485接口（可接入RS485键盘）、≥1个eSata接口；≥1个CVBS接口；具有≥1路音频输入接口、≥2路音频输出接口、≥16路报警输入接口、≥4路报警输出接口，可内置≥9块SATA3.0接口硬盘。</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▲5、支持报警事件、异常事件计数提醒功能，以图标形式在监控界面上提醒用户，异常事件包括硬盘满、硬盘错误、网络断开、IP 冲突、非法访问、视频信号丢失、录像/抓图异常、IP 通道冲突、热备异常、子码流分辨率/码率超限、配件板异常、硬盘高温异常、硬盘低温异常、硬盘坏块异常、硬盘撞击异常、硬盘严重故障异常、无码流异常等。</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6、接入警戒摄像机，支持对 IPC 的声音和闪光参数进行配置， 支持通过移动侦测、区域入侵、越界侦测、进入区域和离开区域事件联动一个或多个 IPC 的声光报警，可以对声光联动一键撤防。</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▲7、可接入带有温度报警、烟雾报警、障碍物遮挡报警、移动报警、防拆报警、紧急报警的智慧消防摄像机进行报警联动。</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8、支持接入具有专家模式的移动侦测的摄像机，移动侦测报警能够区分是人还是其它目标，可录像和记录报警信息。</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▲9、可实现高空抛物检测区域的隐私保护，自动过滤屏蔽区域内的抛物目标，支持设置≥8个隐私遮蔽区域；可手动预标定楼层，报警后自动匹配画面中疑似抛物的楼层信息。</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10、支持音频设备与视频设备独立管理，支持网络拾音器的接入、校时；支持≥32路音频设备管理，支持音视频动态调整组合分配功能，可将任一路音频与任一路视频组合成复合流编码。</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▲11、可接入≥32路高空抛物行为检测摄像机，支持在预览界面实时展示高空抛物事件轨迹并弹窗回放轨迹信息，可手动预标定楼层，报警后自动匹配显示画面中意思抛物的楼层信息。</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12、支持≥32路人脸以图搜图，可从外部、人脸库、人脸检索结果、人员频次分析结果导入≥10张人脸样本照片并设置相似度（0～100），检索出符合目标相似度的人脸图片，可查看背景图并回放关联录像并导出人脸图片及录像；支持按通道、时间检索人脸图片，支持将检索结果中的人脸图片添加到人脸库；以图搜图结果按相似度从高到低排序。</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13、支持多通道自由分组，可根据IPC点位部署的物理位置动态调整客流统计分组，同一个IPC点位支持被不同分组使用；支持≥8个客流组，每个客流组支持≥16个IPC。</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▲14、支持常规距离、中距离、远距离三种检测模式；根据不同的检测距离，在配置界面给出最小可检出人体目标尺寸，单个通道最多同时支持 ≥4 种周界报警模式，每种模式同时支持≥ 4 个警戒区域。</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▲15、支持周界报警过滤功能，对IPC上报越界侦测报警和区域入侵报警进行去误报，在特定条件下，可去除由树叶、灯光、阴影以及小动物引起的误报。支持设置检测目标类型，至少包括人体。支持≥32路。</w:t>
            </w:r>
          </w:p>
        </w:tc>
      </w:tr>
      <w:tr w14:paraId="6D578624">
        <w:tblPrEx>
          <w:tblCellMar>
            <w:top w:w="0" w:type="dxa"/>
            <w:left w:w="108" w:type="dxa"/>
            <w:bottom w:w="0" w:type="dxa"/>
            <w:right w:w="108" w:type="dxa"/>
          </w:tblCellMar>
        </w:tblPrEx>
        <w:trPr>
          <w:trHeight w:val="40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4499D">
            <w:pPr>
              <w:widowControl/>
              <w:adjustRightInd/>
              <w:snapToGrid/>
              <w:spacing w:line="400" w:lineRule="exact"/>
              <w:jc w:val="center"/>
              <w:rPr>
                <w:rFonts w:hint="eastAsia" w:ascii="新宋体" w:hAnsi="新宋体" w:eastAsia="新宋体" w:cs="新宋体"/>
                <w:color w:val="000000" w:themeColor="text1"/>
                <w:sz w:val="21"/>
                <w:szCs w:val="21"/>
                <w14:textFill>
                  <w14:solidFill>
                    <w14:schemeClr w14:val="tx1"/>
                  </w14:solidFill>
                </w14:textFill>
              </w:rPr>
            </w:pPr>
          </w:p>
        </w:tc>
        <w:tc>
          <w:tcPr>
            <w:tcW w:w="10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CBDD4">
            <w:pPr>
              <w:widowControl/>
              <w:adjustRightInd/>
              <w:snapToGrid/>
              <w:spacing w:line="400" w:lineRule="exact"/>
              <w:jc w:val="center"/>
              <w:rPr>
                <w:rFonts w:hint="eastAsia" w:ascii="新宋体" w:hAnsi="新宋体" w:eastAsia="新宋体" w:cs="新宋体"/>
                <w:color w:val="000000" w:themeColor="text1"/>
                <w:sz w:val="21"/>
                <w:szCs w:val="21"/>
                <w14:textFill>
                  <w14:solidFill>
                    <w14:schemeClr w14:val="tx1"/>
                  </w14:solidFill>
                </w14:textFill>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53167">
            <w:pPr>
              <w:widowControl/>
              <w:adjustRightInd/>
              <w:snapToGrid/>
              <w:spacing w:line="400" w:lineRule="exact"/>
              <w:jc w:val="center"/>
              <w:rPr>
                <w:rFonts w:hint="eastAsia" w:ascii="新宋体" w:hAnsi="新宋体" w:eastAsia="新宋体" w:cs="新宋体"/>
                <w:color w:val="000000" w:themeColor="text1"/>
                <w:sz w:val="21"/>
                <w:szCs w:val="21"/>
                <w14:textFill>
                  <w14:solidFill>
                    <w14:schemeClr w14:val="tx1"/>
                  </w14:solidFill>
                </w14:textFill>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67599">
            <w:pPr>
              <w:widowControl/>
              <w:adjustRightInd/>
              <w:snapToGrid/>
              <w:spacing w:line="400" w:lineRule="exact"/>
              <w:jc w:val="center"/>
              <w:rPr>
                <w:rFonts w:hint="eastAsia" w:ascii="新宋体" w:hAnsi="新宋体" w:eastAsia="新宋体" w:cs="新宋体"/>
                <w:color w:val="000000" w:themeColor="text1"/>
                <w:sz w:val="21"/>
                <w:szCs w:val="21"/>
                <w14:textFill>
                  <w14:solidFill>
                    <w14:schemeClr w14:val="tx1"/>
                  </w14:solidFill>
                </w14:textFill>
              </w:rPr>
            </w:pPr>
          </w:p>
        </w:tc>
        <w:tc>
          <w:tcPr>
            <w:tcW w:w="6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4B4CE">
            <w:pPr>
              <w:widowControl/>
              <w:adjustRightInd/>
              <w:snapToGrid/>
              <w:spacing w:line="400" w:lineRule="exact"/>
              <w:jc w:val="left"/>
              <w:rPr>
                <w:rFonts w:hint="eastAsia" w:ascii="新宋体" w:hAnsi="新宋体" w:eastAsia="新宋体" w:cs="新宋体"/>
                <w:color w:val="000000" w:themeColor="text1"/>
                <w:sz w:val="21"/>
                <w:szCs w:val="21"/>
                <w14:textFill>
                  <w14:solidFill>
                    <w14:schemeClr w14:val="tx1"/>
                  </w14:solidFill>
                </w14:textFill>
              </w:rPr>
            </w:pPr>
          </w:p>
        </w:tc>
      </w:tr>
      <w:tr w14:paraId="4E2E3965">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7732">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5</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C53495">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高空抛物摄像机监视器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0F6E">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FC083">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D8FF">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1、屏幕尺寸≥24寸；</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2、显示模式（同等或优于）：16：9；</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 xml:space="preserve">3、分辨率：≥1920x1080； </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4、可视角度：≥178°/178°；</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5、亮度：≥270cd/㎡；</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6、微边框全面屏，屏占比</w:t>
            </w:r>
            <w:r>
              <w:rPr>
                <w:rStyle w:val="72"/>
                <w:rFonts w:hint="eastAsia" w:ascii="新宋体" w:hAnsi="新宋体" w:eastAsia="新宋体" w:cs="新宋体"/>
                <w:color w:val="000000" w:themeColor="text1"/>
                <w:sz w:val="21"/>
                <w:szCs w:val="21"/>
                <w:lang w:bidi="ar"/>
                <w14:textFill>
                  <w14:solidFill>
                    <w14:schemeClr w14:val="tx1"/>
                  </w14:solidFill>
                </w14:textFill>
              </w:rPr>
              <w:t>≥96%</w:t>
            </w:r>
            <w:r>
              <w:rPr>
                <w:rStyle w:val="73"/>
                <w:rFonts w:hint="eastAsia" w:ascii="新宋体" w:hAnsi="新宋体" w:eastAsia="新宋体" w:cs="新宋体"/>
                <w:color w:val="000000" w:themeColor="text1"/>
                <w:sz w:val="21"/>
                <w:szCs w:val="21"/>
                <w:lang w:bidi="ar"/>
                <w14:textFill>
                  <w14:solidFill>
                    <w14:schemeClr w14:val="tx1"/>
                  </w14:solidFill>
                </w14:textFill>
              </w:rPr>
              <w:t xml:space="preserve">，具备滤蓝光屏功能； </w:t>
            </w:r>
            <w:r>
              <w:rPr>
                <w:rStyle w:val="73"/>
                <w:rFonts w:hint="eastAsia" w:ascii="新宋体" w:hAnsi="新宋体" w:eastAsia="新宋体" w:cs="新宋体"/>
                <w:color w:val="000000" w:themeColor="text1"/>
                <w:sz w:val="21"/>
                <w:szCs w:val="21"/>
                <w:lang w:bidi="ar"/>
                <w14:textFill>
                  <w14:solidFill>
                    <w14:schemeClr w14:val="tx1"/>
                  </w14:solidFill>
                </w14:textFill>
              </w:rPr>
              <w:br w:type="textWrapping"/>
            </w:r>
            <w:r>
              <w:rPr>
                <w:rStyle w:val="73"/>
                <w:rFonts w:hint="eastAsia" w:ascii="新宋体" w:hAnsi="新宋体" w:eastAsia="新宋体" w:cs="新宋体"/>
                <w:color w:val="000000" w:themeColor="text1"/>
                <w:sz w:val="21"/>
                <w:szCs w:val="21"/>
                <w:lang w:bidi="ar"/>
                <w14:textFill>
                  <w14:solidFill>
                    <w14:schemeClr w14:val="tx1"/>
                  </w14:solidFill>
                </w14:textFill>
              </w:rPr>
              <w:t>7、色深：≥8Bit；</w:t>
            </w:r>
            <w:r>
              <w:rPr>
                <w:rStyle w:val="73"/>
                <w:rFonts w:hint="eastAsia" w:ascii="新宋体" w:hAnsi="新宋体" w:eastAsia="新宋体" w:cs="新宋体"/>
                <w:color w:val="000000" w:themeColor="text1"/>
                <w:sz w:val="21"/>
                <w:szCs w:val="21"/>
                <w:lang w:bidi="ar"/>
                <w14:textFill>
                  <w14:solidFill>
                    <w14:schemeClr w14:val="tx1"/>
                  </w14:solidFill>
                </w14:textFill>
              </w:rPr>
              <w:br w:type="textWrapping"/>
            </w:r>
            <w:r>
              <w:rPr>
                <w:rStyle w:val="73"/>
                <w:rFonts w:hint="eastAsia" w:ascii="新宋体" w:hAnsi="新宋体" w:eastAsia="新宋体" w:cs="新宋体"/>
                <w:color w:val="000000" w:themeColor="text1"/>
                <w:sz w:val="21"/>
                <w:szCs w:val="21"/>
                <w:lang w:bidi="ar"/>
                <w14:textFill>
                  <w14:solidFill>
                    <w14:schemeClr w14:val="tx1"/>
                  </w14:solidFill>
                </w14:textFill>
              </w:rPr>
              <w:t>8、至少支持1670万色数；</w:t>
            </w:r>
            <w:r>
              <w:rPr>
                <w:rStyle w:val="73"/>
                <w:rFonts w:hint="eastAsia" w:ascii="新宋体" w:hAnsi="新宋体" w:eastAsia="新宋体" w:cs="新宋体"/>
                <w:color w:val="000000" w:themeColor="text1"/>
                <w:sz w:val="21"/>
                <w:szCs w:val="21"/>
                <w:lang w:bidi="ar"/>
                <w14:textFill>
                  <w14:solidFill>
                    <w14:schemeClr w14:val="tx1"/>
                  </w14:solidFill>
                </w14:textFill>
              </w:rPr>
              <w:br w:type="textWrapping"/>
            </w:r>
            <w:r>
              <w:rPr>
                <w:rStyle w:val="73"/>
                <w:rFonts w:hint="eastAsia" w:ascii="新宋体" w:hAnsi="新宋体" w:eastAsia="新宋体" w:cs="新宋体"/>
                <w:color w:val="000000" w:themeColor="text1"/>
                <w:sz w:val="21"/>
                <w:szCs w:val="21"/>
                <w:lang w:bidi="ar"/>
                <w14:textFill>
                  <w14:solidFill>
                    <w14:schemeClr w14:val="tx1"/>
                  </w14:solidFill>
                </w14:textFill>
              </w:rPr>
              <w:t>9、刷新率：≥60Hz；</w:t>
            </w:r>
            <w:r>
              <w:rPr>
                <w:rStyle w:val="73"/>
                <w:rFonts w:hint="eastAsia" w:ascii="新宋体" w:hAnsi="新宋体" w:eastAsia="新宋体" w:cs="新宋体"/>
                <w:color w:val="000000" w:themeColor="text1"/>
                <w:sz w:val="21"/>
                <w:szCs w:val="21"/>
                <w:lang w:bidi="ar"/>
                <w14:textFill>
                  <w14:solidFill>
                    <w14:schemeClr w14:val="tx1"/>
                  </w14:solidFill>
                </w14:textFill>
              </w:rPr>
              <w:br w:type="textWrapping"/>
            </w:r>
            <w:r>
              <w:rPr>
                <w:rStyle w:val="73"/>
                <w:rFonts w:hint="eastAsia" w:ascii="新宋体" w:hAnsi="新宋体" w:eastAsia="新宋体" w:cs="新宋体"/>
                <w:color w:val="000000" w:themeColor="text1"/>
                <w:sz w:val="21"/>
                <w:szCs w:val="21"/>
                <w:lang w:bidi="ar"/>
                <w14:textFill>
                  <w14:solidFill>
                    <w14:schemeClr w14:val="tx1"/>
                  </w14:solidFill>
                </w14:textFill>
              </w:rPr>
              <w:t>10、接口：≥HDMI*1，≥VGA*1；</w:t>
            </w:r>
            <w:r>
              <w:rPr>
                <w:rStyle w:val="73"/>
                <w:rFonts w:hint="eastAsia" w:ascii="新宋体" w:hAnsi="新宋体" w:eastAsia="新宋体" w:cs="新宋体"/>
                <w:color w:val="000000" w:themeColor="text1"/>
                <w:sz w:val="21"/>
                <w:szCs w:val="21"/>
                <w:lang w:bidi="ar"/>
                <w14:textFill>
                  <w14:solidFill>
                    <w14:schemeClr w14:val="tx1"/>
                  </w14:solidFill>
                </w14:textFill>
              </w:rPr>
              <w:br w:type="textWrapping"/>
            </w:r>
            <w:r>
              <w:rPr>
                <w:rStyle w:val="73"/>
                <w:rFonts w:hint="eastAsia" w:ascii="新宋体" w:hAnsi="新宋体" w:eastAsia="新宋体" w:cs="新宋体"/>
                <w:color w:val="000000" w:themeColor="text1"/>
                <w:sz w:val="21"/>
                <w:szCs w:val="21"/>
                <w:lang w:bidi="ar"/>
                <w14:textFill>
                  <w14:solidFill>
                    <w14:schemeClr w14:val="tx1"/>
                  </w14:solidFill>
                </w14:textFill>
              </w:rPr>
              <w:t>11、内置立体声喇叭；</w:t>
            </w:r>
            <w:r>
              <w:rPr>
                <w:rStyle w:val="73"/>
                <w:rFonts w:hint="eastAsia" w:ascii="新宋体" w:hAnsi="新宋体" w:eastAsia="新宋体" w:cs="新宋体"/>
                <w:color w:val="000000" w:themeColor="text1"/>
                <w:sz w:val="21"/>
                <w:szCs w:val="21"/>
                <w:lang w:bidi="ar"/>
                <w14:textFill>
                  <w14:solidFill>
                    <w14:schemeClr w14:val="tx1"/>
                  </w14:solidFill>
                </w14:textFill>
              </w:rPr>
              <w:br w:type="textWrapping"/>
            </w:r>
            <w:r>
              <w:rPr>
                <w:rStyle w:val="73"/>
                <w:rFonts w:hint="eastAsia" w:ascii="新宋体" w:hAnsi="新宋体" w:eastAsia="新宋体" w:cs="新宋体"/>
                <w:color w:val="000000" w:themeColor="text1"/>
                <w:sz w:val="21"/>
                <w:szCs w:val="21"/>
                <w:lang w:bidi="ar"/>
                <w14:textFill>
                  <w14:solidFill>
                    <w14:schemeClr w14:val="tx1"/>
                  </w14:solidFill>
                </w14:textFill>
              </w:rPr>
              <w:t>12、配备防火塑壳，支持壁挂，配备底座。</w:t>
            </w:r>
          </w:p>
        </w:tc>
      </w:tr>
      <w:tr w14:paraId="1349EC9A">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0540">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6</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9E5F0">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拼接屏</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82C6">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69032">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 xml:space="preserve">12 </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C509">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1、屏幕单元</w:t>
            </w:r>
            <w:r>
              <w:rPr>
                <w:rFonts w:hint="eastAsia" w:ascii="新宋体" w:hAnsi="新宋体" w:eastAsia="新宋体" w:cs="新宋体"/>
                <w:color w:val="auto"/>
                <w:kern w:val="0"/>
                <w:sz w:val="21"/>
                <w:szCs w:val="21"/>
                <w:lang w:bidi="ar"/>
              </w:rPr>
              <w:t xml:space="preserve">尺寸：≥55寸，类型：DID </w:t>
            </w:r>
            <w:r>
              <w:rPr>
                <w:rFonts w:hint="eastAsia" w:ascii="新宋体" w:hAnsi="新宋体" w:eastAsia="新宋体" w:cs="新宋体"/>
                <w:color w:val="000000" w:themeColor="text1"/>
                <w:kern w:val="0"/>
                <w:sz w:val="21"/>
                <w:szCs w:val="21"/>
                <w:lang w:bidi="ar"/>
                <w14:textFill>
                  <w14:solidFill>
                    <w14:schemeClr w14:val="tx1"/>
                  </w14:solidFill>
                </w14:textFill>
              </w:rPr>
              <w:t>FHD_LED，响应时间：≤8ms。</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2、物理拼接缝隙左右共≤0.88mm，屏幕比例：16:9，可视角度：178°。</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3、屏体亮度：≥500cd/m²，屏幕面板采用原装A+级液晶面板。</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 LED 背光源液晶显示屏, 背光采用点阵式LED灯排列技术，且有校正功能，具有逐点亮度及色度校正功能。</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5、交流电源端：差模0.5kV,共1kV。</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6、需通过高温工作、低温工作、高温存储、低温存储、湿热负载、冷热冲击、恒定湿热等试验。</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7、显示单元漏光度≤0.002cd/㎡。</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8、平均无故障时间MTFB≥120000小时，满足7*24小时工作。</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9、符合GB/Z 39942-2021标准，依据标准进行光生物安全及蓝光危害评估检测无危害类在8h（30000s)曝辐中不造成光化学紫外危害（ES），并在1000s（约16min)内不造成近紫外危害（EUVA），并在10000s（约2.8h）内不造成对视网膜蓝光危害（LB）并在10s内不造成对视网膜热危害（LR），并且在1000s内不造成对眼睛的红外辐射危害（EIR）LB≤100W.m-2 .sr-1。</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10、噪声测试：在专业测试环境中，测试距离=1m，声压级≤34dB。</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11、单元有效显示范围不小于：1209.6mm（H）*680.4mm（V），标准颜色：1.07Billion。</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12、支持DVI、HDMI、VGA、CVBS等信号输入接口。</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13、支持RS485、红外线控两种控制方式。</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14、液晶屏的电源电路具有防雷放电结构。</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15、在最大亮度下运行产生的坏点率不超过 1ppm。</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16、基于保护人体感光变化影响以及节能的效果，液晶屏具有人眼视觉特性曲线进行亮度调节的技术。</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17、节能模式：用户可手动打开节能模式，有效节能大于30%。</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18、黑白平衡调节，针对不同的拼接屏分别调节亮场/暗场的RGB值。</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19、USB播放，内置USB解码模块，支持图片、电影、音乐、电子书的解码播放。音频：支持wma、mp3、wav、flac等文件视频：支持MP4、avi、mkv、rmvb、mov等文件；图片：支持jpg、bmp、png等文件文本：支持txt文件。</w:t>
            </w:r>
          </w:p>
        </w:tc>
      </w:tr>
      <w:tr w14:paraId="76BC8934">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7F6AF">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7</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73187D">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液压前维护支架</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582C">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副</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28D97">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 xml:space="preserve">12 </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0EFE">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1、材质：冷轧钢，表面静电喷塑处理；</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2、尺寸：≥55寸，适配拼接屏；</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3、承重：≥100KG；</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4、自重：≤1KG。</w:t>
            </w:r>
          </w:p>
        </w:tc>
      </w:tr>
      <w:tr w14:paraId="2D19A398">
        <w:tblPrEx>
          <w:tblCellMar>
            <w:top w:w="0" w:type="dxa"/>
            <w:left w:w="108" w:type="dxa"/>
            <w:bottom w:w="0" w:type="dxa"/>
            <w:right w:w="108" w:type="dxa"/>
          </w:tblCellMar>
        </w:tblPrEx>
        <w:trPr>
          <w:trHeight w:val="480"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FF01">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8</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EA30B1">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HDMI线</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E977">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66135">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 xml:space="preserve">12 </w:t>
            </w:r>
          </w:p>
        </w:tc>
        <w:tc>
          <w:tcPr>
            <w:tcW w:w="6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57FE9">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≥10米，符合国家相关标准。</w:t>
            </w:r>
          </w:p>
        </w:tc>
      </w:tr>
      <w:tr w14:paraId="754808BD">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0176">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9</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16E59F">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管理计算机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C485">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FB146">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CF2E">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主机：</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1、CPU型号:同等或优于i5-10400；</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2、内存容量：≥8G DDR4；</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3、硬盘容量: ≥500G SSD；</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4、显存容量: ≥2G；</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5、颜色:黑色；</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显示器：</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1、≥24寸超薄窄边液晶监视器；</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2、显示模式：同等或优于16：9；</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 xml:space="preserve">3、分辨率：≥1920x1080； </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4、可视角度：≥178°/178°；</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5、亮度：≥270cd/㎡；</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6、微边框全面屏，屏占比</w:t>
            </w:r>
            <w:r>
              <w:rPr>
                <w:rStyle w:val="72"/>
                <w:rFonts w:hint="eastAsia" w:ascii="新宋体" w:hAnsi="新宋体" w:eastAsia="新宋体" w:cs="新宋体"/>
                <w:color w:val="000000" w:themeColor="text1"/>
                <w:sz w:val="21"/>
                <w:szCs w:val="21"/>
                <w:lang w:bidi="ar"/>
                <w14:textFill>
                  <w14:solidFill>
                    <w14:schemeClr w14:val="tx1"/>
                  </w14:solidFill>
                </w14:textFill>
              </w:rPr>
              <w:t>≥96%</w:t>
            </w:r>
            <w:r>
              <w:rPr>
                <w:rStyle w:val="73"/>
                <w:rFonts w:hint="eastAsia" w:ascii="新宋体" w:hAnsi="新宋体" w:eastAsia="新宋体" w:cs="新宋体"/>
                <w:color w:val="000000" w:themeColor="text1"/>
                <w:sz w:val="21"/>
                <w:szCs w:val="21"/>
                <w:lang w:bidi="ar"/>
                <w14:textFill>
                  <w14:solidFill>
                    <w14:schemeClr w14:val="tx1"/>
                  </w14:solidFill>
                </w14:textFill>
              </w:rPr>
              <w:t xml:space="preserve">，具备滤蓝光屏功能； </w:t>
            </w:r>
            <w:r>
              <w:rPr>
                <w:rStyle w:val="73"/>
                <w:rFonts w:hint="eastAsia" w:ascii="新宋体" w:hAnsi="新宋体" w:eastAsia="新宋体" w:cs="新宋体"/>
                <w:color w:val="000000" w:themeColor="text1"/>
                <w:sz w:val="21"/>
                <w:szCs w:val="21"/>
                <w:lang w:bidi="ar"/>
                <w14:textFill>
                  <w14:solidFill>
                    <w14:schemeClr w14:val="tx1"/>
                  </w14:solidFill>
                </w14:textFill>
              </w:rPr>
              <w:br w:type="textWrapping"/>
            </w:r>
            <w:r>
              <w:rPr>
                <w:rStyle w:val="73"/>
                <w:rFonts w:hint="eastAsia" w:ascii="新宋体" w:hAnsi="新宋体" w:eastAsia="新宋体" w:cs="新宋体"/>
                <w:color w:val="000000" w:themeColor="text1"/>
                <w:sz w:val="21"/>
                <w:szCs w:val="21"/>
                <w:lang w:bidi="ar"/>
                <w14:textFill>
                  <w14:solidFill>
                    <w14:schemeClr w14:val="tx1"/>
                  </w14:solidFill>
                </w14:textFill>
              </w:rPr>
              <w:t>7、色深：≥8Bit；</w:t>
            </w:r>
            <w:r>
              <w:rPr>
                <w:rStyle w:val="73"/>
                <w:rFonts w:hint="eastAsia" w:ascii="新宋体" w:hAnsi="新宋体" w:eastAsia="新宋体" w:cs="新宋体"/>
                <w:color w:val="000000" w:themeColor="text1"/>
                <w:sz w:val="21"/>
                <w:szCs w:val="21"/>
                <w:lang w:bidi="ar"/>
                <w14:textFill>
                  <w14:solidFill>
                    <w14:schemeClr w14:val="tx1"/>
                  </w14:solidFill>
                </w14:textFill>
              </w:rPr>
              <w:br w:type="textWrapping"/>
            </w:r>
            <w:r>
              <w:rPr>
                <w:rStyle w:val="73"/>
                <w:rFonts w:hint="eastAsia" w:ascii="新宋体" w:hAnsi="新宋体" w:eastAsia="新宋体" w:cs="新宋体"/>
                <w:color w:val="000000" w:themeColor="text1"/>
                <w:sz w:val="21"/>
                <w:szCs w:val="21"/>
                <w:lang w:bidi="ar"/>
                <w14:textFill>
                  <w14:solidFill>
                    <w14:schemeClr w14:val="tx1"/>
                  </w14:solidFill>
                </w14:textFill>
              </w:rPr>
              <w:t>8、至少支持1670万色数；</w:t>
            </w:r>
            <w:r>
              <w:rPr>
                <w:rStyle w:val="73"/>
                <w:rFonts w:hint="eastAsia" w:ascii="新宋体" w:hAnsi="新宋体" w:eastAsia="新宋体" w:cs="新宋体"/>
                <w:color w:val="000000" w:themeColor="text1"/>
                <w:sz w:val="21"/>
                <w:szCs w:val="21"/>
                <w:lang w:bidi="ar"/>
                <w14:textFill>
                  <w14:solidFill>
                    <w14:schemeClr w14:val="tx1"/>
                  </w14:solidFill>
                </w14:textFill>
              </w:rPr>
              <w:br w:type="textWrapping"/>
            </w:r>
            <w:r>
              <w:rPr>
                <w:rStyle w:val="73"/>
                <w:rFonts w:hint="eastAsia" w:ascii="新宋体" w:hAnsi="新宋体" w:eastAsia="新宋体" w:cs="新宋体"/>
                <w:color w:val="000000" w:themeColor="text1"/>
                <w:sz w:val="21"/>
                <w:szCs w:val="21"/>
                <w:lang w:bidi="ar"/>
                <w14:textFill>
                  <w14:solidFill>
                    <w14:schemeClr w14:val="tx1"/>
                  </w14:solidFill>
                </w14:textFill>
              </w:rPr>
              <w:t>9、刷新率：≥60Hz；</w:t>
            </w:r>
            <w:r>
              <w:rPr>
                <w:rStyle w:val="73"/>
                <w:rFonts w:hint="eastAsia" w:ascii="新宋体" w:hAnsi="新宋体" w:eastAsia="新宋体" w:cs="新宋体"/>
                <w:color w:val="000000" w:themeColor="text1"/>
                <w:sz w:val="21"/>
                <w:szCs w:val="21"/>
                <w:lang w:bidi="ar"/>
                <w14:textFill>
                  <w14:solidFill>
                    <w14:schemeClr w14:val="tx1"/>
                  </w14:solidFill>
                </w14:textFill>
              </w:rPr>
              <w:br w:type="textWrapping"/>
            </w:r>
            <w:r>
              <w:rPr>
                <w:rStyle w:val="73"/>
                <w:rFonts w:hint="eastAsia" w:ascii="新宋体" w:hAnsi="新宋体" w:eastAsia="新宋体" w:cs="新宋体"/>
                <w:color w:val="000000" w:themeColor="text1"/>
                <w:sz w:val="21"/>
                <w:szCs w:val="21"/>
                <w:lang w:bidi="ar"/>
                <w14:textFill>
                  <w14:solidFill>
                    <w14:schemeClr w14:val="tx1"/>
                  </w14:solidFill>
                </w14:textFill>
              </w:rPr>
              <w:t>10、接口：≥HDMI*1，≥VGA*1；</w:t>
            </w:r>
            <w:r>
              <w:rPr>
                <w:rStyle w:val="73"/>
                <w:rFonts w:hint="eastAsia" w:ascii="新宋体" w:hAnsi="新宋体" w:eastAsia="新宋体" w:cs="新宋体"/>
                <w:color w:val="000000" w:themeColor="text1"/>
                <w:sz w:val="21"/>
                <w:szCs w:val="21"/>
                <w:lang w:bidi="ar"/>
                <w14:textFill>
                  <w14:solidFill>
                    <w14:schemeClr w14:val="tx1"/>
                  </w14:solidFill>
                </w14:textFill>
              </w:rPr>
              <w:br w:type="textWrapping"/>
            </w:r>
            <w:r>
              <w:rPr>
                <w:rStyle w:val="73"/>
                <w:rFonts w:hint="eastAsia" w:ascii="新宋体" w:hAnsi="新宋体" w:eastAsia="新宋体" w:cs="新宋体"/>
                <w:color w:val="000000" w:themeColor="text1"/>
                <w:sz w:val="21"/>
                <w:szCs w:val="21"/>
                <w:lang w:bidi="ar"/>
                <w14:textFill>
                  <w14:solidFill>
                    <w14:schemeClr w14:val="tx1"/>
                  </w14:solidFill>
                </w14:textFill>
              </w:rPr>
              <w:t>11、内置立体声喇叭；</w:t>
            </w:r>
            <w:r>
              <w:rPr>
                <w:rStyle w:val="73"/>
                <w:rFonts w:hint="eastAsia" w:ascii="新宋体" w:hAnsi="新宋体" w:eastAsia="新宋体" w:cs="新宋体"/>
                <w:color w:val="000000" w:themeColor="text1"/>
                <w:sz w:val="21"/>
                <w:szCs w:val="21"/>
                <w:lang w:bidi="ar"/>
                <w14:textFill>
                  <w14:solidFill>
                    <w14:schemeClr w14:val="tx1"/>
                  </w14:solidFill>
                </w14:textFill>
              </w:rPr>
              <w:br w:type="textWrapping"/>
            </w:r>
            <w:r>
              <w:rPr>
                <w:rStyle w:val="73"/>
                <w:rFonts w:hint="eastAsia" w:ascii="新宋体" w:hAnsi="新宋体" w:eastAsia="新宋体" w:cs="新宋体"/>
                <w:color w:val="000000" w:themeColor="text1"/>
                <w:sz w:val="21"/>
                <w:szCs w:val="21"/>
                <w:lang w:bidi="ar"/>
                <w14:textFill>
                  <w14:solidFill>
                    <w14:schemeClr w14:val="tx1"/>
                  </w14:solidFill>
                </w14:textFill>
              </w:rPr>
              <w:t>12、配备防火塑壳，支持壁挂，配备底座。</w:t>
            </w:r>
          </w:p>
        </w:tc>
      </w:tr>
      <w:tr w14:paraId="3A8D131E">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20C8">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10</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C67A3">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落地机柜</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3794">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F1E6A">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2</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7E1F">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1、板材厚度：≥0.8mm；</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2、深度：≥600mm；</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3、容量：≥20U；</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4、宽度：约600mm；</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5、高度：约1200mm；</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6、配备PDU≥4个。</w:t>
            </w:r>
          </w:p>
        </w:tc>
      </w:tr>
      <w:tr w14:paraId="1F39A469">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8F73">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11</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F59F7">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光纤收发器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E74B">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0AB72">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9</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324B">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1、≥1个10/100/1000Mbps自适应RJ45电口；</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2、≥1个1000Mbps SC光口；</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3、传输距离：≥3km；</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4、非网管型光纤收发器。</w:t>
            </w:r>
          </w:p>
        </w:tc>
      </w:tr>
      <w:tr w14:paraId="394F14CD">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F7E8">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12</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C20BAE">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光纤收发器配件</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1D81">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3D8FE">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9</w:t>
            </w:r>
          </w:p>
        </w:tc>
        <w:tc>
          <w:tcPr>
            <w:tcW w:w="6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F67B4">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配备尾纤、跳线、耦合器、熔纤盒等配件，满足项目需要。</w:t>
            </w:r>
          </w:p>
        </w:tc>
      </w:tr>
      <w:tr w14:paraId="28A44F00">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EA96">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13</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43CA1">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核心交换机</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7CE17">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51346">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5BB0">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1、整机独立管理模块插槽≥2个，独立业务模块插槽≥6个，系统电源槽位≥4个。</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2、要求实配千兆电口≥48个，千兆光口≥24个，万兆光口≥4个，且实际可用端口总数≥76个。</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2、采用紧凑型机框设计，设备高度≤9U。</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3、交换容量≥20.8Tbps，包转发性能≥2880Mpps。</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4、设备防雷不低于6KV。</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5、要求设备主控板支持1+1冗余备份，电源支持N+M冗余备份。</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6、支持对交换机、无线AP进行统一管理，管理的交换机、无线AP设备数量≥150台。</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7、支持网管平台和手机APP集中管理，实配网管平台，出现交换机端口状态改变、网络出现环路、交换机端口流量过阀值等问题通过微信告警推送保留测试权力。</w:t>
            </w:r>
          </w:p>
        </w:tc>
      </w:tr>
      <w:tr w14:paraId="6E2D4018">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5A92">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14</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50320">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视频监控系统联合调试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DB532">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A025A">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6301">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包含本次采购标的的安装及所有系统调试、系统工程试运行。</w:t>
            </w:r>
          </w:p>
        </w:tc>
      </w:tr>
      <w:tr w14:paraId="4FB87EE1">
        <w:tblPrEx>
          <w:tblCellMar>
            <w:top w:w="0" w:type="dxa"/>
            <w:left w:w="108" w:type="dxa"/>
            <w:bottom w:w="0" w:type="dxa"/>
            <w:right w:w="108" w:type="dxa"/>
          </w:tblCellMar>
        </w:tblPrEx>
        <w:tc>
          <w:tcPr>
            <w:tcW w:w="9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98BD983">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前端部分</w:t>
            </w:r>
          </w:p>
        </w:tc>
      </w:tr>
      <w:tr w14:paraId="315E495C">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E453">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序号</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861EC">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标的名称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52E3">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F3A6">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数量</w:t>
            </w:r>
          </w:p>
        </w:tc>
        <w:tc>
          <w:tcPr>
            <w:tcW w:w="6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ED919">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技术要求</w:t>
            </w:r>
          </w:p>
        </w:tc>
      </w:tr>
      <w:tr w14:paraId="751B22A3">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717AC">
            <w:pPr>
              <w:widowControl/>
              <w:adjustRightInd/>
              <w:snapToGrid/>
              <w:spacing w:line="400" w:lineRule="exact"/>
              <w:jc w:val="center"/>
              <w:textAlignment w:val="center"/>
              <w:rPr>
                <w:rFonts w:hint="eastAsia"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w:t>
            </w:r>
            <w:r>
              <w:rPr>
                <w:rFonts w:hint="eastAsia" w:ascii="新宋体" w:hAnsi="新宋体" w:eastAsia="新宋体" w:cs="新宋体"/>
                <w:color w:val="000000" w:themeColor="text1"/>
                <w:kern w:val="0"/>
                <w:sz w:val="21"/>
                <w:szCs w:val="21"/>
                <w:lang w:val="en-US" w:eastAsia="zh-CN" w:bidi="ar"/>
                <w14:textFill>
                  <w14:solidFill>
                    <w14:schemeClr w14:val="tx1"/>
                  </w14:solidFill>
                </w14:textFill>
              </w:rPr>
              <w:t>5</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FC1F63">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弱电设备箱</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5FC15">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B7FB3">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47</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B758">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1、材质：冷轧钢板；</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2、板材厚度：≥1.2mm；</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3、壳体防护等级：同等或优于IP56；</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4、规格：约500mm×400mm×180mm，根据现场实际情况定制。</w:t>
            </w:r>
          </w:p>
        </w:tc>
      </w:tr>
      <w:tr w14:paraId="5CF80C3B">
        <w:tblPrEx>
          <w:tblCellMar>
            <w:top w:w="0" w:type="dxa"/>
            <w:left w:w="108" w:type="dxa"/>
            <w:bottom w:w="0" w:type="dxa"/>
            <w:right w:w="108" w:type="dxa"/>
          </w:tblCellMar>
        </w:tblPrEx>
        <w:trPr>
          <w:trHeight w:val="525"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F1008">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16</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AAD3DF">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排插</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96E6D">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C95B3">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78</w:t>
            </w:r>
          </w:p>
        </w:tc>
        <w:tc>
          <w:tcPr>
            <w:tcW w:w="6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79E06">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≥6位不带线插座，符合国家相关标准。</w:t>
            </w:r>
          </w:p>
        </w:tc>
      </w:tr>
      <w:tr w14:paraId="43FCCDFF">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16BC7">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17</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4ED5BB">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高清网络数字筒型摄像机</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987C2">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A4D02">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523</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A31D">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1、≥400万 1/2.7" CMOS ICR 红外阵列筒型网络摄像机；</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2、最低照度: 彩色：≤0.005 Lux @（F1.2，AGC ON），0 Lux with IR；</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3、宽动态: 数字宽动态；</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4、焦距&amp;视场角:</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（1）4 mm，水平视场角：≥75.3°，垂直视场角：≥41.4°，对角视场角：≥88.2°；</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（2）6 mm，水平视场角：≥49°，垂直视场角：≥26.3°，对角视场角：≥57.2°；</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（3）8 mm，水平视场角：≥37.5°，垂直视场角：≥20.7°，对角视场角：≥43.3°；</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（4）12 mm，水平视场角：≥23.4°，垂直视场角：≥13.3°，对角视场角：≥26.8°；</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5、红外波长范围: ≥ 850 nm；</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6、具备防补光过曝功能；</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7、红外灯补光距离: ≥50 m；</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8、图像尺寸: ≥2560×1440；</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9、视频压缩标准: 主码流：同等或优于H.265/H.264；</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10、音频: ≥1个内置麦克风；</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11、网络: ≥1个RJ45 10 M/100 M自适应以太网口；</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12、启动及工作温湿度: 至少包含-10℃～60 ℃，湿度＜95%（无凝结）；</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13、存储温湿度: 至少包含-10℃～60 ℃，湿度＜95%（无凝结）；</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14、供电方式:</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（1）DC：12 V ± 25%，具备防反接保护功能；</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（2）PoE：同等或优于802.3af，Class 3；</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 xml:space="preserve">15、电流及功耗: </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（1）DC：12 V，0.4 A，功耗：≤5 W；</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（2）PoE：802.3af，36 V～57 V，0.2 A～0.15 A，功耗：≤6.5 W；</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16、电源接口类型: 约Φ 5.5 mm，圆口，防护: 同等或优于IP66。</w:t>
            </w:r>
          </w:p>
        </w:tc>
      </w:tr>
      <w:tr w14:paraId="7029E1D9">
        <w:tblPrEx>
          <w:tblCellMar>
            <w:top w:w="0" w:type="dxa"/>
            <w:left w:w="108" w:type="dxa"/>
            <w:bottom w:w="0" w:type="dxa"/>
            <w:right w:w="108" w:type="dxa"/>
          </w:tblCellMar>
        </w:tblPrEx>
        <w:trPr>
          <w:trHeight w:val="6645"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65824">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18</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9CC8E8">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高清带录音网络数字筒型摄像机</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DAADD">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D15C0">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31</w:t>
            </w:r>
          </w:p>
        </w:tc>
        <w:tc>
          <w:tcPr>
            <w:tcW w:w="6660" w:type="dxa"/>
            <w:tcBorders>
              <w:top w:val="single" w:color="000000" w:sz="4" w:space="0"/>
              <w:left w:val="single" w:color="000000" w:sz="4" w:space="0"/>
              <w:bottom w:val="single" w:color="000000" w:sz="4" w:space="0"/>
              <w:right w:val="single" w:color="000000" w:sz="4" w:space="0"/>
            </w:tcBorders>
            <w:shd w:val="clear" w:color="auto" w:fill="auto"/>
          </w:tcPr>
          <w:p w14:paraId="0C45A3E9">
            <w:pPr>
              <w:widowControl/>
              <w:adjustRightInd/>
              <w:snapToGrid/>
              <w:spacing w:line="400" w:lineRule="exact"/>
              <w:jc w:val="left"/>
              <w:textAlignment w:val="top"/>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1、设备支持≥800万像素，≥F1.0超大光圈镜头。</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2、支持背光补偿，强光抑制，3D数字降噪，支持宽动态≥120 dB。</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3、支持ROI感兴趣区域增强编码，支持Smart265/264编码，可根据场景情况自适应调整码率分配，支持H.264、H.265视频编码格式，且具有High Profile编码能力。</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4、支持三码流技术，主码流分辨率不小于3840x2160@20fps，子码流不小于1280x720@20fps，三码流不小于1280x720@1fps。</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5、最低照度彩色≤0.0005 lx，最大亮度鉴别等级不小于11级，支持在3840*2160@20fps下,水平分辨力不小于2100TVL。</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6、具有RTSP和WEB认证模式，具有RTSP认证、WEB认证摘要信息加密设置，加密算法可设置为MD5、SHA256及MD5/SHA256。</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7、同一静止场景相同图像质量下，设备在H.264或H.265编码方式时，开启智能编码功能和不开启智能编码相比，码率节约≥80%。</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8、支持电源电源在DC12V±25%范围内变化时正常工作，支持PoE供电。</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9、支持柔光灯补光，照射距离≥30 m。</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10、设备内置≥1个麦克风，支持≥IP66防护等级。</w:t>
            </w:r>
          </w:p>
        </w:tc>
      </w:tr>
      <w:tr w14:paraId="25EC0CA1">
        <w:tblPrEx>
          <w:tblCellMar>
            <w:top w:w="0" w:type="dxa"/>
            <w:left w:w="108" w:type="dxa"/>
            <w:bottom w:w="0" w:type="dxa"/>
            <w:right w:w="108" w:type="dxa"/>
          </w:tblCellMar>
        </w:tblPrEx>
        <w:trPr>
          <w:trHeight w:val="400" w:hRule="atLeast"/>
        </w:trPr>
        <w:tc>
          <w:tcPr>
            <w:tcW w:w="4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088C6">
            <w:pPr>
              <w:widowControl/>
              <w:adjustRightInd/>
              <w:snapToGrid/>
              <w:spacing w:line="400" w:lineRule="exact"/>
              <w:jc w:val="center"/>
              <w:textAlignment w:val="center"/>
              <w:rPr>
                <w:rFonts w:hint="eastAsia" w:ascii="新宋体" w:hAnsi="新宋体" w:eastAsia="新宋体" w:cs="新宋体"/>
                <w:color w:val="000000" w:themeColor="text1"/>
                <w:sz w:val="21"/>
                <w:szCs w:val="21"/>
                <w:lang w:val="en-US" w:eastAsia="zh-CN"/>
                <w14:textFill>
                  <w14:solidFill>
                    <w14:schemeClr w14:val="tx1"/>
                  </w14:solidFill>
                </w14:textFill>
              </w:rPr>
            </w:pPr>
          </w:p>
          <w:p w14:paraId="6FAC1E6A">
            <w:pPr>
              <w:widowControl/>
              <w:adjustRightInd/>
              <w:snapToGrid/>
              <w:spacing w:line="400" w:lineRule="exact"/>
              <w:jc w:val="center"/>
              <w:textAlignment w:val="center"/>
              <w:rPr>
                <w:rFonts w:hint="eastAsia" w:ascii="新宋体" w:hAnsi="新宋体" w:eastAsia="新宋体" w:cs="新宋体"/>
                <w:color w:val="000000" w:themeColor="text1"/>
                <w:sz w:val="21"/>
                <w:szCs w:val="21"/>
                <w:lang w:val="en-US" w:eastAsia="zh-CN"/>
                <w14:textFill>
                  <w14:solidFill>
                    <w14:schemeClr w14:val="tx1"/>
                  </w14:solidFill>
                </w14:textFill>
              </w:rPr>
            </w:pPr>
          </w:p>
          <w:p w14:paraId="0B0846B3">
            <w:pPr>
              <w:widowControl/>
              <w:adjustRightInd/>
              <w:snapToGrid/>
              <w:spacing w:line="400" w:lineRule="exact"/>
              <w:jc w:val="center"/>
              <w:textAlignment w:val="center"/>
              <w:rPr>
                <w:rFonts w:hint="eastAsia" w:ascii="新宋体" w:hAnsi="新宋体" w:eastAsia="新宋体" w:cs="新宋体"/>
                <w:color w:val="000000" w:themeColor="text1"/>
                <w:sz w:val="21"/>
                <w:szCs w:val="21"/>
                <w:lang w:val="en-US" w:eastAsia="zh-CN"/>
                <w14:textFill>
                  <w14:solidFill>
                    <w14:schemeClr w14:val="tx1"/>
                  </w14:solidFill>
                </w14:textFill>
              </w:rPr>
            </w:pPr>
          </w:p>
          <w:p w14:paraId="179F5076">
            <w:pPr>
              <w:widowControl/>
              <w:adjustRightInd/>
              <w:snapToGrid/>
              <w:spacing w:line="400" w:lineRule="exact"/>
              <w:jc w:val="center"/>
              <w:textAlignment w:val="center"/>
              <w:rPr>
                <w:rFonts w:hint="eastAsia" w:ascii="新宋体" w:hAnsi="新宋体" w:eastAsia="新宋体" w:cs="新宋体"/>
                <w:color w:val="000000" w:themeColor="text1"/>
                <w:sz w:val="21"/>
                <w:szCs w:val="21"/>
                <w:lang w:val="en-US" w:eastAsia="zh-CN"/>
                <w14:textFill>
                  <w14:solidFill>
                    <w14:schemeClr w14:val="tx1"/>
                  </w14:solidFill>
                </w14:textFill>
              </w:rPr>
            </w:pPr>
          </w:p>
          <w:p w14:paraId="652B59F7">
            <w:pPr>
              <w:widowControl/>
              <w:adjustRightInd/>
              <w:snapToGrid/>
              <w:spacing w:line="400" w:lineRule="exact"/>
              <w:jc w:val="center"/>
              <w:textAlignment w:val="center"/>
              <w:rPr>
                <w:rFonts w:hint="eastAsia" w:ascii="新宋体" w:hAnsi="新宋体" w:eastAsia="新宋体" w:cs="新宋体"/>
                <w:color w:val="000000" w:themeColor="text1"/>
                <w:sz w:val="21"/>
                <w:szCs w:val="21"/>
                <w:lang w:val="en-US" w:eastAsia="zh-CN"/>
                <w14:textFill>
                  <w14:solidFill>
                    <w14:schemeClr w14:val="tx1"/>
                  </w14:solidFill>
                </w14:textFill>
              </w:rPr>
            </w:pPr>
          </w:p>
          <w:p w14:paraId="610F7A25">
            <w:pPr>
              <w:widowControl/>
              <w:adjustRightInd/>
              <w:snapToGrid/>
              <w:spacing w:line="400" w:lineRule="exact"/>
              <w:jc w:val="center"/>
              <w:textAlignment w:val="center"/>
              <w:rPr>
                <w:rFonts w:hint="eastAsia" w:ascii="新宋体" w:hAnsi="新宋体" w:eastAsia="新宋体" w:cs="新宋体"/>
                <w:color w:val="000000" w:themeColor="text1"/>
                <w:sz w:val="21"/>
                <w:szCs w:val="21"/>
                <w:lang w:val="en-US" w:eastAsia="zh-CN"/>
                <w14:textFill>
                  <w14:solidFill>
                    <w14:schemeClr w14:val="tx1"/>
                  </w14:solidFill>
                </w14:textFill>
              </w:rPr>
            </w:pPr>
          </w:p>
          <w:p w14:paraId="0EBC076F">
            <w:pPr>
              <w:widowControl/>
              <w:adjustRightInd/>
              <w:snapToGrid/>
              <w:spacing w:line="400" w:lineRule="exact"/>
              <w:jc w:val="center"/>
              <w:textAlignment w:val="center"/>
              <w:rPr>
                <w:rFonts w:hint="eastAsia" w:ascii="新宋体" w:hAnsi="新宋体" w:eastAsia="新宋体" w:cs="新宋体"/>
                <w:color w:val="000000" w:themeColor="text1"/>
                <w:sz w:val="21"/>
                <w:szCs w:val="21"/>
                <w:lang w:val="en-US" w:eastAsia="zh-CN"/>
                <w14:textFill>
                  <w14:solidFill>
                    <w14:schemeClr w14:val="tx1"/>
                  </w14:solidFill>
                </w14:textFill>
              </w:rPr>
            </w:pPr>
          </w:p>
          <w:p w14:paraId="270C9DB7">
            <w:pPr>
              <w:widowControl/>
              <w:adjustRightInd/>
              <w:snapToGrid/>
              <w:spacing w:line="400" w:lineRule="exact"/>
              <w:jc w:val="center"/>
              <w:textAlignment w:val="center"/>
              <w:rPr>
                <w:rFonts w:hint="eastAsia" w:ascii="新宋体" w:hAnsi="新宋体" w:eastAsia="新宋体" w:cs="新宋体"/>
                <w:color w:val="000000" w:themeColor="text1"/>
                <w:sz w:val="21"/>
                <w:szCs w:val="21"/>
                <w:lang w:val="en-US" w:eastAsia="zh-CN"/>
                <w14:textFill>
                  <w14:solidFill>
                    <w14:schemeClr w14:val="tx1"/>
                  </w14:solidFill>
                </w14:textFill>
              </w:rPr>
            </w:pPr>
          </w:p>
          <w:p w14:paraId="279C75F7">
            <w:pPr>
              <w:widowControl/>
              <w:adjustRightInd/>
              <w:snapToGrid/>
              <w:spacing w:line="400" w:lineRule="exact"/>
              <w:jc w:val="center"/>
              <w:textAlignment w:val="center"/>
              <w:rPr>
                <w:rFonts w:hint="eastAsia" w:ascii="新宋体" w:hAnsi="新宋体" w:eastAsia="新宋体" w:cs="新宋体"/>
                <w:color w:val="000000" w:themeColor="text1"/>
                <w:sz w:val="21"/>
                <w:szCs w:val="21"/>
                <w:lang w:val="en-US" w:eastAsia="zh-CN"/>
                <w14:textFill>
                  <w14:solidFill>
                    <w14:schemeClr w14:val="tx1"/>
                  </w14:solidFill>
                </w14:textFill>
              </w:rPr>
            </w:pPr>
          </w:p>
          <w:p w14:paraId="6329095A">
            <w:pPr>
              <w:widowControl/>
              <w:adjustRightInd/>
              <w:snapToGrid/>
              <w:spacing w:line="400" w:lineRule="exact"/>
              <w:jc w:val="center"/>
              <w:textAlignment w:val="center"/>
              <w:rPr>
                <w:rFonts w:hint="eastAsia" w:ascii="新宋体" w:hAnsi="新宋体" w:eastAsia="新宋体" w:cs="新宋体"/>
                <w:color w:val="000000" w:themeColor="text1"/>
                <w:sz w:val="21"/>
                <w:szCs w:val="21"/>
                <w:lang w:val="en-US" w:eastAsia="zh-CN"/>
                <w14:textFill>
                  <w14:solidFill>
                    <w14:schemeClr w14:val="tx1"/>
                  </w14:solidFill>
                </w14:textFill>
              </w:rPr>
            </w:pPr>
          </w:p>
          <w:p w14:paraId="550892C8">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19</w:t>
            </w:r>
          </w:p>
        </w:tc>
        <w:tc>
          <w:tcPr>
            <w:tcW w:w="10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10214E">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1C559F91">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673BF01C">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6251DF22">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73F85BB4">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7D5F5C3A">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58E29089">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230C3CA7">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6DD33AD6">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36646689">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双目高空抛物摄像机</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A33F0">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6DCA6673">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5E07F772">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2151EAA9">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6B05C6AE">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563372BB">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2E621D21">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04534262">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0BF20FAD">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7328A6E2">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380C72E9">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台</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41DB8">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26C17FEE">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75331EED">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4DD88EB1">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0FD5C61C">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28AEFBA4">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0E539F52">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42A0FF42">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17B57F70">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38415127">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6F65DFF2">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12</w:t>
            </w:r>
          </w:p>
        </w:tc>
        <w:tc>
          <w:tcPr>
            <w:tcW w:w="6660"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79DAAAD">
            <w:pPr>
              <w:widowControl/>
              <w:adjustRightInd/>
              <w:snapToGrid/>
              <w:spacing w:line="400" w:lineRule="exact"/>
              <w:jc w:val="left"/>
              <w:textAlignment w:val="top"/>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1、分辨率2路≥400万像素（默认2560 × 1440 @ 25 fps），或者1路2560 × 2880 @ 25 fps；</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2、具备拼接模式，上下画面一路输出；</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3、具备低码率、低延时、ROI感兴趣区域增强编码、SVC自适应编码等技术；</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4、具备宽动态技术，范围≥120 dB；</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5、具备背光补偿，透雾，3D数字降噪等功能；</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6、配备开放型网络视频接口，至少包含ISAPI，SDK，ISUP（原Ehome），符合GB/T 28181-2022标准；</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7、支持双码流技术，支持同时≥20路取流；</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8、供电方式：</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（1）DC：12 V ± 20%；</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（2）PoE：同等或优于802.3af；</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9、防护等级：同等或优于IP67，密封设计支持仰角安装场景下的有效防水。</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1、分辨率：≥2560 × 1440 @25 fps，在该分辨率下可输出实时图像；</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2、智能侦测：至少支持越界侦测，区域入侵侦测；</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3、至少支持背光补偿，强光抑制，3D数字降噪，120 dB宽动态；</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4、防护等级：≥IP67，电压在DC12V±20%范围内变化时，可正常工作；</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5、传感器类型：同等或优于1/1.8" Progressive Scan CMOS；</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6、最低照度：彩色：≤0.0005 Lux @（F1.0，AGC ON），0 Lux with Light；</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7、具备宽动态技术：范围≥120 dB；</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8、景深范围：</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（1）2.8 mm：2.3 m～∞；</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（2）4 mm：3 m～∞；</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（3）6 mm：6.9 m～∞；</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9、焦距&amp;视场角：</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（1）2.8 mm，水平视场角：≥105.7°，垂直视场角：≥57.2°，对角视场角：≥124.5°；</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（2）4 mm，水平视场角：≥88.7°，垂直视场角：≥44.7°，对角视场角：≥107.5°；</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（3）6 mm，水平视场角：≥55.2°，垂直视场角：≥29.3°，对角视场角：≥64.6°；</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10、图像尺寸：≥2560 × 1440；</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11、视频压缩标准：</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（1）主码流：同等或优于H.265/H.264；</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（2）子码流：同等或优于H.265/H.264/MJPEG；</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网络：≥1个RJ45 10 M/100 M自适应以太网口；</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12、具备恢复出厂设置功能：至少支持客户端或浏览器恢复；</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 xml:space="preserve">13、启动和工作温湿度：-10 ℃～60 ℃，湿度＜95%（无凝结）； </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14、供电方式：</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（1）DC：12 V ± 25%，具备防反接保护功能；</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（2）PoE：同等或优于802.3af，Class 3；</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（3）电流及功耗：C：12 V，0.42 A，功耗：≤3 W，PoE：（802.3af，36 V～57 V），0.15 A～0.1 A，功耗：≤4W。</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15、支持镜头疏水功能，镜头前盖玻璃有利于玻璃表面的小水珠自动聚集并易于滑落，设备镜头四周均自带遮阳罩，可屏蔽从镜头视场角范围之外入射的杂光。</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16、可同时支持≥3路web监听通道，设备响应web端发送的查询请求，并返回对应的感知数据，断网重连后，报警信息可继续上传。</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17、在IE 浏览器下，重启事件记录可包括正常重启和异常重启≥2种类型，正常重启可记录重启的时间、服务类型、用户名、IP/域名信息，异常重启可记录重启时间、异常类型信息。</w:t>
            </w:r>
          </w:p>
        </w:tc>
      </w:tr>
      <w:tr w14:paraId="4A543D02">
        <w:tblPrEx>
          <w:tblCellMar>
            <w:top w:w="0" w:type="dxa"/>
            <w:left w:w="108" w:type="dxa"/>
            <w:bottom w:w="0" w:type="dxa"/>
            <w:right w:w="108" w:type="dxa"/>
          </w:tblCellMar>
        </w:tblPrEx>
        <w:trPr>
          <w:trHeight w:val="40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7D8D1">
            <w:pPr>
              <w:widowControl/>
              <w:adjustRightInd/>
              <w:snapToGrid/>
              <w:spacing w:line="400" w:lineRule="exact"/>
              <w:jc w:val="center"/>
              <w:rPr>
                <w:rFonts w:hint="eastAsia" w:ascii="新宋体" w:hAnsi="新宋体" w:eastAsia="新宋体" w:cs="新宋体"/>
                <w:color w:val="000000" w:themeColor="text1"/>
                <w:sz w:val="21"/>
                <w:szCs w:val="21"/>
                <w14:textFill>
                  <w14:solidFill>
                    <w14:schemeClr w14:val="tx1"/>
                  </w14:solidFill>
                </w14:textFill>
              </w:rPr>
            </w:pPr>
          </w:p>
        </w:tc>
        <w:tc>
          <w:tcPr>
            <w:tcW w:w="10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6EC38">
            <w:pPr>
              <w:widowControl/>
              <w:adjustRightInd/>
              <w:snapToGrid/>
              <w:spacing w:line="400" w:lineRule="exact"/>
              <w:jc w:val="center"/>
              <w:rPr>
                <w:rFonts w:hint="eastAsia" w:ascii="新宋体" w:hAnsi="新宋体" w:eastAsia="新宋体" w:cs="新宋体"/>
                <w:color w:val="000000" w:themeColor="text1"/>
                <w:sz w:val="21"/>
                <w:szCs w:val="21"/>
                <w14:textFill>
                  <w14:solidFill>
                    <w14:schemeClr w14:val="tx1"/>
                  </w14:solidFill>
                </w14:textFill>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B60F0">
            <w:pPr>
              <w:widowControl/>
              <w:adjustRightInd/>
              <w:snapToGrid/>
              <w:spacing w:line="400" w:lineRule="exact"/>
              <w:jc w:val="center"/>
              <w:rPr>
                <w:rFonts w:hint="eastAsia" w:ascii="新宋体" w:hAnsi="新宋体" w:eastAsia="新宋体" w:cs="新宋体"/>
                <w:color w:val="000000" w:themeColor="text1"/>
                <w:sz w:val="21"/>
                <w:szCs w:val="21"/>
                <w14:textFill>
                  <w14:solidFill>
                    <w14:schemeClr w14:val="tx1"/>
                  </w14:solidFill>
                </w14:textFill>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500B1">
            <w:pPr>
              <w:widowControl/>
              <w:adjustRightInd/>
              <w:snapToGrid/>
              <w:spacing w:line="400" w:lineRule="exact"/>
              <w:jc w:val="center"/>
              <w:rPr>
                <w:rFonts w:hint="eastAsia" w:ascii="新宋体" w:hAnsi="新宋体" w:eastAsia="新宋体" w:cs="新宋体"/>
                <w:color w:val="000000" w:themeColor="text1"/>
                <w:sz w:val="21"/>
                <w:szCs w:val="21"/>
                <w14:textFill>
                  <w14:solidFill>
                    <w14:schemeClr w14:val="tx1"/>
                  </w14:solidFill>
                </w14:textFill>
              </w:rPr>
            </w:pPr>
          </w:p>
        </w:tc>
        <w:tc>
          <w:tcPr>
            <w:tcW w:w="666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87B807C">
            <w:pPr>
              <w:widowControl/>
              <w:adjustRightInd/>
              <w:snapToGrid/>
              <w:spacing w:line="400" w:lineRule="exact"/>
              <w:jc w:val="left"/>
              <w:rPr>
                <w:rFonts w:hint="eastAsia" w:ascii="新宋体" w:hAnsi="新宋体" w:eastAsia="新宋体" w:cs="新宋体"/>
                <w:color w:val="000000" w:themeColor="text1"/>
                <w:sz w:val="21"/>
                <w:szCs w:val="21"/>
                <w14:textFill>
                  <w14:solidFill>
                    <w14:schemeClr w14:val="tx1"/>
                  </w14:solidFill>
                </w14:textFill>
              </w:rPr>
            </w:pPr>
          </w:p>
        </w:tc>
      </w:tr>
      <w:tr w14:paraId="1DB09FAE">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5BF55">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20</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03704A">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高空抛物摄像机</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5ADFE">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8021D">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3</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EF17">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1、分辨率：≥2560 × 1440 @25 fps，在该分辨率下可输出实时图像；</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2、智能侦测：至少支持越界侦测，区域入侵侦测；</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3、至少支持背光补偿，强光抑制，3D数字降噪，120 dB宽动态；</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4、防护等级：同等或优于IP67；</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5、传感器类型：同等或优于1/1.8" Progressive Scan CMOS；</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6、、最低照度：彩色：≤0.0005 Lux @（F1.0，AGC ON），0 Lux with Light；</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7、具备宽动态技术：范围≥120 dB；</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8、景深范围：</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（1）2.8 mm：2.3 m～∞；</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（2）4 mm：3 m～∞；</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（3）6 mm：6.9 m～∞；</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9、焦距&amp;视场角：</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（1）2.8 mm，水平视场角：≥105.7°，垂直视场角：≥57.2°，对角视场角：≥124.5°；</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（2）4 mm，水平视场角：≥88.7°，垂直视场角：≥44.7°，对角视场角：≥107.5°；</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（3）6 mm，水平视场角：≥55.2°，垂直视场角：≥29.3°，对角视场角：≥64.6°；</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10、图像尺寸：≥2560 × 1440；</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11、视频压缩标准：</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（1）主码流：同等或优于H.265/H.264；</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（2）子码流：同等或优于H.265/H.264/MJPEG；</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12网络：≥1个RJ45 10 M/100 M自适应以太网口；</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13、具备恢复出厂设置功能：至少支持客户端或浏览器恢复；</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 xml:space="preserve">14、启动和工作温湿度：-10 ℃～60 ℃，湿度＜95%（无凝结）； </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15、供电方式：</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（1）DC：12 V ± 25%，具备防反接保护功能；</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（2）PoE：同等或优于802.3af，Class 3；</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（3）电流及功耗：C：12 V，0.42 A，功耗：≤3 W，PoE：（802.3af，36 V～57 V），0.15 A～0.1 A，功耗：≤4W。</w:t>
            </w:r>
          </w:p>
        </w:tc>
      </w:tr>
      <w:tr w14:paraId="7F683B3E">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25AEF">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21</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38B24">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全彩全景智能双眸球机</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30825">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43462">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14</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F3F7">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1、支持像素≥400万，内置GPU芯片，靶面尺寸≥1/2.8英寸。</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2、支持≥23倍光学变倍，支持最低照度彩色≤0.0003Lux，黑白≤0.0001Lux，支持红外照射距离≥150米，报警灯照射距离≥30米。</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3、支持≥300个预置位，可按照所设置的预置位完成≥8条巡航路径，支持≥4条模式路径设置。</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4、支持水平旋转范围为360°连续旋转，垂直旋转范围为-15°～90°。</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5、支持预置位视频冻结功能，可实现RS485接口优先或RJ45网络接口优先控制功能。</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6、支持快捷配置功能，可在预览画面开启或关闭快捷配置页面，对曝光参数、OSD、智能资源分配模式等参数进行设置，并可一键恢复为默认设置，支持像素显示功能，可显示监控画面上选定区域的水平像素大小和垂直像素大小。</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7、支持智能红外、透雾、强光抑制、电子防抖、数字降噪、防红外过曝功能。</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8、支持3D定位、断电记忆功能，支持IP地址访问控制功能，支持定时抓拍或报警联动抓图上传ftp功能。</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▲9、具备智能分析抗干扰功能，当篮球、小狗、树叶等非人或车辆目标经过检测区域是不会触发报警，具有声音报警功能，报警声音类型≥8种可选，报警次数可设置。</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10、具有最佳抓拍和快速抓拍≥2种人脸图片抓拍模式设置选项，可对镜头前盖玻璃进行加热，去除玻璃上的冰状和水状附着物，可对监控画面中不少于35张人脸进行检测、框选、跟踪及抓拍，抓拍图片模式可设置为人脸照、半身照、全身照、自定义。</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11、支持本机存储功能，支持SD卡热插拔，支持≥256GB。</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12、支持区域入侵、越界入侵、徘徊、物品移除、物品遗留、人员聚集、停车，并联动报警。</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13、支持区域遮盖功能，支持设置≥24个不规则四边形区域，可设置不同颜色。</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14、支持对人或车辆进入警戒区域后，设备可发出白光警示、声音警示，并启动智能跟踪功能。</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15、内置扬声器，有效距离≥30米，支持声光警戒，报警联动白光闪烁报警和声音报警，声音内容可选。</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16、支持防护等级≥IP66，工作温度范围-0℃～65℃。</w:t>
            </w:r>
          </w:p>
        </w:tc>
      </w:tr>
      <w:tr w14:paraId="62F491C0">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E453A">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22</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71834">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高清网络数字半球形电梯专用摄像机</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F48E">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680C2">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13</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BF57">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1、具有≥200万像素 CMOS传感器，主码流≥1920x1080@25fps，子码流≥640x480@25fps，第三码流≥1280x720。</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2、最低照度彩色≤0.002lx，黑白≤0.0002lx，灰度等级不小于11级。</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3、红外补光距离≥10米，支持水平调节角度：-15°~15°，垂直调节角度：0°~75°。</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4、支持H.264、H.265、MJPEG视频编码格式，信噪比不小于55dB，支持不小于120dB宽动态。</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5、采用深度学习硬件及算法，支持智能侦测，支持电瓶车检测。</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6、摄像机靶面尺寸≥1/2.7英寸，内置≥1颗GPU芯片，≥1个麦克风、≥1个扬声器，可在预览画面页开启/关闭“快捷配置”页面，页面打开后，可配置常用图像参数、OSD配置、视音频参数等，并支持恢复默认操作，可通过IE浏览器显示监视画面中鼠标所选区域水平及垂直方向的像素数。</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7、支持≥8行字符显示，字体颜色可设置，需具有图片叠加到视频画面功能。</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8、同一场景相同图像质量下，设备在H.264或H.265编码方式时，开启智能编码功能和不开启智能编码相比，码率节约≥80%。</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9、设备可对电瓶车停留时间进行设置，可对停留时间超过设置阈值的电瓶车进行检测，叠加目标提示框，并产生报警，当自行车、玩具车、婴儿车、手推车或超市推车等目标进入监控区域时，不产生报警，可对电瓶车遗留侦测的目标大小范围进行设置。</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10、从麦克风接收声音并显示状态至扬声器产生音频输出并显示状态的声音应≤200ms。</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11、设备可在电瓶车遗留侦测报警触发后，联动发送邮件、上传中心、上传FTP、录像、抓图、声音报警、报警输出等多种报警方式。</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12、支持TOF遮挡防干扰功能，当视频画面中光线发生明暗变化时，不应触发TOF遮挡报警，可通过IE浏览器或客户端软件开启/关闭TOF遮挡报警功能，对视频画面中的人为遮挡行为进行检测报警，可联动上传FTP、录像、抓图、声音报警、报警输出等多种报警方式，可设置过滤时间间隔。</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13、设备检测到电瓶车车身的30%～50%的比例进入警戒画面并达到停留时间时，可自动识别并触发报警。</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14、当报警输入、TOF遮挡报警、电瓶车遗留侦测报警产生报警时，可在报警布防时间内触发联动声音警报，报警声音模式可设置为警戒音和提示音两种，警戒音类型不低于10种语音播报种类可选，并支持自定义语音导入，报警音量和重复次数可设置，设备可开启/关闭持续报警输出，启用后，电瓶车遗留侦测报警可联动持续的报警输出，在布控区域内会保持报警状态，电瓶车离开布控区域后报警输出可自动关闭。</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15、防尘防水等级≥IP66，防暴等级≥IK08，具备≥1对报警输入/输出接口，≥1对音频输入/输出接口, ≥1个RJ45接口。</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16、支持本地SD卡存储，支持≥256G，支持DC12V和POE供电，且在DC12V±25%范围内变化时可以正常工作。</w:t>
            </w:r>
          </w:p>
        </w:tc>
      </w:tr>
      <w:tr w14:paraId="5EC9DCA8">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F0E65">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23</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FC32C">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摄像机专</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用支架</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E9E92">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399F8">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555</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12DC">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1、材质：铝合金；</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2、规格≥202*72.6*56.8mm。</w:t>
            </w:r>
          </w:p>
        </w:tc>
      </w:tr>
      <w:tr w14:paraId="0ED0A346">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C9BE0">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24</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CE95E">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电梯工程无线网桥</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19AEB">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A427">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13</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5903">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1、传输距离：≥1千米；</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2、工作频段：支持2.4GHz、5.8GHz；</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3、具备免配置功能；</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4、摄像头路数：≥12路；</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5、主码流：≥支持2M码流；</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6、具备云端管理功能。</w:t>
            </w:r>
          </w:p>
        </w:tc>
      </w:tr>
      <w:tr w14:paraId="48FBE524">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9FFDE">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25</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BBC2A">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电梯摄像机电源</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66A26">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DA094">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13</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6DA7">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桌面式摄像机电源，适配高清网络数字半球形电梯专用摄像机。</w:t>
            </w:r>
          </w:p>
        </w:tc>
      </w:tr>
      <w:tr w14:paraId="2F540A64">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0BC2B">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26</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014207">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千兆交换机</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D2CAF">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2BD7F">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7D28">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1、网口：≥8个10/100/1000Mbps自适应电口+≥2个10/100/1000Mbps上联光口；</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2、交换机容量：≥20Gbps；</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3、包转发率：≥14.88Mpps；</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4、非网管型交换机，支持机架安装。</w:t>
            </w:r>
          </w:p>
        </w:tc>
      </w:tr>
      <w:tr w14:paraId="55C945BC">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19A6">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27</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17BD45">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 xml:space="preserve">千兆交换机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945D1">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F7C8E">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2</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8BBC">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1、网口：≥16个10/100/1000Mbps自适应电口+2个10/100/1000Mbps上联光口；</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2、交换机容量：≥36Gbps；</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3、包转发率：≥26.78Mpps</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4、非网管型交换机，支持机架安装。</w:t>
            </w:r>
          </w:p>
        </w:tc>
      </w:tr>
      <w:tr w14:paraId="171EA724">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3363D">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28</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41941">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POE交换机</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308C4">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A69A2">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10</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3810">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1、网口：≥8个10/100/1000Mbps自适应电口+≥2个10/100/1000Mbps上联光口，其中≥8个口支持PoE/PoE+供电， PoE功率≥120W；</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2、交换机容量：≥20Gbps；</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3、包转发率：≥14.88Mpps；</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4、非网管型交换机支持机架安装。</w:t>
            </w:r>
          </w:p>
        </w:tc>
      </w:tr>
      <w:tr w14:paraId="4835FA85">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52080">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29</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CE54">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POE交换机</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9E29">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CEDB4">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35</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BE48">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1、网口：≥16个10/100/1000Mbps自适应电口+≥2个10/100/1000Mbps上联光口，其中≥16个口支持PoE/PoE+供电， PoE功率≥247W；</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2、交换机容量：≥36Gbps；</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3、包转发率：≥26.78Mpps；</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4、非网管型交换机，机架式。</w:t>
            </w:r>
          </w:p>
        </w:tc>
      </w:tr>
      <w:tr w14:paraId="331F0D8D">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55DEF">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30</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BF01A">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POE交换机</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61727">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78B3D">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10</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6317">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1、网口：≥24个10/100/1000Mbps自适应电口+≥2个10/100/1000Mbps上联光口，其中≥24个口支持PoE/PoE+供电， PoE功率≥370W；</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2、交换机容量：≥52Gbps；</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3、包转发率：≥38.69Mpps；</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4、非网管型交换机，机架式。</w:t>
            </w:r>
          </w:p>
        </w:tc>
      </w:tr>
      <w:tr w14:paraId="3F55F6A4">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3B76D">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31</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5F692">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三层核心交换机</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C15E2">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71E4C">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2</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89AD">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1、交换容量：≥598Gbps/5.98Tbps，包转发率≥162Mpps/222Mpps；</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2、网口≥28个10/100/1000M自适应电口，≥4个复用SFP光口，≥4个SFP+光口；</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3、至少支持RIP，RIPng，OSPFv2，OSPFv3，IS-ISv4，IS-ISv6等路由协议；</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4、支持DHCP server；</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5、支持虚拟化；</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6、支持MACC云平台统一管理。</w:t>
            </w:r>
          </w:p>
        </w:tc>
      </w:tr>
      <w:tr w14:paraId="298E2992">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BFE7C">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kern w:val="0"/>
                <w:sz w:val="21"/>
                <w:szCs w:val="21"/>
                <w:lang w:val="en-US" w:eastAsia="zh-CN" w:bidi="ar"/>
                <w14:textFill>
                  <w14:solidFill>
                    <w14:schemeClr w14:val="tx1"/>
                  </w14:solidFill>
                </w14:textFill>
              </w:rPr>
              <w:t>32</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1C4B">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电源模块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0EBAD">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6F893">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2</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9FA3">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≥70W交流电源模块，必配1块，至少支持1+1电源冗余。</w:t>
            </w:r>
          </w:p>
        </w:tc>
      </w:tr>
      <w:tr w14:paraId="2AE561F9">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9A0B0">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kern w:val="0"/>
                <w:sz w:val="21"/>
                <w:szCs w:val="21"/>
                <w:lang w:val="en-US" w:eastAsia="zh-CN" w:bidi="ar"/>
                <w14:textFill>
                  <w14:solidFill>
                    <w14:schemeClr w14:val="tx1"/>
                  </w14:solidFill>
                </w14:textFill>
              </w:rPr>
              <w:t>33</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FB97F">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组合立杆</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23CC5">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6B914">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18</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51AC">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1、材质：热镀锌管；</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2、管径： ≥110mm，管壁厚度：≥2.5mm；</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3、高度：约3.5米；</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 xml:space="preserve">4、钢板底座：约φ250mm*12mm； </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5、安装孔：约为4*φ16mm；</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6、组装方式：多根杆组合，每根杆长≥1米；</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7、至少配备30CM枪机横杆一个，避雷针一根。</w:t>
            </w:r>
          </w:p>
        </w:tc>
      </w:tr>
      <w:tr w14:paraId="288F0533">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23DEC">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kern w:val="0"/>
                <w:sz w:val="21"/>
                <w:szCs w:val="21"/>
                <w:lang w:val="en-US" w:eastAsia="zh-CN" w:bidi="ar"/>
                <w14:textFill>
                  <w14:solidFill>
                    <w14:schemeClr w14:val="tx1"/>
                  </w14:solidFill>
                </w14:textFill>
              </w:rPr>
              <w:t>34</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41788">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球机横臂</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7D1A8">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B3EC9">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18</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522F">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规格：约为35cm，配单台球机位置。</w:t>
            </w:r>
          </w:p>
        </w:tc>
      </w:tr>
      <w:tr w14:paraId="003FC248">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44B1C">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kern w:val="0"/>
                <w:sz w:val="21"/>
                <w:szCs w:val="21"/>
                <w:lang w:val="en-US" w:eastAsia="zh-CN" w:bidi="ar"/>
                <w14:textFill>
                  <w14:solidFill>
                    <w14:schemeClr w14:val="tx1"/>
                  </w14:solidFill>
                </w14:textFill>
              </w:rPr>
              <w:t>35</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2633">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立杆设备箱</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FD2C9">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D602">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18</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4663">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定制，带锁,含挂架、钢圈，满足项目需要。</w:t>
            </w:r>
          </w:p>
        </w:tc>
      </w:tr>
      <w:tr w14:paraId="2AFAAF12">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3F003">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kern w:val="0"/>
                <w:sz w:val="21"/>
                <w:szCs w:val="21"/>
                <w:lang w:val="en-US" w:eastAsia="zh-CN" w:bidi="ar"/>
                <w14:textFill>
                  <w14:solidFill>
                    <w14:schemeClr w14:val="tx1"/>
                  </w14:solidFill>
                </w14:textFill>
              </w:rPr>
              <w:t>36</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6EFF">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音频产品</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9AF68">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D817C">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2</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1C1B">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1、内置指向麦克风，拾音清晰。</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2、支持一键拾音静音，支持扬声音量调节，支持最佳拾音距离调节。</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3、内置扬声器。</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4、支持音频3A算法，包括回声消除（AEC）、音频降噪（ANS）、自动增益（AGC）。</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5、支持Type-A接口，标准USB2.0协议，免驱设计，即插即用。</w:t>
            </w:r>
          </w:p>
        </w:tc>
      </w:tr>
      <w:tr w14:paraId="779D505F">
        <w:tblPrEx>
          <w:tblCellMar>
            <w:top w:w="0" w:type="dxa"/>
            <w:left w:w="108" w:type="dxa"/>
            <w:bottom w:w="0" w:type="dxa"/>
            <w:right w:w="108" w:type="dxa"/>
          </w:tblCellMar>
        </w:tblPrEx>
        <w:tc>
          <w:tcPr>
            <w:tcW w:w="96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FD90E">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线材、辅材、布线等部分</w:t>
            </w:r>
          </w:p>
        </w:tc>
      </w:tr>
      <w:tr w14:paraId="6E568863">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ECF54">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序号</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1CA774">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标的名称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27CEC">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FD52">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数量</w:t>
            </w:r>
          </w:p>
        </w:tc>
        <w:tc>
          <w:tcPr>
            <w:tcW w:w="6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A8B86">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技术要求</w:t>
            </w:r>
          </w:p>
        </w:tc>
      </w:tr>
      <w:tr w14:paraId="15B7BBC9">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EBAE4">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kern w:val="0"/>
                <w:sz w:val="21"/>
                <w:szCs w:val="21"/>
                <w:lang w:val="en-US" w:eastAsia="zh-CN" w:bidi="ar"/>
                <w14:textFill>
                  <w14:solidFill>
                    <w14:schemeClr w14:val="tx1"/>
                  </w14:solidFill>
                </w14:textFill>
              </w:rPr>
              <w:t>37</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84ECA0">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超五类 水晶头</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0FEA9">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盒</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5EBD4">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17</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95BD">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支持千兆以上以太网信号传输，内部芯片镀镍；内部芯片接触点镀金15um，；内部芯片采用三叉结构；聚碳酸酯（PC）外壳，透明壳体。</w:t>
            </w:r>
          </w:p>
        </w:tc>
      </w:tr>
      <w:tr w14:paraId="3171A9CF">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89A99">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kern w:val="0"/>
                <w:sz w:val="21"/>
                <w:szCs w:val="21"/>
                <w:lang w:val="en-US" w:eastAsia="zh-CN" w:bidi="ar"/>
                <w14:textFill>
                  <w14:solidFill>
                    <w14:schemeClr w14:val="tx1"/>
                  </w14:solidFill>
                </w14:textFill>
              </w:rPr>
              <w:t>38</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F37955">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超五类无铜网络线</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788BA">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85E0">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12074.83</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9947">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管内敷设，超五类4对UTP，非屏蔽，支持千兆以太网信号传输。无氧铜芯。 PVC护套。阻燃线缆。</w:t>
            </w:r>
          </w:p>
        </w:tc>
      </w:tr>
      <w:tr w14:paraId="6B014C8A">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7290">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kern w:val="0"/>
                <w:sz w:val="21"/>
                <w:szCs w:val="21"/>
                <w:lang w:val="en-US" w:eastAsia="zh-CN" w:bidi="ar"/>
                <w14:textFill>
                  <w14:solidFill>
                    <w14:schemeClr w14:val="tx1"/>
                  </w14:solidFill>
                </w14:textFill>
              </w:rPr>
              <w:t>39</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3B150B">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超五类无铜网络线</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73B20">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70E66">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24172</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DEDC">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桥架内敷设，超五类4对UTP，非屏蔽，支持千兆以太网信号传输。无氧铜芯。 PVC护套。阻燃线缆。</w:t>
            </w:r>
          </w:p>
        </w:tc>
      </w:tr>
      <w:tr w14:paraId="59A7459C">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AD6BA">
            <w:pPr>
              <w:widowControl/>
              <w:adjustRightInd/>
              <w:snapToGrid/>
              <w:spacing w:line="400" w:lineRule="exact"/>
              <w:jc w:val="center"/>
              <w:textAlignment w:val="center"/>
              <w:rPr>
                <w:rFonts w:hint="eastAsia"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4</w:t>
            </w:r>
            <w:r>
              <w:rPr>
                <w:rFonts w:hint="eastAsia" w:ascii="新宋体" w:hAnsi="新宋体" w:eastAsia="新宋体" w:cs="新宋体"/>
                <w:color w:val="000000" w:themeColor="text1"/>
                <w:kern w:val="0"/>
                <w:sz w:val="21"/>
                <w:szCs w:val="21"/>
                <w:lang w:val="en-US" w:eastAsia="zh-CN" w:bidi="ar"/>
                <w14:textFill>
                  <w14:solidFill>
                    <w14:schemeClr w14:val="tx1"/>
                  </w14:solidFill>
                </w14:textFill>
              </w:rPr>
              <w:t>0</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73BDF">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电缆线</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F7EBE">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79E7F">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900</w:t>
            </w:r>
          </w:p>
        </w:tc>
        <w:tc>
          <w:tcPr>
            <w:tcW w:w="6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1483C">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RVV2*2.5mm</w:t>
            </w:r>
            <w:r>
              <w:rPr>
                <w:rFonts w:hint="eastAsia" w:ascii="新宋体" w:hAnsi="新宋体" w:eastAsia="新宋体" w:cs="新宋体"/>
                <w:color w:val="000000" w:themeColor="text1"/>
                <w:kern w:val="0"/>
                <w:sz w:val="21"/>
                <w:szCs w:val="21"/>
                <w:vertAlign w:val="superscript"/>
                <w:lang w:bidi="ar"/>
                <w14:textFill>
                  <w14:solidFill>
                    <w14:schemeClr w14:val="tx1"/>
                  </w14:solidFill>
                </w14:textFill>
              </w:rPr>
              <w:t>2</w:t>
            </w:r>
            <w:r>
              <w:rPr>
                <w:rFonts w:hint="eastAsia" w:ascii="新宋体" w:hAnsi="新宋体" w:eastAsia="新宋体" w:cs="新宋体"/>
                <w:color w:val="000000" w:themeColor="text1"/>
                <w:kern w:val="0"/>
                <w:sz w:val="21"/>
                <w:szCs w:val="21"/>
                <w:lang w:bidi="ar"/>
                <w14:textFill>
                  <w14:solidFill>
                    <w14:schemeClr w14:val="tx1"/>
                  </w14:solidFill>
                </w14:textFill>
              </w:rPr>
              <w:t>,高纯度无氧铜国标线。</w:t>
            </w:r>
          </w:p>
        </w:tc>
      </w:tr>
      <w:tr w14:paraId="7E00AE3E">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282F6">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kern w:val="0"/>
                <w:sz w:val="21"/>
                <w:szCs w:val="21"/>
                <w:lang w:val="en-US" w:eastAsia="zh-CN" w:bidi="ar"/>
                <w14:textFill>
                  <w14:solidFill>
                    <w14:schemeClr w14:val="tx1"/>
                  </w14:solidFill>
                </w14:textFill>
              </w:rPr>
              <w:t>41</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AA7AD">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电缆线</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3770">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5853F">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2639.47</w:t>
            </w:r>
          </w:p>
        </w:tc>
        <w:tc>
          <w:tcPr>
            <w:tcW w:w="6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7CC76">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RVV3*2.5mm</w:t>
            </w:r>
            <w:r>
              <w:rPr>
                <w:rFonts w:hint="eastAsia" w:ascii="新宋体" w:hAnsi="新宋体" w:eastAsia="新宋体" w:cs="新宋体"/>
                <w:color w:val="000000" w:themeColor="text1"/>
                <w:kern w:val="0"/>
                <w:sz w:val="21"/>
                <w:szCs w:val="21"/>
                <w:vertAlign w:val="superscript"/>
                <w:lang w:bidi="ar"/>
                <w14:textFill>
                  <w14:solidFill>
                    <w14:schemeClr w14:val="tx1"/>
                  </w14:solidFill>
                </w14:textFill>
              </w:rPr>
              <w:t>2</w:t>
            </w:r>
            <w:r>
              <w:rPr>
                <w:rFonts w:hint="eastAsia" w:ascii="新宋体" w:hAnsi="新宋体" w:eastAsia="新宋体" w:cs="新宋体"/>
                <w:color w:val="000000" w:themeColor="text1"/>
                <w:kern w:val="0"/>
                <w:sz w:val="21"/>
                <w:szCs w:val="21"/>
                <w:lang w:bidi="ar"/>
                <w14:textFill>
                  <w14:solidFill>
                    <w14:schemeClr w14:val="tx1"/>
                  </w14:solidFill>
                </w14:textFill>
              </w:rPr>
              <w:t>,高纯度无氧铜国标线。</w:t>
            </w:r>
          </w:p>
        </w:tc>
      </w:tr>
      <w:tr w14:paraId="4A128651">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1B1F2">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kern w:val="0"/>
                <w:sz w:val="21"/>
                <w:szCs w:val="21"/>
                <w:lang w:val="en-US" w:eastAsia="zh-CN" w:bidi="ar"/>
                <w14:textFill>
                  <w14:solidFill>
                    <w14:schemeClr w14:val="tx1"/>
                  </w14:solidFill>
                </w14:textFill>
              </w:rPr>
              <w:t>42</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A9F61">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电缆线</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8FE5E">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92BD4">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100</w:t>
            </w:r>
          </w:p>
        </w:tc>
        <w:tc>
          <w:tcPr>
            <w:tcW w:w="6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C69E5">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RVV3*10mm</w:t>
            </w:r>
            <w:r>
              <w:rPr>
                <w:rFonts w:hint="eastAsia" w:ascii="新宋体" w:hAnsi="新宋体" w:eastAsia="新宋体" w:cs="新宋体"/>
                <w:color w:val="000000" w:themeColor="text1"/>
                <w:kern w:val="0"/>
                <w:sz w:val="21"/>
                <w:szCs w:val="21"/>
                <w:vertAlign w:val="superscript"/>
                <w:lang w:bidi="ar"/>
                <w14:textFill>
                  <w14:solidFill>
                    <w14:schemeClr w14:val="tx1"/>
                  </w14:solidFill>
                </w14:textFill>
              </w:rPr>
              <w:t>2</w:t>
            </w:r>
            <w:r>
              <w:rPr>
                <w:rFonts w:hint="eastAsia" w:ascii="新宋体" w:hAnsi="新宋体" w:eastAsia="新宋体" w:cs="新宋体"/>
                <w:color w:val="000000" w:themeColor="text1"/>
                <w:kern w:val="0"/>
                <w:sz w:val="21"/>
                <w:szCs w:val="21"/>
                <w:lang w:bidi="ar"/>
                <w14:textFill>
                  <w14:solidFill>
                    <w14:schemeClr w14:val="tx1"/>
                  </w14:solidFill>
                </w14:textFill>
              </w:rPr>
              <w:t>,高纯度无氧铜国标线。</w:t>
            </w:r>
          </w:p>
        </w:tc>
      </w:tr>
      <w:tr w14:paraId="1B2B0CAD">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3D00F">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kern w:val="0"/>
                <w:sz w:val="21"/>
                <w:szCs w:val="21"/>
                <w:lang w:val="en-US" w:eastAsia="zh-CN" w:bidi="ar"/>
                <w14:textFill>
                  <w14:solidFill>
                    <w14:schemeClr w14:val="tx1"/>
                  </w14:solidFill>
                </w14:textFill>
              </w:rPr>
              <w:t>43</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1A0AC">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DN20PC套管</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16370">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86F47">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18737.16</w:t>
            </w:r>
          </w:p>
        </w:tc>
        <w:tc>
          <w:tcPr>
            <w:tcW w:w="6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FC2D1">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外径20mm，壁厚1.0mm，PVC材质。</w:t>
            </w:r>
          </w:p>
        </w:tc>
      </w:tr>
      <w:tr w14:paraId="0967C91E">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9A91B">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kern w:val="0"/>
                <w:sz w:val="21"/>
                <w:szCs w:val="21"/>
                <w:lang w:val="en-US" w:eastAsia="zh-CN" w:bidi="ar"/>
                <w14:textFill>
                  <w14:solidFill>
                    <w14:schemeClr w14:val="tx1"/>
                  </w14:solidFill>
                </w14:textFill>
              </w:rPr>
              <w:t>44</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E88F3B">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室内外万兆光纤线缆8芯</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7CA1C">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9DAB4">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5550.34</w:t>
            </w:r>
          </w:p>
        </w:tc>
        <w:tc>
          <w:tcPr>
            <w:tcW w:w="6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2DFE8">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工程网线，圆形，多模50/125，光纤保护：非铠装，性能等级OM2,常规PVC，低烟无卤，非屏蔽。</w:t>
            </w:r>
          </w:p>
        </w:tc>
      </w:tr>
      <w:tr w14:paraId="4E74103B">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B6CB6">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kern w:val="0"/>
                <w:sz w:val="21"/>
                <w:szCs w:val="21"/>
                <w:lang w:val="en-US" w:eastAsia="zh-CN" w:bidi="ar"/>
                <w14:textFill>
                  <w14:solidFill>
                    <w14:schemeClr w14:val="tx1"/>
                  </w14:solidFill>
                </w14:textFill>
              </w:rPr>
              <w:t>45</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030EE">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钻墙体布线孔</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DFEC6">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4BC12">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343</w:t>
            </w:r>
          </w:p>
        </w:tc>
        <w:tc>
          <w:tcPr>
            <w:tcW w:w="6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4B774">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满足项目需要。</w:t>
            </w:r>
          </w:p>
        </w:tc>
      </w:tr>
      <w:tr w14:paraId="207993CC">
        <w:tblPrEx>
          <w:tblCellMar>
            <w:top w:w="0" w:type="dxa"/>
            <w:left w:w="108" w:type="dxa"/>
            <w:bottom w:w="0" w:type="dxa"/>
            <w:right w:w="108" w:type="dxa"/>
          </w:tblCellMar>
        </w:tblPrEx>
        <w:tc>
          <w:tcPr>
            <w:tcW w:w="96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91BD5">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室外基础安装部分</w:t>
            </w:r>
          </w:p>
        </w:tc>
      </w:tr>
      <w:tr w14:paraId="7D235EC1">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A9132">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序号</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FF170">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标的名称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9F6AB">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E0C6">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数量</w:t>
            </w:r>
          </w:p>
        </w:tc>
        <w:tc>
          <w:tcPr>
            <w:tcW w:w="6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08F2">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技术要求</w:t>
            </w:r>
          </w:p>
        </w:tc>
      </w:tr>
      <w:tr w14:paraId="3F23A10F">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34566">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kern w:val="0"/>
                <w:sz w:val="21"/>
                <w:szCs w:val="21"/>
                <w:lang w:val="en-US" w:eastAsia="zh-CN" w:bidi="ar"/>
                <w14:textFill>
                  <w14:solidFill>
                    <w14:schemeClr w14:val="tx1"/>
                  </w14:solidFill>
                </w14:textFill>
              </w:rPr>
              <w:t>46</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9F7C2F">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人工开挖线缆沟槽及回填土方</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45F75">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立方米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BF1A8">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35.2</w:t>
            </w:r>
          </w:p>
        </w:tc>
        <w:tc>
          <w:tcPr>
            <w:tcW w:w="6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09CC7">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沟槽尺寸约为500mm长*600mm宽*200mm深，沟槽回填砂。</w:t>
            </w:r>
          </w:p>
        </w:tc>
      </w:tr>
      <w:tr w14:paraId="487F52DB">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4BC94">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kern w:val="0"/>
                <w:sz w:val="21"/>
                <w:szCs w:val="21"/>
                <w:lang w:val="en-US" w:eastAsia="zh-CN" w:bidi="ar"/>
                <w14:textFill>
                  <w14:solidFill>
                    <w14:schemeClr w14:val="tx1"/>
                  </w14:solidFill>
                </w14:textFill>
              </w:rPr>
              <w:t>47</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6F2B6">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砌砖接线井</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A30EE">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72230">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9</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E657">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240墙，规格约500mm长*500mm宽*600mm深，含抹灰、钢筋C30混凝土盖板。</w:t>
            </w:r>
          </w:p>
        </w:tc>
      </w:tr>
      <w:tr w14:paraId="4C5F0AF0">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9281">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kern w:val="0"/>
                <w:sz w:val="21"/>
                <w:szCs w:val="21"/>
                <w:lang w:val="en-US" w:eastAsia="zh-CN" w:bidi="ar"/>
                <w14:textFill>
                  <w14:solidFill>
                    <w14:schemeClr w14:val="tx1"/>
                  </w14:solidFill>
                </w14:textFill>
              </w:rPr>
              <w:t>48</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74D81">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镀锌钢管</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46A4D">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D5939">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600</w:t>
            </w:r>
          </w:p>
        </w:tc>
        <w:tc>
          <w:tcPr>
            <w:tcW w:w="6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D5974">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热镀锌钢管 SC32，厚度≥3.0mm。</w:t>
            </w:r>
          </w:p>
        </w:tc>
      </w:tr>
      <w:tr w14:paraId="219AC0B8">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90EEE">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kern w:val="0"/>
                <w:sz w:val="21"/>
                <w:szCs w:val="21"/>
                <w:lang w:val="en-US" w:eastAsia="zh-CN" w:bidi="ar"/>
                <w14:textFill>
                  <w14:solidFill>
                    <w14:schemeClr w14:val="tx1"/>
                  </w14:solidFill>
                </w14:textFill>
              </w:rPr>
              <w:t>49</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A74785">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立杆安装基础</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88EC">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7D14B">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18</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4EBF">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规格约500mm长*500mm宽*600mm深，C25混凝土，钢筋笼，地脚螺栓。</w:t>
            </w:r>
          </w:p>
        </w:tc>
      </w:tr>
      <w:tr w14:paraId="426BEB01">
        <w:tblPrEx>
          <w:tblCellMar>
            <w:top w:w="0" w:type="dxa"/>
            <w:left w:w="108" w:type="dxa"/>
            <w:bottom w:w="0" w:type="dxa"/>
            <w:right w:w="108" w:type="dxa"/>
          </w:tblCellMar>
        </w:tblPrEx>
        <w:tc>
          <w:tcPr>
            <w:tcW w:w="96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ADFE8">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UPS部分部分</w:t>
            </w:r>
          </w:p>
        </w:tc>
      </w:tr>
      <w:tr w14:paraId="1A40F564">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E418D">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序号</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DF147">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标的名称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486E8">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97E8">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数量</w:t>
            </w:r>
          </w:p>
        </w:tc>
        <w:tc>
          <w:tcPr>
            <w:tcW w:w="6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D71BA">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技术要求</w:t>
            </w:r>
          </w:p>
        </w:tc>
      </w:tr>
      <w:tr w14:paraId="6B17450B">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27224">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kern w:val="0"/>
                <w:sz w:val="21"/>
                <w:szCs w:val="21"/>
                <w:lang w:val="en-US" w:eastAsia="zh-CN" w:bidi="ar"/>
                <w14:textFill>
                  <w14:solidFill>
                    <w14:schemeClr w14:val="tx1"/>
                  </w14:solidFill>
                </w14:textFill>
              </w:rPr>
              <w:t>50</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92E52D">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UPS主机</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D7864">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DA095">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w:t>
            </w:r>
          </w:p>
        </w:tc>
        <w:tc>
          <w:tcPr>
            <w:tcW w:w="6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3CFFA">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≥60KVA/≥60kw，供电时长：≥1.5小时</w:t>
            </w:r>
          </w:p>
        </w:tc>
      </w:tr>
      <w:tr w14:paraId="3CC05519">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54060">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kern w:val="0"/>
                <w:sz w:val="21"/>
                <w:szCs w:val="21"/>
                <w:lang w:val="en-US" w:eastAsia="zh-CN" w:bidi="ar"/>
                <w14:textFill>
                  <w14:solidFill>
                    <w14:schemeClr w14:val="tx1"/>
                  </w14:solidFill>
                </w14:textFill>
              </w:rPr>
              <w:t>51</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E092DC">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蓄电池</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125BE">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节</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C41F6">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64</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4053">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12V，≥100AH，供电时长：≥1.5小时。</w:t>
            </w:r>
          </w:p>
        </w:tc>
      </w:tr>
      <w:tr w14:paraId="191137D9">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0D897">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kern w:val="0"/>
                <w:sz w:val="21"/>
                <w:szCs w:val="21"/>
                <w:lang w:val="en-US" w:eastAsia="zh-CN" w:bidi="ar"/>
                <w14:textFill>
                  <w14:solidFill>
                    <w14:schemeClr w14:val="tx1"/>
                  </w14:solidFill>
                </w14:textFill>
              </w:rPr>
              <w:t>52</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0D16B">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电池箱</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5EB2D">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EEE45">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2</w:t>
            </w:r>
          </w:p>
        </w:tc>
        <w:tc>
          <w:tcPr>
            <w:tcW w:w="6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8CBE2">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≥32节箱，含电池开关及安装辅材。</w:t>
            </w:r>
          </w:p>
        </w:tc>
      </w:tr>
      <w:tr w14:paraId="1A4A76CD">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DC261">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kern w:val="0"/>
                <w:sz w:val="21"/>
                <w:szCs w:val="21"/>
                <w:lang w:val="en-US" w:eastAsia="zh-CN" w:bidi="ar"/>
                <w14:textFill>
                  <w14:solidFill>
                    <w14:schemeClr w14:val="tx1"/>
                  </w14:solidFill>
                </w14:textFill>
              </w:rPr>
              <w:t>53</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923A1">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 xml:space="preserve">电池连接线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964E3">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7893D">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2</w:t>
            </w:r>
          </w:p>
        </w:tc>
        <w:tc>
          <w:tcPr>
            <w:tcW w:w="6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F506B">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含电池组内部连接线，电池到开关、开关到主机连接线。</w:t>
            </w:r>
          </w:p>
        </w:tc>
      </w:tr>
      <w:tr w14:paraId="49639304">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C4C98">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kern w:val="0"/>
                <w:sz w:val="21"/>
                <w:szCs w:val="21"/>
                <w:lang w:val="en-US" w:eastAsia="zh-CN" w:bidi="ar"/>
                <w14:textFill>
                  <w14:solidFill>
                    <w14:schemeClr w14:val="tx1"/>
                  </w14:solidFill>
                </w14:textFill>
              </w:rPr>
              <w:t>54</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19112C">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UPS配电箱开关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7635A">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5BE38">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4321">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定制，满足项目需要。</w:t>
            </w:r>
          </w:p>
        </w:tc>
      </w:tr>
      <w:tr w14:paraId="256122A9">
        <w:tblPrEx>
          <w:tblCellMar>
            <w:top w:w="0" w:type="dxa"/>
            <w:left w:w="108" w:type="dxa"/>
            <w:bottom w:w="0" w:type="dxa"/>
            <w:right w:w="108" w:type="dxa"/>
          </w:tblCellMar>
        </w:tblPrEx>
        <w:tc>
          <w:tcPr>
            <w:tcW w:w="96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D9D66">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装饰装修部分</w:t>
            </w:r>
          </w:p>
        </w:tc>
      </w:tr>
      <w:tr w14:paraId="69244EC5">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ADFF1">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序号</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C86CC">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标的名称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B50E9">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52B2E">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数量</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1D25">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技术要求</w:t>
            </w:r>
          </w:p>
        </w:tc>
      </w:tr>
      <w:tr w14:paraId="6D2E8892">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267C8">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kern w:val="0"/>
                <w:sz w:val="21"/>
                <w:szCs w:val="21"/>
                <w:lang w:val="en-US" w:eastAsia="zh-CN" w:bidi="ar"/>
                <w14:textFill>
                  <w14:solidFill>
                    <w14:schemeClr w14:val="tx1"/>
                  </w14:solidFill>
                </w14:textFill>
              </w:rPr>
              <w:t>55</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605F8">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保护性拆除原有吊顶饰面</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A23A8">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平方米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6B1FD">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2570</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0A12">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含成品保护，满足项目需要。</w:t>
            </w:r>
          </w:p>
        </w:tc>
      </w:tr>
      <w:tr w14:paraId="428C018B">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97887">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kern w:val="0"/>
                <w:sz w:val="21"/>
                <w:szCs w:val="21"/>
                <w:lang w:val="en-US" w:eastAsia="zh-CN" w:bidi="ar"/>
                <w14:textFill>
                  <w14:solidFill>
                    <w14:schemeClr w14:val="tx1"/>
                  </w14:solidFill>
                </w14:textFill>
              </w:rPr>
              <w:t>56</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B789B8">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恢复铝扣板吊顶</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0A11C">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平方米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10C9E">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2570</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9B2E">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恢复原貌吊顶，满足项目需要。</w:t>
            </w:r>
          </w:p>
        </w:tc>
      </w:tr>
      <w:bookmarkEnd w:id="61"/>
      <w:tr w14:paraId="362AAD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9660" w:type="dxa"/>
            <w:gridSpan w:val="6"/>
            <w:tcBorders>
              <w:top w:val="single" w:color="000000" w:sz="8" w:space="0"/>
              <w:left w:val="single" w:color="000000" w:sz="8" w:space="0"/>
              <w:bottom w:val="single" w:color="000000" w:sz="8" w:space="0"/>
              <w:right w:val="single" w:color="000000" w:sz="8" w:space="0"/>
            </w:tcBorders>
            <w:shd w:val="clear" w:color="auto" w:fill="FFFFFF"/>
          </w:tcPr>
          <w:p w14:paraId="725EC06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color w:val="000000" w:themeColor="text1"/>
                <w:sz w:val="21"/>
                <w:szCs w:val="21"/>
                <w14:textFill>
                  <w14:solidFill>
                    <w14:schemeClr w14:val="tx1"/>
                  </w14:solidFill>
                </w14:textFill>
              </w:rPr>
              <w:t>一、商务要求</w:t>
            </w:r>
          </w:p>
        </w:tc>
      </w:tr>
      <w:tr w14:paraId="251CB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219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31FB660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新宋体" w:hAnsi="新宋体" w:eastAsia="新宋体" w:cs="新宋体"/>
                <w:b/>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交付的时间和地点</w:t>
            </w:r>
          </w:p>
        </w:tc>
        <w:tc>
          <w:tcPr>
            <w:tcW w:w="747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B45E43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1、交货地点：广西陆川县（采购人指定地点）；</w:t>
            </w:r>
          </w:p>
          <w:p w14:paraId="2459541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b/>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2、交货</w:t>
            </w:r>
            <w:r>
              <w:rPr>
                <w:rFonts w:hint="eastAsia" w:ascii="新宋体" w:hAnsi="新宋体" w:eastAsia="新宋体" w:cs="新宋体"/>
                <w:color w:val="000000" w:themeColor="text1"/>
                <w:sz w:val="21"/>
                <w:szCs w:val="21"/>
                <w:lang w:val="en-US" w:eastAsia="zh-CN"/>
                <w14:textFill>
                  <w14:solidFill>
                    <w14:schemeClr w14:val="tx1"/>
                  </w14:solidFill>
                </w14:textFill>
              </w:rPr>
              <w:t>时间</w:t>
            </w:r>
            <w:r>
              <w:rPr>
                <w:rFonts w:hint="eastAsia" w:ascii="新宋体" w:hAnsi="新宋体" w:eastAsia="新宋体" w:cs="新宋体"/>
                <w:color w:val="000000" w:themeColor="text1"/>
                <w:sz w:val="21"/>
                <w:szCs w:val="21"/>
                <w14:textFill>
                  <w14:solidFill>
                    <w14:schemeClr w14:val="tx1"/>
                  </w14:solidFill>
                </w14:textFill>
              </w:rPr>
              <w:t>：自签订合同之日起90日历日内交货，并安装调试完毕且通过验收。</w:t>
            </w:r>
          </w:p>
        </w:tc>
      </w:tr>
      <w:tr w14:paraId="75AD61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19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15C1AC6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新宋体" w:hAnsi="新宋体" w:eastAsia="新宋体" w:cs="新宋体"/>
                <w:b/>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合同签订时间</w:t>
            </w:r>
          </w:p>
        </w:tc>
        <w:tc>
          <w:tcPr>
            <w:tcW w:w="747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FA6328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b/>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自</w:t>
            </w:r>
            <w:r>
              <w:rPr>
                <w:rFonts w:hint="eastAsia" w:ascii="新宋体" w:hAnsi="新宋体" w:eastAsia="新宋体" w:cs="新宋体"/>
                <w:color w:val="000000" w:themeColor="text1"/>
                <w:sz w:val="21"/>
                <w:szCs w:val="21"/>
                <w:lang w:val="en-US" w:eastAsia="zh-CN"/>
                <w14:textFill>
                  <w14:solidFill>
                    <w14:schemeClr w14:val="tx1"/>
                  </w14:solidFill>
                </w14:textFill>
              </w:rPr>
              <w:t>中标</w:t>
            </w:r>
            <w:r>
              <w:rPr>
                <w:rFonts w:hint="eastAsia" w:ascii="新宋体" w:hAnsi="新宋体" w:eastAsia="新宋体" w:cs="新宋体"/>
                <w:color w:val="000000" w:themeColor="text1"/>
                <w:sz w:val="21"/>
                <w:szCs w:val="21"/>
                <w14:textFill>
                  <w14:solidFill>
                    <w14:schemeClr w14:val="tx1"/>
                  </w14:solidFill>
                </w14:textFill>
              </w:rPr>
              <w:t xml:space="preserve">通知书发出之日起 </w:t>
            </w:r>
            <w:r>
              <w:rPr>
                <w:rFonts w:hint="eastAsia" w:ascii="新宋体" w:hAnsi="新宋体" w:eastAsia="新宋体" w:cs="新宋体"/>
                <w:color w:val="000000" w:themeColor="text1"/>
                <w:sz w:val="21"/>
                <w:szCs w:val="21"/>
                <w:u w:val="single"/>
                <w14:textFill>
                  <w14:solidFill>
                    <w14:schemeClr w14:val="tx1"/>
                  </w14:solidFill>
                </w14:textFill>
              </w:rPr>
              <w:t>25</w:t>
            </w:r>
            <w:r>
              <w:rPr>
                <w:rFonts w:hint="eastAsia" w:ascii="新宋体" w:hAnsi="新宋体" w:eastAsia="新宋体" w:cs="新宋体"/>
                <w:color w:val="000000" w:themeColor="text1"/>
                <w:sz w:val="21"/>
                <w:szCs w:val="21"/>
                <w14:textFill>
                  <w14:solidFill>
                    <w14:schemeClr w14:val="tx1"/>
                  </w14:solidFill>
                </w14:textFill>
              </w:rPr>
              <w:t>日内。</w:t>
            </w:r>
          </w:p>
        </w:tc>
      </w:tr>
      <w:tr w14:paraId="077AF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9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0586B80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投</w:t>
            </w:r>
            <w:r>
              <w:rPr>
                <w:rFonts w:hint="eastAsia" w:ascii="新宋体" w:hAnsi="新宋体" w:eastAsia="新宋体" w:cs="新宋体"/>
                <w:color w:val="000000" w:themeColor="text1"/>
                <w:sz w:val="21"/>
                <w:szCs w:val="21"/>
                <w14:textFill>
                  <w14:solidFill>
                    <w14:schemeClr w14:val="tx1"/>
                  </w14:solidFill>
                </w14:textFill>
              </w:rPr>
              <w:t>标报价要求</w:t>
            </w:r>
          </w:p>
        </w:tc>
        <w:tc>
          <w:tcPr>
            <w:tcW w:w="747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193DBF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投</w:t>
            </w:r>
            <w:r>
              <w:rPr>
                <w:rFonts w:hint="eastAsia" w:ascii="新宋体" w:hAnsi="新宋体" w:eastAsia="新宋体" w:cs="新宋体"/>
                <w:color w:val="000000" w:themeColor="text1"/>
                <w:sz w:val="21"/>
                <w:szCs w:val="21"/>
                <w14:textFill>
                  <w14:solidFill>
                    <w14:schemeClr w14:val="tx1"/>
                  </w14:solidFill>
                </w14:textFill>
              </w:rPr>
              <w:t>标报价为采购人指定地点的现场交货价，包括：</w:t>
            </w:r>
          </w:p>
          <w:p w14:paraId="0E20D4A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（1）货物的价格；</w:t>
            </w:r>
          </w:p>
          <w:p w14:paraId="4683E75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（2）货物的标准附件、备品备件、安装辅材、专用工具的价格；</w:t>
            </w:r>
          </w:p>
          <w:p w14:paraId="779D10F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（3）运输、装卸、安装（含钻孔、布线、开槽、回填等）、调试、培训、技术支持、售后服务等费用；</w:t>
            </w:r>
          </w:p>
          <w:p w14:paraId="50C3A12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（4）必要的保险费用和各项税费；</w:t>
            </w:r>
          </w:p>
          <w:p w14:paraId="055B87E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（5）货物的损耗费、机械费、增值税、运费、管理费、利润等费用；</w:t>
            </w:r>
          </w:p>
          <w:p w14:paraId="51BB5B3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（6）在施工期间，供货商与其他施工单位产生施工配合费用支出，由供货商自行承担。</w:t>
            </w:r>
          </w:p>
          <w:p w14:paraId="4AA0D82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对于本文件中明确列明必须报价的货物或服务，供应商应分别报价。对于本文件中未列明，而供应商认为必需的费用也需列入总报价。在合同实施时，采购人将不予支付</w:t>
            </w:r>
            <w:r>
              <w:rPr>
                <w:rFonts w:hint="eastAsia" w:ascii="新宋体" w:hAnsi="新宋体" w:eastAsia="新宋体" w:cs="新宋体"/>
                <w:color w:val="000000" w:themeColor="text1"/>
                <w:sz w:val="21"/>
                <w:szCs w:val="21"/>
                <w:lang w:eastAsia="zh-CN"/>
                <w14:textFill>
                  <w14:solidFill>
                    <w14:schemeClr w14:val="tx1"/>
                  </w14:solidFill>
                </w14:textFill>
              </w:rPr>
              <w:t>中标供应商</w:t>
            </w:r>
            <w:r>
              <w:rPr>
                <w:rFonts w:hint="eastAsia" w:ascii="新宋体" w:hAnsi="新宋体" w:eastAsia="新宋体" w:cs="新宋体"/>
                <w:color w:val="000000" w:themeColor="text1"/>
                <w:sz w:val="21"/>
                <w:szCs w:val="21"/>
                <w14:textFill>
                  <w14:solidFill>
                    <w14:schemeClr w14:val="tx1"/>
                  </w14:solidFill>
                </w14:textFill>
              </w:rPr>
              <w:t>没有列入的项目费用，并认为此项目的费用已包括在</w:t>
            </w:r>
            <w:r>
              <w:rPr>
                <w:rFonts w:hint="eastAsia" w:ascii="新宋体" w:hAnsi="新宋体" w:eastAsia="新宋体" w:cs="新宋体"/>
                <w:color w:val="000000" w:themeColor="text1"/>
                <w:sz w:val="21"/>
                <w:szCs w:val="21"/>
                <w:lang w:val="en-US" w:eastAsia="zh-CN"/>
                <w14:textFill>
                  <w14:solidFill>
                    <w14:schemeClr w14:val="tx1"/>
                  </w14:solidFill>
                </w14:textFill>
              </w:rPr>
              <w:t>投</w:t>
            </w:r>
            <w:r>
              <w:rPr>
                <w:rFonts w:hint="eastAsia" w:ascii="新宋体" w:hAnsi="新宋体" w:eastAsia="新宋体" w:cs="新宋体"/>
                <w:color w:val="000000" w:themeColor="text1"/>
                <w:sz w:val="21"/>
                <w:szCs w:val="21"/>
                <w14:textFill>
                  <w14:solidFill>
                    <w14:schemeClr w14:val="tx1"/>
                  </w14:solidFill>
                </w14:textFill>
              </w:rPr>
              <w:t>标总报价中。</w:t>
            </w:r>
          </w:p>
        </w:tc>
      </w:tr>
      <w:tr w14:paraId="64D441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9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5857D87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新宋体" w:hAnsi="新宋体" w:eastAsia="新宋体" w:cs="新宋体"/>
                <w:b/>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付款条件</w:t>
            </w:r>
          </w:p>
        </w:tc>
        <w:tc>
          <w:tcPr>
            <w:tcW w:w="747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EE8842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合同生效以及具备实施条件后10个工作日内采购人向</w:t>
            </w:r>
            <w:r>
              <w:rPr>
                <w:rFonts w:hint="eastAsia" w:ascii="新宋体" w:hAnsi="新宋体" w:eastAsia="新宋体" w:cs="新宋体"/>
                <w:color w:val="000000" w:themeColor="text1"/>
                <w:sz w:val="21"/>
                <w:szCs w:val="21"/>
                <w:lang w:eastAsia="zh-CN"/>
                <w14:textFill>
                  <w14:solidFill>
                    <w14:schemeClr w14:val="tx1"/>
                  </w14:solidFill>
                </w14:textFill>
              </w:rPr>
              <w:t>中标供应商</w:t>
            </w:r>
            <w:r>
              <w:rPr>
                <w:rFonts w:hint="eastAsia" w:ascii="新宋体" w:hAnsi="新宋体" w:eastAsia="新宋体" w:cs="新宋体"/>
                <w:color w:val="000000" w:themeColor="text1"/>
                <w:sz w:val="21"/>
                <w:szCs w:val="21"/>
                <w14:textFill>
                  <w14:solidFill>
                    <w14:schemeClr w14:val="tx1"/>
                  </w14:solidFill>
                </w14:textFill>
              </w:rPr>
              <w:t>支付合同款的30%；全部货物到达指定地点、安装调试并验收合格后，凭双方签署政府采购项目合同验收书，</w:t>
            </w:r>
            <w:r>
              <w:rPr>
                <w:rFonts w:hint="eastAsia" w:ascii="新宋体" w:hAnsi="新宋体" w:eastAsia="新宋体" w:cs="新宋体"/>
                <w:color w:val="000000" w:themeColor="text1"/>
                <w:sz w:val="21"/>
                <w:szCs w:val="21"/>
                <w:lang w:eastAsia="zh-CN"/>
                <w14:textFill>
                  <w14:solidFill>
                    <w14:schemeClr w14:val="tx1"/>
                  </w14:solidFill>
                </w14:textFill>
              </w:rPr>
              <w:t>中标供应商</w:t>
            </w:r>
            <w:r>
              <w:rPr>
                <w:rFonts w:hint="eastAsia" w:ascii="新宋体" w:hAnsi="新宋体" w:eastAsia="新宋体" w:cs="新宋体"/>
                <w:color w:val="000000" w:themeColor="text1"/>
                <w:sz w:val="21"/>
                <w:szCs w:val="21"/>
                <w14:textFill>
                  <w14:solidFill>
                    <w14:schemeClr w14:val="tx1"/>
                  </w14:solidFill>
                </w14:textFill>
              </w:rPr>
              <w:t>开具全额增值税发票给采购人，采购人支付至总合同金额的95%。经采购人验收配套服务符合合同约定，并办理相关确认手续后10个工作日内，采购人支付至总合同金额的100%。</w:t>
            </w:r>
          </w:p>
          <w:p w14:paraId="01D1D0C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如未按国家要求开具增值税发票，一旦发现</w:t>
            </w:r>
            <w:r>
              <w:rPr>
                <w:rFonts w:hint="eastAsia" w:ascii="新宋体" w:hAnsi="新宋体" w:eastAsia="新宋体" w:cs="新宋体"/>
                <w:color w:val="000000" w:themeColor="text1"/>
                <w:sz w:val="21"/>
                <w:szCs w:val="21"/>
                <w:lang w:eastAsia="zh-CN"/>
                <w14:textFill>
                  <w14:solidFill>
                    <w14:schemeClr w14:val="tx1"/>
                  </w14:solidFill>
                </w14:textFill>
              </w:rPr>
              <w:t>中标供应商</w:t>
            </w:r>
            <w:r>
              <w:rPr>
                <w:rFonts w:hint="eastAsia" w:ascii="新宋体" w:hAnsi="新宋体" w:eastAsia="新宋体" w:cs="新宋体"/>
                <w:color w:val="000000" w:themeColor="text1"/>
                <w:sz w:val="21"/>
                <w:szCs w:val="21"/>
                <w14:textFill>
                  <w14:solidFill>
                    <w14:schemeClr w14:val="tx1"/>
                  </w14:solidFill>
                </w14:textFill>
              </w:rPr>
              <w:t>提供虚假发票，除须向采购人补开合法发票外，须赔偿采购人发票票面金额一倍的违约金，且采购人按合同违约处理，</w:t>
            </w:r>
            <w:r>
              <w:rPr>
                <w:rFonts w:hint="eastAsia" w:ascii="新宋体" w:hAnsi="新宋体" w:eastAsia="新宋体" w:cs="新宋体"/>
                <w:color w:val="000000" w:themeColor="text1"/>
                <w:sz w:val="21"/>
                <w:szCs w:val="21"/>
                <w:lang w:eastAsia="zh-CN"/>
                <w14:textFill>
                  <w14:solidFill>
                    <w14:schemeClr w14:val="tx1"/>
                  </w14:solidFill>
                </w14:textFill>
              </w:rPr>
              <w:t>中标供应商</w:t>
            </w:r>
            <w:r>
              <w:rPr>
                <w:rFonts w:hint="eastAsia" w:ascii="新宋体" w:hAnsi="新宋体" w:eastAsia="新宋体" w:cs="新宋体"/>
                <w:color w:val="000000" w:themeColor="text1"/>
                <w:sz w:val="21"/>
                <w:szCs w:val="21"/>
                <w14:textFill>
                  <w14:solidFill>
                    <w14:schemeClr w14:val="tx1"/>
                  </w14:solidFill>
                </w14:textFill>
              </w:rPr>
              <w:t>不得提出异议，由此终止合同而产生的一切损失均由</w:t>
            </w:r>
            <w:r>
              <w:rPr>
                <w:rFonts w:hint="eastAsia" w:ascii="新宋体" w:hAnsi="新宋体" w:eastAsia="新宋体" w:cs="新宋体"/>
                <w:color w:val="000000" w:themeColor="text1"/>
                <w:sz w:val="21"/>
                <w:szCs w:val="21"/>
                <w:lang w:eastAsia="zh-CN"/>
                <w14:textFill>
                  <w14:solidFill>
                    <w14:schemeClr w14:val="tx1"/>
                  </w14:solidFill>
                </w14:textFill>
              </w:rPr>
              <w:t>中标供应商</w:t>
            </w:r>
            <w:r>
              <w:rPr>
                <w:rFonts w:hint="eastAsia" w:ascii="新宋体" w:hAnsi="新宋体" w:eastAsia="新宋体" w:cs="新宋体"/>
                <w:color w:val="000000" w:themeColor="text1"/>
                <w:sz w:val="21"/>
                <w:szCs w:val="21"/>
                <w14:textFill>
                  <w14:solidFill>
                    <w14:schemeClr w14:val="tx1"/>
                  </w14:solidFill>
                </w14:textFill>
              </w:rPr>
              <w:t>承担。</w:t>
            </w:r>
          </w:p>
        </w:tc>
      </w:tr>
      <w:tr w14:paraId="417D08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9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7949ABC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新宋体" w:hAnsi="新宋体" w:eastAsia="新宋体" w:cs="新宋体"/>
                <w:b/>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售后服务</w:t>
            </w:r>
          </w:p>
        </w:tc>
        <w:tc>
          <w:tcPr>
            <w:tcW w:w="747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026998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1、按厂家承诺进行；</w:t>
            </w:r>
          </w:p>
          <w:p w14:paraId="34DA5B6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2、负责送货上门及安装；</w:t>
            </w:r>
          </w:p>
          <w:p w14:paraId="5E6E264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3、设备发生故障时接到通知后30分钟内响应，1小时内（非工作时间3小时内）到达现场维修，并在到达现场后4小时内修复故障，如故障无法修复，应在48小时内提供备用机；</w:t>
            </w:r>
          </w:p>
          <w:p w14:paraId="724B991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4、提供终身维护；</w:t>
            </w:r>
          </w:p>
          <w:p w14:paraId="6FA1EBA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5、</w:t>
            </w:r>
            <w:r>
              <w:rPr>
                <w:rFonts w:hint="eastAsia" w:ascii="新宋体" w:hAnsi="新宋体" w:eastAsia="新宋体" w:cs="新宋体"/>
                <w:color w:val="000000" w:themeColor="text1"/>
                <w:sz w:val="21"/>
                <w:szCs w:val="21"/>
                <w:lang w:val="en-US" w:eastAsia="zh-CN"/>
                <w14:textFill>
                  <w14:solidFill>
                    <w14:schemeClr w14:val="tx1"/>
                  </w14:solidFill>
                </w14:textFill>
              </w:rPr>
              <w:t>中标</w:t>
            </w:r>
            <w:r>
              <w:rPr>
                <w:rFonts w:hint="eastAsia" w:ascii="新宋体" w:hAnsi="新宋体" w:eastAsia="新宋体" w:cs="新宋体"/>
                <w:color w:val="000000" w:themeColor="text1"/>
                <w:sz w:val="21"/>
                <w:szCs w:val="21"/>
                <w14:textFill>
                  <w14:solidFill>
                    <w14:schemeClr w14:val="tx1"/>
                  </w14:solidFill>
                </w14:textFill>
              </w:rPr>
              <w:t>供应商必须按照国家相关法律法规和“三包”规定及厂家售后服务提供售后服务；</w:t>
            </w:r>
          </w:p>
          <w:p w14:paraId="7F7327C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6、质量保修期内每年要求至少2次维护保养，采购人重大活动/节日前巡检；</w:t>
            </w:r>
          </w:p>
          <w:p w14:paraId="7668A32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4.在质保期内货物如因非人为及不可抗拒因素的原因而引起损坏或质量问题，</w:t>
            </w:r>
            <w:r>
              <w:rPr>
                <w:rFonts w:hint="eastAsia" w:ascii="新宋体" w:hAnsi="新宋体" w:eastAsia="新宋体" w:cs="新宋体"/>
                <w:color w:val="000000" w:themeColor="text1"/>
                <w:sz w:val="21"/>
                <w:szCs w:val="21"/>
                <w:lang w:val="en-US" w:eastAsia="zh-CN"/>
                <w14:textFill>
                  <w14:solidFill>
                    <w14:schemeClr w14:val="tx1"/>
                  </w14:solidFill>
                </w14:textFill>
              </w:rPr>
              <w:t>中标</w:t>
            </w:r>
            <w:r>
              <w:rPr>
                <w:rFonts w:hint="eastAsia" w:ascii="新宋体" w:hAnsi="新宋体" w:eastAsia="新宋体" w:cs="新宋体"/>
                <w:color w:val="000000" w:themeColor="text1"/>
                <w:sz w:val="21"/>
                <w:szCs w:val="21"/>
                <w14:textFill>
                  <w14:solidFill>
                    <w14:schemeClr w14:val="tx1"/>
                  </w14:solidFill>
                </w14:textFill>
              </w:rPr>
              <w:t>供应商应予以技术服务，并提供维修或货物更换服务。</w:t>
            </w:r>
          </w:p>
          <w:p w14:paraId="73C34D3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7、质量保修期外</w:t>
            </w:r>
            <w:r>
              <w:rPr>
                <w:rFonts w:hint="eastAsia" w:ascii="新宋体" w:hAnsi="新宋体" w:eastAsia="新宋体" w:cs="新宋体"/>
                <w:color w:val="000000" w:themeColor="text1"/>
                <w:sz w:val="21"/>
                <w:szCs w:val="21"/>
                <w:lang w:eastAsia="zh-CN"/>
                <w14:textFill>
                  <w14:solidFill>
                    <w14:schemeClr w14:val="tx1"/>
                  </w14:solidFill>
                </w14:textFill>
              </w:rPr>
              <w:t>中标供应商</w:t>
            </w:r>
            <w:r>
              <w:rPr>
                <w:rFonts w:hint="eastAsia" w:ascii="新宋体" w:hAnsi="新宋体" w:eastAsia="新宋体" w:cs="新宋体"/>
                <w:color w:val="000000" w:themeColor="text1"/>
                <w:sz w:val="21"/>
                <w:szCs w:val="21"/>
                <w14:textFill>
                  <w14:solidFill>
                    <w14:schemeClr w14:val="tx1"/>
                  </w14:solidFill>
                </w14:textFill>
              </w:rPr>
              <w:t>应延续上述售后服务并保证备品备件的供应，出现故障应予以维修，零部件有更换的仅收取零件购买费用。</w:t>
            </w:r>
          </w:p>
          <w:p w14:paraId="7669219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b/>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8、</w:t>
            </w:r>
            <w:r>
              <w:rPr>
                <w:rFonts w:hint="eastAsia" w:ascii="新宋体" w:hAnsi="新宋体" w:eastAsia="新宋体" w:cs="新宋体"/>
                <w:color w:val="000000" w:themeColor="text1"/>
                <w:sz w:val="21"/>
                <w:szCs w:val="21"/>
                <w:lang w:val="en-US" w:eastAsia="zh-CN"/>
                <w14:textFill>
                  <w14:solidFill>
                    <w14:schemeClr w14:val="tx1"/>
                  </w14:solidFill>
                </w14:textFill>
              </w:rPr>
              <w:t>中标</w:t>
            </w:r>
            <w:r>
              <w:rPr>
                <w:rFonts w:hint="eastAsia" w:ascii="新宋体" w:hAnsi="新宋体" w:eastAsia="新宋体" w:cs="新宋体"/>
                <w:color w:val="000000" w:themeColor="text1"/>
                <w:sz w:val="21"/>
                <w:szCs w:val="21"/>
                <w14:textFill>
                  <w14:solidFill>
                    <w14:schemeClr w14:val="tx1"/>
                  </w14:solidFill>
                </w14:textFill>
              </w:rPr>
              <w:t>供应商提供的服务承诺和售后服务及质量保修期责任等其他具体约定事项。</w:t>
            </w:r>
          </w:p>
        </w:tc>
      </w:tr>
      <w:tr w14:paraId="7FC4A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9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4CD4E8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新宋体" w:hAnsi="新宋体" w:eastAsia="新宋体" w:cs="新宋体"/>
                <w:b/>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包装和运输</w:t>
            </w:r>
          </w:p>
        </w:tc>
        <w:tc>
          <w:tcPr>
            <w:tcW w:w="747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21456A1">
            <w:pPr>
              <w:pStyle w:val="45"/>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新宋体" w:hAnsi="新宋体" w:eastAsia="新宋体" w:cs="新宋体"/>
                <w:bCs w:val="0"/>
                <w:color w:val="000000" w:themeColor="text1"/>
                <w:spacing w:val="0"/>
                <w:kern w:val="2"/>
                <w:sz w:val="21"/>
                <w:szCs w:val="21"/>
                <w14:textFill>
                  <w14:solidFill>
                    <w14:schemeClr w14:val="tx1"/>
                  </w14:solidFill>
                </w14:textFill>
              </w:rPr>
            </w:pPr>
            <w:r>
              <w:rPr>
                <w:rFonts w:hint="eastAsia" w:ascii="新宋体" w:hAnsi="新宋体" w:eastAsia="新宋体" w:cs="新宋体"/>
                <w:bCs w:val="0"/>
                <w:color w:val="000000" w:themeColor="text1"/>
                <w:spacing w:val="0"/>
                <w:kern w:val="2"/>
                <w:sz w:val="21"/>
                <w:szCs w:val="21"/>
                <w14:textFill>
                  <w14:solidFill>
                    <w14:schemeClr w14:val="tx1"/>
                  </w14:solidFill>
                </w14:textFill>
              </w:rPr>
              <w:t>根据《财政部等三部门联合印发商品包装和快递包装政府采购需求标准（试行）》财办库【2020】123号文规定，若</w:t>
            </w:r>
            <w:r>
              <w:rPr>
                <w:rFonts w:hint="eastAsia" w:ascii="新宋体" w:hAnsi="新宋体" w:eastAsia="新宋体" w:cs="新宋体"/>
                <w:bCs w:val="0"/>
                <w:color w:val="000000" w:themeColor="text1"/>
                <w:spacing w:val="0"/>
                <w:kern w:val="2"/>
                <w:sz w:val="21"/>
                <w:szCs w:val="21"/>
                <w:lang w:val="en-US" w:eastAsia="zh-CN"/>
                <w14:textFill>
                  <w14:solidFill>
                    <w14:schemeClr w14:val="tx1"/>
                  </w14:solidFill>
                </w14:textFill>
              </w:rPr>
              <w:t>投</w:t>
            </w:r>
            <w:r>
              <w:rPr>
                <w:rFonts w:hint="eastAsia" w:ascii="新宋体" w:hAnsi="新宋体" w:eastAsia="新宋体" w:cs="新宋体"/>
                <w:bCs w:val="0"/>
                <w:color w:val="000000" w:themeColor="text1"/>
                <w:spacing w:val="0"/>
                <w:kern w:val="2"/>
                <w:sz w:val="21"/>
                <w:szCs w:val="21"/>
                <w14:textFill>
                  <w14:solidFill>
                    <w14:schemeClr w14:val="tx1"/>
                  </w14:solidFill>
                </w14:textFill>
              </w:rPr>
              <w:t>标产品使用塑料、纸质、木质等包装材料时应满足《商品包装政府采购需求标准（试行）》要求，若</w:t>
            </w:r>
            <w:r>
              <w:rPr>
                <w:rFonts w:hint="eastAsia" w:ascii="新宋体" w:hAnsi="新宋体" w:eastAsia="新宋体" w:cs="新宋体"/>
                <w:bCs w:val="0"/>
                <w:color w:val="000000" w:themeColor="text1"/>
                <w:spacing w:val="0"/>
                <w:kern w:val="2"/>
                <w:sz w:val="21"/>
                <w:szCs w:val="21"/>
                <w:lang w:val="en-US" w:eastAsia="zh-CN"/>
                <w14:textFill>
                  <w14:solidFill>
                    <w14:schemeClr w14:val="tx1"/>
                  </w14:solidFill>
                </w14:textFill>
              </w:rPr>
              <w:t>投</w:t>
            </w:r>
            <w:r>
              <w:rPr>
                <w:rFonts w:hint="eastAsia" w:ascii="新宋体" w:hAnsi="新宋体" w:eastAsia="新宋体" w:cs="新宋体"/>
                <w:bCs w:val="0"/>
                <w:color w:val="000000" w:themeColor="text1"/>
                <w:spacing w:val="0"/>
                <w:kern w:val="2"/>
                <w:sz w:val="21"/>
                <w:szCs w:val="21"/>
                <w14:textFill>
                  <w14:solidFill>
                    <w14:schemeClr w14:val="tx1"/>
                  </w14:solidFill>
                </w14:textFill>
              </w:rPr>
              <w:t>标产品需要快递包装，快递封装材料应满足《快递包装政府采购需求标准（试行）》要求。</w:t>
            </w:r>
          </w:p>
          <w:p w14:paraId="753CB8A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b/>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运输要求详见采购文件合同主要条款格式部分。</w:t>
            </w:r>
          </w:p>
        </w:tc>
      </w:tr>
      <w:tr w14:paraId="6B7CD9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9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0C229D6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新宋体" w:hAnsi="新宋体" w:eastAsia="新宋体" w:cs="新宋体"/>
                <w:b/>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保险</w:t>
            </w:r>
          </w:p>
        </w:tc>
        <w:tc>
          <w:tcPr>
            <w:tcW w:w="747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EA5F19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b/>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中标</w:t>
            </w:r>
            <w:r>
              <w:rPr>
                <w:rFonts w:hint="eastAsia" w:ascii="新宋体" w:hAnsi="新宋体" w:eastAsia="新宋体" w:cs="新宋体"/>
                <w:color w:val="000000" w:themeColor="text1"/>
                <w:kern w:val="0"/>
                <w:sz w:val="21"/>
                <w:szCs w:val="21"/>
                <w14:textFill>
                  <w14:solidFill>
                    <w14:schemeClr w14:val="tx1"/>
                  </w14:solidFill>
                </w14:textFill>
              </w:rPr>
              <w:t>供应商负责办理运输和保险，将货物运抵交货地点。与运输、保险相关的费用由</w:t>
            </w:r>
            <w:r>
              <w:rPr>
                <w:rFonts w:hint="eastAsia" w:ascii="新宋体" w:hAnsi="新宋体" w:eastAsia="新宋体" w:cs="新宋体"/>
                <w:color w:val="000000" w:themeColor="text1"/>
                <w:sz w:val="21"/>
                <w:szCs w:val="21"/>
                <w:lang w:val="en-US" w:eastAsia="zh-CN"/>
                <w14:textFill>
                  <w14:solidFill>
                    <w14:schemeClr w14:val="tx1"/>
                  </w14:solidFill>
                </w14:textFill>
              </w:rPr>
              <w:t>中标</w:t>
            </w:r>
            <w:r>
              <w:rPr>
                <w:rFonts w:hint="eastAsia" w:ascii="新宋体" w:hAnsi="新宋体" w:eastAsia="新宋体" w:cs="新宋体"/>
                <w:color w:val="000000" w:themeColor="text1"/>
                <w:kern w:val="0"/>
                <w:sz w:val="21"/>
                <w:szCs w:val="21"/>
                <w14:textFill>
                  <w14:solidFill>
                    <w14:schemeClr w14:val="tx1"/>
                  </w14:solidFill>
                </w14:textFill>
              </w:rPr>
              <w:t>供应商承担。</w:t>
            </w:r>
          </w:p>
        </w:tc>
      </w:tr>
      <w:tr w14:paraId="32C531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9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6EBA7D2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产品质量要求</w:t>
            </w:r>
          </w:p>
        </w:tc>
        <w:tc>
          <w:tcPr>
            <w:tcW w:w="747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89164C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要求</w:t>
            </w:r>
            <w:r>
              <w:rPr>
                <w:rFonts w:hint="eastAsia" w:ascii="新宋体" w:hAnsi="新宋体" w:eastAsia="新宋体" w:cs="新宋体"/>
                <w:color w:val="000000" w:themeColor="text1"/>
                <w:sz w:val="21"/>
                <w:szCs w:val="21"/>
                <w:lang w:val="en-US" w:eastAsia="zh-CN"/>
                <w14:textFill>
                  <w14:solidFill>
                    <w14:schemeClr w14:val="tx1"/>
                  </w14:solidFill>
                </w14:textFill>
              </w:rPr>
              <w:t>投</w:t>
            </w:r>
            <w:r>
              <w:rPr>
                <w:rFonts w:hint="eastAsia" w:ascii="新宋体" w:hAnsi="新宋体" w:eastAsia="新宋体" w:cs="新宋体"/>
                <w:color w:val="000000" w:themeColor="text1"/>
                <w:sz w:val="21"/>
                <w:szCs w:val="21"/>
                <w14:textFill>
                  <w14:solidFill>
                    <w14:schemeClr w14:val="tx1"/>
                  </w14:solidFill>
                </w14:textFill>
              </w:rPr>
              <w:t>标货物及其所有零部件、配件必须是符合国家有关质量和安全强制要求和标准的产品。</w:t>
            </w:r>
          </w:p>
        </w:tc>
      </w:tr>
      <w:tr w14:paraId="54FC5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9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2BADA9F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新宋体" w:hAnsi="新宋体" w:eastAsia="新宋体" w:cs="新宋体"/>
                <w:b/>
                <w:color w:val="000000" w:themeColor="text1"/>
                <w:sz w:val="21"/>
                <w:szCs w:val="21"/>
                <w14:textFill>
                  <w14:solidFill>
                    <w14:schemeClr w14:val="tx1"/>
                  </w14:solidFill>
                </w14:textFill>
              </w:rPr>
            </w:pPr>
            <w:bookmarkStart w:id="62" w:name="OLE_LINK16"/>
            <w:r>
              <w:rPr>
                <w:rFonts w:hint="eastAsia" w:ascii="新宋体" w:hAnsi="新宋体" w:eastAsia="新宋体" w:cs="新宋体"/>
                <w:color w:val="000000" w:themeColor="text1"/>
                <w:sz w:val="21"/>
                <w:szCs w:val="21"/>
                <w14:textFill>
                  <w14:solidFill>
                    <w14:schemeClr w14:val="tx1"/>
                  </w14:solidFill>
                </w14:textFill>
              </w:rPr>
              <w:t>质量保修期</w:t>
            </w:r>
            <w:bookmarkEnd w:id="62"/>
          </w:p>
        </w:tc>
        <w:tc>
          <w:tcPr>
            <w:tcW w:w="747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920D1F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1、按国家有关产品“三包”规定执行“三包”，所有货物质量保修期从最终验收合格之日起计算不少于三年（含三年），“技术要求”中若另有专项要求的，按其规定。</w:t>
            </w:r>
          </w:p>
          <w:p w14:paraId="1AFABD1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2、“质量保修期”是指在规定时限或</w:t>
            </w:r>
            <w:r>
              <w:rPr>
                <w:rFonts w:hint="eastAsia" w:ascii="新宋体" w:hAnsi="新宋体" w:eastAsia="新宋体" w:cs="新宋体"/>
                <w:color w:val="000000" w:themeColor="text1"/>
                <w:sz w:val="21"/>
                <w:szCs w:val="21"/>
                <w:lang w:val="en-US" w:eastAsia="zh-CN"/>
                <w14:textFill>
                  <w14:solidFill>
                    <w14:schemeClr w14:val="tx1"/>
                  </w14:solidFill>
                </w14:textFill>
              </w:rPr>
              <w:t>中标</w:t>
            </w:r>
            <w:r>
              <w:rPr>
                <w:rFonts w:hint="eastAsia" w:ascii="新宋体" w:hAnsi="新宋体" w:eastAsia="新宋体" w:cs="新宋体"/>
                <w:color w:val="000000" w:themeColor="text1"/>
                <w:sz w:val="21"/>
                <w:szCs w:val="21"/>
                <w14:textFill>
                  <w14:solidFill>
                    <w14:schemeClr w14:val="tx1"/>
                  </w14:solidFill>
                </w14:textFill>
              </w:rPr>
              <w:t>供应商承诺时限内，因货物不能正常使用需要维修维护或设备更换而产生的所有费用均由</w:t>
            </w:r>
            <w:r>
              <w:rPr>
                <w:rFonts w:hint="eastAsia" w:ascii="新宋体" w:hAnsi="新宋体" w:eastAsia="新宋体" w:cs="新宋体"/>
                <w:color w:val="000000" w:themeColor="text1"/>
                <w:sz w:val="21"/>
                <w:szCs w:val="21"/>
                <w:lang w:val="en-US" w:eastAsia="zh-CN"/>
                <w14:textFill>
                  <w14:solidFill>
                    <w14:schemeClr w14:val="tx1"/>
                  </w14:solidFill>
                </w14:textFill>
              </w:rPr>
              <w:t>中标</w:t>
            </w:r>
            <w:r>
              <w:rPr>
                <w:rFonts w:hint="eastAsia" w:ascii="新宋体" w:hAnsi="新宋体" w:eastAsia="新宋体" w:cs="新宋体"/>
                <w:color w:val="000000" w:themeColor="text1"/>
                <w:sz w:val="21"/>
                <w:szCs w:val="21"/>
                <w14:textFill>
                  <w14:solidFill>
                    <w14:schemeClr w14:val="tx1"/>
                  </w14:solidFill>
                </w14:textFill>
              </w:rPr>
              <w:t>供应商负责支付，包括人员上门、设备货物及配件的更换和运输等。如由于采购人操作不当或维护不当造成的货物不能正常使用，则</w:t>
            </w:r>
            <w:r>
              <w:rPr>
                <w:rFonts w:hint="eastAsia" w:ascii="新宋体" w:hAnsi="新宋体" w:eastAsia="新宋体" w:cs="新宋体"/>
                <w:color w:val="000000" w:themeColor="text1"/>
                <w:sz w:val="21"/>
                <w:szCs w:val="21"/>
                <w:lang w:val="en-US" w:eastAsia="zh-CN"/>
                <w14:textFill>
                  <w14:solidFill>
                    <w14:schemeClr w14:val="tx1"/>
                  </w14:solidFill>
                </w14:textFill>
              </w:rPr>
              <w:t>中标</w:t>
            </w:r>
            <w:r>
              <w:rPr>
                <w:rFonts w:hint="eastAsia" w:ascii="新宋体" w:hAnsi="新宋体" w:eastAsia="新宋体" w:cs="新宋体"/>
                <w:color w:val="000000" w:themeColor="text1"/>
                <w:sz w:val="21"/>
                <w:szCs w:val="21"/>
                <w14:textFill>
                  <w14:solidFill>
                    <w14:schemeClr w14:val="tx1"/>
                  </w14:solidFill>
                </w14:textFill>
              </w:rPr>
              <w:t>供应商需协助采购人进行维护或更换。</w:t>
            </w:r>
          </w:p>
          <w:p w14:paraId="47E4D6A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b/>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3、在</w:t>
            </w:r>
            <w:r>
              <w:rPr>
                <w:rFonts w:hint="eastAsia" w:ascii="新宋体" w:hAnsi="新宋体" w:eastAsia="新宋体" w:cs="新宋体"/>
                <w:color w:val="000000" w:themeColor="text1"/>
                <w:sz w:val="21"/>
                <w:szCs w:val="21"/>
                <w:lang w:val="en-US" w:eastAsia="zh-CN"/>
                <w14:textFill>
                  <w14:solidFill>
                    <w14:schemeClr w14:val="tx1"/>
                  </w14:solidFill>
                </w14:textFill>
              </w:rPr>
              <w:t>中标</w:t>
            </w:r>
            <w:r>
              <w:rPr>
                <w:rFonts w:hint="eastAsia" w:ascii="新宋体" w:hAnsi="新宋体" w:eastAsia="新宋体" w:cs="新宋体"/>
                <w:color w:val="000000" w:themeColor="text1"/>
                <w:sz w:val="21"/>
                <w:szCs w:val="21"/>
                <w14:textFill>
                  <w14:solidFill>
                    <w14:schemeClr w14:val="tx1"/>
                  </w14:solidFill>
                </w14:textFill>
              </w:rPr>
              <w:t>供应商承诺的质量保修期内，设备保修保换所需要的配件均是原厂原装，不得使用兼容产品。</w:t>
            </w:r>
          </w:p>
        </w:tc>
      </w:tr>
      <w:tr w14:paraId="79FB3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60"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59388E5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b/>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sz w:val="21"/>
                <w:szCs w:val="21"/>
                <w14:textFill>
                  <w14:solidFill>
                    <w14:schemeClr w14:val="tx1"/>
                  </w14:solidFill>
                </w14:textFill>
              </w:rPr>
              <w:t>二、与实现项目目标相关的其他要求</w:t>
            </w:r>
          </w:p>
        </w:tc>
      </w:tr>
      <w:tr w14:paraId="0D6B49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60"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5A3118B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b/>
                <w:color w:val="000000" w:themeColor="text1"/>
                <w:sz w:val="21"/>
                <w:szCs w:val="21"/>
                <w14:textFill>
                  <w14:solidFill>
                    <w14:schemeClr w14:val="tx1"/>
                  </w14:solidFill>
                </w14:textFill>
              </w:rPr>
            </w:pPr>
            <w:r>
              <w:rPr>
                <w:rFonts w:hint="eastAsia" w:ascii="新宋体" w:hAnsi="新宋体" w:eastAsia="新宋体" w:cs="新宋体"/>
                <w:b/>
                <w:color w:val="000000" w:themeColor="text1"/>
                <w:sz w:val="21"/>
                <w:szCs w:val="21"/>
                <w14:textFill>
                  <w14:solidFill>
                    <w14:schemeClr w14:val="tx1"/>
                  </w14:solidFill>
                </w14:textFill>
              </w:rPr>
              <w:t>（一）供应商的履约能力要求</w:t>
            </w:r>
          </w:p>
        </w:tc>
      </w:tr>
      <w:tr w14:paraId="6E3988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9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72759B2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管理体系要求</w:t>
            </w:r>
          </w:p>
        </w:tc>
        <w:tc>
          <w:tcPr>
            <w:tcW w:w="747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A7F5A5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无。</w:t>
            </w:r>
          </w:p>
        </w:tc>
      </w:tr>
      <w:tr w14:paraId="3DEBB2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60"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7720F5A4">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textAlignment w:val="auto"/>
              <w:rPr>
                <w:rFonts w:hint="eastAsia" w:ascii="新宋体" w:hAnsi="新宋体" w:eastAsia="新宋体" w:cs="新宋体"/>
                <w:bCs/>
                <w:color w:val="000000" w:themeColor="text1"/>
                <w:sz w:val="21"/>
                <w:szCs w:val="21"/>
                <w14:textFill>
                  <w14:solidFill>
                    <w14:schemeClr w14:val="tx1"/>
                  </w14:solidFill>
                </w14:textFill>
              </w:rPr>
            </w:pPr>
            <w:r>
              <w:rPr>
                <w:rFonts w:hint="eastAsia" w:ascii="新宋体" w:hAnsi="新宋体" w:eastAsia="新宋体" w:cs="新宋体"/>
                <w:b/>
                <w:color w:val="000000" w:themeColor="text1"/>
                <w:sz w:val="21"/>
                <w:szCs w:val="21"/>
                <w14:textFill>
                  <w14:solidFill>
                    <w14:schemeClr w14:val="tx1"/>
                  </w14:solidFill>
                </w14:textFill>
              </w:rPr>
              <w:t>（二）验收要求及标准</w:t>
            </w:r>
          </w:p>
        </w:tc>
      </w:tr>
      <w:tr w14:paraId="4FDE0A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60"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5F89D9C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1.货物到货时，采购人</w:t>
            </w:r>
            <w:r>
              <w:rPr>
                <w:rFonts w:hint="eastAsia" w:ascii="新宋体" w:hAnsi="新宋体" w:eastAsia="新宋体" w:cs="新宋体"/>
                <w:color w:val="auto"/>
                <w:sz w:val="21"/>
                <w:szCs w:val="21"/>
              </w:rPr>
              <w:t>按“</w:t>
            </w:r>
            <w:r>
              <w:rPr>
                <w:rFonts w:hint="eastAsia" w:ascii="新宋体" w:hAnsi="新宋体" w:eastAsia="新宋体" w:cs="新宋体"/>
                <w:color w:val="auto"/>
                <w:sz w:val="21"/>
                <w:szCs w:val="21"/>
                <w:lang w:val="en-US" w:eastAsia="zh-CN"/>
              </w:rPr>
              <w:t>采购</w:t>
            </w:r>
            <w:r>
              <w:rPr>
                <w:rFonts w:hint="eastAsia" w:ascii="新宋体" w:hAnsi="新宋体" w:eastAsia="新宋体" w:cs="新宋体"/>
                <w:color w:val="auto"/>
                <w:sz w:val="21"/>
                <w:szCs w:val="21"/>
              </w:rPr>
              <w:t>需求”中</w:t>
            </w:r>
            <w:r>
              <w:rPr>
                <w:rFonts w:hint="eastAsia" w:ascii="新宋体" w:hAnsi="新宋体" w:eastAsia="新宋体" w:cs="新宋体"/>
                <w:color w:val="000000" w:themeColor="text1"/>
                <w:sz w:val="21"/>
                <w:szCs w:val="21"/>
                <w14:textFill>
                  <w14:solidFill>
                    <w14:schemeClr w14:val="tx1"/>
                  </w14:solidFill>
                </w14:textFill>
              </w:rPr>
              <w:t>性能指标项进行核实，</w:t>
            </w:r>
            <w:r>
              <w:rPr>
                <w:rFonts w:hint="eastAsia" w:ascii="新宋体" w:hAnsi="新宋体" w:eastAsia="新宋体" w:cs="新宋体"/>
                <w:color w:val="000000" w:themeColor="text1"/>
                <w:sz w:val="21"/>
                <w:szCs w:val="21"/>
                <w:lang w:eastAsia="zh-CN"/>
                <w14:textFill>
                  <w14:solidFill>
                    <w14:schemeClr w14:val="tx1"/>
                  </w14:solidFill>
                </w14:textFill>
              </w:rPr>
              <w:t>中标供应商</w:t>
            </w:r>
            <w:r>
              <w:rPr>
                <w:rFonts w:hint="eastAsia" w:ascii="新宋体" w:hAnsi="新宋体" w:eastAsia="新宋体" w:cs="新宋体"/>
                <w:color w:val="000000" w:themeColor="text1"/>
                <w:sz w:val="21"/>
                <w:szCs w:val="21"/>
                <w14:textFill>
                  <w14:solidFill>
                    <w14:schemeClr w14:val="tx1"/>
                  </w14:solidFill>
                </w14:textFill>
              </w:rPr>
              <w:t>所提供的货物与</w:t>
            </w:r>
            <w:r>
              <w:rPr>
                <w:rFonts w:hint="eastAsia" w:ascii="新宋体" w:hAnsi="新宋体" w:eastAsia="新宋体" w:cs="新宋体"/>
                <w:color w:val="000000" w:themeColor="text1"/>
                <w:sz w:val="21"/>
                <w:szCs w:val="21"/>
                <w:lang w:val="en-US" w:eastAsia="zh-CN"/>
                <w14:textFill>
                  <w14:solidFill>
                    <w14:schemeClr w14:val="tx1"/>
                  </w14:solidFill>
                </w14:textFill>
              </w:rPr>
              <w:t>投标</w:t>
            </w:r>
            <w:r>
              <w:rPr>
                <w:rFonts w:hint="eastAsia" w:ascii="新宋体" w:hAnsi="新宋体" w:eastAsia="新宋体" w:cs="新宋体"/>
                <w:color w:val="000000" w:themeColor="text1"/>
                <w:sz w:val="21"/>
                <w:szCs w:val="21"/>
                <w14:textFill>
                  <w14:solidFill>
                    <w14:schemeClr w14:val="tx1"/>
                  </w14:solidFill>
                </w14:textFill>
              </w:rPr>
              <w:t>文件中承诺的技术参数不符或未提供以上货物的，视为</w:t>
            </w:r>
            <w:r>
              <w:rPr>
                <w:rFonts w:hint="eastAsia" w:ascii="新宋体" w:hAnsi="新宋体" w:eastAsia="新宋体" w:cs="新宋体"/>
                <w:color w:val="000000" w:themeColor="text1"/>
                <w:sz w:val="21"/>
                <w:szCs w:val="21"/>
                <w:lang w:eastAsia="zh-CN"/>
                <w14:textFill>
                  <w14:solidFill>
                    <w14:schemeClr w14:val="tx1"/>
                  </w14:solidFill>
                </w14:textFill>
              </w:rPr>
              <w:t>中标供应商</w:t>
            </w:r>
            <w:r>
              <w:rPr>
                <w:rFonts w:hint="eastAsia" w:ascii="新宋体" w:hAnsi="新宋体" w:eastAsia="新宋体" w:cs="新宋体"/>
                <w:color w:val="000000" w:themeColor="text1"/>
                <w:sz w:val="21"/>
                <w:szCs w:val="21"/>
                <w14:textFill>
                  <w14:solidFill>
                    <w14:schemeClr w14:val="tx1"/>
                  </w14:solidFill>
                </w14:textFill>
              </w:rPr>
              <w:t>履行合同违约，采购人有权终止合同。同时采购人将报同级财政监督管理部门进行处理，由此导致整批货物被拒收或索赔而引发的所有损失由</w:t>
            </w:r>
            <w:r>
              <w:rPr>
                <w:rFonts w:hint="eastAsia" w:ascii="新宋体" w:hAnsi="新宋体" w:eastAsia="新宋体" w:cs="新宋体"/>
                <w:color w:val="000000" w:themeColor="text1"/>
                <w:sz w:val="21"/>
                <w:szCs w:val="21"/>
                <w:lang w:eastAsia="zh-CN"/>
                <w14:textFill>
                  <w14:solidFill>
                    <w14:schemeClr w14:val="tx1"/>
                  </w14:solidFill>
                </w14:textFill>
              </w:rPr>
              <w:t>中标供应商</w:t>
            </w:r>
            <w:r>
              <w:rPr>
                <w:rFonts w:hint="eastAsia" w:ascii="新宋体" w:hAnsi="新宋体" w:eastAsia="新宋体" w:cs="新宋体"/>
                <w:color w:val="000000" w:themeColor="text1"/>
                <w:sz w:val="21"/>
                <w:szCs w:val="21"/>
                <w14:textFill>
                  <w14:solidFill>
                    <w14:schemeClr w14:val="tx1"/>
                  </w14:solidFill>
                </w14:textFill>
              </w:rPr>
              <w:t>承担。</w:t>
            </w:r>
          </w:p>
          <w:p w14:paraId="4964416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2</w:t>
            </w:r>
            <w:r>
              <w:rPr>
                <w:rFonts w:hint="eastAsia" w:ascii="新宋体" w:hAnsi="新宋体" w:eastAsia="新宋体" w:cs="新宋体"/>
                <w:color w:val="000000" w:themeColor="text1"/>
                <w:sz w:val="21"/>
                <w:szCs w:val="21"/>
                <w14:textFill>
                  <w14:solidFill>
                    <w14:schemeClr w14:val="tx1"/>
                  </w14:solidFill>
                </w14:textFill>
              </w:rPr>
              <w:t>.产品到位且所有设备安装调试完毕后，性能达到技术要求的，给予验收，验收不合格视为中标人违约，</w:t>
            </w:r>
            <w:r>
              <w:rPr>
                <w:rFonts w:hint="eastAsia" w:ascii="新宋体" w:hAnsi="新宋体" w:eastAsia="新宋体" w:cs="新宋体"/>
                <w:color w:val="000000" w:themeColor="text1"/>
                <w:sz w:val="21"/>
                <w:szCs w:val="21"/>
                <w:lang w:eastAsia="zh-CN"/>
                <w14:textFill>
                  <w14:solidFill>
                    <w14:schemeClr w14:val="tx1"/>
                  </w14:solidFill>
                </w14:textFill>
              </w:rPr>
              <w:t>中标供应商</w:t>
            </w:r>
            <w:r>
              <w:rPr>
                <w:rFonts w:hint="eastAsia" w:ascii="新宋体" w:hAnsi="新宋体" w:eastAsia="新宋体" w:cs="新宋体"/>
                <w:color w:val="000000" w:themeColor="text1"/>
                <w:sz w:val="21"/>
                <w:szCs w:val="21"/>
                <w14:textFill>
                  <w14:solidFill>
                    <w14:schemeClr w14:val="tx1"/>
                  </w14:solidFill>
                </w14:textFill>
              </w:rPr>
              <w:t>承担合同违约责任。</w:t>
            </w:r>
          </w:p>
          <w:p w14:paraId="19AE214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其余内容详见采购文件合同主要条款格式部分。</w:t>
            </w:r>
          </w:p>
          <w:p w14:paraId="6EE5FFF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3</w:t>
            </w:r>
            <w:r>
              <w:rPr>
                <w:rFonts w:hint="eastAsia" w:ascii="新宋体" w:hAnsi="新宋体" w:eastAsia="新宋体" w:cs="新宋体"/>
                <w:color w:val="000000" w:themeColor="text1"/>
                <w:sz w:val="21"/>
                <w:szCs w:val="21"/>
                <w14:textFill>
                  <w14:solidFill>
                    <w14:schemeClr w14:val="tx1"/>
                  </w14:solidFill>
                </w14:textFill>
              </w:rPr>
              <w:t>.验收标准</w:t>
            </w:r>
          </w:p>
          <w:p w14:paraId="745362E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lang w:eastAsia="zh-CN"/>
                <w14:textFill>
                  <w14:solidFill>
                    <w14:schemeClr w14:val="tx1"/>
                  </w14:solidFill>
                </w14:textFill>
              </w:rPr>
              <w:t>（</w:t>
            </w:r>
            <w:r>
              <w:rPr>
                <w:rFonts w:hint="eastAsia" w:ascii="新宋体" w:hAnsi="新宋体" w:eastAsia="新宋体" w:cs="新宋体"/>
                <w:color w:val="000000" w:themeColor="text1"/>
                <w:sz w:val="21"/>
                <w:szCs w:val="21"/>
                <w14:textFill>
                  <w14:solidFill>
                    <w14:schemeClr w14:val="tx1"/>
                  </w14:solidFill>
                </w14:textFill>
              </w:rPr>
              <w:t>1）项目</w:t>
            </w:r>
            <w:r>
              <w:rPr>
                <w:rFonts w:hint="eastAsia" w:ascii="新宋体" w:hAnsi="新宋体" w:eastAsia="新宋体" w:cs="新宋体"/>
                <w:color w:val="000000" w:themeColor="text1"/>
                <w:sz w:val="21"/>
                <w:szCs w:val="21"/>
                <w:lang w:val="en-US" w:eastAsia="zh-CN"/>
                <w14:textFill>
                  <w14:solidFill>
                    <w14:schemeClr w14:val="tx1"/>
                  </w14:solidFill>
                </w14:textFill>
              </w:rPr>
              <w:t>招标文件</w:t>
            </w:r>
            <w:r>
              <w:rPr>
                <w:rFonts w:hint="eastAsia" w:ascii="新宋体" w:hAnsi="新宋体" w:eastAsia="新宋体" w:cs="新宋体"/>
                <w:color w:val="000000" w:themeColor="text1"/>
                <w:sz w:val="21"/>
                <w:szCs w:val="21"/>
                <w14:textFill>
                  <w14:solidFill>
                    <w14:schemeClr w14:val="tx1"/>
                  </w14:solidFill>
                </w14:textFill>
              </w:rPr>
              <w:t>及</w:t>
            </w:r>
            <w:r>
              <w:rPr>
                <w:rFonts w:hint="eastAsia" w:ascii="新宋体" w:hAnsi="新宋体" w:eastAsia="新宋体" w:cs="新宋体"/>
                <w:color w:val="000000" w:themeColor="text1"/>
                <w:sz w:val="21"/>
                <w:szCs w:val="21"/>
                <w:lang w:eastAsia="zh-CN"/>
                <w14:textFill>
                  <w14:solidFill>
                    <w14:schemeClr w14:val="tx1"/>
                  </w14:solidFill>
                </w14:textFill>
              </w:rPr>
              <w:t>中标供应商</w:t>
            </w:r>
            <w:r>
              <w:rPr>
                <w:rFonts w:hint="eastAsia" w:ascii="新宋体" w:hAnsi="新宋体" w:eastAsia="新宋体" w:cs="新宋体"/>
                <w:color w:val="000000" w:themeColor="text1"/>
                <w:sz w:val="21"/>
                <w:szCs w:val="21"/>
                <w:lang w:val="en-US" w:eastAsia="zh-CN"/>
                <w14:textFill>
                  <w14:solidFill>
                    <w14:schemeClr w14:val="tx1"/>
                  </w14:solidFill>
                </w14:textFill>
              </w:rPr>
              <w:t>投标</w:t>
            </w:r>
            <w:r>
              <w:rPr>
                <w:rFonts w:hint="eastAsia" w:ascii="新宋体" w:hAnsi="新宋体" w:eastAsia="新宋体" w:cs="新宋体"/>
                <w:color w:val="000000" w:themeColor="text1"/>
                <w:sz w:val="21"/>
                <w:szCs w:val="21"/>
                <w14:textFill>
                  <w14:solidFill>
                    <w14:schemeClr w14:val="tx1"/>
                  </w14:solidFill>
                </w14:textFill>
              </w:rPr>
              <w:t>文件中的“技术需求偏离表”，逐条验收；</w:t>
            </w:r>
          </w:p>
          <w:p w14:paraId="264AF24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lang w:eastAsia="zh-CN"/>
                <w14:textFill>
                  <w14:solidFill>
                    <w14:schemeClr w14:val="tx1"/>
                  </w14:solidFill>
                </w14:textFill>
              </w:rPr>
              <w:t>（</w:t>
            </w:r>
            <w:r>
              <w:rPr>
                <w:rFonts w:hint="eastAsia" w:ascii="新宋体" w:hAnsi="新宋体" w:eastAsia="新宋体" w:cs="新宋体"/>
                <w:color w:val="000000" w:themeColor="text1"/>
                <w:sz w:val="21"/>
                <w:szCs w:val="21"/>
                <w14:textFill>
                  <w14:solidFill>
                    <w14:schemeClr w14:val="tx1"/>
                  </w14:solidFill>
                </w14:textFill>
              </w:rPr>
              <w:t>2）项目</w:t>
            </w:r>
            <w:r>
              <w:rPr>
                <w:rFonts w:hint="eastAsia" w:ascii="新宋体" w:hAnsi="新宋体" w:eastAsia="新宋体" w:cs="新宋体"/>
                <w:color w:val="000000" w:themeColor="text1"/>
                <w:sz w:val="21"/>
                <w:szCs w:val="21"/>
                <w:lang w:val="en-US" w:eastAsia="zh-CN"/>
                <w14:textFill>
                  <w14:solidFill>
                    <w14:schemeClr w14:val="tx1"/>
                  </w14:solidFill>
                </w14:textFill>
              </w:rPr>
              <w:t>招标文件</w:t>
            </w:r>
            <w:r>
              <w:rPr>
                <w:rFonts w:hint="eastAsia" w:ascii="新宋体" w:hAnsi="新宋体" w:eastAsia="新宋体" w:cs="新宋体"/>
                <w:color w:val="000000" w:themeColor="text1"/>
                <w:sz w:val="21"/>
                <w:szCs w:val="21"/>
                <w14:textFill>
                  <w14:solidFill>
                    <w14:schemeClr w14:val="tx1"/>
                  </w14:solidFill>
                </w14:textFill>
              </w:rPr>
              <w:t>及</w:t>
            </w:r>
            <w:r>
              <w:rPr>
                <w:rFonts w:hint="eastAsia" w:ascii="新宋体" w:hAnsi="新宋体" w:eastAsia="新宋体" w:cs="新宋体"/>
                <w:color w:val="000000" w:themeColor="text1"/>
                <w:sz w:val="21"/>
                <w:szCs w:val="21"/>
                <w:lang w:eastAsia="zh-CN"/>
                <w14:textFill>
                  <w14:solidFill>
                    <w14:schemeClr w14:val="tx1"/>
                  </w14:solidFill>
                </w14:textFill>
              </w:rPr>
              <w:t>中标供应商</w:t>
            </w:r>
            <w:r>
              <w:rPr>
                <w:rFonts w:hint="eastAsia" w:ascii="新宋体" w:hAnsi="新宋体" w:eastAsia="新宋体" w:cs="新宋体"/>
                <w:color w:val="000000" w:themeColor="text1"/>
                <w:sz w:val="21"/>
                <w:szCs w:val="21"/>
                <w:lang w:val="en-US" w:eastAsia="zh-CN"/>
                <w14:textFill>
                  <w14:solidFill>
                    <w14:schemeClr w14:val="tx1"/>
                  </w14:solidFill>
                </w14:textFill>
              </w:rPr>
              <w:t>投标</w:t>
            </w:r>
            <w:r>
              <w:rPr>
                <w:rFonts w:hint="eastAsia" w:ascii="新宋体" w:hAnsi="新宋体" w:eastAsia="新宋体" w:cs="新宋体"/>
                <w:color w:val="000000" w:themeColor="text1"/>
                <w:sz w:val="21"/>
                <w:szCs w:val="21"/>
                <w14:textFill>
                  <w14:solidFill>
                    <w14:schemeClr w14:val="tx1"/>
                  </w14:solidFill>
                </w14:textFill>
              </w:rPr>
              <w:t>文件中的“商务条款偏离表”，逐条验收；</w:t>
            </w:r>
          </w:p>
          <w:p w14:paraId="66A9371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lang w:eastAsia="zh-CN"/>
                <w14:textFill>
                  <w14:solidFill>
                    <w14:schemeClr w14:val="tx1"/>
                  </w14:solidFill>
                </w14:textFill>
              </w:rPr>
              <w:t>（</w:t>
            </w:r>
            <w:r>
              <w:rPr>
                <w:rFonts w:hint="eastAsia" w:ascii="新宋体" w:hAnsi="新宋体" w:eastAsia="新宋体" w:cs="新宋体"/>
                <w:color w:val="000000" w:themeColor="text1"/>
                <w:sz w:val="21"/>
                <w:szCs w:val="21"/>
                <w14:textFill>
                  <w14:solidFill>
                    <w14:schemeClr w14:val="tx1"/>
                  </w14:solidFill>
                </w14:textFill>
              </w:rPr>
              <w:t>3）</w:t>
            </w:r>
            <w:r>
              <w:rPr>
                <w:rFonts w:hint="eastAsia" w:ascii="新宋体" w:hAnsi="新宋体" w:eastAsia="新宋体" w:cs="新宋体"/>
                <w:color w:val="000000" w:themeColor="text1"/>
                <w:sz w:val="21"/>
                <w:szCs w:val="21"/>
                <w:lang w:eastAsia="zh-CN"/>
                <w14:textFill>
                  <w14:solidFill>
                    <w14:schemeClr w14:val="tx1"/>
                  </w14:solidFill>
                </w14:textFill>
              </w:rPr>
              <w:t>中标供应商</w:t>
            </w:r>
            <w:r>
              <w:rPr>
                <w:rFonts w:hint="eastAsia" w:ascii="新宋体" w:hAnsi="新宋体" w:eastAsia="新宋体" w:cs="新宋体"/>
                <w:color w:val="000000" w:themeColor="text1"/>
                <w:sz w:val="21"/>
                <w:szCs w:val="21"/>
                <w:lang w:val="en-US" w:eastAsia="zh-CN"/>
                <w14:textFill>
                  <w14:solidFill>
                    <w14:schemeClr w14:val="tx1"/>
                  </w14:solidFill>
                </w14:textFill>
              </w:rPr>
              <w:t>投标</w:t>
            </w:r>
            <w:r>
              <w:rPr>
                <w:rFonts w:hint="eastAsia" w:ascii="新宋体" w:hAnsi="新宋体" w:eastAsia="新宋体" w:cs="新宋体"/>
                <w:color w:val="000000" w:themeColor="text1"/>
                <w:sz w:val="21"/>
                <w:szCs w:val="21"/>
                <w14:textFill>
                  <w14:solidFill>
                    <w14:schemeClr w14:val="tx1"/>
                  </w14:solidFill>
                </w14:textFill>
              </w:rPr>
              <w:t>文件中其他技术、服务、商务性的说明、承诺事项，逐条验收。</w:t>
            </w:r>
          </w:p>
          <w:p w14:paraId="220B384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lang w:eastAsia="zh-CN"/>
                <w14:textFill>
                  <w14:solidFill>
                    <w14:schemeClr w14:val="tx1"/>
                  </w14:solidFill>
                </w14:textFill>
              </w:rPr>
              <w:t>（</w:t>
            </w:r>
            <w:r>
              <w:rPr>
                <w:rFonts w:hint="eastAsia" w:ascii="新宋体" w:hAnsi="新宋体" w:eastAsia="新宋体" w:cs="新宋体"/>
                <w:color w:val="000000" w:themeColor="text1"/>
                <w:sz w:val="21"/>
                <w:szCs w:val="21"/>
                <w14:textFill>
                  <w14:solidFill>
                    <w14:schemeClr w14:val="tx1"/>
                  </w14:solidFill>
                </w14:textFill>
              </w:rPr>
              <w:t>4）国家相关法律、法规、标准和规范等。</w:t>
            </w:r>
          </w:p>
          <w:p w14:paraId="5112B0D0">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textAlignment w:val="auto"/>
              <w:rPr>
                <w:rFonts w:hint="eastAsia" w:ascii="新宋体" w:hAnsi="新宋体" w:eastAsia="新宋体" w:cs="新宋体"/>
                <w:i/>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lang w:eastAsia="zh-CN"/>
                <w14:textFill>
                  <w14:solidFill>
                    <w14:schemeClr w14:val="tx1"/>
                  </w14:solidFill>
                </w14:textFill>
              </w:rPr>
              <w:t>（</w:t>
            </w:r>
            <w:r>
              <w:rPr>
                <w:rFonts w:hint="eastAsia" w:ascii="新宋体" w:hAnsi="新宋体" w:eastAsia="新宋体" w:cs="新宋体"/>
                <w:color w:val="000000" w:themeColor="text1"/>
                <w:sz w:val="21"/>
                <w:szCs w:val="21"/>
                <w14:textFill>
                  <w14:solidFill>
                    <w14:schemeClr w14:val="tx1"/>
                  </w14:solidFill>
                </w14:textFill>
              </w:rPr>
              <w:t>5）执行《关于印发广西壮族自治区政府采购项目履约验收管理办法的通知》（桂财采〔2015〕22号），采用文中《广西壮族自治区政府采购项目合同验收书》格式文本等规范。</w:t>
            </w:r>
          </w:p>
        </w:tc>
      </w:tr>
      <w:tr w14:paraId="6A6D5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60" w:type="dxa"/>
            <w:gridSpan w:val="6"/>
            <w:tcBorders>
              <w:top w:val="single" w:color="000000" w:sz="8" w:space="0"/>
              <w:left w:val="single" w:color="000000" w:sz="8" w:space="0"/>
              <w:bottom w:val="single" w:color="000000" w:sz="8" w:space="0"/>
              <w:right w:val="single" w:color="000000" w:sz="8" w:space="0"/>
            </w:tcBorders>
            <w:shd w:val="clear" w:color="auto" w:fill="FFFFFF"/>
          </w:tcPr>
          <w:p w14:paraId="680A5BF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b/>
                <w:color w:val="000000" w:themeColor="text1"/>
                <w:sz w:val="21"/>
                <w:szCs w:val="21"/>
                <w14:textFill>
                  <w14:solidFill>
                    <w14:schemeClr w14:val="tx1"/>
                  </w14:solidFill>
                </w14:textFill>
              </w:rPr>
              <w:t>（三）进口产品说明</w:t>
            </w:r>
          </w:p>
        </w:tc>
      </w:tr>
      <w:tr w14:paraId="6C174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ADBDDA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进口产品说明</w:t>
            </w:r>
          </w:p>
        </w:tc>
        <w:tc>
          <w:tcPr>
            <w:tcW w:w="8293" w:type="dxa"/>
            <w:gridSpan w:val="4"/>
            <w:tcBorders>
              <w:top w:val="single" w:color="000000" w:sz="8" w:space="0"/>
              <w:left w:val="single" w:color="000000" w:sz="8" w:space="0"/>
              <w:bottom w:val="single" w:color="000000" w:sz="8" w:space="0"/>
              <w:right w:val="single" w:color="000000" w:sz="8" w:space="0"/>
            </w:tcBorders>
            <w:shd w:val="clear" w:color="auto" w:fill="FFFFFF"/>
          </w:tcPr>
          <w:p w14:paraId="6C14E5A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本</w:t>
            </w:r>
            <w:r>
              <w:rPr>
                <w:rFonts w:hint="eastAsia" w:ascii="新宋体" w:hAnsi="新宋体" w:eastAsia="新宋体" w:cs="新宋体"/>
                <w:color w:val="000000" w:themeColor="text1"/>
                <w:sz w:val="21"/>
                <w:szCs w:val="21"/>
                <w:lang w:val="en-US" w:eastAsia="zh-CN"/>
                <w14:textFill>
                  <w14:solidFill>
                    <w14:schemeClr w14:val="tx1"/>
                  </w14:solidFill>
                </w14:textFill>
              </w:rPr>
              <w:t>项目</w:t>
            </w:r>
            <w:r>
              <w:rPr>
                <w:rFonts w:hint="eastAsia" w:ascii="新宋体" w:hAnsi="新宋体" w:eastAsia="新宋体" w:cs="新宋体"/>
                <w:color w:val="000000" w:themeColor="text1"/>
                <w:sz w:val="21"/>
                <w:szCs w:val="21"/>
                <w14:textFill>
                  <w14:solidFill>
                    <w14:schemeClr w14:val="tx1"/>
                  </w14:solidFill>
                </w14:textFill>
              </w:rPr>
              <w:t>货物不接受进口产品（即通过中国海关报关验放进入中国境内且产自关境外的产品）参与竞标，</w:t>
            </w:r>
            <w:r>
              <w:rPr>
                <w:rFonts w:hint="eastAsia" w:ascii="新宋体" w:hAnsi="新宋体" w:eastAsia="新宋体" w:cs="新宋体"/>
                <w:b/>
                <w:color w:val="000000" w:themeColor="text1"/>
                <w:sz w:val="21"/>
                <w:szCs w:val="21"/>
                <w14:textFill>
                  <w14:solidFill>
                    <w14:schemeClr w14:val="tx1"/>
                  </w14:solidFill>
                </w14:textFill>
              </w:rPr>
              <w:t>如有进口产品参与</w:t>
            </w:r>
            <w:r>
              <w:rPr>
                <w:rFonts w:hint="eastAsia" w:ascii="新宋体" w:hAnsi="新宋体" w:eastAsia="新宋体" w:cs="新宋体"/>
                <w:b/>
                <w:color w:val="000000" w:themeColor="text1"/>
                <w:sz w:val="21"/>
                <w:szCs w:val="21"/>
                <w:lang w:val="en-US" w:eastAsia="zh-CN"/>
                <w14:textFill>
                  <w14:solidFill>
                    <w14:schemeClr w14:val="tx1"/>
                  </w14:solidFill>
                </w14:textFill>
              </w:rPr>
              <w:t>投</w:t>
            </w:r>
            <w:r>
              <w:rPr>
                <w:rFonts w:hint="eastAsia" w:ascii="新宋体" w:hAnsi="新宋体" w:eastAsia="新宋体" w:cs="新宋体"/>
                <w:b/>
                <w:color w:val="000000" w:themeColor="text1"/>
                <w:sz w:val="21"/>
                <w:szCs w:val="21"/>
                <w14:textFill>
                  <w14:solidFill>
                    <w14:schemeClr w14:val="tx1"/>
                  </w14:solidFill>
                </w14:textFill>
              </w:rPr>
              <w:t>标的作无效标处理</w:t>
            </w:r>
            <w:r>
              <w:rPr>
                <w:rFonts w:hint="eastAsia" w:ascii="新宋体" w:hAnsi="新宋体" w:eastAsia="新宋体" w:cs="新宋体"/>
                <w:color w:val="000000" w:themeColor="text1"/>
                <w:sz w:val="21"/>
                <w:szCs w:val="21"/>
                <w14:textFill>
                  <w14:solidFill>
                    <w14:schemeClr w14:val="tx1"/>
                  </w14:solidFill>
                </w14:textFill>
              </w:rPr>
              <w:t>。</w:t>
            </w:r>
          </w:p>
        </w:tc>
      </w:tr>
      <w:tr w14:paraId="0D95E2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60"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794433B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b/>
                <w:color w:val="000000" w:themeColor="text1"/>
                <w:sz w:val="21"/>
                <w:szCs w:val="21"/>
                <w14:textFill>
                  <w14:solidFill>
                    <w14:schemeClr w14:val="tx1"/>
                  </w14:solidFill>
                </w14:textFill>
              </w:rPr>
              <w:t>（四）其他要求</w:t>
            </w:r>
          </w:p>
        </w:tc>
      </w:tr>
      <w:tr w14:paraId="6C3FD5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60"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3FC8D50E">
            <w:pPr>
              <w:pStyle w:val="45"/>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新宋体" w:hAnsi="新宋体" w:eastAsia="新宋体" w:cs="新宋体"/>
                <w:color w:val="000000" w:themeColor="text1"/>
                <w:kern w:val="2"/>
                <w:sz w:val="21"/>
                <w:szCs w:val="21"/>
                <w14:textFill>
                  <w14:solidFill>
                    <w14:schemeClr w14:val="tx1"/>
                  </w14:solidFill>
                </w14:textFill>
              </w:rPr>
            </w:pPr>
            <w:r>
              <w:rPr>
                <w:rFonts w:hint="eastAsia" w:ascii="新宋体" w:hAnsi="新宋体" w:eastAsia="新宋体" w:cs="新宋体"/>
                <w:color w:val="000000" w:themeColor="text1"/>
                <w:kern w:val="2"/>
                <w:sz w:val="21"/>
                <w:szCs w:val="21"/>
                <w14:textFill>
                  <w14:solidFill>
                    <w14:schemeClr w14:val="tx1"/>
                  </w14:solidFill>
                </w14:textFill>
              </w:rPr>
              <w:t>1、项目实施过程中的安全生产要求</w:t>
            </w:r>
          </w:p>
          <w:p w14:paraId="54101882">
            <w:pPr>
              <w:pStyle w:val="45"/>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新宋体" w:hAnsi="新宋体" w:eastAsia="新宋体" w:cs="新宋体"/>
                <w:color w:val="000000" w:themeColor="text1"/>
                <w:kern w:val="2"/>
                <w:sz w:val="21"/>
                <w:szCs w:val="21"/>
                <w14:textFill>
                  <w14:solidFill>
                    <w14:schemeClr w14:val="tx1"/>
                  </w14:solidFill>
                </w14:textFill>
              </w:rPr>
            </w:pPr>
            <w:r>
              <w:rPr>
                <w:rFonts w:hint="eastAsia" w:ascii="新宋体" w:hAnsi="新宋体" w:eastAsia="新宋体" w:cs="新宋体"/>
                <w:color w:val="000000" w:themeColor="text1"/>
                <w:kern w:val="2"/>
                <w:sz w:val="21"/>
                <w:szCs w:val="21"/>
                <w14:textFill>
                  <w14:solidFill>
                    <w14:schemeClr w14:val="tx1"/>
                  </w14:solidFill>
                </w14:textFill>
              </w:rPr>
              <w:t>（1）</w:t>
            </w:r>
            <w:r>
              <w:rPr>
                <w:rFonts w:hint="eastAsia" w:ascii="新宋体" w:hAnsi="新宋体" w:eastAsia="新宋体" w:cs="新宋体"/>
                <w:color w:val="000000" w:themeColor="text1"/>
                <w:kern w:val="2"/>
                <w:sz w:val="21"/>
                <w:szCs w:val="21"/>
                <w:lang w:eastAsia="zh-CN"/>
                <w14:textFill>
                  <w14:solidFill>
                    <w14:schemeClr w14:val="tx1"/>
                  </w14:solidFill>
                </w14:textFill>
              </w:rPr>
              <w:t>中标供应商</w:t>
            </w:r>
            <w:r>
              <w:rPr>
                <w:rFonts w:hint="eastAsia" w:ascii="新宋体" w:hAnsi="新宋体" w:eastAsia="新宋体" w:cs="新宋体"/>
                <w:color w:val="000000" w:themeColor="text1"/>
                <w:kern w:val="2"/>
                <w:sz w:val="21"/>
                <w:szCs w:val="21"/>
                <w14:textFill>
                  <w14:solidFill>
                    <w14:schemeClr w14:val="tx1"/>
                  </w14:solidFill>
                </w14:textFill>
              </w:rPr>
              <w:t>应遵守国家关于安全生产有关管理规定，严格按安全标准组织项目实施，并随时接受采购人安全检查人员实施的监督检查，采取必要的安全防护措施，消除事故隐患。由于</w:t>
            </w:r>
            <w:r>
              <w:rPr>
                <w:rFonts w:hint="eastAsia" w:ascii="新宋体" w:hAnsi="新宋体" w:eastAsia="新宋体" w:cs="新宋体"/>
                <w:color w:val="000000" w:themeColor="text1"/>
                <w:kern w:val="2"/>
                <w:sz w:val="21"/>
                <w:szCs w:val="21"/>
                <w:lang w:eastAsia="zh-CN"/>
                <w14:textFill>
                  <w14:solidFill>
                    <w14:schemeClr w14:val="tx1"/>
                  </w14:solidFill>
                </w14:textFill>
              </w:rPr>
              <w:t>中标供应商</w:t>
            </w:r>
            <w:r>
              <w:rPr>
                <w:rFonts w:hint="eastAsia" w:ascii="新宋体" w:hAnsi="新宋体" w:eastAsia="新宋体" w:cs="新宋体"/>
                <w:color w:val="000000" w:themeColor="text1"/>
                <w:kern w:val="2"/>
                <w:sz w:val="21"/>
                <w:szCs w:val="21"/>
                <w14:textFill>
                  <w14:solidFill>
                    <w14:schemeClr w14:val="tx1"/>
                  </w14:solidFill>
                </w14:textFill>
              </w:rPr>
              <w:t>安全措施不力造成事故的责任和因此发生的费用，由</w:t>
            </w:r>
            <w:r>
              <w:rPr>
                <w:rFonts w:hint="eastAsia" w:ascii="新宋体" w:hAnsi="新宋体" w:eastAsia="新宋体" w:cs="新宋体"/>
                <w:color w:val="000000" w:themeColor="text1"/>
                <w:kern w:val="2"/>
                <w:sz w:val="21"/>
                <w:szCs w:val="21"/>
                <w:lang w:eastAsia="zh-CN"/>
                <w14:textFill>
                  <w14:solidFill>
                    <w14:schemeClr w14:val="tx1"/>
                  </w14:solidFill>
                </w14:textFill>
              </w:rPr>
              <w:t>中标供应商</w:t>
            </w:r>
            <w:r>
              <w:rPr>
                <w:rFonts w:hint="eastAsia" w:ascii="新宋体" w:hAnsi="新宋体" w:eastAsia="新宋体" w:cs="新宋体"/>
                <w:color w:val="000000" w:themeColor="text1"/>
                <w:kern w:val="2"/>
                <w:sz w:val="21"/>
                <w:szCs w:val="21"/>
                <w14:textFill>
                  <w14:solidFill>
                    <w14:schemeClr w14:val="tx1"/>
                  </w14:solidFill>
                </w14:textFill>
              </w:rPr>
              <w:t>负责。</w:t>
            </w:r>
          </w:p>
          <w:p w14:paraId="29B75249">
            <w:pPr>
              <w:pStyle w:val="45"/>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新宋体" w:hAnsi="新宋体" w:eastAsia="新宋体" w:cs="新宋体"/>
                <w:color w:val="000000" w:themeColor="text1"/>
                <w:kern w:val="2"/>
                <w:sz w:val="21"/>
                <w:szCs w:val="21"/>
                <w14:textFill>
                  <w14:solidFill>
                    <w14:schemeClr w14:val="tx1"/>
                  </w14:solidFill>
                </w14:textFill>
              </w:rPr>
            </w:pPr>
            <w:r>
              <w:rPr>
                <w:rFonts w:hint="eastAsia" w:ascii="新宋体" w:hAnsi="新宋体" w:eastAsia="新宋体" w:cs="新宋体"/>
                <w:color w:val="000000" w:themeColor="text1"/>
                <w:kern w:val="2"/>
                <w:sz w:val="21"/>
                <w:szCs w:val="21"/>
                <w14:textFill>
                  <w14:solidFill>
                    <w14:schemeClr w14:val="tx1"/>
                  </w14:solidFill>
                </w14:textFill>
              </w:rPr>
              <w:t>（2）</w:t>
            </w:r>
            <w:r>
              <w:rPr>
                <w:rFonts w:hint="eastAsia" w:ascii="新宋体" w:hAnsi="新宋体" w:eastAsia="新宋体" w:cs="新宋体"/>
                <w:color w:val="000000" w:themeColor="text1"/>
                <w:kern w:val="2"/>
                <w:sz w:val="21"/>
                <w:szCs w:val="21"/>
                <w:lang w:eastAsia="zh-CN"/>
                <w14:textFill>
                  <w14:solidFill>
                    <w14:schemeClr w14:val="tx1"/>
                  </w14:solidFill>
                </w14:textFill>
              </w:rPr>
              <w:t>中标供应商</w:t>
            </w:r>
            <w:r>
              <w:rPr>
                <w:rFonts w:hint="eastAsia" w:ascii="新宋体" w:hAnsi="新宋体" w:eastAsia="新宋体" w:cs="新宋体"/>
                <w:color w:val="000000" w:themeColor="text1"/>
                <w:kern w:val="2"/>
                <w:sz w:val="21"/>
                <w:szCs w:val="21"/>
                <w14:textFill>
                  <w14:solidFill>
                    <w14:schemeClr w14:val="tx1"/>
                  </w14:solidFill>
                </w14:textFill>
              </w:rPr>
              <w:t>应对己方实施人员进行安全教育，并对他们的安全负责。</w:t>
            </w:r>
          </w:p>
          <w:p w14:paraId="42FA49E8">
            <w:pPr>
              <w:pStyle w:val="45"/>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新宋体" w:hAnsi="新宋体" w:eastAsia="新宋体" w:cs="新宋体"/>
                <w:color w:val="000000" w:themeColor="text1"/>
                <w:kern w:val="2"/>
                <w:sz w:val="21"/>
                <w:szCs w:val="21"/>
                <w14:textFill>
                  <w14:solidFill>
                    <w14:schemeClr w14:val="tx1"/>
                  </w14:solidFill>
                </w14:textFill>
              </w:rPr>
            </w:pPr>
            <w:r>
              <w:rPr>
                <w:rFonts w:hint="eastAsia" w:ascii="新宋体" w:hAnsi="新宋体" w:eastAsia="新宋体" w:cs="新宋体"/>
                <w:color w:val="000000" w:themeColor="text1"/>
                <w:kern w:val="2"/>
                <w:sz w:val="21"/>
                <w:szCs w:val="21"/>
                <w14:textFill>
                  <w14:solidFill>
                    <w14:schemeClr w14:val="tx1"/>
                  </w14:solidFill>
                </w14:textFill>
              </w:rPr>
              <w:t>（3）采购人提供</w:t>
            </w:r>
            <w:r>
              <w:rPr>
                <w:rFonts w:hint="eastAsia" w:ascii="新宋体" w:hAnsi="新宋体" w:eastAsia="新宋体" w:cs="新宋体"/>
                <w:color w:val="000000" w:themeColor="text1"/>
                <w:kern w:val="2"/>
                <w:sz w:val="21"/>
                <w:szCs w:val="21"/>
                <w:lang w:eastAsia="zh-CN"/>
                <w14:textFill>
                  <w14:solidFill>
                    <w14:schemeClr w14:val="tx1"/>
                  </w14:solidFill>
                </w14:textFill>
              </w:rPr>
              <w:t>中标供应商</w:t>
            </w:r>
            <w:r>
              <w:rPr>
                <w:rFonts w:hint="eastAsia" w:ascii="新宋体" w:hAnsi="新宋体" w:eastAsia="新宋体" w:cs="新宋体"/>
                <w:color w:val="000000" w:themeColor="text1"/>
                <w:kern w:val="2"/>
                <w:sz w:val="21"/>
                <w:szCs w:val="21"/>
                <w14:textFill>
                  <w14:solidFill>
                    <w14:schemeClr w14:val="tx1"/>
                  </w14:solidFill>
                </w14:textFill>
              </w:rPr>
              <w:t>实施人员的生产用水、用电、项目实施用临时办公场地等。</w:t>
            </w:r>
          </w:p>
        </w:tc>
      </w:tr>
      <w:tr w14:paraId="12FB05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60"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7F624447">
            <w:pPr>
              <w:pStyle w:val="45"/>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新宋体" w:hAnsi="新宋体" w:eastAsia="新宋体" w:cs="新宋体"/>
                <w:color w:val="000000" w:themeColor="text1"/>
                <w:kern w:val="2"/>
                <w:sz w:val="21"/>
                <w:szCs w:val="21"/>
                <w14:textFill>
                  <w14:solidFill>
                    <w14:schemeClr w14:val="tx1"/>
                  </w14:solidFill>
                </w14:textFill>
              </w:rPr>
            </w:pPr>
            <w:r>
              <w:rPr>
                <w:rFonts w:hint="eastAsia" w:ascii="新宋体" w:hAnsi="新宋体" w:eastAsia="新宋体" w:cs="新宋体"/>
                <w:color w:val="000000" w:themeColor="text1"/>
                <w:kern w:val="2"/>
                <w:sz w:val="21"/>
                <w:szCs w:val="21"/>
                <w14:textFill>
                  <w14:solidFill>
                    <w14:schemeClr w14:val="tx1"/>
                  </w14:solidFill>
                </w14:textFill>
              </w:rPr>
              <w:t>2、产权：</w:t>
            </w:r>
          </w:p>
          <w:p w14:paraId="1AFA2EEE">
            <w:pPr>
              <w:pStyle w:val="45"/>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新宋体" w:hAnsi="新宋体" w:eastAsia="新宋体" w:cs="新宋体"/>
                <w:color w:val="000000" w:themeColor="text1"/>
                <w:kern w:val="2"/>
                <w:sz w:val="21"/>
                <w:szCs w:val="21"/>
                <w14:textFill>
                  <w14:solidFill>
                    <w14:schemeClr w14:val="tx1"/>
                  </w14:solidFill>
                </w14:textFill>
              </w:rPr>
            </w:pPr>
            <w:r>
              <w:rPr>
                <w:rFonts w:hint="eastAsia" w:ascii="新宋体" w:hAnsi="新宋体" w:eastAsia="新宋体" w:cs="新宋体"/>
                <w:color w:val="000000" w:themeColor="text1"/>
                <w:kern w:val="2"/>
                <w:sz w:val="21"/>
                <w:szCs w:val="21"/>
                <w14:textFill>
                  <w14:solidFill>
                    <w14:schemeClr w14:val="tx1"/>
                  </w14:solidFill>
                </w14:textFill>
              </w:rPr>
              <w:t>（1）如采购项目涉及采购标的的知识产权归属的，产权归属为采购人；</w:t>
            </w:r>
          </w:p>
          <w:p w14:paraId="66B5E0D1">
            <w:pPr>
              <w:pStyle w:val="45"/>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新宋体" w:hAnsi="新宋体" w:eastAsia="新宋体" w:cs="新宋体"/>
                <w:color w:val="000000" w:themeColor="text1"/>
                <w:kern w:val="2"/>
                <w:sz w:val="21"/>
                <w:szCs w:val="21"/>
                <w14:textFill>
                  <w14:solidFill>
                    <w14:schemeClr w14:val="tx1"/>
                  </w14:solidFill>
                </w14:textFill>
              </w:rPr>
            </w:pPr>
            <w:r>
              <w:rPr>
                <w:rFonts w:hint="eastAsia" w:ascii="新宋体" w:hAnsi="新宋体" w:eastAsia="新宋体" w:cs="新宋体"/>
                <w:color w:val="000000" w:themeColor="text1"/>
                <w:kern w:val="2"/>
                <w:sz w:val="21"/>
                <w:szCs w:val="21"/>
                <w14:textFill>
                  <w14:solidFill>
                    <w14:schemeClr w14:val="tx1"/>
                  </w14:solidFill>
                </w14:textFill>
              </w:rPr>
              <w:t>（2）处理方式：采购人在中华人民共和国境内使用</w:t>
            </w:r>
            <w:r>
              <w:rPr>
                <w:rFonts w:hint="eastAsia" w:ascii="新宋体" w:hAnsi="新宋体" w:eastAsia="新宋体" w:cs="新宋体"/>
                <w:color w:val="000000" w:themeColor="text1"/>
                <w:kern w:val="2"/>
                <w:sz w:val="21"/>
                <w:szCs w:val="21"/>
                <w:lang w:eastAsia="zh-CN"/>
                <w14:textFill>
                  <w14:solidFill>
                    <w14:schemeClr w14:val="tx1"/>
                  </w14:solidFill>
                </w14:textFill>
              </w:rPr>
              <w:t>中标供应商</w:t>
            </w:r>
            <w:r>
              <w:rPr>
                <w:rFonts w:hint="eastAsia" w:ascii="新宋体" w:hAnsi="新宋体" w:eastAsia="新宋体" w:cs="新宋体"/>
                <w:color w:val="000000" w:themeColor="text1"/>
                <w:kern w:val="2"/>
                <w:sz w:val="21"/>
                <w:szCs w:val="21"/>
                <w14:textFill>
                  <w14:solidFill>
                    <w14:schemeClr w14:val="tx1"/>
                  </w14:solidFill>
                </w14:textFill>
              </w:rPr>
              <w:t>提供的产品及服务时免受第三方提出的侵犯其专利权或其他知识产权的起诉。如果第三方提出侵权指控，</w:t>
            </w:r>
            <w:r>
              <w:rPr>
                <w:rFonts w:hint="eastAsia" w:ascii="新宋体" w:hAnsi="新宋体" w:eastAsia="新宋体" w:cs="新宋体"/>
                <w:color w:val="000000" w:themeColor="text1"/>
                <w:kern w:val="2"/>
                <w:sz w:val="21"/>
                <w:szCs w:val="21"/>
                <w:lang w:eastAsia="zh-CN"/>
                <w14:textFill>
                  <w14:solidFill>
                    <w14:schemeClr w14:val="tx1"/>
                  </w14:solidFill>
                </w14:textFill>
              </w:rPr>
              <w:t>中标供应商</w:t>
            </w:r>
            <w:r>
              <w:rPr>
                <w:rFonts w:hint="eastAsia" w:ascii="新宋体" w:hAnsi="新宋体" w:eastAsia="新宋体" w:cs="新宋体"/>
                <w:color w:val="000000" w:themeColor="text1"/>
                <w:kern w:val="2"/>
                <w:sz w:val="21"/>
                <w:szCs w:val="21"/>
                <w14:textFill>
                  <w14:solidFill>
                    <w14:schemeClr w14:val="tx1"/>
                  </w14:solidFill>
                </w14:textFill>
              </w:rPr>
              <w:t>应承担由此而引起的一切法律责任和费用。</w:t>
            </w:r>
          </w:p>
        </w:tc>
      </w:tr>
      <w:tr w14:paraId="735BE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60"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08CB617C">
            <w:pPr>
              <w:pStyle w:val="45"/>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新宋体" w:hAnsi="新宋体" w:eastAsia="新宋体" w:cs="新宋体"/>
                <w:color w:val="000000" w:themeColor="text1"/>
                <w:kern w:val="2"/>
                <w:sz w:val="21"/>
                <w:szCs w:val="21"/>
                <w14:textFill>
                  <w14:solidFill>
                    <w14:schemeClr w14:val="tx1"/>
                  </w14:solidFill>
                </w14:textFill>
              </w:rPr>
            </w:pPr>
            <w:r>
              <w:rPr>
                <w:rFonts w:hint="eastAsia" w:ascii="新宋体" w:hAnsi="新宋体" w:eastAsia="新宋体" w:cs="新宋体"/>
                <w:color w:val="000000" w:themeColor="text1"/>
                <w:kern w:val="2"/>
                <w:sz w:val="21"/>
                <w:szCs w:val="21"/>
                <w14:textFill>
                  <w14:solidFill>
                    <w14:schemeClr w14:val="tx1"/>
                  </w14:solidFill>
                </w14:textFill>
              </w:rPr>
              <w:t>3、线材、辅材、布线等部分，室外基础安装部分及装饰装修部分的数量均为暂定工程量，实际数量根据现场情况进行调整，超出的数量采购人将不再额外支付费用，请供应商在报价是予以考虑。</w:t>
            </w:r>
          </w:p>
        </w:tc>
      </w:tr>
    </w:tbl>
    <w:p w14:paraId="527F3D48">
      <w:pPr>
        <w:pStyle w:val="22"/>
        <w:rPr>
          <w:color w:val="auto"/>
          <w:highlight w:val="none"/>
        </w:rPr>
      </w:pPr>
    </w:p>
    <w:p w14:paraId="2A3351EC">
      <w:pPr>
        <w:pStyle w:val="22"/>
        <w:rPr>
          <w:color w:val="auto"/>
          <w:highlight w:val="none"/>
        </w:rPr>
      </w:pPr>
    </w:p>
    <w:p w14:paraId="43E43034">
      <w:pPr>
        <w:pStyle w:val="22"/>
        <w:rPr>
          <w:color w:val="auto"/>
          <w:highlight w:val="none"/>
        </w:rPr>
      </w:pPr>
    </w:p>
    <w:p w14:paraId="4A18415E">
      <w:pPr>
        <w:pStyle w:val="22"/>
        <w:rPr>
          <w:color w:val="auto"/>
          <w:highlight w:val="none"/>
        </w:rPr>
      </w:pPr>
    </w:p>
    <w:p w14:paraId="7D75892E">
      <w:pPr>
        <w:spacing w:line="428" w:lineRule="exact"/>
        <w:rPr>
          <w:rFonts w:ascii="Arial Unicode MS" w:hAnsi="Arial Unicode MS" w:eastAsia="Arial Unicode MS" w:cs="Arial Unicode MS"/>
          <w:color w:val="auto"/>
          <w:sz w:val="32"/>
          <w:szCs w:val="32"/>
          <w:highlight w:val="none"/>
        </w:rPr>
      </w:pPr>
      <w:r>
        <w:rPr>
          <w:rFonts w:hint="eastAsia" w:ascii="Arial Unicode MS" w:hAnsi="Arial Unicode MS" w:eastAsia="Arial Unicode MS" w:cs="Arial Unicode MS"/>
          <w:color w:val="auto"/>
          <w:sz w:val="32"/>
          <w:szCs w:val="32"/>
          <w:highlight w:val="none"/>
        </w:rPr>
        <w:t>附件1：</w:t>
      </w:r>
    </w:p>
    <w:p w14:paraId="498E378C">
      <w:pPr>
        <w:spacing w:before="7"/>
        <w:rPr>
          <w:rFonts w:ascii="Arial Unicode MS" w:hAnsi="Arial Unicode MS" w:eastAsia="Arial Unicode MS" w:cs="Arial Unicode MS"/>
          <w:color w:val="auto"/>
          <w:sz w:val="17"/>
          <w:szCs w:val="17"/>
          <w:highlight w:val="none"/>
        </w:rPr>
      </w:pPr>
    </w:p>
    <w:p w14:paraId="7489C1C7">
      <w:pPr>
        <w:spacing w:line="528" w:lineRule="exact"/>
        <w:ind w:left="1871"/>
        <w:rPr>
          <w:rFonts w:ascii="Arial Unicode MS" w:hAnsi="Arial Unicode MS" w:eastAsia="Arial Unicode MS" w:cs="Arial Unicode MS"/>
          <w:color w:val="auto"/>
          <w:sz w:val="40"/>
          <w:szCs w:val="40"/>
          <w:highlight w:val="none"/>
        </w:rPr>
      </w:pPr>
      <w:r>
        <w:rPr>
          <w:rFonts w:hint="eastAsia" w:ascii="Arial Unicode MS" w:hAnsi="Arial Unicode MS" w:eastAsia="Arial Unicode MS" w:cs="Arial Unicode MS"/>
          <w:color w:val="auto"/>
          <w:sz w:val="40"/>
          <w:szCs w:val="40"/>
          <w:highlight w:val="none"/>
        </w:rPr>
        <w:t>节能产品政府采购品目清单</w:t>
      </w:r>
    </w:p>
    <w:tbl>
      <w:tblPr>
        <w:tblStyle w:val="28"/>
        <w:tblW w:w="9220" w:type="dxa"/>
        <w:tblInd w:w="93" w:type="dxa"/>
        <w:tblLayout w:type="autofit"/>
        <w:tblCellMar>
          <w:top w:w="0" w:type="dxa"/>
          <w:left w:w="108" w:type="dxa"/>
          <w:bottom w:w="0" w:type="dxa"/>
          <w:right w:w="108" w:type="dxa"/>
        </w:tblCellMar>
      </w:tblPr>
      <w:tblGrid>
        <w:gridCol w:w="660"/>
        <w:gridCol w:w="1116"/>
        <w:gridCol w:w="1516"/>
        <w:gridCol w:w="1620"/>
        <w:gridCol w:w="4540"/>
      </w:tblGrid>
      <w:tr w14:paraId="5C048291">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nil"/>
              <w:right w:val="single" w:color="000000" w:sz="8" w:space="0"/>
            </w:tcBorders>
            <w:noWrap/>
          </w:tcPr>
          <w:p w14:paraId="1045F92F">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4020" w:type="dxa"/>
            <w:gridSpan w:val="3"/>
            <w:tcBorders>
              <w:top w:val="single" w:color="000000" w:sz="8" w:space="0"/>
              <w:left w:val="nil"/>
              <w:bottom w:val="single" w:color="000000" w:sz="8" w:space="0"/>
              <w:right w:val="single" w:color="000000" w:sz="8" w:space="0"/>
            </w:tcBorders>
            <w:noWrap/>
            <w:vAlign w:val="center"/>
          </w:tcPr>
          <w:p w14:paraId="79875E05">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4540" w:type="dxa"/>
            <w:tcBorders>
              <w:top w:val="single" w:color="000000" w:sz="8" w:space="0"/>
              <w:left w:val="nil"/>
              <w:bottom w:val="single" w:color="000000" w:sz="8" w:space="0"/>
              <w:right w:val="single" w:color="000000" w:sz="8" w:space="0"/>
            </w:tcBorders>
            <w:noWrap/>
            <w:vAlign w:val="center"/>
          </w:tcPr>
          <w:p w14:paraId="1F6BE437">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14:paraId="617D50C4">
        <w:tblPrEx>
          <w:tblCellMar>
            <w:top w:w="0" w:type="dxa"/>
            <w:left w:w="108" w:type="dxa"/>
            <w:bottom w:w="0" w:type="dxa"/>
            <w:right w:w="108" w:type="dxa"/>
          </w:tblCellMar>
        </w:tblPrEx>
        <w:trPr>
          <w:trHeight w:val="495" w:hRule="atLeast"/>
        </w:trPr>
        <w:tc>
          <w:tcPr>
            <w:tcW w:w="660" w:type="dxa"/>
            <w:vMerge w:val="restart"/>
            <w:tcBorders>
              <w:top w:val="single" w:color="000000" w:sz="8" w:space="0"/>
              <w:left w:val="single" w:color="000000" w:sz="8" w:space="0"/>
              <w:bottom w:val="single" w:color="000000" w:sz="8" w:space="0"/>
              <w:right w:val="single" w:color="000000" w:sz="8" w:space="0"/>
            </w:tcBorders>
            <w:noWrap/>
            <w:vAlign w:val="center"/>
          </w:tcPr>
          <w:p w14:paraId="3FA10C8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080" w:type="dxa"/>
            <w:vMerge w:val="restart"/>
            <w:tcBorders>
              <w:top w:val="nil"/>
              <w:left w:val="single" w:color="000000" w:sz="8" w:space="0"/>
              <w:bottom w:val="single" w:color="000000" w:sz="8" w:space="0"/>
              <w:right w:val="single" w:color="000000" w:sz="8" w:space="0"/>
            </w:tcBorders>
            <w:noWrap/>
            <w:vAlign w:val="center"/>
          </w:tcPr>
          <w:p w14:paraId="115E572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1320" w:type="dxa"/>
            <w:tcBorders>
              <w:top w:val="nil"/>
              <w:left w:val="nil"/>
              <w:bottom w:val="single" w:color="000000" w:sz="8" w:space="0"/>
              <w:right w:val="single" w:color="000000" w:sz="8" w:space="0"/>
            </w:tcBorders>
            <w:noWrap/>
            <w:vAlign w:val="center"/>
          </w:tcPr>
          <w:p w14:paraId="6D67D91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★A02010104台式计算机</w:t>
            </w:r>
          </w:p>
        </w:tc>
        <w:tc>
          <w:tcPr>
            <w:tcW w:w="1620" w:type="dxa"/>
            <w:tcBorders>
              <w:top w:val="nil"/>
              <w:left w:val="nil"/>
              <w:bottom w:val="single" w:color="000000" w:sz="8" w:space="0"/>
              <w:right w:val="single" w:color="000000" w:sz="8" w:space="0"/>
            </w:tcBorders>
            <w:noWrap/>
            <w:vAlign w:val="center"/>
          </w:tcPr>
          <w:p w14:paraId="5C58187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50B4ABD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68D95422">
        <w:tblPrEx>
          <w:tblCellMar>
            <w:top w:w="0" w:type="dxa"/>
            <w:left w:w="108" w:type="dxa"/>
            <w:bottom w:w="0" w:type="dxa"/>
            <w:right w:w="108" w:type="dxa"/>
          </w:tblCellMar>
        </w:tblPrEx>
        <w:trPr>
          <w:trHeight w:val="495" w:hRule="atLeast"/>
        </w:trPr>
        <w:tc>
          <w:tcPr>
            <w:tcW w:w="660" w:type="dxa"/>
            <w:vMerge w:val="continue"/>
            <w:tcBorders>
              <w:top w:val="single" w:color="000000" w:sz="8" w:space="0"/>
              <w:left w:val="single" w:color="000000" w:sz="8" w:space="0"/>
              <w:bottom w:val="single" w:color="000000" w:sz="8" w:space="0"/>
              <w:right w:val="single" w:color="000000" w:sz="8" w:space="0"/>
            </w:tcBorders>
            <w:noWrap/>
            <w:vAlign w:val="center"/>
          </w:tcPr>
          <w:p w14:paraId="0BD1488E">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7EA815CD">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00E06AC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★A02010105便携式计算机</w:t>
            </w:r>
          </w:p>
        </w:tc>
        <w:tc>
          <w:tcPr>
            <w:tcW w:w="1620" w:type="dxa"/>
            <w:tcBorders>
              <w:top w:val="nil"/>
              <w:left w:val="nil"/>
              <w:bottom w:val="single" w:color="000000" w:sz="8" w:space="0"/>
              <w:right w:val="single" w:color="000000" w:sz="8" w:space="0"/>
            </w:tcBorders>
            <w:noWrap/>
            <w:vAlign w:val="center"/>
          </w:tcPr>
          <w:p w14:paraId="2611392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6FBDDC3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167F77C9">
        <w:tblPrEx>
          <w:tblCellMar>
            <w:top w:w="0" w:type="dxa"/>
            <w:left w:w="108" w:type="dxa"/>
            <w:bottom w:w="0" w:type="dxa"/>
            <w:right w:w="108" w:type="dxa"/>
          </w:tblCellMar>
        </w:tblPrEx>
        <w:trPr>
          <w:trHeight w:val="735" w:hRule="atLeast"/>
        </w:trPr>
        <w:tc>
          <w:tcPr>
            <w:tcW w:w="660" w:type="dxa"/>
            <w:vMerge w:val="continue"/>
            <w:tcBorders>
              <w:top w:val="single" w:color="000000" w:sz="8" w:space="0"/>
              <w:left w:val="single" w:color="000000" w:sz="8" w:space="0"/>
              <w:bottom w:val="single" w:color="000000" w:sz="8" w:space="0"/>
              <w:right w:val="single" w:color="000000" w:sz="8" w:space="0"/>
            </w:tcBorders>
            <w:noWrap/>
            <w:vAlign w:val="center"/>
          </w:tcPr>
          <w:p w14:paraId="27C04A3A">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70CC82FA">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37B555E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★A02010107平板式微型计算机</w:t>
            </w:r>
          </w:p>
        </w:tc>
        <w:tc>
          <w:tcPr>
            <w:tcW w:w="1620" w:type="dxa"/>
            <w:tcBorders>
              <w:top w:val="nil"/>
              <w:left w:val="nil"/>
              <w:bottom w:val="single" w:color="000000" w:sz="8" w:space="0"/>
              <w:right w:val="single" w:color="000000" w:sz="8" w:space="0"/>
            </w:tcBorders>
            <w:noWrap/>
            <w:vAlign w:val="center"/>
          </w:tcPr>
          <w:p w14:paraId="21F5590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54533E1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283135EA">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ign w:val="center"/>
          </w:tcPr>
          <w:p w14:paraId="2977AB7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080" w:type="dxa"/>
            <w:vMerge w:val="restart"/>
            <w:tcBorders>
              <w:top w:val="nil"/>
              <w:left w:val="single" w:color="000000" w:sz="8" w:space="0"/>
              <w:bottom w:val="single" w:color="000000" w:sz="8" w:space="0"/>
              <w:right w:val="single" w:color="000000" w:sz="8" w:space="0"/>
            </w:tcBorders>
            <w:noWrap/>
            <w:vAlign w:val="center"/>
          </w:tcPr>
          <w:p w14:paraId="7AA847B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1320" w:type="dxa"/>
            <w:vMerge w:val="restart"/>
            <w:tcBorders>
              <w:top w:val="nil"/>
              <w:left w:val="single" w:color="000000" w:sz="8" w:space="0"/>
              <w:bottom w:val="single" w:color="000000" w:sz="8" w:space="0"/>
              <w:right w:val="single" w:color="000000" w:sz="8" w:space="0"/>
            </w:tcBorders>
            <w:noWrap/>
            <w:vAlign w:val="center"/>
          </w:tcPr>
          <w:p w14:paraId="711CF0E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1620" w:type="dxa"/>
            <w:tcBorders>
              <w:top w:val="nil"/>
              <w:left w:val="nil"/>
              <w:bottom w:val="single" w:color="000000" w:sz="8" w:space="0"/>
              <w:right w:val="single" w:color="000000" w:sz="8" w:space="0"/>
            </w:tcBorders>
            <w:noWrap/>
            <w:vAlign w:val="center"/>
          </w:tcPr>
          <w:p w14:paraId="6FEB731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4540" w:type="dxa"/>
            <w:tcBorders>
              <w:top w:val="nil"/>
              <w:left w:val="nil"/>
              <w:bottom w:val="single" w:color="000000" w:sz="8" w:space="0"/>
              <w:right w:val="single" w:color="000000" w:sz="8" w:space="0"/>
            </w:tcBorders>
            <w:noWrap/>
            <w:vAlign w:val="center"/>
          </w:tcPr>
          <w:p w14:paraId="7E4EF2C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7E30D460">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2BF0D413">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736A1B3F">
            <w:pPr>
              <w:widowControl/>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ign w:val="center"/>
          </w:tcPr>
          <w:p w14:paraId="0645F028">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279D2B2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★A0201060102激光打印机</w:t>
            </w:r>
          </w:p>
        </w:tc>
        <w:tc>
          <w:tcPr>
            <w:tcW w:w="4540" w:type="dxa"/>
            <w:tcBorders>
              <w:top w:val="nil"/>
              <w:left w:val="nil"/>
              <w:bottom w:val="single" w:color="000000" w:sz="8" w:space="0"/>
              <w:right w:val="single" w:color="000000" w:sz="8" w:space="0"/>
            </w:tcBorders>
            <w:noWrap/>
            <w:vAlign w:val="center"/>
          </w:tcPr>
          <w:p w14:paraId="32A1D02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20E89077">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6D34750D">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4AE349EF">
            <w:pPr>
              <w:widowControl/>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ign w:val="center"/>
          </w:tcPr>
          <w:p w14:paraId="7473971F">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0FE5CA0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★A0201060104针式打印机</w:t>
            </w:r>
          </w:p>
        </w:tc>
        <w:tc>
          <w:tcPr>
            <w:tcW w:w="4540" w:type="dxa"/>
            <w:tcBorders>
              <w:top w:val="nil"/>
              <w:left w:val="nil"/>
              <w:bottom w:val="single" w:color="000000" w:sz="8" w:space="0"/>
              <w:right w:val="single" w:color="000000" w:sz="8" w:space="0"/>
            </w:tcBorders>
            <w:noWrap/>
            <w:vAlign w:val="center"/>
          </w:tcPr>
          <w:p w14:paraId="40EBE4E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476E87E3">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3F3BD894">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28391A50">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4C05029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1620" w:type="dxa"/>
            <w:tcBorders>
              <w:top w:val="nil"/>
              <w:left w:val="nil"/>
              <w:bottom w:val="single" w:color="000000" w:sz="8" w:space="0"/>
              <w:right w:val="single" w:color="000000" w:sz="8" w:space="0"/>
            </w:tcBorders>
            <w:noWrap/>
            <w:vAlign w:val="center"/>
          </w:tcPr>
          <w:p w14:paraId="7459070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★A0201060401液晶显示器</w:t>
            </w:r>
          </w:p>
        </w:tc>
        <w:tc>
          <w:tcPr>
            <w:tcW w:w="4540" w:type="dxa"/>
            <w:tcBorders>
              <w:top w:val="nil"/>
              <w:left w:val="nil"/>
              <w:bottom w:val="single" w:color="000000" w:sz="8" w:space="0"/>
              <w:right w:val="single" w:color="000000" w:sz="8" w:space="0"/>
            </w:tcBorders>
            <w:noWrap/>
            <w:vAlign w:val="center"/>
          </w:tcPr>
          <w:p w14:paraId="3AC7C45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14:paraId="36047DA0">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54D6810A">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736579B4">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672B19C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1620" w:type="dxa"/>
            <w:tcBorders>
              <w:top w:val="nil"/>
              <w:left w:val="nil"/>
              <w:bottom w:val="single" w:color="000000" w:sz="8" w:space="0"/>
              <w:right w:val="single" w:color="000000" w:sz="8" w:space="0"/>
            </w:tcBorders>
            <w:noWrap/>
            <w:vAlign w:val="center"/>
          </w:tcPr>
          <w:p w14:paraId="50D4FBE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4540" w:type="dxa"/>
            <w:tcBorders>
              <w:top w:val="nil"/>
              <w:left w:val="nil"/>
              <w:bottom w:val="single" w:color="000000" w:sz="8" w:space="0"/>
              <w:right w:val="single" w:color="000000" w:sz="8" w:space="0"/>
            </w:tcBorders>
            <w:noWrap/>
            <w:vAlign w:val="center"/>
          </w:tcPr>
          <w:p w14:paraId="4E2BB76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35DEF209">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7991608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080" w:type="dxa"/>
            <w:tcBorders>
              <w:top w:val="nil"/>
              <w:left w:val="nil"/>
              <w:bottom w:val="single" w:color="000000" w:sz="8" w:space="0"/>
              <w:right w:val="single" w:color="000000" w:sz="8" w:space="0"/>
            </w:tcBorders>
            <w:noWrap/>
            <w:vAlign w:val="center"/>
          </w:tcPr>
          <w:p w14:paraId="2E104F4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1320" w:type="dxa"/>
            <w:tcBorders>
              <w:top w:val="nil"/>
              <w:left w:val="nil"/>
              <w:bottom w:val="single" w:color="000000" w:sz="8" w:space="0"/>
              <w:right w:val="single" w:color="000000" w:sz="8" w:space="0"/>
            </w:tcBorders>
            <w:noWrap/>
            <w:vAlign w:val="center"/>
          </w:tcPr>
          <w:p w14:paraId="0636E13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14:paraId="6DD8968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3B96F8A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14:paraId="62ED717B">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306289D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080" w:type="dxa"/>
            <w:tcBorders>
              <w:top w:val="nil"/>
              <w:left w:val="nil"/>
              <w:bottom w:val="single" w:color="000000" w:sz="8" w:space="0"/>
              <w:right w:val="single" w:color="000000" w:sz="8" w:space="0"/>
            </w:tcBorders>
            <w:noWrap/>
            <w:vAlign w:val="center"/>
          </w:tcPr>
          <w:p w14:paraId="6707745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1320" w:type="dxa"/>
            <w:tcBorders>
              <w:top w:val="nil"/>
              <w:left w:val="nil"/>
              <w:bottom w:val="single" w:color="000000" w:sz="8" w:space="0"/>
              <w:right w:val="single" w:color="000000" w:sz="8" w:space="0"/>
            </w:tcBorders>
            <w:noWrap/>
            <w:vAlign w:val="center"/>
          </w:tcPr>
          <w:p w14:paraId="0942DFF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14:paraId="3C81C27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3D87A8B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35E8AB27">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67A188B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080" w:type="dxa"/>
            <w:tcBorders>
              <w:top w:val="nil"/>
              <w:left w:val="nil"/>
              <w:bottom w:val="single" w:color="000000" w:sz="8" w:space="0"/>
              <w:right w:val="single" w:color="000000" w:sz="8" w:space="0"/>
            </w:tcBorders>
            <w:noWrap/>
            <w:vAlign w:val="center"/>
          </w:tcPr>
          <w:p w14:paraId="0448DA0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1320" w:type="dxa"/>
            <w:tcBorders>
              <w:top w:val="nil"/>
              <w:left w:val="nil"/>
              <w:bottom w:val="single" w:color="000000" w:sz="8" w:space="0"/>
              <w:right w:val="single" w:color="000000" w:sz="8" w:space="0"/>
            </w:tcBorders>
            <w:noWrap/>
            <w:vAlign w:val="center"/>
          </w:tcPr>
          <w:p w14:paraId="1E3E296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1620" w:type="dxa"/>
            <w:tcBorders>
              <w:top w:val="nil"/>
              <w:left w:val="nil"/>
              <w:bottom w:val="single" w:color="000000" w:sz="8" w:space="0"/>
              <w:right w:val="single" w:color="000000" w:sz="8" w:space="0"/>
            </w:tcBorders>
            <w:noWrap/>
            <w:vAlign w:val="center"/>
          </w:tcPr>
          <w:p w14:paraId="1039253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326A6AA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14:paraId="0B418118">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noWrap/>
            <w:vAlign w:val="center"/>
          </w:tcPr>
          <w:p w14:paraId="7183D8B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080" w:type="dxa"/>
            <w:vMerge w:val="restart"/>
            <w:tcBorders>
              <w:top w:val="nil"/>
              <w:left w:val="single" w:color="000000" w:sz="8" w:space="0"/>
              <w:bottom w:val="single" w:color="000000" w:sz="8" w:space="0"/>
              <w:right w:val="single" w:color="000000" w:sz="8" w:space="0"/>
            </w:tcBorders>
            <w:noWrap/>
            <w:vAlign w:val="center"/>
          </w:tcPr>
          <w:p w14:paraId="678876E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1320" w:type="dxa"/>
            <w:vMerge w:val="restart"/>
            <w:tcBorders>
              <w:top w:val="nil"/>
              <w:left w:val="single" w:color="000000" w:sz="8" w:space="0"/>
              <w:bottom w:val="single" w:color="000000" w:sz="8" w:space="0"/>
              <w:right w:val="single" w:color="000000" w:sz="8" w:space="0"/>
            </w:tcBorders>
            <w:noWrap/>
            <w:vAlign w:val="center"/>
          </w:tcPr>
          <w:p w14:paraId="32471CE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1620" w:type="dxa"/>
            <w:tcBorders>
              <w:top w:val="nil"/>
              <w:left w:val="nil"/>
              <w:bottom w:val="single" w:color="000000" w:sz="8" w:space="0"/>
              <w:right w:val="single" w:color="000000" w:sz="8" w:space="0"/>
            </w:tcBorders>
            <w:noWrap/>
            <w:vAlign w:val="center"/>
          </w:tcPr>
          <w:p w14:paraId="28ADD97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4540" w:type="dxa"/>
            <w:tcBorders>
              <w:top w:val="nil"/>
              <w:left w:val="nil"/>
              <w:bottom w:val="single" w:color="000000" w:sz="8" w:space="0"/>
              <w:right w:val="single" w:color="000000" w:sz="8" w:space="0"/>
            </w:tcBorders>
            <w:noWrap/>
            <w:vAlign w:val="center"/>
          </w:tcPr>
          <w:p w14:paraId="4EB225F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14:paraId="65AF46CB">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435675F8">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03E46CE3">
            <w:pPr>
              <w:widowControl/>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ign w:val="center"/>
          </w:tcPr>
          <w:p w14:paraId="5CF7CA0F">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2380172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4540" w:type="dxa"/>
            <w:tcBorders>
              <w:top w:val="nil"/>
              <w:left w:val="nil"/>
              <w:bottom w:val="single" w:color="000000" w:sz="8" w:space="0"/>
              <w:right w:val="single" w:color="000000" w:sz="8" w:space="0"/>
            </w:tcBorders>
            <w:noWrap/>
            <w:vAlign w:val="center"/>
          </w:tcPr>
          <w:p w14:paraId="7CB2E72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14:paraId="14037BB9">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693538B8">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21ACB7E7">
            <w:pPr>
              <w:widowControl/>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ign w:val="center"/>
          </w:tcPr>
          <w:p w14:paraId="74D6C1EE">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36F549C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4540" w:type="dxa"/>
            <w:tcBorders>
              <w:top w:val="nil"/>
              <w:left w:val="nil"/>
              <w:bottom w:val="single" w:color="000000" w:sz="8" w:space="0"/>
              <w:right w:val="single" w:color="000000" w:sz="8" w:space="0"/>
            </w:tcBorders>
            <w:noWrap/>
            <w:vAlign w:val="center"/>
          </w:tcPr>
          <w:p w14:paraId="1D03711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14:paraId="12249E64">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27D1EAC0">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01E962CD">
            <w:pPr>
              <w:widowControl/>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ign w:val="center"/>
          </w:tcPr>
          <w:p w14:paraId="448350E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1620" w:type="dxa"/>
            <w:tcBorders>
              <w:top w:val="nil"/>
              <w:left w:val="nil"/>
              <w:bottom w:val="single" w:color="000000" w:sz="8" w:space="0"/>
              <w:right w:val="single" w:color="000000" w:sz="8" w:space="0"/>
            </w:tcBorders>
            <w:noWrap/>
            <w:vAlign w:val="center"/>
          </w:tcPr>
          <w:p w14:paraId="1224F13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4540" w:type="dxa"/>
            <w:tcBorders>
              <w:top w:val="nil"/>
              <w:left w:val="nil"/>
              <w:bottom w:val="single" w:color="000000" w:sz="8" w:space="0"/>
              <w:right w:val="single" w:color="000000" w:sz="8" w:space="0"/>
            </w:tcBorders>
            <w:noWrap/>
            <w:vAlign w:val="center"/>
          </w:tcPr>
          <w:p w14:paraId="423A7E4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69D52D49">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4D6AA36D">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4AC1D7DF">
            <w:pPr>
              <w:widowControl/>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ign w:val="center"/>
          </w:tcPr>
          <w:p w14:paraId="348D7D36">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1668108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4540" w:type="dxa"/>
            <w:tcBorders>
              <w:top w:val="nil"/>
              <w:left w:val="nil"/>
              <w:bottom w:val="single" w:color="000000" w:sz="8" w:space="0"/>
              <w:right w:val="single" w:color="000000" w:sz="8" w:space="0"/>
            </w:tcBorders>
            <w:noWrap/>
            <w:vAlign w:val="center"/>
          </w:tcPr>
          <w:p w14:paraId="591C9D7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14:paraId="453AE268">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66FE95A4">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71B4ED07">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3E3EB2F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1620" w:type="dxa"/>
            <w:tcBorders>
              <w:top w:val="nil"/>
              <w:left w:val="nil"/>
              <w:bottom w:val="single" w:color="000000" w:sz="8" w:space="0"/>
              <w:right w:val="single" w:color="000000" w:sz="8" w:space="0"/>
            </w:tcBorders>
            <w:noWrap/>
            <w:vAlign w:val="center"/>
          </w:tcPr>
          <w:p w14:paraId="655169E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4540" w:type="dxa"/>
            <w:tcBorders>
              <w:top w:val="nil"/>
              <w:left w:val="nil"/>
              <w:bottom w:val="single" w:color="000000" w:sz="8" w:space="0"/>
              <w:right w:val="single" w:color="000000" w:sz="8" w:space="0"/>
            </w:tcBorders>
            <w:noWrap/>
            <w:vAlign w:val="center"/>
          </w:tcPr>
          <w:p w14:paraId="168B63F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14:paraId="04715467">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27935539">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3860A6F4">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6C4FD20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1620" w:type="dxa"/>
            <w:tcBorders>
              <w:top w:val="nil"/>
              <w:left w:val="nil"/>
              <w:bottom w:val="single" w:color="000000" w:sz="8" w:space="0"/>
              <w:right w:val="single" w:color="000000" w:sz="8" w:space="0"/>
            </w:tcBorders>
            <w:noWrap/>
            <w:vAlign w:val="center"/>
          </w:tcPr>
          <w:p w14:paraId="5AEB45A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4540" w:type="dxa"/>
            <w:tcBorders>
              <w:top w:val="nil"/>
              <w:left w:val="nil"/>
              <w:bottom w:val="single" w:color="000000" w:sz="8" w:space="0"/>
              <w:right w:val="single" w:color="000000" w:sz="8" w:space="0"/>
            </w:tcBorders>
            <w:noWrap/>
            <w:vAlign w:val="center"/>
          </w:tcPr>
          <w:p w14:paraId="244A01A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14:paraId="780A3FC1">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6C50A22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080" w:type="dxa"/>
            <w:tcBorders>
              <w:top w:val="nil"/>
              <w:left w:val="nil"/>
              <w:bottom w:val="single" w:color="000000" w:sz="8" w:space="0"/>
              <w:right w:val="single" w:color="000000" w:sz="8" w:space="0"/>
            </w:tcBorders>
            <w:noWrap/>
            <w:vAlign w:val="center"/>
          </w:tcPr>
          <w:p w14:paraId="73477C2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1320" w:type="dxa"/>
            <w:tcBorders>
              <w:top w:val="nil"/>
              <w:left w:val="nil"/>
              <w:bottom w:val="single" w:color="000000" w:sz="8" w:space="0"/>
              <w:right w:val="single" w:color="000000" w:sz="8" w:space="0"/>
            </w:tcBorders>
            <w:noWrap/>
            <w:vAlign w:val="center"/>
          </w:tcPr>
          <w:p w14:paraId="7726545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14:paraId="4932A6E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1CB95C7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14:paraId="00E4F9E0">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7162172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080" w:type="dxa"/>
            <w:tcBorders>
              <w:top w:val="nil"/>
              <w:left w:val="nil"/>
              <w:bottom w:val="single" w:color="000000" w:sz="8" w:space="0"/>
              <w:right w:val="single" w:color="000000" w:sz="8" w:space="0"/>
            </w:tcBorders>
            <w:noWrap/>
            <w:vAlign w:val="center"/>
          </w:tcPr>
          <w:p w14:paraId="1A70663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1320" w:type="dxa"/>
            <w:tcBorders>
              <w:top w:val="nil"/>
              <w:left w:val="nil"/>
              <w:bottom w:val="single" w:color="000000" w:sz="8" w:space="0"/>
              <w:right w:val="single" w:color="000000" w:sz="8" w:space="0"/>
            </w:tcBorders>
            <w:noWrap/>
            <w:vAlign w:val="center"/>
          </w:tcPr>
          <w:p w14:paraId="7665655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1620" w:type="dxa"/>
            <w:tcBorders>
              <w:top w:val="nil"/>
              <w:left w:val="nil"/>
              <w:bottom w:val="single" w:color="000000" w:sz="8" w:space="0"/>
              <w:right w:val="single" w:color="000000" w:sz="8" w:space="0"/>
            </w:tcBorders>
            <w:noWrap/>
            <w:vAlign w:val="center"/>
          </w:tcPr>
          <w:p w14:paraId="2DCFFDE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0934DB1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14:paraId="4CDE6AA8">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6A906D8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080" w:type="dxa"/>
            <w:tcBorders>
              <w:top w:val="nil"/>
              <w:left w:val="nil"/>
              <w:bottom w:val="single" w:color="000000" w:sz="8" w:space="0"/>
              <w:right w:val="single" w:color="000000" w:sz="8" w:space="0"/>
            </w:tcBorders>
            <w:noWrap/>
            <w:vAlign w:val="center"/>
          </w:tcPr>
          <w:p w14:paraId="7290E01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★A020609镇流器</w:t>
            </w:r>
          </w:p>
        </w:tc>
        <w:tc>
          <w:tcPr>
            <w:tcW w:w="1320" w:type="dxa"/>
            <w:tcBorders>
              <w:top w:val="nil"/>
              <w:left w:val="nil"/>
              <w:bottom w:val="single" w:color="000000" w:sz="8" w:space="0"/>
              <w:right w:val="single" w:color="000000" w:sz="8" w:space="0"/>
            </w:tcBorders>
            <w:noWrap/>
            <w:vAlign w:val="center"/>
          </w:tcPr>
          <w:p w14:paraId="4D62243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1620" w:type="dxa"/>
            <w:tcBorders>
              <w:top w:val="nil"/>
              <w:left w:val="nil"/>
              <w:bottom w:val="single" w:color="000000" w:sz="8" w:space="0"/>
              <w:right w:val="single" w:color="000000" w:sz="8" w:space="0"/>
            </w:tcBorders>
            <w:noWrap/>
            <w:vAlign w:val="center"/>
          </w:tcPr>
          <w:p w14:paraId="2022DD7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6F8CCA7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14:paraId="730B7BE3">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ign w:val="center"/>
          </w:tcPr>
          <w:p w14:paraId="7A97C90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080" w:type="dxa"/>
            <w:vMerge w:val="restart"/>
            <w:tcBorders>
              <w:top w:val="nil"/>
              <w:left w:val="single" w:color="000000" w:sz="8" w:space="0"/>
              <w:bottom w:val="single" w:color="000000" w:sz="8" w:space="0"/>
              <w:right w:val="single" w:color="000000" w:sz="8" w:space="0"/>
            </w:tcBorders>
            <w:noWrap/>
            <w:vAlign w:val="center"/>
          </w:tcPr>
          <w:p w14:paraId="7B66C94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1320" w:type="dxa"/>
            <w:tcBorders>
              <w:top w:val="nil"/>
              <w:left w:val="nil"/>
              <w:bottom w:val="single" w:color="000000" w:sz="8" w:space="0"/>
              <w:right w:val="single" w:color="000000" w:sz="8" w:space="0"/>
            </w:tcBorders>
            <w:noWrap/>
            <w:vAlign w:val="center"/>
          </w:tcPr>
          <w:p w14:paraId="4550589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1620" w:type="dxa"/>
            <w:tcBorders>
              <w:top w:val="nil"/>
              <w:left w:val="nil"/>
              <w:bottom w:val="single" w:color="000000" w:sz="8" w:space="0"/>
              <w:right w:val="single" w:color="000000" w:sz="8" w:space="0"/>
            </w:tcBorders>
            <w:noWrap/>
            <w:vAlign w:val="center"/>
          </w:tcPr>
          <w:p w14:paraId="6C5CE9A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3BDA329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14:paraId="57817871">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7781D6B7">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7D50D7D7">
            <w:pPr>
              <w:widowControl/>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ign w:val="center"/>
          </w:tcPr>
          <w:p w14:paraId="647FFFA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★A0206180203空调机</w:t>
            </w:r>
          </w:p>
        </w:tc>
        <w:tc>
          <w:tcPr>
            <w:tcW w:w="1620" w:type="dxa"/>
            <w:tcBorders>
              <w:top w:val="nil"/>
              <w:left w:val="nil"/>
              <w:bottom w:val="single" w:color="000000" w:sz="8" w:space="0"/>
              <w:right w:val="single" w:color="000000" w:sz="8" w:space="0"/>
            </w:tcBorders>
            <w:noWrap/>
            <w:vAlign w:val="center"/>
          </w:tcPr>
          <w:p w14:paraId="7A96108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4540" w:type="dxa"/>
            <w:tcBorders>
              <w:top w:val="nil"/>
              <w:left w:val="nil"/>
              <w:bottom w:val="single" w:color="000000" w:sz="8" w:space="0"/>
              <w:right w:val="single" w:color="000000" w:sz="8" w:space="0"/>
            </w:tcBorders>
            <w:noWrap/>
            <w:vAlign w:val="center"/>
          </w:tcPr>
          <w:p w14:paraId="49808FD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53164FF1">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7E055B2E">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15317C83">
            <w:pPr>
              <w:widowControl/>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ign w:val="center"/>
          </w:tcPr>
          <w:p w14:paraId="18B17D27">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16A29D7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4540" w:type="dxa"/>
            <w:tcBorders>
              <w:top w:val="nil"/>
              <w:left w:val="nil"/>
              <w:bottom w:val="single" w:color="000000" w:sz="8" w:space="0"/>
              <w:right w:val="single" w:color="000000" w:sz="8" w:space="0"/>
            </w:tcBorders>
            <w:noWrap/>
            <w:vAlign w:val="center"/>
          </w:tcPr>
          <w:p w14:paraId="3B8A2FE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1F0D2C94">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6EBBF0D5">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234B3963">
            <w:pPr>
              <w:widowControl/>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ign w:val="center"/>
          </w:tcPr>
          <w:p w14:paraId="10C7D8F1">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48C9003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4540" w:type="dxa"/>
            <w:tcBorders>
              <w:top w:val="nil"/>
              <w:left w:val="nil"/>
              <w:bottom w:val="single" w:color="000000" w:sz="8" w:space="0"/>
              <w:right w:val="single" w:color="000000" w:sz="8" w:space="0"/>
            </w:tcBorders>
            <w:noWrap/>
            <w:vAlign w:val="center"/>
          </w:tcPr>
          <w:p w14:paraId="41D7517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14:paraId="4533DE92">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46E98A6E">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78CAE584">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0912D12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1620" w:type="dxa"/>
            <w:tcBorders>
              <w:top w:val="nil"/>
              <w:left w:val="nil"/>
              <w:bottom w:val="single" w:color="000000" w:sz="8" w:space="0"/>
              <w:right w:val="single" w:color="000000" w:sz="8" w:space="0"/>
            </w:tcBorders>
            <w:noWrap/>
            <w:vAlign w:val="center"/>
          </w:tcPr>
          <w:p w14:paraId="2C09382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5C1A95A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14:paraId="565FF4F3">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6348215F">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785D262A">
            <w:pPr>
              <w:widowControl/>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ign w:val="center"/>
          </w:tcPr>
          <w:p w14:paraId="5197A52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1620" w:type="dxa"/>
            <w:tcBorders>
              <w:top w:val="nil"/>
              <w:left w:val="nil"/>
              <w:bottom w:val="single" w:color="000000" w:sz="8" w:space="0"/>
              <w:right w:val="single" w:color="000000" w:sz="8" w:space="0"/>
            </w:tcBorders>
            <w:noWrap/>
            <w:vAlign w:val="center"/>
          </w:tcPr>
          <w:p w14:paraId="1A46C04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4540" w:type="dxa"/>
            <w:tcBorders>
              <w:top w:val="nil"/>
              <w:left w:val="nil"/>
              <w:bottom w:val="single" w:color="000000" w:sz="8" w:space="0"/>
              <w:right w:val="single" w:color="000000" w:sz="8" w:space="0"/>
            </w:tcBorders>
            <w:noWrap/>
            <w:vAlign w:val="center"/>
          </w:tcPr>
          <w:p w14:paraId="2D2EB95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14:paraId="64476891">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6F0E16F3">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64449A35">
            <w:pPr>
              <w:widowControl/>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ign w:val="center"/>
          </w:tcPr>
          <w:p w14:paraId="2996A068">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03D296C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4540" w:type="dxa"/>
            <w:tcBorders>
              <w:top w:val="nil"/>
              <w:left w:val="nil"/>
              <w:bottom w:val="single" w:color="000000" w:sz="8" w:space="0"/>
              <w:right w:val="single" w:color="000000" w:sz="8" w:space="0"/>
            </w:tcBorders>
            <w:noWrap/>
            <w:vAlign w:val="center"/>
          </w:tcPr>
          <w:p w14:paraId="17F87B1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14:paraId="50A15AC2">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4B0D37B8">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03D049F5">
            <w:pPr>
              <w:widowControl/>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ign w:val="center"/>
          </w:tcPr>
          <w:p w14:paraId="08E802A8">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7B92534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4540" w:type="dxa"/>
            <w:tcBorders>
              <w:top w:val="nil"/>
              <w:left w:val="nil"/>
              <w:bottom w:val="single" w:color="000000" w:sz="8" w:space="0"/>
              <w:right w:val="single" w:color="000000" w:sz="8" w:space="0"/>
            </w:tcBorders>
            <w:noWrap/>
            <w:vAlign w:val="center"/>
          </w:tcPr>
          <w:p w14:paraId="4B4606F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14:paraId="4D847154">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ign w:val="center"/>
          </w:tcPr>
          <w:p w14:paraId="72297CFF">
            <w:pPr>
              <w:widowControl/>
              <w:jc w:val="left"/>
              <w:rPr>
                <w:rFonts w:ascii="宋体" w:hAnsi="宋体" w:cs="宋体"/>
                <w:color w:val="auto"/>
                <w:kern w:val="0"/>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ign w:val="center"/>
          </w:tcPr>
          <w:p w14:paraId="5DDCE106">
            <w:pPr>
              <w:widowControl/>
              <w:jc w:val="left"/>
              <w:rPr>
                <w:rFonts w:ascii="宋体" w:hAnsi="宋体" w:cs="宋体"/>
                <w:color w:val="auto"/>
                <w:kern w:val="0"/>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ign w:val="center"/>
          </w:tcPr>
          <w:p w14:paraId="2F0DE1AE">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748B44A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4540" w:type="dxa"/>
            <w:tcBorders>
              <w:top w:val="nil"/>
              <w:left w:val="nil"/>
              <w:bottom w:val="single" w:color="000000" w:sz="8" w:space="0"/>
              <w:right w:val="single" w:color="000000" w:sz="8" w:space="0"/>
            </w:tcBorders>
            <w:noWrap/>
            <w:vAlign w:val="center"/>
          </w:tcPr>
          <w:p w14:paraId="0726C4E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14:paraId="668A1B48">
        <w:tblPrEx>
          <w:tblCellMar>
            <w:top w:w="0" w:type="dxa"/>
            <w:left w:w="108" w:type="dxa"/>
            <w:bottom w:w="0" w:type="dxa"/>
            <w:right w:w="108" w:type="dxa"/>
          </w:tblCellMar>
        </w:tblPrEx>
        <w:trPr>
          <w:trHeight w:val="495" w:hRule="atLeast"/>
        </w:trPr>
        <w:tc>
          <w:tcPr>
            <w:tcW w:w="660" w:type="dxa"/>
            <w:vMerge w:val="restart"/>
            <w:tcBorders>
              <w:top w:val="nil"/>
              <w:left w:val="single" w:color="auto" w:sz="8" w:space="0"/>
              <w:bottom w:val="single" w:color="auto" w:sz="8" w:space="0"/>
              <w:right w:val="single" w:color="auto" w:sz="8" w:space="0"/>
            </w:tcBorders>
            <w:noWrap/>
            <w:vAlign w:val="center"/>
          </w:tcPr>
          <w:p w14:paraId="091FA27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080" w:type="dxa"/>
            <w:vMerge w:val="restart"/>
            <w:tcBorders>
              <w:top w:val="nil"/>
              <w:left w:val="single" w:color="auto" w:sz="8" w:space="0"/>
              <w:bottom w:val="single" w:color="auto" w:sz="8" w:space="0"/>
              <w:right w:val="single" w:color="auto" w:sz="8" w:space="0"/>
            </w:tcBorders>
            <w:noWrap/>
            <w:vAlign w:val="center"/>
          </w:tcPr>
          <w:p w14:paraId="19BC71D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1320" w:type="dxa"/>
            <w:tcBorders>
              <w:top w:val="nil"/>
              <w:left w:val="nil"/>
              <w:bottom w:val="single" w:color="auto" w:sz="8" w:space="0"/>
              <w:right w:val="single" w:color="auto" w:sz="8" w:space="0"/>
            </w:tcBorders>
            <w:noWrap/>
            <w:vAlign w:val="center"/>
          </w:tcPr>
          <w:p w14:paraId="3E47AA2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1620" w:type="dxa"/>
            <w:tcBorders>
              <w:top w:val="nil"/>
              <w:left w:val="nil"/>
              <w:bottom w:val="single" w:color="auto" w:sz="8" w:space="0"/>
              <w:right w:val="single" w:color="auto" w:sz="8" w:space="0"/>
            </w:tcBorders>
            <w:noWrap/>
            <w:vAlign w:val="center"/>
          </w:tcPr>
          <w:p w14:paraId="2044863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14:paraId="58FEACE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14:paraId="63B45FAC">
        <w:tblPrEx>
          <w:tblCellMar>
            <w:top w:w="0" w:type="dxa"/>
            <w:left w:w="108" w:type="dxa"/>
            <w:bottom w:w="0" w:type="dxa"/>
            <w:right w:w="108" w:type="dxa"/>
          </w:tblCellMar>
        </w:tblPrEx>
        <w:trPr>
          <w:trHeight w:val="495" w:hRule="atLeast"/>
        </w:trPr>
        <w:tc>
          <w:tcPr>
            <w:tcW w:w="660" w:type="dxa"/>
            <w:vMerge w:val="continue"/>
            <w:tcBorders>
              <w:top w:val="nil"/>
              <w:left w:val="single" w:color="auto" w:sz="8" w:space="0"/>
              <w:bottom w:val="single" w:color="auto" w:sz="8" w:space="0"/>
              <w:right w:val="single" w:color="auto" w:sz="8" w:space="0"/>
            </w:tcBorders>
            <w:noWrap/>
            <w:vAlign w:val="center"/>
          </w:tcPr>
          <w:p w14:paraId="2DB5C716">
            <w:pPr>
              <w:widowControl/>
              <w:jc w:val="left"/>
              <w:rPr>
                <w:rFonts w:ascii="宋体" w:hAnsi="宋体" w:cs="宋体"/>
                <w:color w:val="auto"/>
                <w:kern w:val="0"/>
                <w:sz w:val="20"/>
                <w:szCs w:val="20"/>
                <w:highlight w:val="none"/>
              </w:rPr>
            </w:pPr>
          </w:p>
        </w:tc>
        <w:tc>
          <w:tcPr>
            <w:tcW w:w="1080" w:type="dxa"/>
            <w:vMerge w:val="continue"/>
            <w:tcBorders>
              <w:top w:val="nil"/>
              <w:left w:val="single" w:color="auto" w:sz="8" w:space="0"/>
              <w:bottom w:val="single" w:color="auto" w:sz="8" w:space="0"/>
              <w:right w:val="single" w:color="auto" w:sz="8" w:space="0"/>
            </w:tcBorders>
            <w:noWrap/>
            <w:vAlign w:val="center"/>
          </w:tcPr>
          <w:p w14:paraId="026FC201">
            <w:pPr>
              <w:widowControl/>
              <w:jc w:val="left"/>
              <w:rPr>
                <w:rFonts w:ascii="宋体" w:hAnsi="宋体" w:cs="宋体"/>
                <w:color w:val="auto"/>
                <w:kern w:val="0"/>
                <w:sz w:val="20"/>
                <w:szCs w:val="20"/>
                <w:highlight w:val="none"/>
              </w:rPr>
            </w:pPr>
          </w:p>
        </w:tc>
        <w:tc>
          <w:tcPr>
            <w:tcW w:w="1320" w:type="dxa"/>
            <w:tcBorders>
              <w:top w:val="nil"/>
              <w:left w:val="nil"/>
              <w:bottom w:val="single" w:color="auto" w:sz="8" w:space="0"/>
              <w:right w:val="single" w:color="auto" w:sz="8" w:space="0"/>
            </w:tcBorders>
            <w:noWrap/>
            <w:vAlign w:val="center"/>
          </w:tcPr>
          <w:p w14:paraId="0F11C19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1620" w:type="dxa"/>
            <w:tcBorders>
              <w:top w:val="nil"/>
              <w:left w:val="nil"/>
              <w:bottom w:val="single" w:color="auto" w:sz="8" w:space="0"/>
              <w:right w:val="single" w:color="auto" w:sz="8" w:space="0"/>
            </w:tcBorders>
            <w:noWrap/>
            <w:vAlign w:val="center"/>
          </w:tcPr>
          <w:p w14:paraId="4A0B199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14:paraId="04924AC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14:paraId="7A939567">
        <w:tblPrEx>
          <w:tblCellMar>
            <w:top w:w="0" w:type="dxa"/>
            <w:left w:w="108" w:type="dxa"/>
            <w:bottom w:w="0" w:type="dxa"/>
            <w:right w:w="108" w:type="dxa"/>
          </w:tblCellMar>
        </w:tblPrEx>
        <w:trPr>
          <w:trHeight w:val="495" w:hRule="atLeast"/>
        </w:trPr>
        <w:tc>
          <w:tcPr>
            <w:tcW w:w="660" w:type="dxa"/>
            <w:vMerge w:val="continue"/>
            <w:tcBorders>
              <w:top w:val="nil"/>
              <w:left w:val="single" w:color="auto" w:sz="8" w:space="0"/>
              <w:bottom w:val="single" w:color="auto" w:sz="8" w:space="0"/>
              <w:right w:val="single" w:color="auto" w:sz="8" w:space="0"/>
            </w:tcBorders>
            <w:noWrap/>
            <w:vAlign w:val="center"/>
          </w:tcPr>
          <w:p w14:paraId="07968479">
            <w:pPr>
              <w:widowControl/>
              <w:jc w:val="left"/>
              <w:rPr>
                <w:rFonts w:ascii="宋体" w:hAnsi="宋体" w:cs="宋体"/>
                <w:color w:val="auto"/>
                <w:kern w:val="0"/>
                <w:sz w:val="20"/>
                <w:szCs w:val="20"/>
                <w:highlight w:val="none"/>
              </w:rPr>
            </w:pPr>
          </w:p>
        </w:tc>
        <w:tc>
          <w:tcPr>
            <w:tcW w:w="1080" w:type="dxa"/>
            <w:vMerge w:val="continue"/>
            <w:tcBorders>
              <w:top w:val="nil"/>
              <w:left w:val="single" w:color="auto" w:sz="8" w:space="0"/>
              <w:bottom w:val="single" w:color="auto" w:sz="8" w:space="0"/>
              <w:right w:val="single" w:color="auto" w:sz="8" w:space="0"/>
            </w:tcBorders>
            <w:noWrap/>
            <w:vAlign w:val="center"/>
          </w:tcPr>
          <w:p w14:paraId="5A72CF53">
            <w:pPr>
              <w:widowControl/>
              <w:jc w:val="left"/>
              <w:rPr>
                <w:rFonts w:ascii="宋体" w:hAnsi="宋体" w:cs="宋体"/>
                <w:color w:val="auto"/>
                <w:kern w:val="0"/>
                <w:sz w:val="20"/>
                <w:szCs w:val="20"/>
                <w:highlight w:val="none"/>
              </w:rPr>
            </w:pPr>
          </w:p>
        </w:tc>
        <w:tc>
          <w:tcPr>
            <w:tcW w:w="1320" w:type="dxa"/>
            <w:tcBorders>
              <w:top w:val="nil"/>
              <w:left w:val="nil"/>
              <w:bottom w:val="single" w:color="auto" w:sz="8" w:space="0"/>
              <w:right w:val="single" w:color="auto" w:sz="8" w:space="0"/>
            </w:tcBorders>
            <w:noWrap/>
            <w:vAlign w:val="center"/>
          </w:tcPr>
          <w:p w14:paraId="52E0744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1620" w:type="dxa"/>
            <w:tcBorders>
              <w:top w:val="nil"/>
              <w:left w:val="nil"/>
              <w:bottom w:val="single" w:color="auto" w:sz="8" w:space="0"/>
              <w:right w:val="single" w:color="auto" w:sz="8" w:space="0"/>
            </w:tcBorders>
            <w:noWrap/>
            <w:vAlign w:val="center"/>
          </w:tcPr>
          <w:p w14:paraId="7E3851C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14:paraId="034EEDA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306377DC">
        <w:tblPrEx>
          <w:tblCellMar>
            <w:top w:w="0" w:type="dxa"/>
            <w:left w:w="108" w:type="dxa"/>
            <w:bottom w:w="0" w:type="dxa"/>
            <w:right w:w="108" w:type="dxa"/>
          </w:tblCellMar>
        </w:tblPrEx>
        <w:trPr>
          <w:trHeight w:val="735" w:hRule="atLeast"/>
        </w:trPr>
        <w:tc>
          <w:tcPr>
            <w:tcW w:w="660" w:type="dxa"/>
            <w:vMerge w:val="continue"/>
            <w:tcBorders>
              <w:top w:val="nil"/>
              <w:left w:val="single" w:color="auto" w:sz="8" w:space="0"/>
              <w:bottom w:val="single" w:color="auto" w:sz="8" w:space="0"/>
              <w:right w:val="single" w:color="auto" w:sz="8" w:space="0"/>
            </w:tcBorders>
            <w:noWrap/>
            <w:vAlign w:val="center"/>
          </w:tcPr>
          <w:p w14:paraId="2A5FED23">
            <w:pPr>
              <w:widowControl/>
              <w:jc w:val="left"/>
              <w:rPr>
                <w:rFonts w:ascii="宋体" w:hAnsi="宋体" w:cs="宋体"/>
                <w:color w:val="auto"/>
                <w:kern w:val="0"/>
                <w:sz w:val="20"/>
                <w:szCs w:val="20"/>
                <w:highlight w:val="none"/>
              </w:rPr>
            </w:pPr>
          </w:p>
        </w:tc>
        <w:tc>
          <w:tcPr>
            <w:tcW w:w="1080" w:type="dxa"/>
            <w:vMerge w:val="continue"/>
            <w:tcBorders>
              <w:top w:val="nil"/>
              <w:left w:val="single" w:color="auto" w:sz="8" w:space="0"/>
              <w:bottom w:val="single" w:color="auto" w:sz="8" w:space="0"/>
              <w:right w:val="single" w:color="auto" w:sz="8" w:space="0"/>
            </w:tcBorders>
            <w:noWrap/>
            <w:vAlign w:val="center"/>
          </w:tcPr>
          <w:p w14:paraId="08CF5642">
            <w:pPr>
              <w:widowControl/>
              <w:jc w:val="left"/>
              <w:rPr>
                <w:rFonts w:ascii="宋体" w:hAnsi="宋体" w:cs="宋体"/>
                <w:color w:val="auto"/>
                <w:kern w:val="0"/>
                <w:sz w:val="20"/>
                <w:szCs w:val="20"/>
                <w:highlight w:val="none"/>
              </w:rPr>
            </w:pPr>
          </w:p>
        </w:tc>
        <w:tc>
          <w:tcPr>
            <w:tcW w:w="1320" w:type="dxa"/>
            <w:tcBorders>
              <w:top w:val="nil"/>
              <w:left w:val="nil"/>
              <w:bottom w:val="single" w:color="auto" w:sz="8" w:space="0"/>
              <w:right w:val="single" w:color="auto" w:sz="8" w:space="0"/>
            </w:tcBorders>
            <w:noWrap/>
            <w:vAlign w:val="center"/>
          </w:tcPr>
          <w:p w14:paraId="4E51351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1620" w:type="dxa"/>
            <w:tcBorders>
              <w:top w:val="nil"/>
              <w:left w:val="nil"/>
              <w:bottom w:val="single" w:color="auto" w:sz="8" w:space="0"/>
              <w:right w:val="single" w:color="auto" w:sz="8" w:space="0"/>
            </w:tcBorders>
            <w:noWrap/>
            <w:vAlign w:val="center"/>
          </w:tcPr>
          <w:p w14:paraId="0F37756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14:paraId="494CCC5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20C71B6F">
        <w:tblPrEx>
          <w:tblCellMar>
            <w:top w:w="0" w:type="dxa"/>
            <w:left w:w="108" w:type="dxa"/>
            <w:bottom w:w="0" w:type="dxa"/>
            <w:right w:w="108" w:type="dxa"/>
          </w:tblCellMar>
        </w:tblPrEx>
        <w:trPr>
          <w:trHeight w:val="735" w:hRule="atLeast"/>
        </w:trPr>
        <w:tc>
          <w:tcPr>
            <w:tcW w:w="660" w:type="dxa"/>
            <w:tcBorders>
              <w:top w:val="nil"/>
              <w:left w:val="single" w:color="auto" w:sz="8" w:space="0"/>
              <w:bottom w:val="single" w:color="auto" w:sz="8" w:space="0"/>
              <w:right w:val="single" w:color="auto" w:sz="8" w:space="0"/>
            </w:tcBorders>
            <w:noWrap/>
            <w:vAlign w:val="center"/>
          </w:tcPr>
          <w:p w14:paraId="422805B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080" w:type="dxa"/>
            <w:tcBorders>
              <w:top w:val="nil"/>
              <w:left w:val="nil"/>
              <w:bottom w:val="single" w:color="auto" w:sz="8" w:space="0"/>
              <w:right w:val="single" w:color="auto" w:sz="8" w:space="0"/>
            </w:tcBorders>
            <w:noWrap/>
            <w:vAlign w:val="center"/>
          </w:tcPr>
          <w:p w14:paraId="5713E45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★A020910电视设备</w:t>
            </w:r>
          </w:p>
        </w:tc>
        <w:tc>
          <w:tcPr>
            <w:tcW w:w="1320" w:type="dxa"/>
            <w:tcBorders>
              <w:top w:val="nil"/>
              <w:left w:val="nil"/>
              <w:bottom w:val="single" w:color="auto" w:sz="8" w:space="0"/>
              <w:right w:val="single" w:color="auto" w:sz="8" w:space="0"/>
            </w:tcBorders>
            <w:noWrap/>
            <w:vAlign w:val="center"/>
          </w:tcPr>
          <w:p w14:paraId="01B2240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1620" w:type="dxa"/>
            <w:tcBorders>
              <w:top w:val="nil"/>
              <w:left w:val="nil"/>
              <w:bottom w:val="single" w:color="auto" w:sz="8" w:space="0"/>
              <w:right w:val="single" w:color="auto" w:sz="8" w:space="0"/>
            </w:tcBorders>
            <w:noWrap/>
            <w:vAlign w:val="center"/>
          </w:tcPr>
          <w:p w14:paraId="0AB8B3C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14:paraId="1B23F7C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14:paraId="04B9BAA9">
        <w:tblPrEx>
          <w:tblCellMar>
            <w:top w:w="0" w:type="dxa"/>
            <w:left w:w="108" w:type="dxa"/>
            <w:bottom w:w="0" w:type="dxa"/>
            <w:right w:w="108" w:type="dxa"/>
          </w:tblCellMar>
        </w:tblPrEx>
        <w:trPr>
          <w:trHeight w:val="975" w:hRule="atLeast"/>
        </w:trPr>
        <w:tc>
          <w:tcPr>
            <w:tcW w:w="660" w:type="dxa"/>
            <w:tcBorders>
              <w:top w:val="nil"/>
              <w:left w:val="single" w:color="auto" w:sz="8" w:space="0"/>
              <w:bottom w:val="single" w:color="auto" w:sz="8" w:space="0"/>
              <w:right w:val="single" w:color="auto" w:sz="8" w:space="0"/>
            </w:tcBorders>
            <w:noWrap/>
            <w:vAlign w:val="center"/>
          </w:tcPr>
          <w:p w14:paraId="08A0631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080" w:type="dxa"/>
            <w:tcBorders>
              <w:top w:val="nil"/>
              <w:left w:val="nil"/>
              <w:bottom w:val="single" w:color="auto" w:sz="8" w:space="0"/>
              <w:right w:val="single" w:color="auto" w:sz="8" w:space="0"/>
            </w:tcBorders>
            <w:noWrap/>
            <w:vAlign w:val="center"/>
          </w:tcPr>
          <w:p w14:paraId="6D5FDFB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★A020911视频设备</w:t>
            </w:r>
          </w:p>
        </w:tc>
        <w:tc>
          <w:tcPr>
            <w:tcW w:w="1320" w:type="dxa"/>
            <w:tcBorders>
              <w:top w:val="nil"/>
              <w:left w:val="nil"/>
              <w:bottom w:val="single" w:color="auto" w:sz="8" w:space="0"/>
              <w:right w:val="single" w:color="auto" w:sz="8" w:space="0"/>
            </w:tcBorders>
            <w:noWrap/>
            <w:vAlign w:val="center"/>
          </w:tcPr>
          <w:p w14:paraId="60BC684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1620" w:type="dxa"/>
            <w:tcBorders>
              <w:top w:val="nil"/>
              <w:left w:val="nil"/>
              <w:bottom w:val="single" w:color="auto" w:sz="8" w:space="0"/>
              <w:right w:val="single" w:color="auto" w:sz="8" w:space="0"/>
            </w:tcBorders>
            <w:noWrap/>
            <w:vAlign w:val="center"/>
          </w:tcPr>
          <w:p w14:paraId="7C8DBD2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4540" w:type="dxa"/>
            <w:tcBorders>
              <w:top w:val="nil"/>
              <w:left w:val="nil"/>
              <w:bottom w:val="single" w:color="auto" w:sz="8" w:space="0"/>
              <w:right w:val="single" w:color="auto" w:sz="8" w:space="0"/>
            </w:tcBorders>
            <w:noWrap/>
            <w:vAlign w:val="center"/>
          </w:tcPr>
          <w:p w14:paraId="366C250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3FEEA3C5">
        <w:tblPrEx>
          <w:tblCellMar>
            <w:top w:w="0" w:type="dxa"/>
            <w:left w:w="108" w:type="dxa"/>
            <w:bottom w:w="0" w:type="dxa"/>
            <w:right w:w="108" w:type="dxa"/>
          </w:tblCellMar>
        </w:tblPrEx>
        <w:trPr>
          <w:trHeight w:val="495" w:hRule="atLeast"/>
        </w:trPr>
        <w:tc>
          <w:tcPr>
            <w:tcW w:w="660" w:type="dxa"/>
            <w:tcBorders>
              <w:top w:val="nil"/>
              <w:left w:val="single" w:color="auto" w:sz="8" w:space="0"/>
              <w:bottom w:val="single" w:color="auto" w:sz="8" w:space="0"/>
              <w:right w:val="single" w:color="auto" w:sz="8" w:space="0"/>
            </w:tcBorders>
            <w:noWrap/>
            <w:vAlign w:val="center"/>
          </w:tcPr>
          <w:p w14:paraId="7BF5E7B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080" w:type="dxa"/>
            <w:tcBorders>
              <w:top w:val="nil"/>
              <w:left w:val="nil"/>
              <w:bottom w:val="single" w:color="auto" w:sz="8" w:space="0"/>
              <w:right w:val="single" w:color="auto" w:sz="8" w:space="0"/>
            </w:tcBorders>
            <w:noWrap/>
            <w:vAlign w:val="center"/>
          </w:tcPr>
          <w:p w14:paraId="1CCF798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1320" w:type="dxa"/>
            <w:tcBorders>
              <w:top w:val="nil"/>
              <w:left w:val="nil"/>
              <w:bottom w:val="single" w:color="auto" w:sz="8" w:space="0"/>
              <w:right w:val="single" w:color="auto" w:sz="8" w:space="0"/>
            </w:tcBorders>
            <w:noWrap/>
            <w:vAlign w:val="center"/>
          </w:tcPr>
          <w:p w14:paraId="465C70D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1620" w:type="dxa"/>
            <w:tcBorders>
              <w:top w:val="nil"/>
              <w:left w:val="nil"/>
              <w:bottom w:val="single" w:color="auto" w:sz="8" w:space="0"/>
              <w:right w:val="single" w:color="auto" w:sz="8" w:space="0"/>
            </w:tcBorders>
            <w:noWrap/>
            <w:vAlign w:val="center"/>
          </w:tcPr>
          <w:p w14:paraId="3E20F3B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14:paraId="448CE50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14:paraId="14003D79">
        <w:tblPrEx>
          <w:tblCellMar>
            <w:top w:w="0" w:type="dxa"/>
            <w:left w:w="108" w:type="dxa"/>
            <w:bottom w:w="0" w:type="dxa"/>
            <w:right w:w="108" w:type="dxa"/>
          </w:tblCellMar>
        </w:tblPrEx>
        <w:trPr>
          <w:trHeight w:val="285" w:hRule="atLeast"/>
        </w:trPr>
        <w:tc>
          <w:tcPr>
            <w:tcW w:w="660" w:type="dxa"/>
            <w:vMerge w:val="restart"/>
            <w:tcBorders>
              <w:top w:val="nil"/>
              <w:left w:val="single" w:color="auto" w:sz="8" w:space="0"/>
              <w:bottom w:val="single" w:color="auto" w:sz="8" w:space="0"/>
              <w:right w:val="single" w:color="auto" w:sz="8" w:space="0"/>
            </w:tcBorders>
            <w:noWrap/>
            <w:vAlign w:val="center"/>
          </w:tcPr>
          <w:p w14:paraId="4074BE7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080" w:type="dxa"/>
            <w:vMerge w:val="restart"/>
            <w:tcBorders>
              <w:top w:val="nil"/>
              <w:left w:val="single" w:color="auto" w:sz="8" w:space="0"/>
              <w:bottom w:val="single" w:color="000000" w:sz="8" w:space="0"/>
              <w:right w:val="single" w:color="auto" w:sz="8" w:space="0"/>
            </w:tcBorders>
            <w:noWrap/>
            <w:vAlign w:val="center"/>
          </w:tcPr>
          <w:p w14:paraId="6C10E3C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★A060805便器</w:t>
            </w:r>
          </w:p>
        </w:tc>
        <w:tc>
          <w:tcPr>
            <w:tcW w:w="1320" w:type="dxa"/>
            <w:tcBorders>
              <w:top w:val="nil"/>
              <w:left w:val="nil"/>
              <w:bottom w:val="single" w:color="auto" w:sz="8" w:space="0"/>
              <w:right w:val="single" w:color="auto" w:sz="8" w:space="0"/>
            </w:tcBorders>
            <w:noWrap/>
            <w:vAlign w:val="center"/>
          </w:tcPr>
          <w:p w14:paraId="57C3DD3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1620" w:type="dxa"/>
            <w:tcBorders>
              <w:top w:val="nil"/>
              <w:left w:val="nil"/>
              <w:bottom w:val="single" w:color="auto" w:sz="8" w:space="0"/>
              <w:right w:val="single" w:color="auto" w:sz="8" w:space="0"/>
            </w:tcBorders>
            <w:noWrap/>
            <w:vAlign w:val="center"/>
          </w:tcPr>
          <w:p w14:paraId="144C8E3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14:paraId="22F9321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14:paraId="2C950D6B">
        <w:tblPrEx>
          <w:tblCellMar>
            <w:top w:w="0" w:type="dxa"/>
            <w:left w:w="108" w:type="dxa"/>
            <w:bottom w:w="0" w:type="dxa"/>
            <w:right w:w="108" w:type="dxa"/>
          </w:tblCellMar>
        </w:tblPrEx>
        <w:trPr>
          <w:trHeight w:val="495" w:hRule="atLeast"/>
        </w:trPr>
        <w:tc>
          <w:tcPr>
            <w:tcW w:w="660" w:type="dxa"/>
            <w:vMerge w:val="continue"/>
            <w:tcBorders>
              <w:top w:val="nil"/>
              <w:left w:val="single" w:color="auto" w:sz="8" w:space="0"/>
              <w:bottom w:val="single" w:color="auto" w:sz="8" w:space="0"/>
              <w:right w:val="single" w:color="auto" w:sz="8" w:space="0"/>
            </w:tcBorders>
            <w:noWrap/>
            <w:vAlign w:val="center"/>
          </w:tcPr>
          <w:p w14:paraId="72B96FBC">
            <w:pPr>
              <w:widowControl/>
              <w:jc w:val="left"/>
              <w:rPr>
                <w:rFonts w:ascii="宋体" w:hAnsi="宋体" w:cs="宋体"/>
                <w:color w:val="auto"/>
                <w:kern w:val="0"/>
                <w:sz w:val="20"/>
                <w:szCs w:val="20"/>
                <w:highlight w:val="none"/>
              </w:rPr>
            </w:pPr>
          </w:p>
        </w:tc>
        <w:tc>
          <w:tcPr>
            <w:tcW w:w="1080" w:type="dxa"/>
            <w:vMerge w:val="continue"/>
            <w:tcBorders>
              <w:top w:val="nil"/>
              <w:left w:val="single" w:color="auto" w:sz="8" w:space="0"/>
              <w:bottom w:val="single" w:color="000000" w:sz="8" w:space="0"/>
              <w:right w:val="single" w:color="auto" w:sz="8" w:space="0"/>
            </w:tcBorders>
            <w:noWrap/>
            <w:vAlign w:val="center"/>
          </w:tcPr>
          <w:p w14:paraId="10022EEA">
            <w:pPr>
              <w:widowControl/>
              <w:jc w:val="left"/>
              <w:rPr>
                <w:rFonts w:ascii="宋体" w:hAnsi="宋体" w:cs="宋体"/>
                <w:color w:val="auto"/>
                <w:kern w:val="0"/>
                <w:sz w:val="20"/>
                <w:szCs w:val="20"/>
                <w:highlight w:val="none"/>
              </w:rPr>
            </w:pPr>
          </w:p>
        </w:tc>
        <w:tc>
          <w:tcPr>
            <w:tcW w:w="1320" w:type="dxa"/>
            <w:tcBorders>
              <w:top w:val="nil"/>
              <w:left w:val="nil"/>
              <w:bottom w:val="single" w:color="auto" w:sz="8" w:space="0"/>
              <w:right w:val="single" w:color="auto" w:sz="8" w:space="0"/>
            </w:tcBorders>
            <w:noWrap/>
            <w:vAlign w:val="center"/>
          </w:tcPr>
          <w:p w14:paraId="0166CBD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1620" w:type="dxa"/>
            <w:tcBorders>
              <w:top w:val="nil"/>
              <w:left w:val="nil"/>
              <w:bottom w:val="single" w:color="auto" w:sz="8" w:space="0"/>
              <w:right w:val="single" w:color="auto" w:sz="8" w:space="0"/>
            </w:tcBorders>
            <w:noWrap/>
            <w:vAlign w:val="center"/>
          </w:tcPr>
          <w:p w14:paraId="522F870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14:paraId="30FE817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14:paraId="79BA64BD">
        <w:tblPrEx>
          <w:tblCellMar>
            <w:top w:w="0" w:type="dxa"/>
            <w:left w:w="108" w:type="dxa"/>
            <w:bottom w:w="0" w:type="dxa"/>
            <w:right w:w="108" w:type="dxa"/>
          </w:tblCellMar>
        </w:tblPrEx>
        <w:trPr>
          <w:trHeight w:val="495" w:hRule="atLeast"/>
        </w:trPr>
        <w:tc>
          <w:tcPr>
            <w:tcW w:w="660" w:type="dxa"/>
            <w:vMerge w:val="continue"/>
            <w:tcBorders>
              <w:top w:val="nil"/>
              <w:left w:val="single" w:color="auto" w:sz="8" w:space="0"/>
              <w:bottom w:val="single" w:color="auto" w:sz="8" w:space="0"/>
              <w:right w:val="single" w:color="auto" w:sz="8" w:space="0"/>
            </w:tcBorders>
            <w:noWrap/>
            <w:vAlign w:val="center"/>
          </w:tcPr>
          <w:p w14:paraId="22ED8772">
            <w:pPr>
              <w:widowControl/>
              <w:jc w:val="left"/>
              <w:rPr>
                <w:rFonts w:ascii="宋体" w:hAnsi="宋体" w:cs="宋体"/>
                <w:color w:val="auto"/>
                <w:kern w:val="0"/>
                <w:sz w:val="20"/>
                <w:szCs w:val="20"/>
                <w:highlight w:val="none"/>
              </w:rPr>
            </w:pPr>
          </w:p>
        </w:tc>
        <w:tc>
          <w:tcPr>
            <w:tcW w:w="1080" w:type="dxa"/>
            <w:vMerge w:val="continue"/>
            <w:tcBorders>
              <w:top w:val="nil"/>
              <w:left w:val="single" w:color="auto" w:sz="8" w:space="0"/>
              <w:bottom w:val="single" w:color="000000" w:sz="8" w:space="0"/>
              <w:right w:val="single" w:color="auto" w:sz="8" w:space="0"/>
            </w:tcBorders>
            <w:noWrap/>
            <w:vAlign w:val="center"/>
          </w:tcPr>
          <w:p w14:paraId="51B5FA6B">
            <w:pPr>
              <w:widowControl/>
              <w:jc w:val="left"/>
              <w:rPr>
                <w:rFonts w:ascii="宋体" w:hAnsi="宋体" w:cs="宋体"/>
                <w:color w:val="auto"/>
                <w:kern w:val="0"/>
                <w:sz w:val="20"/>
                <w:szCs w:val="20"/>
                <w:highlight w:val="none"/>
              </w:rPr>
            </w:pPr>
          </w:p>
        </w:tc>
        <w:tc>
          <w:tcPr>
            <w:tcW w:w="1320" w:type="dxa"/>
            <w:tcBorders>
              <w:top w:val="nil"/>
              <w:left w:val="nil"/>
              <w:bottom w:val="single" w:color="auto" w:sz="8" w:space="0"/>
              <w:right w:val="single" w:color="auto" w:sz="8" w:space="0"/>
            </w:tcBorders>
            <w:noWrap/>
            <w:vAlign w:val="center"/>
          </w:tcPr>
          <w:p w14:paraId="6A88232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1620" w:type="dxa"/>
            <w:tcBorders>
              <w:top w:val="nil"/>
              <w:left w:val="nil"/>
              <w:bottom w:val="single" w:color="auto" w:sz="8" w:space="0"/>
              <w:right w:val="single" w:color="auto" w:sz="8" w:space="0"/>
            </w:tcBorders>
            <w:noWrap/>
            <w:vAlign w:val="center"/>
          </w:tcPr>
          <w:p w14:paraId="7C110DA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14:paraId="769AE28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14:paraId="36FCCD5A">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121BC98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080" w:type="dxa"/>
            <w:tcBorders>
              <w:top w:val="nil"/>
              <w:left w:val="nil"/>
              <w:bottom w:val="single" w:color="000000" w:sz="8" w:space="0"/>
              <w:right w:val="single" w:color="000000" w:sz="8" w:space="0"/>
            </w:tcBorders>
            <w:noWrap/>
            <w:vAlign w:val="center"/>
          </w:tcPr>
          <w:p w14:paraId="2BADBCA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★A060806水嘴</w:t>
            </w:r>
          </w:p>
        </w:tc>
        <w:tc>
          <w:tcPr>
            <w:tcW w:w="1320" w:type="dxa"/>
            <w:tcBorders>
              <w:top w:val="nil"/>
              <w:left w:val="nil"/>
              <w:bottom w:val="single" w:color="000000" w:sz="8" w:space="0"/>
              <w:right w:val="single" w:color="000000" w:sz="8" w:space="0"/>
            </w:tcBorders>
            <w:noWrap/>
            <w:vAlign w:val="center"/>
          </w:tcPr>
          <w:p w14:paraId="4A8834F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14:paraId="7786E25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287632C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14:paraId="2788275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1A0473B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080" w:type="dxa"/>
            <w:tcBorders>
              <w:top w:val="nil"/>
              <w:left w:val="nil"/>
              <w:bottom w:val="single" w:color="000000" w:sz="8" w:space="0"/>
              <w:right w:val="single" w:color="000000" w:sz="8" w:space="0"/>
            </w:tcBorders>
            <w:noWrap/>
            <w:vAlign w:val="center"/>
          </w:tcPr>
          <w:p w14:paraId="0ABD2F4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1320" w:type="dxa"/>
            <w:tcBorders>
              <w:top w:val="nil"/>
              <w:left w:val="nil"/>
              <w:bottom w:val="single" w:color="000000" w:sz="8" w:space="0"/>
              <w:right w:val="single" w:color="000000" w:sz="8" w:space="0"/>
            </w:tcBorders>
            <w:noWrap/>
            <w:vAlign w:val="center"/>
          </w:tcPr>
          <w:p w14:paraId="0DDB67D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14:paraId="7EF0F72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75972A9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14:paraId="6B068268">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6E1263C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080" w:type="dxa"/>
            <w:tcBorders>
              <w:top w:val="nil"/>
              <w:left w:val="nil"/>
              <w:bottom w:val="single" w:color="000000" w:sz="8" w:space="0"/>
              <w:right w:val="single" w:color="000000" w:sz="8" w:space="0"/>
            </w:tcBorders>
            <w:noWrap/>
            <w:vAlign w:val="center"/>
          </w:tcPr>
          <w:p w14:paraId="2612057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1320" w:type="dxa"/>
            <w:tcBorders>
              <w:top w:val="nil"/>
              <w:left w:val="nil"/>
              <w:bottom w:val="single" w:color="000000" w:sz="8" w:space="0"/>
              <w:right w:val="single" w:color="000000" w:sz="8" w:space="0"/>
            </w:tcBorders>
            <w:noWrap/>
            <w:vAlign w:val="center"/>
          </w:tcPr>
          <w:p w14:paraId="51F740C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14:paraId="178511C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71EEA13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14:paraId="419AC3CC">
      <w:pPr>
        <w:widowControl/>
        <w:rPr>
          <w:rFonts w:ascii="宋体" w:hAnsi="宋体" w:cs="宋体"/>
          <w:color w:val="auto"/>
          <w:sz w:val="20"/>
          <w:szCs w:val="20"/>
          <w:highlight w:val="none"/>
        </w:rPr>
      </w:pPr>
    </w:p>
    <w:p w14:paraId="3B5FBABB">
      <w:pPr>
        <w:pStyle w:val="10"/>
        <w:spacing w:line="360" w:lineRule="auto"/>
        <w:rPr>
          <w:rFonts w:ascii="宋体" w:hAnsi="宋体"/>
          <w:color w:val="auto"/>
          <w:szCs w:val="21"/>
          <w:highlight w:val="none"/>
        </w:rPr>
      </w:pPr>
      <w:r>
        <w:rPr>
          <w:rFonts w:hint="eastAsia"/>
          <w:color w:val="auto"/>
          <w:spacing w:val="-3"/>
          <w:szCs w:val="21"/>
          <w:highlight w:val="none"/>
        </w:rPr>
        <w:t>注：1.节能产品认证应依据相关国家标准的最新版本，依据国家标准中二级能效（水效）</w:t>
      </w:r>
      <w:r>
        <w:rPr>
          <w:rFonts w:hint="eastAsia"/>
          <w:color w:val="auto"/>
          <w:szCs w:val="21"/>
          <w:highlight w:val="none"/>
        </w:rPr>
        <w:t>指标。</w:t>
      </w:r>
    </w:p>
    <w:p w14:paraId="3DC39C38">
      <w:pPr>
        <w:pStyle w:val="10"/>
        <w:spacing w:line="360" w:lineRule="auto"/>
        <w:ind w:firstLine="630" w:firstLineChars="300"/>
        <w:jc w:val="both"/>
        <w:rPr>
          <w:b/>
          <w:bCs/>
          <w:color w:val="auto"/>
          <w:szCs w:val="21"/>
          <w:highlight w:val="none"/>
        </w:rPr>
      </w:pPr>
      <w:r>
        <w:rPr>
          <w:rFonts w:hint="eastAsia"/>
          <w:color w:val="auto"/>
          <w:szCs w:val="21"/>
          <w:highlight w:val="none"/>
        </w:rPr>
        <w:t>2</w:t>
      </w:r>
      <w:r>
        <w:rPr>
          <w:b/>
          <w:bCs/>
          <w:color w:val="auto"/>
          <w:szCs w:val="21"/>
          <w:highlight w:val="none"/>
        </w:rPr>
        <w:t>.</w:t>
      </w:r>
      <w:r>
        <w:rPr>
          <w:rFonts w:hint="eastAsia"/>
          <w:b/>
          <w:bCs/>
          <w:color w:val="auto"/>
          <w:szCs w:val="21"/>
          <w:highlight w:val="none"/>
        </w:rPr>
        <w:t>以</w:t>
      </w:r>
      <w:r>
        <w:rPr>
          <w:b/>
          <w:bCs/>
          <w:color w:val="auto"/>
          <w:szCs w:val="21"/>
          <w:highlight w:val="none"/>
        </w:rPr>
        <w:t>“</w:t>
      </w:r>
      <w:r>
        <w:rPr>
          <w:rFonts w:hint="eastAsia"/>
          <w:b/>
          <w:bCs/>
          <w:color w:val="auto"/>
          <w:szCs w:val="21"/>
          <w:highlight w:val="none"/>
        </w:rPr>
        <w:t>★</w:t>
      </w:r>
      <w:r>
        <w:rPr>
          <w:b/>
          <w:bCs/>
          <w:color w:val="auto"/>
          <w:szCs w:val="21"/>
          <w:highlight w:val="none"/>
        </w:rPr>
        <w:t>”</w:t>
      </w:r>
      <w:r>
        <w:rPr>
          <w:rFonts w:hint="eastAsia"/>
          <w:b/>
          <w:bCs/>
          <w:color w:val="auto"/>
          <w:szCs w:val="21"/>
          <w:highlight w:val="none"/>
        </w:rPr>
        <w:t>标注的为政府强制采购产品。</w:t>
      </w:r>
    </w:p>
    <w:p w14:paraId="065D40EC">
      <w:pPr>
        <w:pStyle w:val="10"/>
        <w:spacing w:line="360" w:lineRule="auto"/>
        <w:jc w:val="left"/>
        <w:rPr>
          <w:b/>
          <w:bCs/>
          <w:color w:val="auto"/>
          <w:szCs w:val="21"/>
          <w:highlight w:val="none"/>
        </w:rPr>
      </w:pPr>
    </w:p>
    <w:p w14:paraId="49BE67E7">
      <w:pPr>
        <w:pStyle w:val="18"/>
        <w:jc w:val="both"/>
        <w:rPr>
          <w:color w:val="auto"/>
          <w:highlight w:val="none"/>
        </w:rPr>
      </w:pPr>
    </w:p>
    <w:p w14:paraId="238C4866">
      <w:pPr>
        <w:rPr>
          <w:color w:val="auto"/>
          <w:highlight w:val="none"/>
        </w:rPr>
      </w:pPr>
    </w:p>
    <w:p w14:paraId="354D322C">
      <w:pPr>
        <w:pStyle w:val="10"/>
        <w:rPr>
          <w:color w:val="auto"/>
          <w:highlight w:val="none"/>
        </w:rPr>
      </w:pPr>
    </w:p>
    <w:p w14:paraId="5C90A7FA">
      <w:pPr>
        <w:pStyle w:val="22"/>
        <w:rPr>
          <w:color w:val="auto"/>
          <w:highlight w:val="none"/>
        </w:rPr>
      </w:pPr>
    </w:p>
    <w:p w14:paraId="0A278540">
      <w:pPr>
        <w:pStyle w:val="22"/>
        <w:rPr>
          <w:color w:val="auto"/>
          <w:highlight w:val="none"/>
        </w:rPr>
      </w:pPr>
    </w:p>
    <w:p w14:paraId="2F7966CE">
      <w:pPr>
        <w:pStyle w:val="22"/>
        <w:rPr>
          <w:color w:val="auto"/>
          <w:highlight w:val="none"/>
        </w:rPr>
      </w:pPr>
    </w:p>
    <w:p w14:paraId="3C8B5555">
      <w:pPr>
        <w:pStyle w:val="13"/>
        <w:jc w:val="left"/>
        <w:rPr>
          <w:rFonts w:ascii="Arial Unicode MS" w:hAnsi="Arial Unicode MS" w:eastAsia="Arial Unicode MS" w:cs="Arial Unicode MS"/>
          <w:color w:val="auto"/>
          <w:sz w:val="32"/>
          <w:szCs w:val="32"/>
          <w:highlight w:val="none"/>
        </w:rPr>
      </w:pPr>
      <w:r>
        <w:rPr>
          <w:rFonts w:hint="eastAsia" w:ascii="Arial Unicode MS" w:hAnsi="Arial Unicode MS" w:eastAsia="Arial Unicode MS" w:cs="Arial Unicode MS"/>
          <w:color w:val="auto"/>
          <w:sz w:val="32"/>
          <w:szCs w:val="32"/>
          <w:highlight w:val="none"/>
        </w:rPr>
        <w:t>附件2：</w:t>
      </w:r>
    </w:p>
    <w:p w14:paraId="338E37E9">
      <w:pPr>
        <w:spacing w:line="528" w:lineRule="exact"/>
        <w:ind w:left="1871"/>
        <w:rPr>
          <w:rFonts w:ascii="Arial Unicode MS" w:hAnsi="Arial Unicode MS" w:eastAsia="Arial Unicode MS" w:cs="Arial Unicode MS"/>
          <w:color w:val="auto"/>
          <w:sz w:val="40"/>
          <w:szCs w:val="40"/>
          <w:highlight w:val="none"/>
        </w:rPr>
      </w:pPr>
      <w:r>
        <w:rPr>
          <w:rFonts w:hint="eastAsia" w:ascii="Arial Unicode MS" w:hAnsi="Arial Unicode MS" w:eastAsia="Arial Unicode MS" w:cs="Arial Unicode MS"/>
          <w:color w:val="auto"/>
          <w:sz w:val="40"/>
          <w:szCs w:val="40"/>
          <w:highlight w:val="none"/>
        </w:rPr>
        <w:t>中小微企业划型标准</w:t>
      </w:r>
    </w:p>
    <w:tbl>
      <w:tblPr>
        <w:tblStyle w:val="28"/>
        <w:tblW w:w="9132" w:type="dxa"/>
        <w:tblInd w:w="250" w:type="dxa"/>
        <w:tblLayout w:type="fixed"/>
        <w:tblCellMar>
          <w:top w:w="0" w:type="dxa"/>
          <w:left w:w="108" w:type="dxa"/>
          <w:bottom w:w="0" w:type="dxa"/>
          <w:right w:w="108" w:type="dxa"/>
        </w:tblCellMar>
      </w:tblPr>
      <w:tblGrid>
        <w:gridCol w:w="1701"/>
        <w:gridCol w:w="1384"/>
        <w:gridCol w:w="1427"/>
        <w:gridCol w:w="1530"/>
        <w:gridCol w:w="1590"/>
        <w:gridCol w:w="1500"/>
      </w:tblGrid>
      <w:tr w14:paraId="087B738B">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noWrap/>
            <w:vAlign w:val="center"/>
          </w:tcPr>
          <w:p w14:paraId="0FB71DE2">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noWrap/>
            <w:vAlign w:val="center"/>
          </w:tcPr>
          <w:p w14:paraId="7BBE8F2D">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1427" w:type="dxa"/>
            <w:tcBorders>
              <w:top w:val="single" w:color="auto" w:sz="4" w:space="0"/>
              <w:left w:val="nil"/>
              <w:bottom w:val="single" w:color="auto" w:sz="4" w:space="0"/>
              <w:right w:val="single" w:color="auto" w:sz="4" w:space="0"/>
            </w:tcBorders>
            <w:noWrap/>
            <w:vAlign w:val="center"/>
          </w:tcPr>
          <w:p w14:paraId="569E538B">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530" w:type="dxa"/>
            <w:tcBorders>
              <w:top w:val="single" w:color="auto" w:sz="4" w:space="0"/>
              <w:left w:val="nil"/>
              <w:bottom w:val="single" w:color="auto" w:sz="4" w:space="0"/>
              <w:right w:val="single" w:color="auto" w:sz="4" w:space="0"/>
            </w:tcBorders>
            <w:noWrap/>
            <w:vAlign w:val="center"/>
          </w:tcPr>
          <w:p w14:paraId="33DEBDC6">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590" w:type="dxa"/>
            <w:tcBorders>
              <w:top w:val="single" w:color="auto" w:sz="4" w:space="0"/>
              <w:left w:val="nil"/>
              <w:bottom w:val="single" w:color="auto" w:sz="4" w:space="0"/>
              <w:right w:val="single" w:color="auto" w:sz="4" w:space="0"/>
            </w:tcBorders>
            <w:noWrap/>
            <w:vAlign w:val="center"/>
          </w:tcPr>
          <w:p w14:paraId="27FF4E55">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1500" w:type="dxa"/>
            <w:tcBorders>
              <w:top w:val="single" w:color="auto" w:sz="4" w:space="0"/>
              <w:left w:val="nil"/>
              <w:bottom w:val="single" w:color="auto" w:sz="4" w:space="0"/>
              <w:right w:val="single" w:color="auto" w:sz="4" w:space="0"/>
            </w:tcBorders>
            <w:noWrap/>
            <w:vAlign w:val="center"/>
          </w:tcPr>
          <w:p w14:paraId="2B1F1547">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16C960C7">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ign w:val="bottom"/>
          </w:tcPr>
          <w:p w14:paraId="06760DDA">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noWrap/>
            <w:vAlign w:val="center"/>
          </w:tcPr>
          <w:p w14:paraId="4CD3849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427" w:type="dxa"/>
            <w:tcBorders>
              <w:top w:val="nil"/>
              <w:left w:val="nil"/>
              <w:bottom w:val="single" w:color="auto" w:sz="4" w:space="0"/>
              <w:right w:val="single" w:color="auto" w:sz="4" w:space="0"/>
            </w:tcBorders>
            <w:noWrap/>
            <w:vAlign w:val="center"/>
          </w:tcPr>
          <w:p w14:paraId="6965C85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0F16533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590" w:type="dxa"/>
            <w:tcBorders>
              <w:top w:val="nil"/>
              <w:left w:val="nil"/>
              <w:bottom w:val="single" w:color="auto" w:sz="4" w:space="0"/>
              <w:right w:val="single" w:color="auto" w:sz="4" w:space="0"/>
            </w:tcBorders>
            <w:noWrap/>
            <w:vAlign w:val="center"/>
          </w:tcPr>
          <w:p w14:paraId="2BED0AC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1500" w:type="dxa"/>
            <w:tcBorders>
              <w:top w:val="nil"/>
              <w:left w:val="nil"/>
              <w:bottom w:val="single" w:color="auto" w:sz="4" w:space="0"/>
              <w:right w:val="single" w:color="auto" w:sz="4" w:space="0"/>
            </w:tcBorders>
            <w:noWrap/>
            <w:vAlign w:val="center"/>
          </w:tcPr>
          <w:p w14:paraId="2FB85BB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0BB42AC8">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310401B8">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noWrap/>
            <w:vAlign w:val="center"/>
          </w:tcPr>
          <w:p w14:paraId="1F44398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427" w:type="dxa"/>
            <w:tcBorders>
              <w:top w:val="nil"/>
              <w:left w:val="nil"/>
              <w:bottom w:val="single" w:color="auto" w:sz="4" w:space="0"/>
              <w:right w:val="single" w:color="auto" w:sz="4" w:space="0"/>
            </w:tcBorders>
            <w:noWrap/>
            <w:vAlign w:val="center"/>
          </w:tcPr>
          <w:p w14:paraId="08A1788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530" w:type="dxa"/>
            <w:tcBorders>
              <w:top w:val="nil"/>
              <w:left w:val="nil"/>
              <w:bottom w:val="single" w:color="auto" w:sz="4" w:space="0"/>
              <w:right w:val="single" w:color="auto" w:sz="4" w:space="0"/>
            </w:tcBorders>
            <w:noWrap/>
            <w:vAlign w:val="center"/>
          </w:tcPr>
          <w:p w14:paraId="3DB6D74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590" w:type="dxa"/>
            <w:tcBorders>
              <w:top w:val="nil"/>
              <w:left w:val="nil"/>
              <w:bottom w:val="single" w:color="auto" w:sz="4" w:space="0"/>
              <w:right w:val="single" w:color="auto" w:sz="4" w:space="0"/>
            </w:tcBorders>
            <w:noWrap/>
            <w:vAlign w:val="center"/>
          </w:tcPr>
          <w:p w14:paraId="60D2FEC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500" w:type="dxa"/>
            <w:tcBorders>
              <w:top w:val="nil"/>
              <w:left w:val="nil"/>
              <w:bottom w:val="single" w:color="auto" w:sz="4" w:space="0"/>
              <w:right w:val="single" w:color="auto" w:sz="4" w:space="0"/>
            </w:tcBorders>
            <w:noWrap/>
            <w:vAlign w:val="center"/>
          </w:tcPr>
          <w:p w14:paraId="3157731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6952649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4D92F8F7">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623D08B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427" w:type="dxa"/>
            <w:tcBorders>
              <w:top w:val="nil"/>
              <w:left w:val="nil"/>
              <w:bottom w:val="single" w:color="auto" w:sz="4" w:space="0"/>
              <w:right w:val="single" w:color="auto" w:sz="4" w:space="0"/>
            </w:tcBorders>
            <w:noWrap/>
            <w:vAlign w:val="center"/>
          </w:tcPr>
          <w:p w14:paraId="4675552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2077B7A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590" w:type="dxa"/>
            <w:tcBorders>
              <w:top w:val="nil"/>
              <w:left w:val="nil"/>
              <w:bottom w:val="single" w:color="auto" w:sz="4" w:space="0"/>
              <w:right w:val="single" w:color="auto" w:sz="4" w:space="0"/>
            </w:tcBorders>
            <w:noWrap/>
            <w:vAlign w:val="center"/>
          </w:tcPr>
          <w:p w14:paraId="2B5404F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1500" w:type="dxa"/>
            <w:tcBorders>
              <w:top w:val="nil"/>
              <w:left w:val="nil"/>
              <w:bottom w:val="single" w:color="auto" w:sz="4" w:space="0"/>
              <w:right w:val="single" w:color="auto" w:sz="4" w:space="0"/>
            </w:tcBorders>
            <w:noWrap/>
            <w:vAlign w:val="center"/>
          </w:tcPr>
          <w:p w14:paraId="0C1EEB6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5A0C566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48E59D06">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noWrap/>
            <w:vAlign w:val="center"/>
          </w:tcPr>
          <w:p w14:paraId="76CDF55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427" w:type="dxa"/>
            <w:tcBorders>
              <w:top w:val="nil"/>
              <w:left w:val="nil"/>
              <w:bottom w:val="single" w:color="auto" w:sz="4" w:space="0"/>
              <w:right w:val="single" w:color="auto" w:sz="4" w:space="0"/>
            </w:tcBorders>
            <w:noWrap/>
            <w:vAlign w:val="center"/>
          </w:tcPr>
          <w:p w14:paraId="1436C67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701F1A5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590" w:type="dxa"/>
            <w:tcBorders>
              <w:top w:val="nil"/>
              <w:left w:val="nil"/>
              <w:bottom w:val="single" w:color="auto" w:sz="4" w:space="0"/>
              <w:right w:val="single" w:color="auto" w:sz="4" w:space="0"/>
            </w:tcBorders>
            <w:noWrap/>
            <w:vAlign w:val="center"/>
          </w:tcPr>
          <w:p w14:paraId="42677A8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1500" w:type="dxa"/>
            <w:tcBorders>
              <w:top w:val="nil"/>
              <w:left w:val="nil"/>
              <w:bottom w:val="single" w:color="auto" w:sz="4" w:space="0"/>
              <w:right w:val="single" w:color="auto" w:sz="4" w:space="0"/>
            </w:tcBorders>
            <w:noWrap/>
            <w:vAlign w:val="center"/>
          </w:tcPr>
          <w:p w14:paraId="043FC31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727C218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77D74C64">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2ADED4F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1427" w:type="dxa"/>
            <w:tcBorders>
              <w:top w:val="nil"/>
              <w:left w:val="nil"/>
              <w:bottom w:val="single" w:color="auto" w:sz="4" w:space="0"/>
              <w:right w:val="single" w:color="auto" w:sz="4" w:space="0"/>
            </w:tcBorders>
            <w:noWrap/>
            <w:vAlign w:val="center"/>
          </w:tcPr>
          <w:p w14:paraId="6D56ABD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354E717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590" w:type="dxa"/>
            <w:tcBorders>
              <w:top w:val="nil"/>
              <w:left w:val="nil"/>
              <w:bottom w:val="single" w:color="auto" w:sz="4" w:space="0"/>
              <w:right w:val="single" w:color="auto" w:sz="4" w:space="0"/>
            </w:tcBorders>
            <w:noWrap/>
            <w:vAlign w:val="center"/>
          </w:tcPr>
          <w:p w14:paraId="1CC7492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1500" w:type="dxa"/>
            <w:tcBorders>
              <w:top w:val="nil"/>
              <w:left w:val="nil"/>
              <w:bottom w:val="single" w:color="auto" w:sz="4" w:space="0"/>
              <w:right w:val="single" w:color="auto" w:sz="4" w:space="0"/>
            </w:tcBorders>
            <w:noWrap/>
            <w:vAlign w:val="center"/>
          </w:tcPr>
          <w:p w14:paraId="580990A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14:paraId="4D02F18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1788712A">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noWrap/>
            <w:vAlign w:val="center"/>
          </w:tcPr>
          <w:p w14:paraId="6FB2474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427" w:type="dxa"/>
            <w:tcBorders>
              <w:top w:val="nil"/>
              <w:left w:val="nil"/>
              <w:bottom w:val="single" w:color="auto" w:sz="4" w:space="0"/>
              <w:right w:val="single" w:color="auto" w:sz="4" w:space="0"/>
            </w:tcBorders>
            <w:noWrap/>
            <w:vAlign w:val="center"/>
          </w:tcPr>
          <w:p w14:paraId="1927C7D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530" w:type="dxa"/>
            <w:tcBorders>
              <w:top w:val="nil"/>
              <w:left w:val="nil"/>
              <w:bottom w:val="single" w:color="auto" w:sz="4" w:space="0"/>
              <w:right w:val="single" w:color="auto" w:sz="4" w:space="0"/>
            </w:tcBorders>
            <w:noWrap/>
            <w:vAlign w:val="center"/>
          </w:tcPr>
          <w:p w14:paraId="247A655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590" w:type="dxa"/>
            <w:tcBorders>
              <w:top w:val="nil"/>
              <w:left w:val="nil"/>
              <w:bottom w:val="single" w:color="auto" w:sz="4" w:space="0"/>
              <w:right w:val="single" w:color="auto" w:sz="4" w:space="0"/>
            </w:tcBorders>
            <w:noWrap/>
            <w:vAlign w:val="center"/>
          </w:tcPr>
          <w:p w14:paraId="41BF988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1500" w:type="dxa"/>
            <w:tcBorders>
              <w:top w:val="nil"/>
              <w:left w:val="nil"/>
              <w:bottom w:val="single" w:color="auto" w:sz="4" w:space="0"/>
              <w:right w:val="single" w:color="auto" w:sz="4" w:space="0"/>
            </w:tcBorders>
            <w:noWrap/>
            <w:vAlign w:val="center"/>
          </w:tcPr>
          <w:p w14:paraId="54AFA6E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14:paraId="0109474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31EB9531">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532384C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427" w:type="dxa"/>
            <w:tcBorders>
              <w:top w:val="nil"/>
              <w:left w:val="nil"/>
              <w:bottom w:val="single" w:color="auto" w:sz="4" w:space="0"/>
              <w:right w:val="single" w:color="auto" w:sz="4" w:space="0"/>
            </w:tcBorders>
            <w:noWrap/>
            <w:vAlign w:val="center"/>
          </w:tcPr>
          <w:p w14:paraId="4BBAB63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27DD360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590" w:type="dxa"/>
            <w:tcBorders>
              <w:top w:val="nil"/>
              <w:left w:val="nil"/>
              <w:bottom w:val="single" w:color="auto" w:sz="4" w:space="0"/>
              <w:right w:val="single" w:color="auto" w:sz="4" w:space="0"/>
            </w:tcBorders>
            <w:noWrap/>
            <w:vAlign w:val="center"/>
          </w:tcPr>
          <w:p w14:paraId="73EAFAA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500" w:type="dxa"/>
            <w:tcBorders>
              <w:top w:val="nil"/>
              <w:left w:val="nil"/>
              <w:bottom w:val="single" w:color="auto" w:sz="4" w:space="0"/>
              <w:right w:val="single" w:color="auto" w:sz="4" w:space="0"/>
            </w:tcBorders>
            <w:noWrap/>
            <w:vAlign w:val="center"/>
          </w:tcPr>
          <w:p w14:paraId="5D5DBE4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14:paraId="21D6FFD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504DBF9B">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noWrap/>
            <w:vAlign w:val="center"/>
          </w:tcPr>
          <w:p w14:paraId="593E89D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427" w:type="dxa"/>
            <w:tcBorders>
              <w:top w:val="nil"/>
              <w:left w:val="nil"/>
              <w:bottom w:val="single" w:color="auto" w:sz="4" w:space="0"/>
              <w:right w:val="single" w:color="auto" w:sz="4" w:space="0"/>
            </w:tcBorders>
            <w:noWrap/>
            <w:vAlign w:val="center"/>
          </w:tcPr>
          <w:p w14:paraId="1EA8B8F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530" w:type="dxa"/>
            <w:tcBorders>
              <w:top w:val="nil"/>
              <w:left w:val="nil"/>
              <w:bottom w:val="single" w:color="auto" w:sz="4" w:space="0"/>
              <w:right w:val="single" w:color="auto" w:sz="4" w:space="0"/>
            </w:tcBorders>
            <w:noWrap/>
            <w:vAlign w:val="center"/>
          </w:tcPr>
          <w:p w14:paraId="56D5853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590" w:type="dxa"/>
            <w:tcBorders>
              <w:top w:val="nil"/>
              <w:left w:val="nil"/>
              <w:bottom w:val="single" w:color="auto" w:sz="4" w:space="0"/>
              <w:right w:val="single" w:color="auto" w:sz="4" w:space="0"/>
            </w:tcBorders>
            <w:noWrap/>
            <w:vAlign w:val="center"/>
          </w:tcPr>
          <w:p w14:paraId="719A038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1500" w:type="dxa"/>
            <w:tcBorders>
              <w:top w:val="nil"/>
              <w:left w:val="nil"/>
              <w:bottom w:val="single" w:color="auto" w:sz="4" w:space="0"/>
              <w:right w:val="single" w:color="auto" w:sz="4" w:space="0"/>
            </w:tcBorders>
            <w:noWrap/>
            <w:vAlign w:val="center"/>
          </w:tcPr>
          <w:p w14:paraId="22E68CB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21CF45D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2ADDFDED">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5A9301B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427" w:type="dxa"/>
            <w:tcBorders>
              <w:top w:val="nil"/>
              <w:left w:val="nil"/>
              <w:bottom w:val="single" w:color="auto" w:sz="4" w:space="0"/>
              <w:right w:val="single" w:color="auto" w:sz="4" w:space="0"/>
            </w:tcBorders>
            <w:noWrap/>
            <w:vAlign w:val="center"/>
          </w:tcPr>
          <w:p w14:paraId="36A07F0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35DCE6F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590" w:type="dxa"/>
            <w:tcBorders>
              <w:top w:val="nil"/>
              <w:left w:val="nil"/>
              <w:bottom w:val="single" w:color="auto" w:sz="4" w:space="0"/>
              <w:right w:val="single" w:color="auto" w:sz="4" w:space="0"/>
            </w:tcBorders>
            <w:noWrap/>
            <w:vAlign w:val="center"/>
          </w:tcPr>
          <w:p w14:paraId="3D2237F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1500" w:type="dxa"/>
            <w:tcBorders>
              <w:top w:val="nil"/>
              <w:left w:val="nil"/>
              <w:bottom w:val="single" w:color="auto" w:sz="4" w:space="0"/>
              <w:right w:val="single" w:color="auto" w:sz="4" w:space="0"/>
            </w:tcBorders>
            <w:noWrap/>
            <w:vAlign w:val="center"/>
          </w:tcPr>
          <w:p w14:paraId="6336969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4F5DA21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4F710A16">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noWrap/>
            <w:vAlign w:val="center"/>
          </w:tcPr>
          <w:p w14:paraId="183D2AE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427" w:type="dxa"/>
            <w:tcBorders>
              <w:top w:val="nil"/>
              <w:left w:val="nil"/>
              <w:bottom w:val="single" w:color="auto" w:sz="4" w:space="0"/>
              <w:right w:val="single" w:color="auto" w:sz="4" w:space="0"/>
            </w:tcBorders>
            <w:noWrap/>
            <w:vAlign w:val="center"/>
          </w:tcPr>
          <w:p w14:paraId="37C35EB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530" w:type="dxa"/>
            <w:tcBorders>
              <w:top w:val="nil"/>
              <w:left w:val="nil"/>
              <w:bottom w:val="single" w:color="auto" w:sz="4" w:space="0"/>
              <w:right w:val="single" w:color="auto" w:sz="4" w:space="0"/>
            </w:tcBorders>
            <w:noWrap/>
            <w:vAlign w:val="center"/>
          </w:tcPr>
          <w:p w14:paraId="4053C9B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590" w:type="dxa"/>
            <w:tcBorders>
              <w:top w:val="nil"/>
              <w:left w:val="nil"/>
              <w:bottom w:val="single" w:color="auto" w:sz="4" w:space="0"/>
              <w:right w:val="single" w:color="auto" w:sz="4" w:space="0"/>
            </w:tcBorders>
            <w:noWrap/>
            <w:vAlign w:val="center"/>
          </w:tcPr>
          <w:p w14:paraId="0DA9031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500" w:type="dxa"/>
            <w:tcBorders>
              <w:top w:val="nil"/>
              <w:left w:val="nil"/>
              <w:bottom w:val="single" w:color="auto" w:sz="4" w:space="0"/>
              <w:right w:val="single" w:color="auto" w:sz="4" w:space="0"/>
            </w:tcBorders>
            <w:noWrap/>
            <w:vAlign w:val="center"/>
          </w:tcPr>
          <w:p w14:paraId="5BD6C6A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4C70274A">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070F49DB">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1080C10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427" w:type="dxa"/>
            <w:tcBorders>
              <w:top w:val="nil"/>
              <w:left w:val="nil"/>
              <w:bottom w:val="single" w:color="auto" w:sz="4" w:space="0"/>
              <w:right w:val="single" w:color="auto" w:sz="4" w:space="0"/>
            </w:tcBorders>
            <w:noWrap/>
            <w:vAlign w:val="center"/>
          </w:tcPr>
          <w:p w14:paraId="44E1CEA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6197402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590" w:type="dxa"/>
            <w:tcBorders>
              <w:top w:val="nil"/>
              <w:left w:val="nil"/>
              <w:bottom w:val="single" w:color="auto" w:sz="4" w:space="0"/>
              <w:right w:val="single" w:color="auto" w:sz="4" w:space="0"/>
            </w:tcBorders>
            <w:noWrap/>
            <w:vAlign w:val="center"/>
          </w:tcPr>
          <w:p w14:paraId="0E2A2FF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1500" w:type="dxa"/>
            <w:tcBorders>
              <w:top w:val="nil"/>
              <w:left w:val="nil"/>
              <w:bottom w:val="single" w:color="auto" w:sz="4" w:space="0"/>
              <w:right w:val="single" w:color="auto" w:sz="4" w:space="0"/>
            </w:tcBorders>
            <w:noWrap/>
            <w:vAlign w:val="center"/>
          </w:tcPr>
          <w:p w14:paraId="42785A1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14:paraId="4D35942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58D62976">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noWrap/>
            <w:vAlign w:val="center"/>
          </w:tcPr>
          <w:p w14:paraId="3A5FC36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427" w:type="dxa"/>
            <w:tcBorders>
              <w:top w:val="nil"/>
              <w:left w:val="nil"/>
              <w:bottom w:val="single" w:color="auto" w:sz="4" w:space="0"/>
              <w:right w:val="single" w:color="auto" w:sz="4" w:space="0"/>
            </w:tcBorders>
            <w:noWrap/>
            <w:vAlign w:val="center"/>
          </w:tcPr>
          <w:p w14:paraId="4A029AF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530" w:type="dxa"/>
            <w:tcBorders>
              <w:top w:val="nil"/>
              <w:left w:val="nil"/>
              <w:bottom w:val="single" w:color="auto" w:sz="4" w:space="0"/>
              <w:right w:val="single" w:color="auto" w:sz="4" w:space="0"/>
            </w:tcBorders>
            <w:noWrap/>
            <w:vAlign w:val="center"/>
          </w:tcPr>
          <w:p w14:paraId="37DA07A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590" w:type="dxa"/>
            <w:tcBorders>
              <w:top w:val="nil"/>
              <w:left w:val="nil"/>
              <w:bottom w:val="single" w:color="auto" w:sz="4" w:space="0"/>
              <w:right w:val="single" w:color="auto" w:sz="4" w:space="0"/>
            </w:tcBorders>
            <w:noWrap/>
            <w:vAlign w:val="center"/>
          </w:tcPr>
          <w:p w14:paraId="1BCA5A3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1500" w:type="dxa"/>
            <w:tcBorders>
              <w:top w:val="nil"/>
              <w:left w:val="nil"/>
              <w:bottom w:val="single" w:color="auto" w:sz="4" w:space="0"/>
              <w:right w:val="single" w:color="auto" w:sz="4" w:space="0"/>
            </w:tcBorders>
            <w:noWrap/>
            <w:vAlign w:val="center"/>
          </w:tcPr>
          <w:p w14:paraId="2C53025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586B21A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1B546376">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1ECAF5B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427" w:type="dxa"/>
            <w:tcBorders>
              <w:top w:val="nil"/>
              <w:left w:val="nil"/>
              <w:bottom w:val="single" w:color="auto" w:sz="4" w:space="0"/>
              <w:right w:val="single" w:color="auto" w:sz="4" w:space="0"/>
            </w:tcBorders>
            <w:noWrap/>
            <w:vAlign w:val="center"/>
          </w:tcPr>
          <w:p w14:paraId="53301A7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3A36AB7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590" w:type="dxa"/>
            <w:tcBorders>
              <w:top w:val="nil"/>
              <w:left w:val="nil"/>
              <w:bottom w:val="single" w:color="auto" w:sz="4" w:space="0"/>
              <w:right w:val="single" w:color="auto" w:sz="4" w:space="0"/>
            </w:tcBorders>
            <w:noWrap/>
            <w:vAlign w:val="center"/>
          </w:tcPr>
          <w:p w14:paraId="7D3A884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500" w:type="dxa"/>
            <w:tcBorders>
              <w:top w:val="nil"/>
              <w:left w:val="nil"/>
              <w:bottom w:val="single" w:color="auto" w:sz="4" w:space="0"/>
              <w:right w:val="single" w:color="auto" w:sz="4" w:space="0"/>
            </w:tcBorders>
            <w:noWrap/>
            <w:vAlign w:val="center"/>
          </w:tcPr>
          <w:p w14:paraId="2FC971C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12E7127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42EBAD2B">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noWrap/>
            <w:vAlign w:val="center"/>
          </w:tcPr>
          <w:p w14:paraId="67046C4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427" w:type="dxa"/>
            <w:tcBorders>
              <w:top w:val="nil"/>
              <w:left w:val="nil"/>
              <w:bottom w:val="single" w:color="auto" w:sz="4" w:space="0"/>
              <w:right w:val="single" w:color="auto" w:sz="4" w:space="0"/>
            </w:tcBorders>
            <w:noWrap/>
            <w:vAlign w:val="center"/>
          </w:tcPr>
          <w:p w14:paraId="4273889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530" w:type="dxa"/>
            <w:tcBorders>
              <w:top w:val="nil"/>
              <w:left w:val="nil"/>
              <w:bottom w:val="single" w:color="auto" w:sz="4" w:space="0"/>
              <w:right w:val="single" w:color="auto" w:sz="4" w:space="0"/>
            </w:tcBorders>
            <w:noWrap/>
            <w:vAlign w:val="center"/>
          </w:tcPr>
          <w:p w14:paraId="1B58DE8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590" w:type="dxa"/>
            <w:tcBorders>
              <w:top w:val="nil"/>
              <w:left w:val="nil"/>
              <w:bottom w:val="single" w:color="auto" w:sz="4" w:space="0"/>
              <w:right w:val="single" w:color="auto" w:sz="4" w:space="0"/>
            </w:tcBorders>
            <w:noWrap/>
            <w:vAlign w:val="center"/>
          </w:tcPr>
          <w:p w14:paraId="0DEF1B3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500" w:type="dxa"/>
            <w:tcBorders>
              <w:top w:val="nil"/>
              <w:left w:val="nil"/>
              <w:bottom w:val="single" w:color="auto" w:sz="4" w:space="0"/>
              <w:right w:val="single" w:color="auto" w:sz="4" w:space="0"/>
            </w:tcBorders>
            <w:noWrap/>
            <w:vAlign w:val="center"/>
          </w:tcPr>
          <w:p w14:paraId="0C111C3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559F1042">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3980CC6C">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7B36E61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427" w:type="dxa"/>
            <w:tcBorders>
              <w:top w:val="nil"/>
              <w:left w:val="nil"/>
              <w:bottom w:val="single" w:color="auto" w:sz="4" w:space="0"/>
              <w:right w:val="single" w:color="auto" w:sz="4" w:space="0"/>
            </w:tcBorders>
            <w:noWrap/>
            <w:vAlign w:val="center"/>
          </w:tcPr>
          <w:p w14:paraId="3169FEE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773A4A7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590" w:type="dxa"/>
            <w:tcBorders>
              <w:top w:val="nil"/>
              <w:left w:val="nil"/>
              <w:bottom w:val="single" w:color="auto" w:sz="4" w:space="0"/>
              <w:right w:val="single" w:color="auto" w:sz="4" w:space="0"/>
            </w:tcBorders>
            <w:noWrap/>
            <w:vAlign w:val="center"/>
          </w:tcPr>
          <w:p w14:paraId="57D1B4D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500" w:type="dxa"/>
            <w:tcBorders>
              <w:top w:val="nil"/>
              <w:left w:val="nil"/>
              <w:bottom w:val="single" w:color="auto" w:sz="4" w:space="0"/>
              <w:right w:val="single" w:color="auto" w:sz="4" w:space="0"/>
            </w:tcBorders>
            <w:noWrap/>
            <w:vAlign w:val="center"/>
          </w:tcPr>
          <w:p w14:paraId="4E7D8DE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FBD960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40A25DBC">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noWrap/>
            <w:vAlign w:val="center"/>
          </w:tcPr>
          <w:p w14:paraId="5E20594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427" w:type="dxa"/>
            <w:tcBorders>
              <w:top w:val="nil"/>
              <w:left w:val="nil"/>
              <w:bottom w:val="single" w:color="auto" w:sz="4" w:space="0"/>
              <w:right w:val="single" w:color="auto" w:sz="4" w:space="0"/>
            </w:tcBorders>
            <w:noWrap/>
            <w:vAlign w:val="center"/>
          </w:tcPr>
          <w:p w14:paraId="751AE6D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530" w:type="dxa"/>
            <w:tcBorders>
              <w:top w:val="nil"/>
              <w:left w:val="nil"/>
              <w:bottom w:val="single" w:color="auto" w:sz="4" w:space="0"/>
              <w:right w:val="single" w:color="auto" w:sz="4" w:space="0"/>
            </w:tcBorders>
            <w:noWrap/>
            <w:vAlign w:val="center"/>
          </w:tcPr>
          <w:p w14:paraId="60CE50E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590" w:type="dxa"/>
            <w:tcBorders>
              <w:top w:val="nil"/>
              <w:left w:val="nil"/>
              <w:bottom w:val="single" w:color="auto" w:sz="4" w:space="0"/>
              <w:right w:val="single" w:color="auto" w:sz="4" w:space="0"/>
            </w:tcBorders>
            <w:noWrap/>
            <w:vAlign w:val="center"/>
          </w:tcPr>
          <w:p w14:paraId="372BD08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500" w:type="dxa"/>
            <w:tcBorders>
              <w:top w:val="nil"/>
              <w:left w:val="nil"/>
              <w:bottom w:val="single" w:color="auto" w:sz="4" w:space="0"/>
              <w:right w:val="single" w:color="auto" w:sz="4" w:space="0"/>
            </w:tcBorders>
            <w:noWrap/>
            <w:vAlign w:val="center"/>
          </w:tcPr>
          <w:p w14:paraId="0370B17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3B06EC2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3B6CDEF8">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7EDB8A1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427" w:type="dxa"/>
            <w:tcBorders>
              <w:top w:val="nil"/>
              <w:left w:val="nil"/>
              <w:bottom w:val="single" w:color="auto" w:sz="4" w:space="0"/>
              <w:right w:val="single" w:color="auto" w:sz="4" w:space="0"/>
            </w:tcBorders>
            <w:noWrap/>
            <w:vAlign w:val="center"/>
          </w:tcPr>
          <w:p w14:paraId="699E524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405EE19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590" w:type="dxa"/>
            <w:tcBorders>
              <w:top w:val="nil"/>
              <w:left w:val="nil"/>
              <w:bottom w:val="single" w:color="auto" w:sz="4" w:space="0"/>
              <w:right w:val="single" w:color="auto" w:sz="4" w:space="0"/>
            </w:tcBorders>
            <w:noWrap/>
            <w:vAlign w:val="center"/>
          </w:tcPr>
          <w:p w14:paraId="2879C5E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500" w:type="dxa"/>
            <w:tcBorders>
              <w:top w:val="nil"/>
              <w:left w:val="nil"/>
              <w:bottom w:val="single" w:color="auto" w:sz="4" w:space="0"/>
              <w:right w:val="single" w:color="auto" w:sz="4" w:space="0"/>
            </w:tcBorders>
            <w:noWrap/>
            <w:vAlign w:val="center"/>
          </w:tcPr>
          <w:p w14:paraId="5BE46BE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E6F2EC2">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64645D3B">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noWrap/>
            <w:vAlign w:val="center"/>
          </w:tcPr>
          <w:p w14:paraId="352A117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427" w:type="dxa"/>
            <w:tcBorders>
              <w:top w:val="nil"/>
              <w:left w:val="nil"/>
              <w:bottom w:val="single" w:color="auto" w:sz="4" w:space="0"/>
              <w:right w:val="single" w:color="auto" w:sz="4" w:space="0"/>
            </w:tcBorders>
            <w:noWrap/>
            <w:vAlign w:val="center"/>
          </w:tcPr>
          <w:p w14:paraId="6B72C6D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530" w:type="dxa"/>
            <w:tcBorders>
              <w:top w:val="nil"/>
              <w:left w:val="nil"/>
              <w:bottom w:val="single" w:color="auto" w:sz="4" w:space="0"/>
              <w:right w:val="single" w:color="auto" w:sz="4" w:space="0"/>
            </w:tcBorders>
            <w:noWrap/>
            <w:vAlign w:val="center"/>
          </w:tcPr>
          <w:p w14:paraId="26AE483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590" w:type="dxa"/>
            <w:tcBorders>
              <w:top w:val="nil"/>
              <w:left w:val="nil"/>
              <w:bottom w:val="single" w:color="auto" w:sz="4" w:space="0"/>
              <w:right w:val="single" w:color="auto" w:sz="4" w:space="0"/>
            </w:tcBorders>
            <w:noWrap/>
            <w:vAlign w:val="center"/>
          </w:tcPr>
          <w:p w14:paraId="43BDAE8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500" w:type="dxa"/>
            <w:tcBorders>
              <w:top w:val="nil"/>
              <w:left w:val="nil"/>
              <w:bottom w:val="single" w:color="auto" w:sz="4" w:space="0"/>
              <w:right w:val="single" w:color="auto" w:sz="4" w:space="0"/>
            </w:tcBorders>
            <w:noWrap/>
            <w:vAlign w:val="center"/>
          </w:tcPr>
          <w:p w14:paraId="59BB212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70A55C9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627338C9">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71D8370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427" w:type="dxa"/>
            <w:tcBorders>
              <w:top w:val="nil"/>
              <w:left w:val="nil"/>
              <w:bottom w:val="single" w:color="auto" w:sz="4" w:space="0"/>
              <w:right w:val="single" w:color="auto" w:sz="4" w:space="0"/>
            </w:tcBorders>
            <w:noWrap/>
            <w:vAlign w:val="center"/>
          </w:tcPr>
          <w:p w14:paraId="15E1C62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5FD0E31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590" w:type="dxa"/>
            <w:tcBorders>
              <w:top w:val="nil"/>
              <w:left w:val="nil"/>
              <w:bottom w:val="single" w:color="auto" w:sz="4" w:space="0"/>
              <w:right w:val="single" w:color="auto" w:sz="4" w:space="0"/>
            </w:tcBorders>
            <w:noWrap/>
            <w:vAlign w:val="center"/>
          </w:tcPr>
          <w:p w14:paraId="0E9AD83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500" w:type="dxa"/>
            <w:tcBorders>
              <w:top w:val="nil"/>
              <w:left w:val="nil"/>
              <w:bottom w:val="single" w:color="auto" w:sz="4" w:space="0"/>
              <w:right w:val="single" w:color="auto" w:sz="4" w:space="0"/>
            </w:tcBorders>
            <w:noWrap/>
            <w:vAlign w:val="center"/>
          </w:tcPr>
          <w:p w14:paraId="0E4CE1C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C09068E">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10A1C6A3">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noWrap/>
            <w:vAlign w:val="center"/>
          </w:tcPr>
          <w:p w14:paraId="1B968FB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427" w:type="dxa"/>
            <w:tcBorders>
              <w:top w:val="nil"/>
              <w:left w:val="nil"/>
              <w:bottom w:val="single" w:color="auto" w:sz="4" w:space="0"/>
              <w:right w:val="single" w:color="auto" w:sz="4" w:space="0"/>
            </w:tcBorders>
            <w:noWrap/>
            <w:vAlign w:val="center"/>
          </w:tcPr>
          <w:p w14:paraId="6EB3A4F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530" w:type="dxa"/>
            <w:tcBorders>
              <w:top w:val="nil"/>
              <w:left w:val="nil"/>
              <w:bottom w:val="single" w:color="auto" w:sz="4" w:space="0"/>
              <w:right w:val="single" w:color="auto" w:sz="4" w:space="0"/>
            </w:tcBorders>
            <w:noWrap/>
            <w:vAlign w:val="center"/>
          </w:tcPr>
          <w:p w14:paraId="227C823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590" w:type="dxa"/>
            <w:tcBorders>
              <w:top w:val="nil"/>
              <w:left w:val="nil"/>
              <w:bottom w:val="single" w:color="auto" w:sz="4" w:space="0"/>
              <w:right w:val="single" w:color="auto" w:sz="4" w:space="0"/>
            </w:tcBorders>
            <w:noWrap/>
            <w:vAlign w:val="center"/>
          </w:tcPr>
          <w:p w14:paraId="73729C0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500" w:type="dxa"/>
            <w:tcBorders>
              <w:top w:val="nil"/>
              <w:left w:val="nil"/>
              <w:bottom w:val="single" w:color="auto" w:sz="4" w:space="0"/>
              <w:right w:val="single" w:color="auto" w:sz="4" w:space="0"/>
            </w:tcBorders>
            <w:noWrap/>
            <w:vAlign w:val="center"/>
          </w:tcPr>
          <w:p w14:paraId="6FB765F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461887B2">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2FF24C3D">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4755F73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427" w:type="dxa"/>
            <w:tcBorders>
              <w:top w:val="nil"/>
              <w:left w:val="nil"/>
              <w:bottom w:val="single" w:color="auto" w:sz="4" w:space="0"/>
              <w:right w:val="single" w:color="auto" w:sz="4" w:space="0"/>
            </w:tcBorders>
            <w:noWrap/>
            <w:vAlign w:val="center"/>
          </w:tcPr>
          <w:p w14:paraId="4849620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65A1565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590" w:type="dxa"/>
            <w:tcBorders>
              <w:top w:val="nil"/>
              <w:left w:val="nil"/>
              <w:bottom w:val="single" w:color="auto" w:sz="4" w:space="0"/>
              <w:right w:val="single" w:color="auto" w:sz="4" w:space="0"/>
            </w:tcBorders>
            <w:noWrap/>
            <w:vAlign w:val="center"/>
          </w:tcPr>
          <w:p w14:paraId="471B06F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500" w:type="dxa"/>
            <w:tcBorders>
              <w:top w:val="nil"/>
              <w:left w:val="nil"/>
              <w:bottom w:val="single" w:color="auto" w:sz="4" w:space="0"/>
              <w:right w:val="single" w:color="auto" w:sz="4" w:space="0"/>
            </w:tcBorders>
            <w:noWrap/>
            <w:vAlign w:val="center"/>
          </w:tcPr>
          <w:p w14:paraId="4433BCD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E82A98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7C472BA0">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noWrap/>
            <w:vAlign w:val="center"/>
          </w:tcPr>
          <w:p w14:paraId="5741E6D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427" w:type="dxa"/>
            <w:tcBorders>
              <w:top w:val="nil"/>
              <w:left w:val="nil"/>
              <w:bottom w:val="single" w:color="auto" w:sz="4" w:space="0"/>
              <w:right w:val="single" w:color="auto" w:sz="4" w:space="0"/>
            </w:tcBorders>
            <w:noWrap/>
            <w:vAlign w:val="center"/>
          </w:tcPr>
          <w:p w14:paraId="66D28C8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530" w:type="dxa"/>
            <w:tcBorders>
              <w:top w:val="nil"/>
              <w:left w:val="nil"/>
              <w:bottom w:val="single" w:color="auto" w:sz="4" w:space="0"/>
              <w:right w:val="single" w:color="auto" w:sz="4" w:space="0"/>
            </w:tcBorders>
            <w:noWrap/>
            <w:vAlign w:val="center"/>
          </w:tcPr>
          <w:p w14:paraId="415FEBD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590" w:type="dxa"/>
            <w:tcBorders>
              <w:top w:val="nil"/>
              <w:left w:val="nil"/>
              <w:bottom w:val="single" w:color="auto" w:sz="4" w:space="0"/>
              <w:right w:val="single" w:color="auto" w:sz="4" w:space="0"/>
            </w:tcBorders>
            <w:noWrap/>
            <w:vAlign w:val="center"/>
          </w:tcPr>
          <w:p w14:paraId="5333073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500" w:type="dxa"/>
            <w:tcBorders>
              <w:top w:val="nil"/>
              <w:left w:val="nil"/>
              <w:bottom w:val="single" w:color="auto" w:sz="4" w:space="0"/>
              <w:right w:val="single" w:color="auto" w:sz="4" w:space="0"/>
            </w:tcBorders>
            <w:noWrap/>
            <w:vAlign w:val="center"/>
          </w:tcPr>
          <w:p w14:paraId="4E6BC4A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0824D1E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1B65F0B6">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65386EE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427" w:type="dxa"/>
            <w:tcBorders>
              <w:top w:val="nil"/>
              <w:left w:val="nil"/>
              <w:bottom w:val="single" w:color="auto" w:sz="4" w:space="0"/>
              <w:right w:val="single" w:color="auto" w:sz="4" w:space="0"/>
            </w:tcBorders>
            <w:noWrap/>
            <w:vAlign w:val="center"/>
          </w:tcPr>
          <w:p w14:paraId="2C362C5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2CAD626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590" w:type="dxa"/>
            <w:tcBorders>
              <w:top w:val="nil"/>
              <w:left w:val="nil"/>
              <w:bottom w:val="single" w:color="auto" w:sz="4" w:space="0"/>
              <w:right w:val="single" w:color="auto" w:sz="4" w:space="0"/>
            </w:tcBorders>
            <w:noWrap/>
            <w:vAlign w:val="center"/>
          </w:tcPr>
          <w:p w14:paraId="3D235AB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1500" w:type="dxa"/>
            <w:tcBorders>
              <w:top w:val="nil"/>
              <w:left w:val="nil"/>
              <w:bottom w:val="single" w:color="auto" w:sz="4" w:space="0"/>
              <w:right w:val="single" w:color="auto" w:sz="4" w:space="0"/>
            </w:tcBorders>
            <w:noWrap/>
            <w:vAlign w:val="center"/>
          </w:tcPr>
          <w:p w14:paraId="17F0788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66BAD56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3B3C9744">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noWrap/>
            <w:vAlign w:val="center"/>
          </w:tcPr>
          <w:p w14:paraId="0BA2FA4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427" w:type="dxa"/>
            <w:tcBorders>
              <w:top w:val="nil"/>
              <w:left w:val="nil"/>
              <w:bottom w:val="single" w:color="auto" w:sz="4" w:space="0"/>
              <w:right w:val="single" w:color="auto" w:sz="4" w:space="0"/>
            </w:tcBorders>
            <w:noWrap/>
            <w:vAlign w:val="center"/>
          </w:tcPr>
          <w:p w14:paraId="218BFC8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25CC132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590" w:type="dxa"/>
            <w:tcBorders>
              <w:top w:val="nil"/>
              <w:left w:val="nil"/>
              <w:bottom w:val="single" w:color="auto" w:sz="4" w:space="0"/>
              <w:right w:val="single" w:color="auto" w:sz="4" w:space="0"/>
            </w:tcBorders>
            <w:noWrap/>
            <w:vAlign w:val="center"/>
          </w:tcPr>
          <w:p w14:paraId="1A01E64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1500" w:type="dxa"/>
            <w:tcBorders>
              <w:top w:val="nil"/>
              <w:left w:val="nil"/>
              <w:bottom w:val="single" w:color="auto" w:sz="4" w:space="0"/>
              <w:right w:val="single" w:color="auto" w:sz="4" w:space="0"/>
            </w:tcBorders>
            <w:noWrap/>
            <w:vAlign w:val="center"/>
          </w:tcPr>
          <w:p w14:paraId="665EEDA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08F7120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3BEC6F57">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7A16648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1427" w:type="dxa"/>
            <w:tcBorders>
              <w:top w:val="nil"/>
              <w:left w:val="nil"/>
              <w:bottom w:val="single" w:color="auto" w:sz="4" w:space="0"/>
              <w:right w:val="single" w:color="auto" w:sz="4" w:space="0"/>
            </w:tcBorders>
            <w:noWrap/>
            <w:vAlign w:val="center"/>
          </w:tcPr>
          <w:p w14:paraId="6B9D6FF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0270396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590" w:type="dxa"/>
            <w:tcBorders>
              <w:top w:val="nil"/>
              <w:left w:val="nil"/>
              <w:bottom w:val="single" w:color="auto" w:sz="4" w:space="0"/>
              <w:right w:val="single" w:color="auto" w:sz="4" w:space="0"/>
            </w:tcBorders>
            <w:noWrap/>
            <w:vAlign w:val="center"/>
          </w:tcPr>
          <w:p w14:paraId="2AFA73F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1500" w:type="dxa"/>
            <w:tcBorders>
              <w:top w:val="nil"/>
              <w:left w:val="nil"/>
              <w:bottom w:val="single" w:color="auto" w:sz="4" w:space="0"/>
              <w:right w:val="single" w:color="auto" w:sz="4" w:space="0"/>
            </w:tcBorders>
            <w:noWrap/>
            <w:vAlign w:val="center"/>
          </w:tcPr>
          <w:p w14:paraId="0EB0C48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14:paraId="75B8278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2D915CC5">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noWrap/>
            <w:vAlign w:val="center"/>
          </w:tcPr>
          <w:p w14:paraId="0B25C25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427" w:type="dxa"/>
            <w:tcBorders>
              <w:top w:val="nil"/>
              <w:left w:val="nil"/>
              <w:bottom w:val="single" w:color="auto" w:sz="4" w:space="0"/>
              <w:right w:val="single" w:color="auto" w:sz="4" w:space="0"/>
            </w:tcBorders>
            <w:noWrap/>
            <w:vAlign w:val="center"/>
          </w:tcPr>
          <w:p w14:paraId="55E10E6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530" w:type="dxa"/>
            <w:tcBorders>
              <w:top w:val="nil"/>
              <w:left w:val="nil"/>
              <w:bottom w:val="single" w:color="auto" w:sz="4" w:space="0"/>
              <w:right w:val="single" w:color="auto" w:sz="4" w:space="0"/>
            </w:tcBorders>
            <w:noWrap/>
            <w:vAlign w:val="center"/>
          </w:tcPr>
          <w:p w14:paraId="2A61CDA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590" w:type="dxa"/>
            <w:tcBorders>
              <w:top w:val="nil"/>
              <w:left w:val="nil"/>
              <w:bottom w:val="single" w:color="auto" w:sz="4" w:space="0"/>
              <w:right w:val="single" w:color="auto" w:sz="4" w:space="0"/>
            </w:tcBorders>
            <w:noWrap/>
            <w:vAlign w:val="center"/>
          </w:tcPr>
          <w:p w14:paraId="65E9CC9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500" w:type="dxa"/>
            <w:tcBorders>
              <w:top w:val="nil"/>
              <w:left w:val="nil"/>
              <w:bottom w:val="single" w:color="auto" w:sz="4" w:space="0"/>
              <w:right w:val="single" w:color="auto" w:sz="4" w:space="0"/>
            </w:tcBorders>
            <w:noWrap/>
            <w:vAlign w:val="center"/>
          </w:tcPr>
          <w:p w14:paraId="7D3D9F8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1E9BF30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660C50CC">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2F2DE1B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427" w:type="dxa"/>
            <w:tcBorders>
              <w:top w:val="nil"/>
              <w:left w:val="nil"/>
              <w:bottom w:val="single" w:color="auto" w:sz="4" w:space="0"/>
              <w:right w:val="single" w:color="auto" w:sz="4" w:space="0"/>
            </w:tcBorders>
            <w:noWrap/>
            <w:vAlign w:val="center"/>
          </w:tcPr>
          <w:p w14:paraId="263908A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2E7A37E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590" w:type="dxa"/>
            <w:tcBorders>
              <w:top w:val="nil"/>
              <w:left w:val="nil"/>
              <w:bottom w:val="single" w:color="auto" w:sz="4" w:space="0"/>
              <w:right w:val="single" w:color="auto" w:sz="4" w:space="0"/>
            </w:tcBorders>
            <w:noWrap/>
            <w:vAlign w:val="center"/>
          </w:tcPr>
          <w:p w14:paraId="2ACC05D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1500" w:type="dxa"/>
            <w:tcBorders>
              <w:top w:val="nil"/>
              <w:left w:val="nil"/>
              <w:bottom w:val="single" w:color="auto" w:sz="4" w:space="0"/>
              <w:right w:val="single" w:color="auto" w:sz="4" w:space="0"/>
            </w:tcBorders>
            <w:noWrap/>
            <w:vAlign w:val="center"/>
          </w:tcPr>
          <w:p w14:paraId="7EDBC75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14:paraId="15F0410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73BA4F70">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noWrap/>
            <w:vAlign w:val="center"/>
          </w:tcPr>
          <w:p w14:paraId="5A3C3A9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427" w:type="dxa"/>
            <w:tcBorders>
              <w:top w:val="nil"/>
              <w:left w:val="nil"/>
              <w:bottom w:val="single" w:color="auto" w:sz="4" w:space="0"/>
              <w:right w:val="single" w:color="auto" w:sz="4" w:space="0"/>
            </w:tcBorders>
            <w:noWrap/>
            <w:vAlign w:val="center"/>
          </w:tcPr>
          <w:p w14:paraId="05846FF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530" w:type="dxa"/>
            <w:tcBorders>
              <w:top w:val="nil"/>
              <w:left w:val="nil"/>
              <w:bottom w:val="single" w:color="auto" w:sz="4" w:space="0"/>
              <w:right w:val="single" w:color="auto" w:sz="4" w:space="0"/>
            </w:tcBorders>
            <w:noWrap/>
            <w:vAlign w:val="center"/>
          </w:tcPr>
          <w:p w14:paraId="6DBE2D6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590" w:type="dxa"/>
            <w:tcBorders>
              <w:top w:val="nil"/>
              <w:left w:val="nil"/>
              <w:bottom w:val="single" w:color="auto" w:sz="4" w:space="0"/>
              <w:right w:val="single" w:color="auto" w:sz="4" w:space="0"/>
            </w:tcBorders>
            <w:noWrap/>
            <w:vAlign w:val="center"/>
          </w:tcPr>
          <w:p w14:paraId="78E9A6D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500" w:type="dxa"/>
            <w:tcBorders>
              <w:top w:val="nil"/>
              <w:left w:val="nil"/>
              <w:bottom w:val="single" w:color="auto" w:sz="4" w:space="0"/>
              <w:right w:val="single" w:color="auto" w:sz="4" w:space="0"/>
            </w:tcBorders>
            <w:noWrap/>
            <w:vAlign w:val="center"/>
          </w:tcPr>
          <w:p w14:paraId="7C4E349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2B5ACFA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36F186E3">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44DB60D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1427" w:type="dxa"/>
            <w:tcBorders>
              <w:top w:val="nil"/>
              <w:left w:val="nil"/>
              <w:bottom w:val="single" w:color="auto" w:sz="4" w:space="0"/>
              <w:right w:val="single" w:color="auto" w:sz="4" w:space="0"/>
            </w:tcBorders>
            <w:noWrap/>
            <w:vAlign w:val="center"/>
          </w:tcPr>
          <w:p w14:paraId="2199C5C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530" w:type="dxa"/>
            <w:tcBorders>
              <w:top w:val="nil"/>
              <w:left w:val="nil"/>
              <w:bottom w:val="single" w:color="auto" w:sz="4" w:space="0"/>
              <w:right w:val="single" w:color="auto" w:sz="4" w:space="0"/>
            </w:tcBorders>
            <w:noWrap/>
            <w:vAlign w:val="center"/>
          </w:tcPr>
          <w:p w14:paraId="3F63531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590" w:type="dxa"/>
            <w:tcBorders>
              <w:top w:val="nil"/>
              <w:left w:val="nil"/>
              <w:bottom w:val="single" w:color="auto" w:sz="4" w:space="0"/>
              <w:right w:val="single" w:color="auto" w:sz="4" w:space="0"/>
            </w:tcBorders>
            <w:noWrap/>
            <w:vAlign w:val="center"/>
          </w:tcPr>
          <w:p w14:paraId="63BE0DE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1500" w:type="dxa"/>
            <w:tcBorders>
              <w:top w:val="nil"/>
              <w:left w:val="nil"/>
              <w:bottom w:val="single" w:color="auto" w:sz="4" w:space="0"/>
              <w:right w:val="single" w:color="auto" w:sz="4" w:space="0"/>
            </w:tcBorders>
            <w:noWrap/>
            <w:vAlign w:val="center"/>
          </w:tcPr>
          <w:p w14:paraId="198A799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861B5E3">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ign w:val="bottom"/>
          </w:tcPr>
          <w:p w14:paraId="7129902F">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noWrap/>
            <w:vAlign w:val="center"/>
          </w:tcPr>
          <w:p w14:paraId="6CA78E9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427" w:type="dxa"/>
            <w:tcBorders>
              <w:top w:val="nil"/>
              <w:left w:val="nil"/>
              <w:bottom w:val="single" w:color="auto" w:sz="4" w:space="0"/>
              <w:right w:val="single" w:color="auto" w:sz="4" w:space="0"/>
            </w:tcBorders>
            <w:noWrap/>
            <w:vAlign w:val="center"/>
          </w:tcPr>
          <w:p w14:paraId="71F8A00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530" w:type="dxa"/>
            <w:tcBorders>
              <w:top w:val="nil"/>
              <w:left w:val="nil"/>
              <w:bottom w:val="single" w:color="auto" w:sz="4" w:space="0"/>
              <w:right w:val="single" w:color="auto" w:sz="4" w:space="0"/>
            </w:tcBorders>
            <w:noWrap/>
            <w:vAlign w:val="center"/>
          </w:tcPr>
          <w:p w14:paraId="4CAA76A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590" w:type="dxa"/>
            <w:tcBorders>
              <w:top w:val="nil"/>
              <w:left w:val="nil"/>
              <w:bottom w:val="single" w:color="auto" w:sz="4" w:space="0"/>
              <w:right w:val="single" w:color="auto" w:sz="4" w:space="0"/>
            </w:tcBorders>
            <w:noWrap/>
            <w:vAlign w:val="center"/>
          </w:tcPr>
          <w:p w14:paraId="76A5C1E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500" w:type="dxa"/>
            <w:tcBorders>
              <w:top w:val="nil"/>
              <w:left w:val="nil"/>
              <w:bottom w:val="single" w:color="auto" w:sz="4" w:space="0"/>
              <w:right w:val="single" w:color="auto" w:sz="4" w:space="0"/>
            </w:tcBorders>
            <w:noWrap/>
            <w:vAlign w:val="center"/>
          </w:tcPr>
          <w:p w14:paraId="64E6520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14:paraId="2DCF83E7">
      <w:pPr>
        <w:keepNext w:val="0"/>
        <w:keepLines w:val="0"/>
        <w:pageBreakBefore w:val="0"/>
        <w:widowControl w:val="0"/>
        <w:kinsoku/>
        <w:wordWrap/>
        <w:overflowPunct/>
        <w:topLinePunct w:val="0"/>
        <w:autoSpaceDE/>
        <w:autoSpaceDN/>
        <w:bidi w:val="0"/>
        <w:adjustRightInd/>
        <w:snapToGrid/>
        <w:spacing w:line="400" w:lineRule="exact"/>
        <w:ind w:firstLine="525" w:firstLineChars="250"/>
        <w:textAlignment w:val="auto"/>
        <w:rPr>
          <w:rFonts w:hAnsi="宋体"/>
          <w:color w:val="auto"/>
          <w:highlight w:val="none"/>
        </w:rPr>
        <w:sectPr>
          <w:headerReference r:id="rId7" w:type="first"/>
          <w:footerReference r:id="rId9" w:type="first"/>
          <w:footerReference r:id="rId8" w:type="default"/>
          <w:pgSz w:w="11906" w:h="16838"/>
          <w:pgMar w:top="1134" w:right="1134" w:bottom="1134" w:left="1134" w:header="720" w:footer="720" w:gutter="0"/>
          <w:pgNumType w:fmt="decimal" w:start="2"/>
          <w:cols w:space="720" w:num="1"/>
          <w:docGrid w:type="lines" w:linePitch="331" w:charSpace="0"/>
        </w:sect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370F08CB">
      <w:pPr>
        <w:pStyle w:val="26"/>
        <w:ind w:firstLine="0"/>
        <w:rPr>
          <w:color w:val="auto"/>
          <w:highlight w:val="none"/>
        </w:rPr>
      </w:pPr>
    </w:p>
    <w:bookmarkEnd w:id="12"/>
    <w:bookmarkEnd w:id="13"/>
    <w:bookmarkEnd w:id="14"/>
    <w:bookmarkEnd w:id="15"/>
    <w:p w14:paraId="02224019">
      <w:pPr>
        <w:pStyle w:val="3"/>
        <w:keepNext w:val="0"/>
        <w:keepLines w:val="0"/>
        <w:jc w:val="center"/>
        <w:rPr>
          <w:color w:val="auto"/>
          <w:highlight w:val="none"/>
        </w:rPr>
      </w:pPr>
      <w:bookmarkStart w:id="63" w:name="_Toc17619"/>
      <w:bookmarkStart w:id="64" w:name="_Toc5021"/>
      <w:bookmarkStart w:id="65" w:name="_Toc139966432"/>
      <w:bookmarkStart w:id="66" w:name="_Toc213206173"/>
      <w:bookmarkStart w:id="67" w:name="_Toc213325922"/>
      <w:bookmarkStart w:id="68" w:name="_Toc139967216"/>
      <w:r>
        <w:rPr>
          <w:rFonts w:hint="eastAsia"/>
          <w:color w:val="auto"/>
          <w:highlight w:val="none"/>
        </w:rPr>
        <w:t>第三章  投标人须知</w:t>
      </w:r>
      <w:bookmarkEnd w:id="63"/>
      <w:bookmarkEnd w:id="64"/>
    </w:p>
    <w:p w14:paraId="0FDE559C">
      <w:pPr>
        <w:jc w:val="center"/>
        <w:rPr>
          <w:color w:val="auto"/>
          <w:sz w:val="36"/>
          <w:szCs w:val="36"/>
          <w:highlight w:val="none"/>
        </w:rPr>
      </w:pPr>
      <w:bookmarkStart w:id="69" w:name="_Toc254970667"/>
      <w:bookmarkStart w:id="70" w:name="_Toc254970526"/>
      <w:r>
        <w:rPr>
          <w:rFonts w:hint="eastAsia"/>
          <w:color w:val="auto"/>
          <w:sz w:val="36"/>
          <w:szCs w:val="36"/>
          <w:highlight w:val="none"/>
        </w:rPr>
        <w:t>投标人须知前附表</w:t>
      </w:r>
      <w:bookmarkEnd w:id="69"/>
      <w:bookmarkEnd w:id="70"/>
    </w:p>
    <w:tbl>
      <w:tblPr>
        <w:tblStyle w:val="28"/>
        <w:tblW w:w="99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071"/>
        <w:gridCol w:w="7185"/>
      </w:tblGrid>
      <w:tr w14:paraId="63797D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4ABADB16">
            <w:pPr>
              <w:snapToGrid w:val="0"/>
              <w:spacing w:line="360" w:lineRule="auto"/>
              <w:jc w:val="left"/>
              <w:rPr>
                <w:rFonts w:ascii="宋体" w:hAnsi="宋体"/>
                <w:color w:val="auto"/>
                <w:szCs w:val="21"/>
                <w:highlight w:val="none"/>
              </w:rPr>
            </w:pPr>
            <w:r>
              <w:rPr>
                <w:rFonts w:hint="eastAsia" w:ascii="宋体" w:hAnsi="宋体"/>
                <w:color w:val="auto"/>
                <w:szCs w:val="21"/>
                <w:highlight w:val="none"/>
              </w:rPr>
              <w:t>条款号</w:t>
            </w:r>
          </w:p>
        </w:tc>
        <w:tc>
          <w:tcPr>
            <w:tcW w:w="2071" w:type="dxa"/>
            <w:tcBorders>
              <w:top w:val="single" w:color="auto" w:sz="4" w:space="0"/>
              <w:left w:val="single" w:color="auto" w:sz="4" w:space="0"/>
              <w:bottom w:val="single" w:color="auto" w:sz="4" w:space="0"/>
              <w:right w:val="single" w:color="auto" w:sz="4" w:space="0"/>
            </w:tcBorders>
            <w:noWrap/>
            <w:vAlign w:val="center"/>
          </w:tcPr>
          <w:p w14:paraId="54E01069">
            <w:pPr>
              <w:snapToGrid w:val="0"/>
              <w:spacing w:line="360" w:lineRule="auto"/>
              <w:jc w:val="left"/>
              <w:rPr>
                <w:rFonts w:ascii="宋体" w:hAnsi="宋体"/>
                <w:color w:val="auto"/>
                <w:szCs w:val="21"/>
                <w:highlight w:val="none"/>
              </w:rPr>
            </w:pPr>
            <w:r>
              <w:rPr>
                <w:rFonts w:hint="eastAsia" w:ascii="宋体" w:hAnsi="宋体"/>
                <w:color w:val="auto"/>
                <w:szCs w:val="21"/>
                <w:highlight w:val="none"/>
              </w:rPr>
              <w:t>项目内容</w:t>
            </w:r>
          </w:p>
        </w:tc>
        <w:tc>
          <w:tcPr>
            <w:tcW w:w="7185" w:type="dxa"/>
            <w:tcBorders>
              <w:top w:val="single" w:color="auto" w:sz="4" w:space="0"/>
              <w:left w:val="single" w:color="auto" w:sz="4" w:space="0"/>
              <w:bottom w:val="single" w:color="auto" w:sz="4" w:space="0"/>
              <w:right w:val="single" w:color="auto" w:sz="4" w:space="0"/>
            </w:tcBorders>
            <w:noWrap/>
            <w:vAlign w:val="center"/>
          </w:tcPr>
          <w:p w14:paraId="70161E37">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编列内容</w:t>
            </w:r>
          </w:p>
        </w:tc>
      </w:tr>
      <w:tr w14:paraId="557636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3D3A6C94">
            <w:pPr>
              <w:spacing w:line="380" w:lineRule="exact"/>
              <w:rPr>
                <w:rFonts w:ascii="宋体" w:hAnsi="宋体"/>
                <w:color w:val="auto"/>
                <w:szCs w:val="21"/>
                <w:highlight w:val="none"/>
              </w:rPr>
            </w:pPr>
            <w:r>
              <w:rPr>
                <w:rFonts w:hint="eastAsia" w:ascii="宋体" w:hAnsi="宋体"/>
                <w:color w:val="auto"/>
                <w:szCs w:val="21"/>
                <w:highlight w:val="none"/>
              </w:rPr>
              <w:t>6.1</w:t>
            </w:r>
          </w:p>
        </w:tc>
        <w:tc>
          <w:tcPr>
            <w:tcW w:w="2071" w:type="dxa"/>
            <w:tcBorders>
              <w:top w:val="single" w:color="auto" w:sz="4" w:space="0"/>
              <w:left w:val="single" w:color="auto" w:sz="4" w:space="0"/>
              <w:bottom w:val="single" w:color="auto" w:sz="4" w:space="0"/>
              <w:right w:val="single" w:color="auto" w:sz="4" w:space="0"/>
            </w:tcBorders>
            <w:noWrap/>
            <w:vAlign w:val="center"/>
          </w:tcPr>
          <w:p w14:paraId="60D90510">
            <w:pPr>
              <w:spacing w:line="380" w:lineRule="exact"/>
              <w:rPr>
                <w:rFonts w:ascii="宋体" w:hAnsi="宋体"/>
                <w:color w:val="auto"/>
                <w:szCs w:val="21"/>
                <w:highlight w:val="none"/>
              </w:rPr>
            </w:pPr>
            <w:r>
              <w:rPr>
                <w:rFonts w:hint="eastAsia" w:ascii="宋体" w:hAnsi="宋体"/>
                <w:color w:val="auto"/>
                <w:szCs w:val="21"/>
                <w:highlight w:val="none"/>
              </w:rPr>
              <w:t>是否接受联合体投标</w:t>
            </w:r>
          </w:p>
        </w:tc>
        <w:tc>
          <w:tcPr>
            <w:tcW w:w="7185" w:type="dxa"/>
            <w:tcBorders>
              <w:top w:val="single" w:color="auto" w:sz="4" w:space="0"/>
              <w:left w:val="single" w:color="auto" w:sz="4" w:space="0"/>
              <w:bottom w:val="single" w:color="auto" w:sz="4" w:space="0"/>
              <w:right w:val="single" w:color="auto" w:sz="4" w:space="0"/>
            </w:tcBorders>
            <w:noWrap/>
            <w:vAlign w:val="center"/>
          </w:tcPr>
          <w:p w14:paraId="0050D313">
            <w:pPr>
              <w:pStyle w:val="9"/>
              <w:spacing w:line="380" w:lineRule="exact"/>
              <w:rPr>
                <w:rFonts w:ascii="宋体" w:hAnsi="宋体"/>
                <w:color w:val="auto"/>
                <w:szCs w:val="21"/>
                <w:highlight w:val="none"/>
              </w:rPr>
            </w:pPr>
            <w:bookmarkStart w:id="71" w:name="PO_3000001867_PM007_1"/>
            <w:r>
              <w:rPr>
                <w:rFonts w:ascii="宋体" w:hAnsi="宋体"/>
                <w:color w:val="auto"/>
                <w:szCs w:val="21"/>
                <w:highlight w:val="none"/>
              </w:rPr>
              <w:t>不允许联合体投标</w:t>
            </w:r>
            <w:bookmarkEnd w:id="71"/>
            <w:r>
              <w:rPr>
                <w:rFonts w:hint="eastAsia" w:ascii="宋体" w:hAnsi="宋体"/>
                <w:color w:val="auto"/>
                <w:szCs w:val="21"/>
                <w:highlight w:val="none"/>
              </w:rPr>
              <w:t>。</w:t>
            </w:r>
          </w:p>
        </w:tc>
      </w:tr>
      <w:tr w14:paraId="5F4625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61EFE68A">
            <w:pPr>
              <w:spacing w:line="380" w:lineRule="exact"/>
              <w:rPr>
                <w:rFonts w:ascii="宋体" w:hAnsi="宋体"/>
                <w:color w:val="auto"/>
                <w:szCs w:val="21"/>
                <w:highlight w:val="none"/>
              </w:rPr>
            </w:pPr>
            <w:r>
              <w:rPr>
                <w:rFonts w:ascii="宋体" w:hAnsi="宋体"/>
                <w:color w:val="auto"/>
                <w:szCs w:val="21"/>
                <w:highlight w:val="none"/>
              </w:rPr>
              <w:t>6.2</w:t>
            </w:r>
          </w:p>
        </w:tc>
        <w:tc>
          <w:tcPr>
            <w:tcW w:w="2071" w:type="dxa"/>
            <w:tcBorders>
              <w:top w:val="single" w:color="auto" w:sz="4" w:space="0"/>
              <w:left w:val="single" w:color="auto" w:sz="4" w:space="0"/>
              <w:bottom w:val="single" w:color="auto" w:sz="4" w:space="0"/>
              <w:right w:val="single" w:color="auto" w:sz="4" w:space="0"/>
            </w:tcBorders>
            <w:noWrap/>
            <w:vAlign w:val="center"/>
          </w:tcPr>
          <w:p w14:paraId="7DF46171">
            <w:pPr>
              <w:spacing w:line="380" w:lineRule="exact"/>
              <w:rPr>
                <w:rFonts w:ascii="宋体" w:hAnsi="宋体"/>
                <w:color w:val="auto"/>
                <w:szCs w:val="21"/>
                <w:highlight w:val="none"/>
              </w:rPr>
            </w:pPr>
            <w:r>
              <w:rPr>
                <w:rFonts w:hint="eastAsia" w:ascii="宋体" w:hAnsi="宋体"/>
                <w:color w:val="auto"/>
                <w:szCs w:val="21"/>
                <w:highlight w:val="none"/>
              </w:rPr>
              <w:t>联合体投标要求</w:t>
            </w:r>
          </w:p>
        </w:tc>
        <w:tc>
          <w:tcPr>
            <w:tcW w:w="7185" w:type="dxa"/>
            <w:tcBorders>
              <w:top w:val="single" w:color="auto" w:sz="4" w:space="0"/>
              <w:left w:val="single" w:color="auto" w:sz="4" w:space="0"/>
              <w:bottom w:val="single" w:color="auto" w:sz="4" w:space="0"/>
              <w:right w:val="single" w:color="auto" w:sz="4" w:space="0"/>
            </w:tcBorders>
            <w:noWrap/>
            <w:vAlign w:val="center"/>
          </w:tcPr>
          <w:p w14:paraId="4B50A52D">
            <w:pPr>
              <w:pStyle w:val="9"/>
              <w:spacing w:line="380" w:lineRule="exact"/>
              <w:rPr>
                <w:rFonts w:ascii="宋体" w:hAnsi="宋体"/>
                <w:color w:val="auto"/>
                <w:szCs w:val="21"/>
                <w:highlight w:val="none"/>
              </w:rPr>
            </w:pPr>
            <w:r>
              <w:rPr>
                <w:rFonts w:hint="eastAsia" w:ascii="宋体" w:hAnsi="宋体"/>
                <w:color w:val="auto"/>
                <w:szCs w:val="21"/>
                <w:highlight w:val="none"/>
              </w:rPr>
              <w:t>无</w:t>
            </w:r>
          </w:p>
        </w:tc>
      </w:tr>
      <w:tr w14:paraId="08D159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341880F5">
            <w:pPr>
              <w:spacing w:line="380" w:lineRule="exact"/>
              <w:rPr>
                <w:rFonts w:ascii="宋体" w:hAnsi="宋体"/>
                <w:color w:val="auto"/>
                <w:szCs w:val="21"/>
                <w:highlight w:val="none"/>
              </w:rPr>
            </w:pPr>
            <w:r>
              <w:rPr>
                <w:rFonts w:hint="eastAsia" w:ascii="宋体" w:hAnsi="宋体"/>
                <w:color w:val="auto"/>
                <w:szCs w:val="21"/>
                <w:highlight w:val="none"/>
              </w:rPr>
              <w:t>7.2</w:t>
            </w:r>
          </w:p>
        </w:tc>
        <w:tc>
          <w:tcPr>
            <w:tcW w:w="2071" w:type="dxa"/>
            <w:tcBorders>
              <w:top w:val="single" w:color="auto" w:sz="4" w:space="0"/>
              <w:left w:val="single" w:color="auto" w:sz="4" w:space="0"/>
              <w:bottom w:val="single" w:color="auto" w:sz="4" w:space="0"/>
              <w:right w:val="single" w:color="auto" w:sz="4" w:space="0"/>
            </w:tcBorders>
            <w:noWrap/>
            <w:vAlign w:val="center"/>
          </w:tcPr>
          <w:p w14:paraId="65B72548">
            <w:pPr>
              <w:spacing w:line="380" w:lineRule="exact"/>
              <w:rPr>
                <w:rFonts w:ascii="宋体" w:hAnsi="宋体"/>
                <w:color w:val="auto"/>
                <w:szCs w:val="21"/>
                <w:highlight w:val="none"/>
              </w:rPr>
            </w:pPr>
            <w:r>
              <w:rPr>
                <w:rFonts w:hint="eastAsia" w:ascii="宋体" w:hAnsi="宋体"/>
                <w:color w:val="auto"/>
                <w:szCs w:val="21"/>
                <w:highlight w:val="none"/>
              </w:rPr>
              <w:t>是否允许转包/分包</w:t>
            </w:r>
          </w:p>
        </w:tc>
        <w:tc>
          <w:tcPr>
            <w:tcW w:w="7185" w:type="dxa"/>
            <w:tcBorders>
              <w:top w:val="single" w:color="auto" w:sz="4" w:space="0"/>
              <w:left w:val="single" w:color="auto" w:sz="4" w:space="0"/>
              <w:bottom w:val="single" w:color="auto" w:sz="4" w:space="0"/>
              <w:right w:val="single" w:color="auto" w:sz="4" w:space="0"/>
            </w:tcBorders>
            <w:noWrap/>
            <w:vAlign w:val="center"/>
          </w:tcPr>
          <w:p w14:paraId="4371999F">
            <w:pPr>
              <w:pStyle w:val="9"/>
              <w:spacing w:line="380" w:lineRule="exact"/>
              <w:rPr>
                <w:rFonts w:ascii="宋体" w:hAnsi="宋体"/>
                <w:color w:val="auto"/>
                <w:szCs w:val="21"/>
                <w:highlight w:val="none"/>
              </w:rPr>
            </w:pPr>
            <w:r>
              <w:rPr>
                <w:rFonts w:hint="eastAsia" w:ascii="宋体" w:hAnsi="宋体"/>
                <w:color w:val="auto"/>
                <w:szCs w:val="21"/>
                <w:highlight w:val="none"/>
              </w:rPr>
              <w:t>不允许分包</w:t>
            </w:r>
          </w:p>
        </w:tc>
      </w:tr>
      <w:tr w14:paraId="7C890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31101C6D">
            <w:pPr>
              <w:spacing w:line="380" w:lineRule="exac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r>
              <w:rPr>
                <w:rFonts w:hint="eastAsia" w:ascii="宋体" w:hAnsi="宋体"/>
                <w:color w:val="auto"/>
                <w:szCs w:val="21"/>
                <w:highlight w:val="none"/>
              </w:rPr>
              <w:t>4</w:t>
            </w:r>
          </w:p>
        </w:tc>
        <w:tc>
          <w:tcPr>
            <w:tcW w:w="2071" w:type="dxa"/>
            <w:tcBorders>
              <w:top w:val="single" w:color="auto" w:sz="4" w:space="0"/>
              <w:left w:val="single" w:color="auto" w:sz="4" w:space="0"/>
              <w:bottom w:val="single" w:color="auto" w:sz="4" w:space="0"/>
              <w:right w:val="single" w:color="auto" w:sz="4" w:space="0"/>
            </w:tcBorders>
            <w:noWrap/>
            <w:vAlign w:val="center"/>
          </w:tcPr>
          <w:p w14:paraId="7ABB9D7A">
            <w:pPr>
              <w:spacing w:line="380" w:lineRule="exact"/>
              <w:rPr>
                <w:rFonts w:ascii="宋体" w:hAnsi="宋体"/>
                <w:color w:val="auto"/>
                <w:szCs w:val="21"/>
                <w:highlight w:val="none"/>
              </w:rPr>
            </w:pPr>
            <w:r>
              <w:rPr>
                <w:rFonts w:hint="eastAsia" w:ascii="宋体" w:hAnsi="宋体"/>
                <w:color w:val="auto"/>
                <w:szCs w:val="21"/>
                <w:highlight w:val="none"/>
              </w:rPr>
              <w:t>媒体发布渠道</w:t>
            </w:r>
          </w:p>
        </w:tc>
        <w:tc>
          <w:tcPr>
            <w:tcW w:w="7185" w:type="dxa"/>
            <w:tcBorders>
              <w:top w:val="single" w:color="auto" w:sz="4" w:space="0"/>
              <w:left w:val="single" w:color="auto" w:sz="4" w:space="0"/>
              <w:bottom w:val="single" w:color="auto" w:sz="4" w:space="0"/>
              <w:right w:val="single" w:color="auto" w:sz="4" w:space="0"/>
            </w:tcBorders>
            <w:noWrap/>
            <w:vAlign w:val="center"/>
          </w:tcPr>
          <w:p w14:paraId="6D9FB7BA">
            <w:pPr>
              <w:rPr>
                <w:color w:val="auto"/>
                <w:sz w:val="28"/>
                <w:szCs w:val="18"/>
                <w:highlight w:val="none"/>
              </w:rPr>
            </w:pPr>
            <w:r>
              <w:rPr>
                <w:rFonts w:hint="eastAsia" w:ascii="宋体" w:hAnsi="宋体" w:cs="宋体"/>
                <w:color w:val="auto"/>
                <w:szCs w:val="21"/>
                <w:highlight w:val="none"/>
              </w:rPr>
              <w:t>与本项目相关的政府采购业务澄清、更正及与之相关的事项将在采购公告中“</w:t>
            </w:r>
            <w:r>
              <w:rPr>
                <w:rFonts w:hint="eastAsia" w:ascii="宋体" w:hAnsi="宋体"/>
                <w:color w:val="auto"/>
                <w:szCs w:val="21"/>
                <w:highlight w:val="none"/>
              </w:rPr>
              <w:t>六、其他补充事宜”中网上查询地址</w:t>
            </w:r>
            <w:r>
              <w:rPr>
                <w:rFonts w:hint="eastAsia" w:ascii="宋体" w:hAnsi="宋体" w:cs="宋体"/>
                <w:color w:val="auto"/>
                <w:szCs w:val="21"/>
                <w:highlight w:val="none"/>
              </w:rPr>
              <w:t>上发布</w:t>
            </w:r>
            <w:r>
              <w:rPr>
                <w:rFonts w:hint="eastAsia" w:ascii="宋体" w:hAnsi="宋体" w:cs="宋体"/>
                <w:color w:val="auto"/>
                <w:kern w:val="0"/>
                <w:szCs w:val="21"/>
                <w:highlight w:val="none"/>
              </w:rPr>
              <w:t>。</w:t>
            </w:r>
          </w:p>
        </w:tc>
      </w:tr>
      <w:tr w14:paraId="76B2E3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626A4788">
            <w:pPr>
              <w:spacing w:line="380" w:lineRule="exact"/>
              <w:rPr>
                <w:rFonts w:ascii="宋体" w:hAnsi="宋体"/>
                <w:color w:val="auto"/>
                <w:szCs w:val="21"/>
                <w:highlight w:val="none"/>
              </w:rPr>
            </w:pPr>
            <w:r>
              <w:rPr>
                <w:rFonts w:hint="eastAsia" w:ascii="宋体" w:hAnsi="宋体"/>
                <w:color w:val="auto"/>
                <w:szCs w:val="21"/>
                <w:highlight w:val="none"/>
              </w:rPr>
              <w:t>11.6</w:t>
            </w:r>
          </w:p>
        </w:tc>
        <w:tc>
          <w:tcPr>
            <w:tcW w:w="2071" w:type="dxa"/>
            <w:tcBorders>
              <w:top w:val="single" w:color="auto" w:sz="4" w:space="0"/>
              <w:left w:val="single" w:color="auto" w:sz="4" w:space="0"/>
              <w:bottom w:val="single" w:color="auto" w:sz="4" w:space="0"/>
              <w:right w:val="single" w:color="auto" w:sz="4" w:space="0"/>
            </w:tcBorders>
            <w:noWrap/>
            <w:vAlign w:val="center"/>
          </w:tcPr>
          <w:p w14:paraId="29C659E6">
            <w:pPr>
              <w:spacing w:line="380" w:lineRule="exact"/>
              <w:rPr>
                <w:rFonts w:ascii="宋体" w:hAnsi="宋体"/>
                <w:color w:val="auto"/>
                <w:szCs w:val="21"/>
                <w:highlight w:val="none"/>
              </w:rPr>
            </w:pPr>
            <w:r>
              <w:rPr>
                <w:rFonts w:hint="eastAsia" w:ascii="宋体" w:hAnsi="宋体"/>
                <w:color w:val="auto"/>
                <w:szCs w:val="21"/>
                <w:highlight w:val="none"/>
              </w:rPr>
              <w:t>是否组织标前答疑会</w:t>
            </w:r>
          </w:p>
        </w:tc>
        <w:tc>
          <w:tcPr>
            <w:tcW w:w="7185" w:type="dxa"/>
            <w:tcBorders>
              <w:top w:val="single" w:color="auto" w:sz="4" w:space="0"/>
              <w:left w:val="single" w:color="auto" w:sz="4" w:space="0"/>
              <w:bottom w:val="single" w:color="auto" w:sz="4" w:space="0"/>
              <w:right w:val="single" w:color="auto" w:sz="4" w:space="0"/>
            </w:tcBorders>
            <w:noWrap/>
            <w:vAlign w:val="center"/>
          </w:tcPr>
          <w:p w14:paraId="2E538B39">
            <w:pPr>
              <w:snapToGrid w:val="0"/>
              <w:spacing w:line="380" w:lineRule="exact"/>
              <w:rPr>
                <w:rFonts w:ascii="宋体" w:hAnsi="宋体"/>
                <w:color w:val="auto"/>
                <w:szCs w:val="21"/>
                <w:highlight w:val="none"/>
                <w:u w:val="single"/>
              </w:rPr>
            </w:pPr>
            <w:r>
              <w:rPr>
                <w:rFonts w:ascii="仿宋" w:hAnsi="仿宋" w:eastAsia="仿宋"/>
                <w:b/>
                <w:bCs/>
                <w:color w:val="auto"/>
                <w:sz w:val="24"/>
                <w:highlight w:val="none"/>
              </w:rPr>
              <w:fldChar w:fldCharType="begin"/>
            </w:r>
            <w:r>
              <w:rPr>
                <w:rFonts w:hint="eastAsia" w:ascii="仿宋" w:hAnsi="仿宋" w:eastAsia="仿宋"/>
                <w:b/>
                <w:bCs/>
                <w:color w:val="auto"/>
                <w:sz w:val="24"/>
                <w:highlight w:val="none"/>
              </w:rPr>
              <w:instrText xml:space="preserve">eq \o\ac(□,</w:instrText>
            </w:r>
            <w:r>
              <w:rPr>
                <w:rFonts w:hint="eastAsia" w:ascii="仿宋" w:hAnsi="仿宋" w:eastAsia="仿宋"/>
                <w:b/>
                <w:bCs/>
                <w:color w:val="auto"/>
                <w:position w:val="2"/>
                <w:sz w:val="16"/>
                <w:highlight w:val="none"/>
              </w:rPr>
              <w:instrText xml:space="preserve">√</w:instrText>
            </w:r>
            <w:r>
              <w:rPr>
                <w:rFonts w:hint="eastAsia" w:ascii="仿宋" w:hAnsi="仿宋" w:eastAsia="仿宋"/>
                <w:b/>
                <w:bCs/>
                <w:color w:val="auto"/>
                <w:sz w:val="24"/>
                <w:highlight w:val="none"/>
              </w:rPr>
              <w:instrText xml:space="preserve">)</w:instrText>
            </w:r>
            <w:r>
              <w:rPr>
                <w:rFonts w:ascii="仿宋" w:hAnsi="仿宋" w:eastAsia="仿宋"/>
                <w:b/>
                <w:bCs/>
                <w:color w:val="auto"/>
                <w:sz w:val="24"/>
                <w:highlight w:val="none"/>
              </w:rPr>
              <w:fldChar w:fldCharType="end"/>
            </w:r>
            <w:r>
              <w:rPr>
                <w:rFonts w:hint="eastAsia" w:ascii="宋体" w:hAnsi="宋体"/>
                <w:color w:val="auto"/>
                <w:szCs w:val="21"/>
                <w:highlight w:val="none"/>
              </w:rPr>
              <w:t>不组织召开开标前答疑会</w:t>
            </w:r>
          </w:p>
        </w:tc>
      </w:tr>
      <w:tr w14:paraId="5C9B5F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left w:val="single" w:color="auto" w:sz="4" w:space="0"/>
              <w:right w:val="single" w:color="auto" w:sz="4" w:space="0"/>
            </w:tcBorders>
            <w:noWrap/>
            <w:vAlign w:val="center"/>
          </w:tcPr>
          <w:p w14:paraId="085C5AFC">
            <w:pPr>
              <w:spacing w:line="380" w:lineRule="exact"/>
              <w:rPr>
                <w:rFonts w:ascii="宋体" w:hAnsi="宋体"/>
                <w:color w:val="auto"/>
                <w:szCs w:val="21"/>
                <w:highlight w:val="none"/>
              </w:rPr>
            </w:pPr>
            <w:r>
              <w:rPr>
                <w:rFonts w:hint="eastAsia" w:ascii="宋体" w:hAnsi="宋体"/>
                <w:color w:val="auto"/>
                <w:szCs w:val="21"/>
                <w:highlight w:val="none"/>
              </w:rPr>
              <w:t>13.1</w:t>
            </w:r>
          </w:p>
        </w:tc>
        <w:tc>
          <w:tcPr>
            <w:tcW w:w="2071" w:type="dxa"/>
            <w:tcBorders>
              <w:top w:val="single" w:color="auto" w:sz="4" w:space="0"/>
              <w:left w:val="single" w:color="auto" w:sz="4" w:space="0"/>
              <w:bottom w:val="single" w:color="auto" w:sz="4" w:space="0"/>
              <w:right w:val="single" w:color="auto" w:sz="4" w:space="0"/>
            </w:tcBorders>
            <w:noWrap/>
            <w:vAlign w:val="center"/>
          </w:tcPr>
          <w:p w14:paraId="70E5E673">
            <w:pPr>
              <w:snapToGrid w:val="0"/>
              <w:spacing w:line="380" w:lineRule="exact"/>
              <w:jc w:val="left"/>
              <w:rPr>
                <w:rFonts w:ascii="宋体" w:hAnsi="宋体" w:cs="Courier New"/>
                <w:color w:val="auto"/>
                <w:szCs w:val="21"/>
                <w:highlight w:val="none"/>
              </w:rPr>
            </w:pPr>
            <w:r>
              <w:rPr>
                <w:rFonts w:hint="eastAsia" w:ascii="宋体" w:hAnsi="宋体" w:cs="Courier New"/>
                <w:color w:val="auto"/>
                <w:szCs w:val="21"/>
                <w:highlight w:val="none"/>
              </w:rPr>
              <w:t>资格证明文件组成</w:t>
            </w:r>
          </w:p>
        </w:tc>
        <w:tc>
          <w:tcPr>
            <w:tcW w:w="7185" w:type="dxa"/>
            <w:tcBorders>
              <w:top w:val="single" w:color="auto" w:sz="4" w:space="0"/>
              <w:left w:val="single" w:color="auto" w:sz="4" w:space="0"/>
              <w:bottom w:val="single" w:color="auto" w:sz="4" w:space="0"/>
              <w:right w:val="single" w:color="auto" w:sz="4" w:space="0"/>
            </w:tcBorders>
            <w:noWrap/>
            <w:vAlign w:val="center"/>
          </w:tcPr>
          <w:p w14:paraId="3D56B93D">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1、投标人为法人或者其他组织的，提供营业执照等证明文件</w:t>
            </w:r>
            <w:r>
              <w:rPr>
                <w:rFonts w:hint="eastAsia" w:ascii="宋体" w:hAnsi="宋体" w:cs="宋体"/>
                <w:color w:val="auto"/>
                <w:szCs w:val="21"/>
                <w:highlight w:val="none"/>
              </w:rPr>
              <w:t>（如营业执照或者事业单位法人</w:t>
            </w:r>
            <w:r>
              <w:rPr>
                <w:rFonts w:hint="eastAsia" w:ascii="宋体" w:hAnsi="宋体"/>
                <w:color w:val="auto"/>
                <w:szCs w:val="21"/>
                <w:highlight w:val="none"/>
              </w:rPr>
              <w:t>证书或者执业许可证等），投标人为自然人的，提供身份证</w:t>
            </w:r>
            <w:r>
              <w:rPr>
                <w:rFonts w:hint="eastAsia" w:ascii="宋体" w:hAnsi="宋体" w:cs="宋体"/>
                <w:color w:val="auto"/>
                <w:szCs w:val="21"/>
                <w:highlight w:val="none"/>
              </w:rPr>
              <w:t>复印件</w:t>
            </w:r>
            <w:r>
              <w:rPr>
                <w:rFonts w:hint="eastAsia" w:ascii="宋体" w:hAnsi="宋体"/>
                <w:color w:val="auto"/>
                <w:szCs w:val="21"/>
                <w:highlight w:val="none"/>
              </w:rPr>
              <w:t>。（</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79F5D079">
            <w:pPr>
              <w:snapToGrid w:val="0"/>
              <w:spacing w:line="380" w:lineRule="exact"/>
              <w:jc w:val="left"/>
              <w:rPr>
                <w:rFonts w:ascii="宋体" w:hAnsi="宋体"/>
                <w:color w:val="auto"/>
                <w:szCs w:val="21"/>
                <w:highlight w:val="none"/>
              </w:rPr>
            </w:pPr>
            <w:r>
              <w:rPr>
                <w:rFonts w:hint="eastAsia" w:ascii="宋体" w:hAnsi="宋体" w:cs="宋体"/>
                <w:color w:val="auto"/>
                <w:szCs w:val="21"/>
                <w:highlight w:val="none"/>
              </w:rPr>
              <w:t>2、投标人依法缴纳税收的相关材料：</w:t>
            </w:r>
            <w:r>
              <w:rPr>
                <w:rFonts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6 </w:t>
            </w:r>
            <w:r>
              <w:rPr>
                <w:rFonts w:hint="eastAsia" w:ascii="宋体" w:hAnsi="宋体" w:cs="宋体"/>
                <w:color w:val="auto"/>
                <w:szCs w:val="21"/>
                <w:highlight w:val="none"/>
              </w:rPr>
              <w:t>月至</w:t>
            </w:r>
            <w:r>
              <w:rPr>
                <w:rFonts w:hint="eastAsia" w:cs="宋体" w:asciiTheme="minorEastAsia" w:hAnsiTheme="minorEastAsia" w:eastAsiaTheme="minorEastAsia"/>
                <w:color w:val="auto"/>
                <w:szCs w:val="21"/>
              </w:rPr>
              <w:t>投标文件提交截止时间</w:t>
            </w:r>
            <w:r>
              <w:rPr>
                <w:rFonts w:hint="eastAsia" w:cs="宋体" w:asciiTheme="minorEastAsia" w:hAnsiTheme="minorEastAsia" w:eastAsiaTheme="minorEastAsia"/>
                <w:color w:val="auto"/>
                <w:szCs w:val="21"/>
                <w:lang w:val="en-US" w:eastAsia="zh-CN"/>
              </w:rPr>
              <w:t>前</w:t>
            </w:r>
            <w:r>
              <w:rPr>
                <w:rFonts w:hint="eastAsia" w:ascii="宋体" w:hAnsi="宋体" w:cs="宋体"/>
                <w:color w:val="auto"/>
                <w:szCs w:val="21"/>
                <w:highlight w:val="none"/>
              </w:rPr>
              <w:t>连续</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个月的依法缴纳税收的凭据复印件；依</w:t>
            </w:r>
            <w:r>
              <w:rPr>
                <w:rFonts w:hint="eastAsia" w:ascii="宋体" w:hAnsi="宋体"/>
                <w:color w:val="auto"/>
                <w:szCs w:val="21"/>
                <w:highlight w:val="none"/>
              </w:rPr>
              <w:t>法免税的供应商，必须提供相应文件证明其依法免税。</w:t>
            </w:r>
            <w:r>
              <w:rPr>
                <w:rFonts w:hint="eastAsia" w:ascii="宋体" w:hAnsi="宋体" w:cs="宋体"/>
                <w:color w:val="auto"/>
                <w:szCs w:val="21"/>
                <w:highlight w:val="none"/>
              </w:rPr>
              <w:t>从取得营业执照时间起到投标文件提交截止时间为止不足要求月数的，只需提供从取得营业执照起的依法缴纳税收</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60377F58">
            <w:pPr>
              <w:snapToGrid w:val="0"/>
              <w:spacing w:line="380" w:lineRule="exact"/>
              <w:jc w:val="left"/>
              <w:rPr>
                <w:rFonts w:ascii="宋体" w:hAnsi="宋体"/>
                <w:color w:val="auto"/>
                <w:szCs w:val="21"/>
                <w:highlight w:val="none"/>
              </w:rPr>
            </w:pPr>
            <w:r>
              <w:rPr>
                <w:rFonts w:hint="eastAsia" w:ascii="宋体" w:hAnsi="宋体" w:cs="宋体"/>
                <w:color w:val="auto"/>
                <w:szCs w:val="21"/>
                <w:highlight w:val="none"/>
              </w:rPr>
              <w:t>3、投标人依法缴纳社会保障资金的相关材料：</w:t>
            </w:r>
            <w:r>
              <w:rPr>
                <w:rFonts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6 </w:t>
            </w:r>
            <w:r>
              <w:rPr>
                <w:rFonts w:hint="eastAsia" w:ascii="宋体" w:hAnsi="宋体" w:cs="宋体"/>
                <w:color w:val="auto"/>
                <w:szCs w:val="21"/>
                <w:highlight w:val="none"/>
              </w:rPr>
              <w:t>月至</w:t>
            </w:r>
            <w:r>
              <w:rPr>
                <w:rFonts w:hint="eastAsia" w:cs="宋体" w:asciiTheme="minorEastAsia" w:hAnsiTheme="minorEastAsia" w:eastAsiaTheme="minorEastAsia"/>
                <w:color w:val="auto"/>
                <w:szCs w:val="21"/>
              </w:rPr>
              <w:t>投标文件提交截止时间</w:t>
            </w:r>
            <w:r>
              <w:rPr>
                <w:rFonts w:hint="eastAsia" w:cs="宋体" w:asciiTheme="minorEastAsia" w:hAnsiTheme="minorEastAsia" w:eastAsiaTheme="minorEastAsia"/>
                <w:color w:val="auto"/>
                <w:szCs w:val="21"/>
                <w:lang w:val="en-US" w:eastAsia="zh-CN"/>
              </w:rPr>
              <w:t>前</w:t>
            </w:r>
            <w:r>
              <w:rPr>
                <w:rFonts w:hint="eastAsia" w:ascii="宋体" w:hAnsi="宋体" w:cs="宋体"/>
                <w:color w:val="auto"/>
                <w:szCs w:val="21"/>
                <w:highlight w:val="none"/>
              </w:rPr>
              <w:t>连续</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个月的依法缴纳社会保障资金的缴费凭证复印件；</w:t>
            </w:r>
            <w:r>
              <w:rPr>
                <w:rFonts w:hint="eastAsia" w:ascii="宋体" w:hAnsi="宋体"/>
                <w:color w:val="auto"/>
                <w:szCs w:val="21"/>
                <w:highlight w:val="none"/>
              </w:rPr>
              <w:t>依法不需要缴纳社会保障资金的供应商，必须提供相应文件证明不需要缴纳社会保障资金。</w:t>
            </w:r>
            <w:r>
              <w:rPr>
                <w:rFonts w:hint="eastAsia" w:ascii="宋体" w:hAnsi="宋体" w:cs="宋体"/>
                <w:color w:val="auto"/>
                <w:szCs w:val="21"/>
                <w:highlight w:val="none"/>
              </w:rPr>
              <w:t>从取得营业执照时间起到投标文件提交截止时间为止不足要求月数的只需提供从取得营业执照起的依法缴纳社会保障资金的</w:t>
            </w:r>
            <w:r>
              <w:rPr>
                <w:rFonts w:hint="eastAsia" w:ascii="宋体" w:hAnsi="宋体"/>
                <w:color w:val="auto"/>
                <w:szCs w:val="21"/>
                <w:highlight w:val="none"/>
              </w:rPr>
              <w:t>相应证明文件。（</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5131C38B">
            <w:pPr>
              <w:snapToGrid w:val="0"/>
              <w:spacing w:line="380" w:lineRule="exact"/>
              <w:jc w:val="left"/>
              <w:rPr>
                <w:rFonts w:ascii="宋体" w:hAnsi="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投标人</w:t>
            </w:r>
            <w:r>
              <w:rPr>
                <w:rFonts w:hint="eastAsia"/>
                <w:color w:val="auto"/>
                <w:szCs w:val="21"/>
                <w:highlight w:val="none"/>
              </w:rPr>
              <w:t>财务状况报告[</w:t>
            </w:r>
            <w:r>
              <w:rPr>
                <w:rFonts w:hint="eastAsia"/>
                <w:color w:val="auto"/>
                <w:szCs w:val="21"/>
                <w:highlight w:val="none"/>
                <w:u w:val="single"/>
              </w:rPr>
              <w:t>2023年</w:t>
            </w:r>
            <w:r>
              <w:rPr>
                <w:rFonts w:hint="eastAsia"/>
                <w:color w:val="auto"/>
                <w:szCs w:val="21"/>
                <w:highlight w:val="none"/>
              </w:rPr>
              <w:t>年度财务报表复印件（</w:t>
            </w:r>
            <w:r>
              <w:rPr>
                <w:rFonts w:hint="eastAsia" w:ascii="宋体" w:hAnsi="宋体" w:cs="宋体"/>
                <w:color w:val="auto"/>
                <w:szCs w:val="21"/>
                <w:highlight w:val="none"/>
              </w:rPr>
              <w:t>资产负债表、利润表和现金流量表）</w:t>
            </w:r>
            <w:r>
              <w:rPr>
                <w:rFonts w:hint="eastAsia"/>
                <w:color w:val="auto"/>
                <w:szCs w:val="21"/>
                <w:highlight w:val="none"/>
              </w:rPr>
              <w:t>或者银行出具的资信证明或</w:t>
            </w:r>
            <w:r>
              <w:rPr>
                <w:rFonts w:hint="eastAsia" w:ascii="宋体" w:hAnsi="宋体" w:cs="宋体"/>
                <w:color w:val="auto"/>
                <w:szCs w:val="21"/>
                <w:highlight w:val="none"/>
              </w:rPr>
              <w:t>经第三方审计的财务报告</w:t>
            </w:r>
            <w:r>
              <w:rPr>
                <w:rFonts w:hint="eastAsia"/>
                <w:color w:val="auto"/>
                <w:szCs w:val="21"/>
                <w:highlight w:val="none"/>
              </w:rPr>
              <w:t>；</w:t>
            </w:r>
            <w:r>
              <w:rPr>
                <w:rFonts w:hint="eastAsia"/>
                <w:color w:val="auto"/>
                <w:szCs w:val="21"/>
                <w:highlight w:val="none"/>
                <w:lang w:val="en-US" w:eastAsia="zh-CN"/>
              </w:rPr>
              <w:t>投标人</w:t>
            </w:r>
            <w:r>
              <w:rPr>
                <w:rFonts w:hint="eastAsia"/>
                <w:color w:val="auto"/>
                <w:szCs w:val="21"/>
                <w:highlight w:val="none"/>
              </w:rPr>
              <w:t>属于</w:t>
            </w:r>
            <w:r>
              <w:rPr>
                <w:rFonts w:hint="eastAsia"/>
                <w:color w:val="auto"/>
                <w:highlight w:val="none"/>
              </w:rPr>
              <w:t>成立时间</w:t>
            </w:r>
            <w:r>
              <w:rPr>
                <w:rFonts w:hint="eastAsia"/>
                <w:color w:val="auto"/>
                <w:kern w:val="0"/>
                <w:highlight w:val="none"/>
              </w:rPr>
              <w:t>在规定年度之后</w:t>
            </w:r>
            <w:r>
              <w:rPr>
                <w:rFonts w:hint="eastAsia"/>
                <w:color w:val="auto"/>
                <w:highlight w:val="none"/>
              </w:rPr>
              <w:t>的</w:t>
            </w:r>
            <w:r>
              <w:rPr>
                <w:rFonts w:hint="eastAsia"/>
                <w:color w:val="auto"/>
                <w:szCs w:val="21"/>
                <w:highlight w:val="none"/>
              </w:rPr>
              <w:t>法人或其他组织</w:t>
            </w:r>
            <w:r>
              <w:rPr>
                <w:rFonts w:hint="eastAsia"/>
                <w:color w:val="auto"/>
                <w:highlight w:val="none"/>
              </w:rPr>
              <w:t>，需提供成立之日起至</w:t>
            </w:r>
            <w:r>
              <w:rPr>
                <w:rFonts w:hint="eastAsia"/>
                <w:color w:val="auto"/>
                <w:szCs w:val="21"/>
                <w:highlight w:val="none"/>
                <w:lang w:val="en-US" w:eastAsia="zh-CN"/>
              </w:rPr>
              <w:t>投标</w:t>
            </w:r>
            <w:r>
              <w:rPr>
                <w:rFonts w:hint="eastAsia"/>
                <w:color w:val="auto"/>
                <w:highlight w:val="none"/>
              </w:rPr>
              <w:t>文件提交截止时间前的月报表</w:t>
            </w:r>
            <w:r>
              <w:rPr>
                <w:rFonts w:hint="eastAsia"/>
                <w:color w:val="auto"/>
                <w:szCs w:val="21"/>
                <w:highlight w:val="none"/>
              </w:rPr>
              <w:t>或银行出具的资信证明；资信证明应在有效期内，未注明有效期的，银行出具时间至</w:t>
            </w:r>
            <w:r>
              <w:rPr>
                <w:rFonts w:hint="eastAsia"/>
                <w:color w:val="auto"/>
                <w:szCs w:val="21"/>
                <w:highlight w:val="none"/>
                <w:lang w:val="en-US" w:eastAsia="zh-CN"/>
              </w:rPr>
              <w:t>投标</w:t>
            </w:r>
            <w:r>
              <w:rPr>
                <w:rFonts w:hint="eastAsia"/>
                <w:color w:val="auto"/>
                <w:szCs w:val="21"/>
                <w:highlight w:val="none"/>
              </w:rPr>
              <w:t>文件提交截止时间不超过一年]</w:t>
            </w:r>
            <w:r>
              <w:rPr>
                <w:rFonts w:hint="eastAsia" w:ascii="宋体" w:hAnsi="宋体"/>
                <w:color w:val="auto"/>
                <w:szCs w:val="21"/>
                <w:highlight w:val="none"/>
              </w:rPr>
              <w:t>。（</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4AE01F6A">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5、投标人直接控股、管理关系信息表。（</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5CC9541D">
            <w:pPr>
              <w:numPr>
                <w:ilvl w:val="0"/>
                <w:numId w:val="2"/>
              </w:numPr>
              <w:snapToGrid w:val="0"/>
              <w:spacing w:line="380" w:lineRule="exact"/>
              <w:jc w:val="left"/>
              <w:rPr>
                <w:rFonts w:ascii="宋体" w:hAnsi="宋体"/>
                <w:color w:val="auto"/>
                <w:szCs w:val="21"/>
                <w:highlight w:val="none"/>
              </w:rPr>
            </w:pPr>
            <w:r>
              <w:rPr>
                <w:rFonts w:hint="eastAsia" w:ascii="宋体" w:hAnsi="宋体"/>
                <w:color w:val="auto"/>
                <w:szCs w:val="21"/>
                <w:highlight w:val="none"/>
              </w:rPr>
              <w:t>投标资格声明函。（</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58BA59C1">
            <w:pPr>
              <w:pStyle w:val="7"/>
              <w:ind w:left="0" w:leftChars="0" w:firstLine="0" w:firstLineChars="0"/>
              <w:rPr>
                <w:rFonts w:hint="default" w:eastAsia="宋体"/>
                <w:color w:val="auto"/>
                <w:lang w:val="en-US" w:eastAsia="zh-CN"/>
              </w:rPr>
            </w:pPr>
            <w:r>
              <w:rPr>
                <w:rFonts w:hint="eastAsia"/>
                <w:b w:val="0"/>
                <w:bCs w:val="0"/>
                <w:color w:val="auto"/>
                <w:lang w:val="en-US" w:eastAsia="zh-CN"/>
              </w:rPr>
              <w:t>7、</w:t>
            </w:r>
            <w:r>
              <w:rPr>
                <w:rFonts w:hint="eastAsia" w:ascii="宋体" w:hAnsi="宋体" w:eastAsia="宋体" w:cs="宋体"/>
                <w:b w:val="0"/>
                <w:bCs w:val="0"/>
                <w:color w:val="auto"/>
                <w:szCs w:val="21"/>
                <w:highlight w:val="none"/>
              </w:rPr>
              <w:t>除</w:t>
            </w:r>
            <w:r>
              <w:rPr>
                <w:rFonts w:hint="eastAsia" w:ascii="宋体" w:hAnsi="宋体" w:eastAsia="宋体" w:cs="宋体"/>
                <w:color w:val="auto"/>
                <w:szCs w:val="21"/>
                <w:highlight w:val="none"/>
                <w:lang w:eastAsia="zh-CN"/>
              </w:rPr>
              <w:t>招标</w:t>
            </w:r>
            <w:r>
              <w:rPr>
                <w:rFonts w:hint="eastAsia" w:ascii="宋体" w:hAnsi="宋体" w:eastAsia="宋体" w:cs="宋体"/>
                <w:color w:val="auto"/>
                <w:szCs w:val="21"/>
                <w:highlight w:val="none"/>
              </w:rPr>
              <w:t>文件规定必须提供以外，</w:t>
            </w:r>
            <w:r>
              <w:rPr>
                <w:rFonts w:hint="eastAsia" w:ascii="宋体" w:hAnsi="宋体"/>
                <w:color w:val="auto"/>
                <w:szCs w:val="21"/>
                <w:highlight w:val="none"/>
              </w:rPr>
              <w:t>投标人</w:t>
            </w:r>
            <w:r>
              <w:rPr>
                <w:rFonts w:hint="eastAsia" w:ascii="宋体" w:hAnsi="宋体" w:eastAsia="宋体" w:cs="宋体"/>
                <w:color w:val="auto"/>
                <w:szCs w:val="21"/>
                <w:highlight w:val="none"/>
              </w:rPr>
              <w:t>认为需要提供的其他证明材料；</w:t>
            </w:r>
          </w:p>
          <w:p w14:paraId="7048A707">
            <w:pPr>
              <w:snapToGrid w:val="0"/>
              <w:spacing w:line="380" w:lineRule="exact"/>
              <w:jc w:val="left"/>
              <w:rPr>
                <w:rFonts w:ascii="宋体" w:hAnsi="宋体"/>
                <w:b/>
                <w:bCs/>
                <w:color w:val="auto"/>
                <w:szCs w:val="21"/>
                <w:highlight w:val="none"/>
              </w:rPr>
            </w:pPr>
            <w:r>
              <w:rPr>
                <w:rFonts w:hint="eastAsia" w:ascii="宋体" w:hAnsi="宋体"/>
                <w:b/>
                <w:bCs/>
                <w:color w:val="auto"/>
                <w:szCs w:val="21"/>
                <w:highlight w:val="none"/>
              </w:rPr>
              <w:t>注：1.以上标明“必须提供”的材料</w:t>
            </w:r>
            <w:r>
              <w:rPr>
                <w:rFonts w:hint="eastAsia" w:ascii="宋体" w:hAnsi="宋体" w:cs="宋体"/>
                <w:b/>
                <w:color w:val="auto"/>
                <w:szCs w:val="21"/>
                <w:highlight w:val="none"/>
              </w:rPr>
              <w:t>属于复印件的扫描件的</w:t>
            </w:r>
            <w:r>
              <w:rPr>
                <w:rFonts w:hint="eastAsia" w:ascii="宋体" w:hAnsi="宋体"/>
                <w:b/>
                <w:bCs/>
                <w:color w:val="auto"/>
                <w:szCs w:val="21"/>
                <w:highlight w:val="none"/>
              </w:rPr>
              <w:t>，必须加盖投标人电子公章，否则</w:t>
            </w:r>
            <w:r>
              <w:rPr>
                <w:rFonts w:hint="eastAsia" w:ascii="宋体" w:hAnsi="宋体" w:cs="Courier New"/>
                <w:b/>
                <w:color w:val="auto"/>
                <w:szCs w:val="21"/>
                <w:highlight w:val="none"/>
              </w:rPr>
              <w:t>作无效投标处理。</w:t>
            </w:r>
          </w:p>
        </w:tc>
      </w:tr>
      <w:tr w14:paraId="4BD1A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left w:val="single" w:color="auto" w:sz="4" w:space="0"/>
              <w:right w:val="single" w:color="auto" w:sz="4" w:space="0"/>
            </w:tcBorders>
            <w:noWrap/>
            <w:vAlign w:val="center"/>
          </w:tcPr>
          <w:p w14:paraId="3221A2F2">
            <w:pPr>
              <w:spacing w:line="380" w:lineRule="exact"/>
              <w:rPr>
                <w:rFonts w:ascii="宋体" w:hAnsi="宋体"/>
                <w:color w:val="auto"/>
                <w:szCs w:val="21"/>
                <w:highlight w:val="none"/>
              </w:rPr>
            </w:pPr>
          </w:p>
        </w:tc>
        <w:tc>
          <w:tcPr>
            <w:tcW w:w="2071" w:type="dxa"/>
            <w:tcBorders>
              <w:top w:val="single" w:color="auto" w:sz="4" w:space="0"/>
              <w:left w:val="single" w:color="auto" w:sz="4" w:space="0"/>
              <w:bottom w:val="single" w:color="auto" w:sz="4" w:space="0"/>
              <w:right w:val="single" w:color="auto" w:sz="4" w:space="0"/>
            </w:tcBorders>
            <w:noWrap/>
            <w:vAlign w:val="center"/>
          </w:tcPr>
          <w:p w14:paraId="0822AB76">
            <w:pPr>
              <w:snapToGrid w:val="0"/>
              <w:spacing w:line="380" w:lineRule="exact"/>
              <w:jc w:val="left"/>
              <w:rPr>
                <w:rFonts w:ascii="宋体" w:hAnsi="宋体" w:cs="Courier New"/>
                <w:color w:val="auto"/>
                <w:szCs w:val="21"/>
                <w:highlight w:val="none"/>
              </w:rPr>
            </w:pPr>
            <w:r>
              <w:rPr>
                <w:rFonts w:hint="eastAsia" w:ascii="宋体" w:hAnsi="宋体" w:cs="Courier New"/>
                <w:color w:val="auto"/>
                <w:szCs w:val="21"/>
                <w:highlight w:val="none"/>
              </w:rPr>
              <w:t>商务文件组成</w:t>
            </w:r>
          </w:p>
          <w:p w14:paraId="41106937">
            <w:pPr>
              <w:spacing w:line="380" w:lineRule="exact"/>
              <w:rPr>
                <w:rFonts w:ascii="宋体" w:hAnsi="宋体"/>
                <w:color w:val="auto"/>
                <w:szCs w:val="21"/>
                <w:highlight w:val="none"/>
              </w:rPr>
            </w:pPr>
          </w:p>
        </w:tc>
        <w:tc>
          <w:tcPr>
            <w:tcW w:w="7185" w:type="dxa"/>
            <w:tcBorders>
              <w:top w:val="single" w:color="auto" w:sz="4" w:space="0"/>
              <w:left w:val="single" w:color="auto" w:sz="4" w:space="0"/>
              <w:bottom w:val="single" w:color="auto" w:sz="4" w:space="0"/>
              <w:right w:val="single" w:color="auto" w:sz="4" w:space="0"/>
            </w:tcBorders>
            <w:noWrap/>
            <w:vAlign w:val="center"/>
          </w:tcPr>
          <w:p w14:paraId="248ACF11">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1、无串通投标行为的承诺函；（</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2642AF2E">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2、法定代表人身份证明及法定代表人有效身份证正反面复印件；（</w:t>
            </w:r>
            <w:r>
              <w:rPr>
                <w:rFonts w:hint="eastAsia" w:ascii="宋体" w:hAnsi="宋体" w:cs="宋体"/>
                <w:b/>
                <w:bCs/>
                <w:color w:val="auto"/>
                <w:szCs w:val="21"/>
                <w:highlight w:val="none"/>
              </w:rPr>
              <w:t>除自然人投标外</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72CA6C12">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3、法定代表人授权委托书及委托代理人有效身份证正反面复印件；（</w:t>
            </w:r>
            <w:r>
              <w:rPr>
                <w:rFonts w:hint="eastAsia" w:ascii="宋体" w:hAnsi="宋体"/>
                <w:b/>
                <w:color w:val="auto"/>
                <w:szCs w:val="21"/>
                <w:highlight w:val="none"/>
              </w:rPr>
              <w:t>委托时必须提供，否则作无效投标处理</w:t>
            </w:r>
            <w:r>
              <w:rPr>
                <w:rFonts w:hint="eastAsia" w:ascii="宋体" w:hAnsi="宋体"/>
                <w:color w:val="auto"/>
                <w:szCs w:val="21"/>
                <w:highlight w:val="none"/>
              </w:rPr>
              <w:t>）</w:t>
            </w:r>
          </w:p>
          <w:p w14:paraId="592D3490">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4、商务条款偏离表；（</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14A194A2">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5、对应第二章“采购需求”商务条款中要求必须提供的文件资料；</w:t>
            </w:r>
          </w:p>
          <w:p w14:paraId="6379C6DA">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6、投标人情况介绍；</w:t>
            </w:r>
          </w:p>
          <w:p w14:paraId="248DEDF6">
            <w:pPr>
              <w:snapToGrid w:val="0"/>
              <w:spacing w:line="380" w:lineRule="exact"/>
              <w:jc w:val="left"/>
              <w:rPr>
                <w:rFonts w:hint="default" w:ascii="宋体" w:hAnsi="宋体" w:eastAsia="宋体"/>
                <w:color w:val="auto"/>
                <w:szCs w:val="21"/>
                <w:highlight w:val="none"/>
                <w:lang w:val="en-US" w:eastAsia="zh-CN"/>
              </w:rPr>
            </w:pPr>
            <w:r>
              <w:rPr>
                <w:rFonts w:ascii="宋体" w:hAnsi="宋体"/>
                <w:color w:val="auto"/>
                <w:szCs w:val="21"/>
                <w:highlight w:val="none"/>
              </w:rPr>
              <w:t>7</w:t>
            </w:r>
            <w:r>
              <w:rPr>
                <w:rFonts w:hint="eastAsia" w:ascii="宋体" w:hAnsi="宋体"/>
                <w:color w:val="auto"/>
                <w:szCs w:val="21"/>
                <w:highlight w:val="none"/>
              </w:rPr>
              <w:t>、</w:t>
            </w:r>
            <w:r>
              <w:rPr>
                <w:rFonts w:hint="eastAsia" w:ascii="宋体" w:hAnsi="宋体"/>
                <w:color w:val="auto"/>
                <w:szCs w:val="21"/>
                <w:highlight w:val="none"/>
                <w:lang w:val="en-US" w:eastAsia="zh-CN"/>
              </w:rPr>
              <w:t>投标人类似业绩证明文件；</w:t>
            </w:r>
          </w:p>
          <w:p w14:paraId="441F028A">
            <w:pPr>
              <w:snapToGrid w:val="0"/>
              <w:spacing w:line="380" w:lineRule="exact"/>
              <w:jc w:val="left"/>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除招标文件规定必须提供以外，投标人认为需要提供的其他证明材料。（投标人根据“第二章 采购需求”及“第四章 评标方法及评标标准”提供有关证明材料）。</w:t>
            </w:r>
          </w:p>
          <w:p w14:paraId="07304EE8">
            <w:pPr>
              <w:snapToGrid w:val="0"/>
              <w:spacing w:line="380" w:lineRule="exact"/>
              <w:jc w:val="left"/>
              <w:rPr>
                <w:rFonts w:ascii="宋体" w:hAnsi="宋体"/>
                <w:b/>
                <w:bCs/>
                <w:color w:val="auto"/>
                <w:szCs w:val="21"/>
                <w:highlight w:val="none"/>
              </w:rPr>
            </w:pPr>
            <w:r>
              <w:rPr>
                <w:rFonts w:hint="eastAsia" w:ascii="宋体" w:hAnsi="宋体"/>
                <w:b/>
                <w:bCs/>
                <w:color w:val="auto"/>
                <w:szCs w:val="21"/>
                <w:highlight w:val="none"/>
              </w:rPr>
              <w:t>注： 1.法定代表人必须在授权委托书上签字或者盖章或者电子签名，委托代理人必须在授权委托书上签字或者电子签名，并加盖投标人电子公章，否则作无效投标处理。</w:t>
            </w:r>
          </w:p>
          <w:p w14:paraId="297683EF">
            <w:pPr>
              <w:snapToGrid w:val="0"/>
              <w:spacing w:line="380" w:lineRule="exact"/>
              <w:ind w:firstLine="422" w:firstLineChars="200"/>
              <w:jc w:val="left"/>
              <w:rPr>
                <w:rFonts w:ascii="宋体" w:hAnsi="宋体" w:cs="Courier New"/>
                <w:b/>
                <w:color w:val="auto"/>
                <w:szCs w:val="21"/>
                <w:highlight w:val="none"/>
              </w:rPr>
            </w:pPr>
            <w:r>
              <w:rPr>
                <w:rFonts w:hint="eastAsia" w:ascii="宋体" w:hAnsi="宋体"/>
                <w:b/>
                <w:bCs/>
                <w:color w:val="auto"/>
                <w:szCs w:val="21"/>
                <w:highlight w:val="none"/>
              </w:rPr>
              <w:t>2.以上标明“必须提供”的材料</w:t>
            </w:r>
            <w:r>
              <w:rPr>
                <w:rFonts w:hint="eastAsia" w:ascii="宋体" w:hAnsi="宋体" w:cs="宋体"/>
                <w:b/>
                <w:color w:val="auto"/>
                <w:szCs w:val="21"/>
                <w:highlight w:val="none"/>
              </w:rPr>
              <w:t>属于复印件的扫描件的</w:t>
            </w:r>
            <w:r>
              <w:rPr>
                <w:rFonts w:hint="eastAsia" w:ascii="宋体" w:hAnsi="宋体"/>
                <w:b/>
                <w:bCs/>
                <w:color w:val="auto"/>
                <w:szCs w:val="21"/>
                <w:highlight w:val="none"/>
              </w:rPr>
              <w:t>，必须加盖投标人电子公章，否则</w:t>
            </w:r>
            <w:r>
              <w:rPr>
                <w:rFonts w:hint="eastAsia" w:ascii="宋体" w:hAnsi="宋体" w:cs="Courier New"/>
                <w:b/>
                <w:color w:val="auto"/>
                <w:szCs w:val="21"/>
                <w:highlight w:val="none"/>
              </w:rPr>
              <w:t>作无效投标处理</w:t>
            </w:r>
            <w:r>
              <w:rPr>
                <w:rFonts w:hint="eastAsia" w:ascii="宋体" w:hAnsi="宋体"/>
                <w:b/>
                <w:bCs/>
                <w:color w:val="auto"/>
                <w:szCs w:val="21"/>
                <w:highlight w:val="none"/>
              </w:rPr>
              <w:t>。</w:t>
            </w:r>
          </w:p>
        </w:tc>
      </w:tr>
      <w:tr w14:paraId="6C6CB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left w:val="single" w:color="auto" w:sz="4" w:space="0"/>
              <w:right w:val="single" w:color="auto" w:sz="4" w:space="0"/>
            </w:tcBorders>
            <w:noWrap/>
            <w:vAlign w:val="center"/>
          </w:tcPr>
          <w:p w14:paraId="715FB6AC">
            <w:pPr>
              <w:spacing w:line="380" w:lineRule="exact"/>
              <w:rPr>
                <w:rFonts w:ascii="宋体" w:hAnsi="宋体"/>
                <w:color w:val="auto"/>
                <w:szCs w:val="21"/>
                <w:highlight w:val="none"/>
              </w:rPr>
            </w:pPr>
          </w:p>
        </w:tc>
        <w:tc>
          <w:tcPr>
            <w:tcW w:w="2071" w:type="dxa"/>
            <w:tcBorders>
              <w:top w:val="single" w:color="auto" w:sz="4" w:space="0"/>
              <w:left w:val="single" w:color="auto" w:sz="4" w:space="0"/>
              <w:bottom w:val="single" w:color="auto" w:sz="4" w:space="0"/>
              <w:right w:val="single" w:color="auto" w:sz="4" w:space="0"/>
            </w:tcBorders>
            <w:noWrap/>
            <w:vAlign w:val="center"/>
          </w:tcPr>
          <w:p w14:paraId="63978439">
            <w:pPr>
              <w:snapToGrid w:val="0"/>
              <w:spacing w:line="380" w:lineRule="exact"/>
              <w:jc w:val="left"/>
              <w:rPr>
                <w:rFonts w:ascii="宋体" w:hAnsi="宋体" w:cs="Courier New"/>
                <w:color w:val="auto"/>
                <w:szCs w:val="21"/>
                <w:highlight w:val="none"/>
              </w:rPr>
            </w:pPr>
            <w:r>
              <w:rPr>
                <w:rFonts w:hint="eastAsia" w:ascii="宋体" w:hAnsi="宋体" w:cs="Courier New"/>
                <w:color w:val="auto"/>
                <w:szCs w:val="21"/>
                <w:highlight w:val="none"/>
              </w:rPr>
              <w:t>技术文件组成</w:t>
            </w:r>
          </w:p>
          <w:p w14:paraId="79703CCF">
            <w:pPr>
              <w:spacing w:line="380" w:lineRule="exact"/>
              <w:rPr>
                <w:rFonts w:ascii="宋体" w:hAnsi="宋体"/>
                <w:color w:val="auto"/>
                <w:szCs w:val="21"/>
                <w:highlight w:val="none"/>
              </w:rPr>
            </w:pPr>
          </w:p>
        </w:tc>
        <w:tc>
          <w:tcPr>
            <w:tcW w:w="7185" w:type="dxa"/>
            <w:tcBorders>
              <w:top w:val="single" w:color="auto" w:sz="4" w:space="0"/>
              <w:left w:val="single" w:color="auto" w:sz="4" w:space="0"/>
              <w:bottom w:val="single" w:color="auto" w:sz="4" w:space="0"/>
              <w:right w:val="single" w:color="auto" w:sz="4" w:space="0"/>
            </w:tcBorders>
            <w:noWrap/>
            <w:vAlign w:val="center"/>
          </w:tcPr>
          <w:p w14:paraId="4A21A6DD">
            <w:pPr>
              <w:snapToGrid w:val="0"/>
              <w:spacing w:line="380" w:lineRule="exact"/>
              <w:jc w:val="left"/>
              <w:rPr>
                <w:rFonts w:hint="eastAsia" w:ascii="宋体" w:hAnsi="宋体"/>
                <w:color w:val="auto"/>
                <w:szCs w:val="21"/>
                <w:highlight w:val="none"/>
                <w:lang w:eastAsia="zh-CN"/>
              </w:rPr>
            </w:pPr>
            <w:r>
              <w:rPr>
                <w:rFonts w:ascii="宋体" w:hAnsi="宋体"/>
                <w:color w:val="auto"/>
                <w:szCs w:val="21"/>
                <w:highlight w:val="none"/>
              </w:rPr>
              <w:t>1</w:t>
            </w:r>
            <w:r>
              <w:rPr>
                <w:rFonts w:hint="eastAsia" w:ascii="宋体" w:hAnsi="宋体"/>
                <w:color w:val="auto"/>
                <w:szCs w:val="21"/>
                <w:highlight w:val="none"/>
                <w:lang w:eastAsia="zh-CN"/>
              </w:rPr>
              <w:t>、配置清单（均不含报价）；</w:t>
            </w:r>
            <w:r>
              <w:rPr>
                <w:rFonts w:hint="eastAsia" w:ascii="宋体" w:hAnsi="宋体"/>
                <w:color w:val="auto"/>
                <w:szCs w:val="21"/>
                <w:highlight w:val="none"/>
              </w:rPr>
              <w:t>（</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63458E0D">
            <w:pPr>
              <w:snapToGrid w:val="0"/>
              <w:spacing w:line="380" w:lineRule="exact"/>
              <w:jc w:val="left"/>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技术需求偏离表；（</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17AF78D9">
            <w:pPr>
              <w:snapToGrid w:val="0"/>
              <w:spacing w:line="380" w:lineRule="exact"/>
              <w:jc w:val="left"/>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lang w:val="en-US" w:eastAsia="zh-CN"/>
              </w:rPr>
              <w:t>3</w:t>
            </w:r>
            <w:r>
              <w:rPr>
                <w:rFonts w:hint="eastAsia" w:ascii="新宋体" w:hAnsi="新宋体" w:eastAsia="新宋体" w:cs="新宋体"/>
                <w:color w:val="auto"/>
                <w:sz w:val="21"/>
                <w:szCs w:val="21"/>
                <w:highlight w:val="none"/>
                <w:lang w:eastAsia="zh-CN"/>
              </w:rPr>
              <w:t>、</w:t>
            </w:r>
            <w:r>
              <w:rPr>
                <w:rFonts w:hint="eastAsia" w:ascii="新宋体" w:hAnsi="新宋体" w:eastAsia="新宋体" w:cs="新宋体"/>
                <w:color w:val="auto"/>
                <w:sz w:val="21"/>
                <w:szCs w:val="21"/>
                <w:highlight w:val="none"/>
                <w:lang w:val="en-US" w:eastAsia="zh-CN"/>
              </w:rPr>
              <w:t>技术</w:t>
            </w:r>
            <w:r>
              <w:rPr>
                <w:rFonts w:hint="eastAsia" w:ascii="新宋体" w:hAnsi="新宋体" w:eastAsia="新宋体" w:cs="新宋体"/>
                <w:color w:val="auto"/>
                <w:sz w:val="21"/>
                <w:szCs w:val="21"/>
                <w:highlight w:val="none"/>
              </w:rPr>
              <w:t>方案</w:t>
            </w:r>
            <w:r>
              <w:rPr>
                <w:rFonts w:hint="eastAsia" w:ascii="新宋体" w:hAnsi="新宋体" w:eastAsia="新宋体" w:cs="新宋体"/>
                <w:color w:val="auto"/>
                <w:sz w:val="21"/>
                <w:szCs w:val="21"/>
                <w:highlight w:val="none"/>
                <w:lang w:eastAsia="zh-CN"/>
              </w:rPr>
              <w:t>（</w:t>
            </w:r>
            <w:r>
              <w:rPr>
                <w:rFonts w:hint="eastAsia" w:ascii="新宋体" w:hAnsi="新宋体" w:eastAsia="新宋体" w:cs="新宋体"/>
                <w:color w:val="auto"/>
                <w:sz w:val="21"/>
                <w:szCs w:val="21"/>
                <w:vertAlign w:val="baseline"/>
                <w:lang w:eastAsia="zh-CN"/>
              </w:rPr>
              <w:t>实施方案、安装进度计划和工期保证、</w:t>
            </w:r>
            <w:r>
              <w:rPr>
                <w:rFonts w:hint="eastAsia" w:ascii="新宋体" w:hAnsi="新宋体" w:eastAsia="新宋体" w:cs="新宋体"/>
                <w:b w:val="0"/>
                <w:bCs w:val="0"/>
                <w:color w:val="auto"/>
                <w:sz w:val="21"/>
                <w:szCs w:val="21"/>
                <w:vertAlign w:val="baseline"/>
                <w:lang w:val="en-US" w:eastAsia="zh-CN"/>
              </w:rPr>
              <w:t>技术培训方案等内容</w:t>
            </w:r>
            <w:r>
              <w:rPr>
                <w:rFonts w:hint="eastAsia" w:ascii="新宋体" w:hAnsi="新宋体" w:eastAsia="新宋体" w:cs="新宋体"/>
                <w:color w:val="auto"/>
                <w:sz w:val="21"/>
                <w:szCs w:val="21"/>
                <w:highlight w:val="none"/>
                <w:lang w:eastAsia="zh-CN"/>
              </w:rPr>
              <w:t>）</w:t>
            </w:r>
            <w:r>
              <w:rPr>
                <w:rFonts w:hint="eastAsia" w:ascii="新宋体" w:hAnsi="新宋体" w:eastAsia="新宋体" w:cs="新宋体"/>
                <w:color w:val="auto"/>
                <w:sz w:val="21"/>
                <w:szCs w:val="21"/>
                <w:highlight w:val="none"/>
              </w:rPr>
              <w:t>；（</w:t>
            </w:r>
            <w:r>
              <w:rPr>
                <w:rFonts w:hint="eastAsia" w:ascii="新宋体" w:hAnsi="新宋体" w:eastAsia="新宋体" w:cs="新宋体"/>
                <w:b/>
                <w:color w:val="auto"/>
                <w:sz w:val="21"/>
                <w:szCs w:val="21"/>
                <w:highlight w:val="none"/>
              </w:rPr>
              <w:t>必须提供，否则作无效投标处理</w:t>
            </w:r>
            <w:r>
              <w:rPr>
                <w:rFonts w:hint="eastAsia" w:ascii="新宋体" w:hAnsi="新宋体" w:eastAsia="新宋体" w:cs="新宋体"/>
                <w:color w:val="auto"/>
                <w:sz w:val="21"/>
                <w:szCs w:val="21"/>
                <w:highlight w:val="none"/>
              </w:rPr>
              <w:t>）</w:t>
            </w:r>
          </w:p>
          <w:p w14:paraId="3D4D2868">
            <w:pPr>
              <w:snapToGrid w:val="0"/>
              <w:spacing w:line="380" w:lineRule="exact"/>
              <w:jc w:val="left"/>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lang w:val="en-US" w:eastAsia="zh-CN"/>
              </w:rPr>
              <w:t>4</w:t>
            </w:r>
            <w:r>
              <w:rPr>
                <w:rFonts w:hint="eastAsia" w:ascii="新宋体" w:hAnsi="新宋体" w:eastAsia="新宋体" w:cs="新宋体"/>
                <w:color w:val="auto"/>
                <w:sz w:val="21"/>
                <w:szCs w:val="21"/>
                <w:highlight w:val="none"/>
                <w:lang w:eastAsia="zh-CN"/>
              </w:rPr>
              <w:t>、</w:t>
            </w:r>
            <w:r>
              <w:rPr>
                <w:rFonts w:hint="eastAsia" w:ascii="新宋体" w:hAnsi="新宋体" w:eastAsia="新宋体" w:cs="新宋体"/>
                <w:color w:val="auto"/>
                <w:sz w:val="21"/>
                <w:szCs w:val="21"/>
                <w:highlight w:val="none"/>
              </w:rPr>
              <w:t>售后服务方案；（</w:t>
            </w:r>
            <w:r>
              <w:rPr>
                <w:rFonts w:hint="eastAsia" w:ascii="新宋体" w:hAnsi="新宋体" w:eastAsia="新宋体" w:cs="新宋体"/>
                <w:b/>
                <w:color w:val="auto"/>
                <w:sz w:val="21"/>
                <w:szCs w:val="21"/>
                <w:highlight w:val="none"/>
              </w:rPr>
              <w:t>必须提供，否则作无效投标处理</w:t>
            </w:r>
            <w:r>
              <w:rPr>
                <w:rFonts w:hint="eastAsia" w:ascii="新宋体" w:hAnsi="新宋体" w:eastAsia="新宋体" w:cs="新宋体"/>
                <w:color w:val="auto"/>
                <w:sz w:val="21"/>
                <w:szCs w:val="21"/>
                <w:highlight w:val="none"/>
              </w:rPr>
              <w:t>）</w:t>
            </w:r>
          </w:p>
          <w:p w14:paraId="742117C3">
            <w:pPr>
              <w:snapToGrid w:val="0"/>
              <w:spacing w:line="380" w:lineRule="exact"/>
              <w:jc w:val="left"/>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w:t>
            </w:r>
            <w:r>
              <w:rPr>
                <w:rFonts w:hint="eastAsia" w:ascii="宋体" w:hAnsi="宋体"/>
                <w:color w:val="auto"/>
                <w:szCs w:val="21"/>
                <w:highlight w:val="none"/>
              </w:rPr>
              <w:t>对应第二章“采购需求”技术参数中要求必须提供的文件资料；</w:t>
            </w:r>
          </w:p>
          <w:p w14:paraId="18D05FC9">
            <w:pPr>
              <w:snapToGrid w:val="0"/>
              <w:spacing w:line="380" w:lineRule="exact"/>
              <w:jc w:val="left"/>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w:t>
            </w:r>
            <w:r>
              <w:rPr>
                <w:rFonts w:hint="eastAsia" w:ascii="宋体" w:hAnsi="宋体"/>
                <w:color w:val="auto"/>
                <w:szCs w:val="21"/>
                <w:highlight w:val="none"/>
              </w:rPr>
              <w:t>对本项目总体要求的理解。包括：功能说明、性能指标及设备选型说明（质量、性能、价格、外观、体积等方面进行比较和选择的理由及过程）；</w:t>
            </w:r>
          </w:p>
          <w:p w14:paraId="56E0BC60">
            <w:pPr>
              <w:snapToGrid w:val="0"/>
              <w:spacing w:line="380" w:lineRule="exact"/>
              <w:jc w:val="left"/>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lang w:eastAsia="zh-CN"/>
              </w:rPr>
              <w:t>、</w:t>
            </w:r>
            <w:r>
              <w:rPr>
                <w:rFonts w:hint="eastAsia" w:ascii="宋体" w:hAnsi="宋体"/>
                <w:color w:val="auto"/>
                <w:szCs w:val="21"/>
                <w:highlight w:val="none"/>
              </w:rPr>
              <w:t>产品出厂标准、质量检测报告；</w:t>
            </w:r>
          </w:p>
          <w:p w14:paraId="21816E2E">
            <w:pPr>
              <w:snapToGrid w:val="0"/>
              <w:spacing w:line="380" w:lineRule="exact"/>
              <w:jc w:val="left"/>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lang w:eastAsia="zh-CN"/>
              </w:rPr>
              <w:t>、</w:t>
            </w:r>
            <w:r>
              <w:rPr>
                <w:rFonts w:hint="eastAsia" w:ascii="宋体" w:hAnsi="宋体"/>
                <w:color w:val="auto"/>
                <w:szCs w:val="21"/>
                <w:highlight w:val="none"/>
              </w:rPr>
              <w:t>优惠条件：投标人承诺给予招标人的各种优惠条件，包括售后服务、备品备件、专用耗材等方面的优惠；投标人不得给予赠品或者与采购无关的其他商品、服务；</w:t>
            </w:r>
          </w:p>
          <w:p w14:paraId="3729DBE8">
            <w:pPr>
              <w:snapToGrid w:val="0"/>
              <w:spacing w:line="380" w:lineRule="exact"/>
              <w:jc w:val="left"/>
              <w:rPr>
                <w:rFonts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lang w:eastAsia="zh-CN"/>
              </w:rPr>
              <w:t>、</w:t>
            </w:r>
            <w:r>
              <w:rPr>
                <w:rFonts w:hint="eastAsia" w:ascii="宋体" w:hAnsi="宋体"/>
                <w:color w:val="auto"/>
                <w:szCs w:val="21"/>
                <w:highlight w:val="none"/>
              </w:rPr>
              <w:t>投标人对本项目的合理化建议和改进措施；</w:t>
            </w:r>
          </w:p>
          <w:p w14:paraId="3A13AC3B">
            <w:pPr>
              <w:snapToGrid w:val="0"/>
              <w:spacing w:line="380" w:lineRule="exact"/>
              <w:jc w:val="left"/>
              <w:rPr>
                <w:rFonts w:ascii="宋体" w:hAnsi="宋体"/>
                <w:bCs/>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lang w:eastAsia="zh-CN"/>
              </w:rPr>
              <w:t>、</w:t>
            </w:r>
            <w:r>
              <w:rPr>
                <w:rFonts w:hint="eastAsia" w:ascii="宋体" w:hAnsi="宋体"/>
                <w:color w:val="auto"/>
                <w:szCs w:val="21"/>
                <w:highlight w:val="none"/>
              </w:rPr>
              <w:t>除招标文件规定必须提供以外，投标人需要说明的其他文件和说明。</w:t>
            </w:r>
          </w:p>
          <w:p w14:paraId="7004B589">
            <w:pPr>
              <w:snapToGrid w:val="0"/>
              <w:spacing w:line="380" w:lineRule="exact"/>
              <w:jc w:val="left"/>
              <w:rPr>
                <w:rFonts w:ascii="宋体" w:hAnsi="宋体"/>
                <w:b/>
                <w:bCs/>
                <w:color w:val="auto"/>
                <w:szCs w:val="21"/>
                <w:highlight w:val="none"/>
              </w:rPr>
            </w:pPr>
            <w:r>
              <w:rPr>
                <w:rFonts w:hint="eastAsia" w:ascii="宋体" w:hAnsi="宋体"/>
                <w:b/>
                <w:bCs/>
                <w:color w:val="auto"/>
                <w:szCs w:val="21"/>
                <w:highlight w:val="none"/>
              </w:rPr>
              <w:t>注：以上标明“必须提供”的材料</w:t>
            </w:r>
            <w:r>
              <w:rPr>
                <w:rFonts w:hint="eastAsia" w:ascii="宋体" w:hAnsi="宋体" w:cs="宋体"/>
                <w:b/>
                <w:color w:val="auto"/>
                <w:szCs w:val="21"/>
                <w:highlight w:val="none"/>
              </w:rPr>
              <w:t>属于复印件的扫描件的</w:t>
            </w:r>
            <w:r>
              <w:rPr>
                <w:rFonts w:hint="eastAsia" w:ascii="宋体" w:hAnsi="宋体"/>
                <w:b/>
                <w:bCs/>
                <w:color w:val="auto"/>
                <w:szCs w:val="21"/>
                <w:highlight w:val="none"/>
              </w:rPr>
              <w:t>，必须加盖投标人电子公章，否则</w:t>
            </w:r>
            <w:r>
              <w:rPr>
                <w:rFonts w:hint="eastAsia" w:ascii="宋体" w:hAnsi="宋体" w:cs="Courier New"/>
                <w:b/>
                <w:color w:val="auto"/>
                <w:szCs w:val="21"/>
                <w:highlight w:val="none"/>
              </w:rPr>
              <w:t>作无效投标处理</w:t>
            </w:r>
            <w:r>
              <w:rPr>
                <w:rFonts w:hint="eastAsia" w:ascii="宋体" w:hAnsi="宋体"/>
                <w:b/>
                <w:bCs/>
                <w:color w:val="auto"/>
                <w:szCs w:val="21"/>
                <w:highlight w:val="none"/>
              </w:rPr>
              <w:t>。</w:t>
            </w:r>
          </w:p>
        </w:tc>
      </w:tr>
      <w:tr w14:paraId="07AE6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left w:val="single" w:color="auto" w:sz="4" w:space="0"/>
              <w:bottom w:val="single" w:color="auto" w:sz="4" w:space="0"/>
              <w:right w:val="single" w:color="auto" w:sz="4" w:space="0"/>
            </w:tcBorders>
            <w:noWrap/>
            <w:vAlign w:val="center"/>
          </w:tcPr>
          <w:p w14:paraId="110EC3D3">
            <w:pPr>
              <w:spacing w:line="380" w:lineRule="exact"/>
              <w:rPr>
                <w:rFonts w:ascii="宋体" w:hAnsi="宋体"/>
                <w:color w:val="auto"/>
                <w:szCs w:val="21"/>
                <w:highlight w:val="none"/>
              </w:rPr>
            </w:pPr>
          </w:p>
        </w:tc>
        <w:tc>
          <w:tcPr>
            <w:tcW w:w="2071" w:type="dxa"/>
            <w:tcBorders>
              <w:top w:val="single" w:color="auto" w:sz="4" w:space="0"/>
              <w:left w:val="single" w:color="auto" w:sz="4" w:space="0"/>
              <w:bottom w:val="single" w:color="auto" w:sz="4" w:space="0"/>
              <w:right w:val="single" w:color="auto" w:sz="4" w:space="0"/>
            </w:tcBorders>
            <w:noWrap/>
            <w:vAlign w:val="center"/>
          </w:tcPr>
          <w:p w14:paraId="7A9A0B06">
            <w:pPr>
              <w:snapToGrid w:val="0"/>
              <w:spacing w:line="380" w:lineRule="exact"/>
              <w:jc w:val="left"/>
              <w:rPr>
                <w:rFonts w:ascii="宋体" w:hAnsi="宋体" w:cs="Courier New"/>
                <w:color w:val="auto"/>
                <w:szCs w:val="21"/>
                <w:highlight w:val="none"/>
              </w:rPr>
            </w:pPr>
            <w:r>
              <w:rPr>
                <w:rFonts w:hint="eastAsia" w:ascii="宋体" w:hAnsi="宋体" w:cs="Courier New"/>
                <w:color w:val="auto"/>
                <w:szCs w:val="21"/>
                <w:highlight w:val="none"/>
              </w:rPr>
              <w:t>报价文件</w:t>
            </w:r>
            <w:r>
              <w:rPr>
                <w:rFonts w:hint="eastAsia" w:ascii="宋体" w:hAnsi="宋体"/>
                <w:color w:val="auto"/>
                <w:szCs w:val="21"/>
                <w:highlight w:val="none"/>
              </w:rPr>
              <w:t>组成</w:t>
            </w:r>
          </w:p>
        </w:tc>
        <w:tc>
          <w:tcPr>
            <w:tcW w:w="7185" w:type="dxa"/>
            <w:tcBorders>
              <w:top w:val="single" w:color="auto" w:sz="4" w:space="0"/>
              <w:left w:val="single" w:color="auto" w:sz="4" w:space="0"/>
              <w:bottom w:val="single" w:color="auto" w:sz="4" w:space="0"/>
              <w:right w:val="single" w:color="auto" w:sz="4" w:space="0"/>
            </w:tcBorders>
            <w:noWrap/>
            <w:vAlign w:val="center"/>
          </w:tcPr>
          <w:p w14:paraId="789FF6C1">
            <w:pPr>
              <w:tabs>
                <w:tab w:val="left" w:pos="459"/>
              </w:tabs>
              <w:snapToGrid w:val="0"/>
              <w:spacing w:line="380" w:lineRule="exact"/>
              <w:jc w:val="left"/>
              <w:rPr>
                <w:rFonts w:ascii="宋体" w:hAnsi="宋体"/>
                <w:color w:val="auto"/>
                <w:szCs w:val="21"/>
                <w:highlight w:val="none"/>
              </w:rPr>
            </w:pPr>
            <w:r>
              <w:rPr>
                <w:rFonts w:hint="eastAsia" w:ascii="宋体" w:hAnsi="宋体"/>
                <w:color w:val="auto"/>
                <w:szCs w:val="21"/>
                <w:highlight w:val="none"/>
              </w:rPr>
              <w:t>1、投标函；</w:t>
            </w:r>
            <w:r>
              <w:rPr>
                <w:rFonts w:hint="eastAsia" w:ascii="宋体" w:hAnsi="宋体"/>
                <w:b/>
                <w:color w:val="auto"/>
                <w:szCs w:val="21"/>
                <w:highlight w:val="none"/>
              </w:rPr>
              <w:t>（必须提供，否则作无效投标处理）</w:t>
            </w:r>
          </w:p>
          <w:p w14:paraId="083A4CA5">
            <w:pPr>
              <w:tabs>
                <w:tab w:val="left" w:pos="459"/>
              </w:tabs>
              <w:snapToGrid w:val="0"/>
              <w:spacing w:line="380" w:lineRule="exact"/>
              <w:jc w:val="left"/>
              <w:rPr>
                <w:rFonts w:hint="eastAsia" w:ascii="宋体" w:hAnsi="宋体"/>
                <w:color w:val="auto"/>
                <w:szCs w:val="21"/>
                <w:highlight w:val="none"/>
              </w:rPr>
            </w:pPr>
            <w:r>
              <w:rPr>
                <w:rFonts w:hint="eastAsia" w:ascii="宋体" w:hAnsi="宋体"/>
                <w:color w:val="auto"/>
                <w:szCs w:val="21"/>
                <w:highlight w:val="none"/>
              </w:rPr>
              <w:t>2、开标一览表；（</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1405AC03">
            <w:pPr>
              <w:pStyle w:val="43"/>
              <w:rPr>
                <w:rFonts w:hint="eastAsia" w:eastAsia="宋体"/>
                <w:color w:val="auto"/>
                <w:lang w:val="en-US" w:eastAsia="zh-CN"/>
              </w:rPr>
            </w:pPr>
            <w:r>
              <w:rPr>
                <w:rFonts w:hint="eastAsia" w:ascii="宋体" w:hAnsi="宋体"/>
                <w:color w:val="auto"/>
                <w:sz w:val="21"/>
                <w:szCs w:val="21"/>
                <w:highlight w:val="none"/>
                <w:lang w:val="en-US" w:eastAsia="zh-CN"/>
              </w:rPr>
              <w:t>3、中小企业声明函或残疾人福利性单位声明函或省级以上监狱管理局、戒毒管理局（含新疆生产建设兵团）出具的属于监狱企业的证明文件</w:t>
            </w:r>
            <w:r>
              <w:rPr>
                <w:rFonts w:hint="eastAsia" w:ascii="宋体" w:hAnsi="宋体"/>
                <w:color w:val="auto"/>
                <w:sz w:val="21"/>
                <w:szCs w:val="21"/>
                <w:highlight w:val="none"/>
              </w:rPr>
              <w:t>；</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如有请提供</w:t>
            </w:r>
            <w:r>
              <w:rPr>
                <w:rFonts w:hint="eastAsia" w:ascii="宋体" w:hAnsi="宋体"/>
                <w:color w:val="auto"/>
                <w:sz w:val="21"/>
                <w:szCs w:val="21"/>
                <w:highlight w:val="none"/>
                <w:lang w:eastAsia="zh-CN"/>
              </w:rPr>
              <w:t>）</w:t>
            </w:r>
          </w:p>
          <w:p w14:paraId="2905B783">
            <w:pPr>
              <w:tabs>
                <w:tab w:val="left" w:pos="459"/>
              </w:tabs>
              <w:snapToGrid w:val="0"/>
              <w:spacing w:line="380" w:lineRule="exact"/>
              <w:jc w:val="left"/>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、投标人针对报价需要说明的其他文件和说明。</w:t>
            </w:r>
          </w:p>
        </w:tc>
      </w:tr>
      <w:tr w14:paraId="655FB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18EC2B33">
            <w:pPr>
              <w:spacing w:line="380" w:lineRule="exact"/>
              <w:rPr>
                <w:rFonts w:ascii="宋体" w:hAnsi="宋体"/>
                <w:color w:val="auto"/>
                <w:szCs w:val="21"/>
                <w:highlight w:val="none"/>
              </w:rPr>
            </w:pPr>
            <w:r>
              <w:rPr>
                <w:rFonts w:hint="eastAsia" w:ascii="宋体" w:hAnsi="宋体"/>
                <w:color w:val="auto"/>
                <w:szCs w:val="21"/>
                <w:highlight w:val="none"/>
              </w:rPr>
              <w:t>16.2</w:t>
            </w:r>
          </w:p>
        </w:tc>
        <w:tc>
          <w:tcPr>
            <w:tcW w:w="2071" w:type="dxa"/>
            <w:tcBorders>
              <w:top w:val="single" w:color="auto" w:sz="4" w:space="0"/>
              <w:left w:val="single" w:color="auto" w:sz="4" w:space="0"/>
              <w:bottom w:val="single" w:color="auto" w:sz="4" w:space="0"/>
              <w:right w:val="single" w:color="auto" w:sz="4" w:space="0"/>
            </w:tcBorders>
            <w:noWrap/>
            <w:vAlign w:val="center"/>
          </w:tcPr>
          <w:p w14:paraId="3D893110">
            <w:pPr>
              <w:spacing w:line="380" w:lineRule="exact"/>
              <w:rPr>
                <w:rFonts w:ascii="宋体" w:hAnsi="宋体"/>
                <w:color w:val="auto"/>
                <w:szCs w:val="21"/>
                <w:highlight w:val="none"/>
              </w:rPr>
            </w:pPr>
            <w:r>
              <w:rPr>
                <w:rFonts w:hint="eastAsia" w:ascii="宋体" w:hAnsi="宋体"/>
                <w:color w:val="auto"/>
                <w:szCs w:val="21"/>
                <w:highlight w:val="none"/>
              </w:rPr>
              <w:t>投标报价要求</w:t>
            </w:r>
          </w:p>
        </w:tc>
        <w:tc>
          <w:tcPr>
            <w:tcW w:w="7185" w:type="dxa"/>
            <w:tcBorders>
              <w:top w:val="single" w:color="auto" w:sz="4" w:space="0"/>
              <w:left w:val="single" w:color="auto" w:sz="4" w:space="0"/>
              <w:bottom w:val="single" w:color="auto" w:sz="4" w:space="0"/>
              <w:right w:val="single" w:color="auto" w:sz="4" w:space="0"/>
            </w:tcBorders>
            <w:noWrap/>
            <w:vAlign w:val="center"/>
          </w:tcPr>
          <w:p w14:paraId="2E5EA95A">
            <w:pPr>
              <w:snapToGrid w:val="0"/>
              <w:spacing w:line="380" w:lineRule="exact"/>
              <w:rPr>
                <w:rFonts w:ascii="宋体" w:hAnsi="宋体"/>
                <w:b/>
                <w:color w:val="auto"/>
                <w:szCs w:val="21"/>
                <w:highlight w:val="none"/>
              </w:rPr>
            </w:pPr>
            <w:r>
              <w:rPr>
                <w:rFonts w:hint="eastAsia" w:ascii="宋体" w:hAnsi="宋体"/>
                <w:b w:val="0"/>
                <w:bCs/>
                <w:color w:val="auto"/>
                <w:szCs w:val="21"/>
                <w:highlight w:val="none"/>
              </w:rPr>
              <w:t>投标报价是履行合同的最终价格，</w:t>
            </w:r>
            <w:r>
              <w:rPr>
                <w:rFonts w:hint="eastAsia" w:ascii="宋体" w:hAnsi="宋体"/>
                <w:b w:val="0"/>
                <w:bCs/>
                <w:color w:val="auto"/>
                <w:szCs w:val="21"/>
                <w:highlight w:val="none"/>
                <w:lang w:val="en-US" w:eastAsia="zh-CN"/>
              </w:rPr>
              <w:t>必须包含</w:t>
            </w:r>
            <w:r>
              <w:rPr>
                <w:rFonts w:hint="eastAsia" w:ascii="宋体" w:hAnsi="宋体"/>
                <w:b w:val="0"/>
                <w:bCs/>
                <w:color w:val="auto"/>
                <w:szCs w:val="21"/>
                <w:highlight w:val="none"/>
              </w:rPr>
              <w:t>投标货物（包括备品备件、专用工具等）的价格（包括已在中国境内的进口货物完税后的仓库交货价、展室交货价或者货架交货价）</w:t>
            </w:r>
            <w:r>
              <w:rPr>
                <w:rFonts w:hint="eastAsia" w:ascii="宋体" w:hAnsi="宋体"/>
                <w:b w:val="0"/>
                <w:bCs/>
                <w:color w:val="auto"/>
                <w:szCs w:val="21"/>
                <w:highlight w:val="none"/>
                <w:lang w:val="en-US" w:eastAsia="zh-CN"/>
              </w:rPr>
              <w:t>及其</w:t>
            </w:r>
            <w:r>
              <w:rPr>
                <w:rFonts w:hint="eastAsia" w:ascii="宋体" w:hAnsi="宋体"/>
                <w:b w:val="0"/>
                <w:bCs/>
                <w:color w:val="auto"/>
                <w:szCs w:val="21"/>
                <w:highlight w:val="none"/>
              </w:rPr>
              <w:t>运输（含保险）、安装（如有）、调试、检验、技术服务、培训和招标文件要求提供的所有伴随服务、工程等费用和税费。</w:t>
            </w:r>
            <w:r>
              <w:rPr>
                <w:rFonts w:hint="eastAsia" w:ascii="宋体" w:hAnsi="宋体"/>
                <w:b/>
                <w:color w:val="auto"/>
                <w:szCs w:val="21"/>
                <w:highlight w:val="none"/>
              </w:rPr>
              <w:t>（采购需求另有约定的，从其约定。）</w:t>
            </w:r>
          </w:p>
        </w:tc>
      </w:tr>
      <w:tr w14:paraId="530483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714B9F03">
            <w:pPr>
              <w:spacing w:line="380" w:lineRule="exact"/>
              <w:rPr>
                <w:rFonts w:ascii="宋体" w:hAnsi="宋体"/>
                <w:color w:val="auto"/>
                <w:szCs w:val="21"/>
                <w:highlight w:val="none"/>
              </w:rPr>
            </w:pPr>
            <w:r>
              <w:rPr>
                <w:rFonts w:hint="eastAsia" w:ascii="宋体" w:hAnsi="宋体"/>
                <w:color w:val="auto"/>
                <w:szCs w:val="21"/>
                <w:highlight w:val="none"/>
              </w:rPr>
              <w:t>17.</w:t>
            </w:r>
            <w:r>
              <w:rPr>
                <w:rFonts w:ascii="宋体" w:hAnsi="宋体"/>
                <w:color w:val="auto"/>
                <w:szCs w:val="21"/>
                <w:highlight w:val="none"/>
              </w:rPr>
              <w:t>2</w:t>
            </w:r>
          </w:p>
        </w:tc>
        <w:tc>
          <w:tcPr>
            <w:tcW w:w="2071" w:type="dxa"/>
            <w:tcBorders>
              <w:top w:val="single" w:color="auto" w:sz="4" w:space="0"/>
              <w:left w:val="single" w:color="auto" w:sz="4" w:space="0"/>
              <w:bottom w:val="single" w:color="auto" w:sz="4" w:space="0"/>
              <w:right w:val="single" w:color="auto" w:sz="4" w:space="0"/>
            </w:tcBorders>
            <w:noWrap/>
            <w:vAlign w:val="center"/>
          </w:tcPr>
          <w:p w14:paraId="4CBBDCD9">
            <w:pPr>
              <w:spacing w:line="380" w:lineRule="exact"/>
              <w:rPr>
                <w:rFonts w:ascii="宋体" w:hAnsi="宋体"/>
                <w:color w:val="auto"/>
                <w:szCs w:val="21"/>
                <w:highlight w:val="none"/>
              </w:rPr>
            </w:pPr>
            <w:r>
              <w:rPr>
                <w:rFonts w:hint="eastAsia" w:ascii="宋体" w:hAnsi="宋体"/>
                <w:color w:val="auto"/>
                <w:szCs w:val="21"/>
                <w:highlight w:val="none"/>
              </w:rPr>
              <w:t>投标有效期</w:t>
            </w:r>
          </w:p>
        </w:tc>
        <w:tc>
          <w:tcPr>
            <w:tcW w:w="7185" w:type="dxa"/>
            <w:tcBorders>
              <w:top w:val="single" w:color="auto" w:sz="4" w:space="0"/>
              <w:left w:val="single" w:color="auto" w:sz="4" w:space="0"/>
              <w:bottom w:val="single" w:color="auto" w:sz="4" w:space="0"/>
              <w:right w:val="single" w:color="auto" w:sz="4" w:space="0"/>
            </w:tcBorders>
            <w:noWrap/>
            <w:vAlign w:val="center"/>
          </w:tcPr>
          <w:p w14:paraId="02A60243">
            <w:pPr>
              <w:snapToGrid w:val="0"/>
              <w:spacing w:line="380" w:lineRule="exact"/>
              <w:rPr>
                <w:rFonts w:ascii="宋体" w:hAnsi="宋体"/>
                <w:color w:val="auto"/>
                <w:szCs w:val="21"/>
                <w:highlight w:val="none"/>
              </w:rPr>
            </w:pPr>
            <w:r>
              <w:rPr>
                <w:rFonts w:hint="eastAsia" w:ascii="宋体" w:hAnsi="宋体"/>
                <w:color w:val="auto"/>
                <w:szCs w:val="21"/>
                <w:highlight w:val="none"/>
              </w:rPr>
              <w:t>自投标截止之日</w:t>
            </w:r>
            <w:r>
              <w:rPr>
                <w:rFonts w:hint="eastAsia" w:ascii="宋体" w:hAnsi="宋体"/>
                <w:color w:val="auto"/>
                <w:szCs w:val="21"/>
                <w:highlight w:val="none"/>
                <w:u w:val="single"/>
              </w:rPr>
              <w:t>起</w:t>
            </w:r>
            <w:bookmarkStart w:id="72" w:name="PO_3000001867_PM046"/>
            <w:r>
              <w:rPr>
                <w:rFonts w:hint="eastAsia" w:ascii="宋体" w:hAnsi="宋体"/>
                <w:color w:val="auto"/>
                <w:szCs w:val="21"/>
                <w:highlight w:val="none"/>
                <w:u w:val="single"/>
              </w:rPr>
              <w:t>60</w:t>
            </w:r>
            <w:r>
              <w:rPr>
                <w:rFonts w:ascii="宋体" w:hAnsi="宋体"/>
                <w:color w:val="auto"/>
                <w:szCs w:val="21"/>
                <w:highlight w:val="none"/>
              </w:rPr>
              <w:t>日历天</w:t>
            </w:r>
            <w:bookmarkEnd w:id="72"/>
            <w:r>
              <w:rPr>
                <w:rFonts w:hint="eastAsia" w:ascii="宋体" w:hAnsi="宋体"/>
                <w:color w:val="auto"/>
                <w:szCs w:val="21"/>
                <w:highlight w:val="none"/>
              </w:rPr>
              <w:t>。</w:t>
            </w:r>
          </w:p>
        </w:tc>
      </w:tr>
      <w:tr w14:paraId="4BDB1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6B0D948C">
            <w:pPr>
              <w:spacing w:line="380" w:lineRule="exact"/>
              <w:rPr>
                <w:rFonts w:ascii="宋体" w:hAnsi="宋体"/>
                <w:color w:val="auto"/>
                <w:szCs w:val="21"/>
                <w:highlight w:val="none"/>
              </w:rPr>
            </w:pPr>
            <w:r>
              <w:rPr>
                <w:rFonts w:hint="eastAsia" w:ascii="宋体" w:hAnsi="宋体"/>
                <w:color w:val="auto"/>
                <w:szCs w:val="21"/>
                <w:highlight w:val="none"/>
              </w:rPr>
              <w:t>18</w:t>
            </w:r>
          </w:p>
        </w:tc>
        <w:tc>
          <w:tcPr>
            <w:tcW w:w="2071" w:type="dxa"/>
            <w:tcBorders>
              <w:top w:val="single" w:color="auto" w:sz="4" w:space="0"/>
              <w:left w:val="single" w:color="auto" w:sz="4" w:space="0"/>
              <w:bottom w:val="single" w:color="auto" w:sz="4" w:space="0"/>
              <w:right w:val="single" w:color="auto" w:sz="4" w:space="0"/>
            </w:tcBorders>
            <w:noWrap/>
            <w:vAlign w:val="center"/>
          </w:tcPr>
          <w:p w14:paraId="6572D6E9">
            <w:pPr>
              <w:spacing w:line="380" w:lineRule="exact"/>
              <w:rPr>
                <w:rFonts w:ascii="宋体" w:hAnsi="宋体"/>
                <w:color w:val="auto"/>
                <w:szCs w:val="21"/>
                <w:highlight w:val="none"/>
              </w:rPr>
            </w:pPr>
            <w:r>
              <w:rPr>
                <w:rFonts w:hint="eastAsia" w:ascii="宋体" w:hAnsi="宋体"/>
                <w:color w:val="auto"/>
                <w:szCs w:val="21"/>
                <w:highlight w:val="none"/>
              </w:rPr>
              <w:t>投标保证金金额</w:t>
            </w:r>
          </w:p>
        </w:tc>
        <w:tc>
          <w:tcPr>
            <w:tcW w:w="7185" w:type="dxa"/>
            <w:tcBorders>
              <w:top w:val="single" w:color="auto" w:sz="4" w:space="0"/>
              <w:left w:val="single" w:color="auto" w:sz="4" w:space="0"/>
              <w:bottom w:val="single" w:color="auto" w:sz="4" w:space="0"/>
              <w:right w:val="single" w:color="auto" w:sz="4" w:space="0"/>
            </w:tcBorders>
            <w:noWrap/>
            <w:vAlign w:val="center"/>
          </w:tcPr>
          <w:p w14:paraId="33A1A49F">
            <w:pPr>
              <w:autoSpaceDE w:val="0"/>
              <w:autoSpaceDN w:val="0"/>
              <w:snapToGrid w:val="0"/>
              <w:spacing w:line="380" w:lineRule="exact"/>
              <w:textAlignment w:val="bottom"/>
              <w:rPr>
                <w:rFonts w:ascii="宋体" w:hAnsi="宋体"/>
                <w:color w:val="auto"/>
                <w:szCs w:val="21"/>
                <w:highlight w:val="none"/>
              </w:rPr>
            </w:pPr>
            <w:r>
              <w:rPr>
                <w:rFonts w:hint="eastAsia" w:ascii="宋体" w:hAnsi="宋体"/>
                <w:color w:val="auto"/>
                <w:szCs w:val="21"/>
                <w:highlight w:val="none"/>
              </w:rPr>
              <w:t>本项目不收取投标保证金。</w:t>
            </w:r>
          </w:p>
        </w:tc>
      </w:tr>
      <w:tr w14:paraId="7EEF17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5CFD7D14">
            <w:pPr>
              <w:spacing w:line="380" w:lineRule="exact"/>
              <w:rPr>
                <w:rFonts w:ascii="宋体" w:hAnsi="宋体"/>
                <w:color w:val="auto"/>
                <w:szCs w:val="21"/>
                <w:highlight w:val="none"/>
              </w:rPr>
            </w:pPr>
            <w:r>
              <w:rPr>
                <w:rFonts w:hint="eastAsia" w:ascii="宋体" w:hAnsi="宋体"/>
                <w:color w:val="auto"/>
                <w:szCs w:val="21"/>
                <w:highlight w:val="none"/>
              </w:rPr>
              <w:t>19.1</w:t>
            </w:r>
          </w:p>
        </w:tc>
        <w:tc>
          <w:tcPr>
            <w:tcW w:w="2071" w:type="dxa"/>
            <w:tcBorders>
              <w:top w:val="single" w:color="auto" w:sz="4" w:space="0"/>
              <w:left w:val="single" w:color="auto" w:sz="4" w:space="0"/>
              <w:bottom w:val="single" w:color="auto" w:sz="4" w:space="0"/>
              <w:right w:val="single" w:color="auto" w:sz="4" w:space="0"/>
            </w:tcBorders>
            <w:noWrap/>
            <w:vAlign w:val="center"/>
          </w:tcPr>
          <w:p w14:paraId="79CF1C2B">
            <w:pPr>
              <w:spacing w:line="380" w:lineRule="exact"/>
              <w:rPr>
                <w:rFonts w:ascii="宋体" w:hAnsi="宋体"/>
                <w:color w:val="auto"/>
                <w:szCs w:val="21"/>
                <w:highlight w:val="none"/>
              </w:rPr>
            </w:pPr>
            <w:r>
              <w:rPr>
                <w:rFonts w:hint="eastAsia" w:ascii="宋体" w:hAnsi="宋体"/>
                <w:color w:val="auto"/>
                <w:szCs w:val="21"/>
                <w:highlight w:val="none"/>
              </w:rPr>
              <w:t>投标文件编制要求</w:t>
            </w:r>
          </w:p>
        </w:tc>
        <w:tc>
          <w:tcPr>
            <w:tcW w:w="7185" w:type="dxa"/>
            <w:tcBorders>
              <w:top w:val="single" w:color="auto" w:sz="4" w:space="0"/>
              <w:left w:val="single" w:color="auto" w:sz="4" w:space="0"/>
              <w:bottom w:val="single" w:color="auto" w:sz="4" w:space="0"/>
              <w:right w:val="single" w:color="auto" w:sz="4" w:space="0"/>
            </w:tcBorders>
            <w:noWrap/>
            <w:vAlign w:val="center"/>
          </w:tcPr>
          <w:p w14:paraId="0D1256AF">
            <w:pPr>
              <w:spacing w:line="360" w:lineRule="auto"/>
              <w:rPr>
                <w:rFonts w:ascii="宋体" w:hAnsi="宋体"/>
                <w:b/>
                <w:color w:val="auto"/>
                <w:szCs w:val="21"/>
                <w:highlight w:val="none"/>
                <w:u w:val="single"/>
              </w:rPr>
            </w:pPr>
            <w:r>
              <w:rPr>
                <w:rFonts w:hint="eastAsia" w:hAnsi="宋体"/>
                <w:color w:val="auto"/>
                <w:szCs w:val="21"/>
                <w:highlight w:val="none"/>
              </w:rPr>
              <w:t>投标文件应按报价文件、资格证明文件、商务文件、技术文件分别编制，报价文件、资格证明文件分别生</w:t>
            </w:r>
            <w:r>
              <w:rPr>
                <w:rFonts w:hint="eastAsia" w:hAnsi="宋体"/>
                <w:color w:val="auto"/>
                <w:szCs w:val="21"/>
                <w:highlight w:val="none"/>
                <w:lang w:val="en-US" w:eastAsia="zh-CN"/>
              </w:rPr>
              <w:t>成</w:t>
            </w:r>
            <w:r>
              <w:rPr>
                <w:rFonts w:hint="eastAsia" w:hAnsi="宋体"/>
                <w:color w:val="auto"/>
                <w:szCs w:val="21"/>
                <w:highlight w:val="none"/>
              </w:rPr>
              <w:t>电子文件，商务文件和技术文件按顺序合并生成电子文件。</w:t>
            </w:r>
          </w:p>
        </w:tc>
      </w:tr>
      <w:tr w14:paraId="7ECE6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1825316A">
            <w:pPr>
              <w:spacing w:line="380" w:lineRule="exac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0</w:t>
            </w:r>
          </w:p>
        </w:tc>
        <w:tc>
          <w:tcPr>
            <w:tcW w:w="2071" w:type="dxa"/>
            <w:tcBorders>
              <w:top w:val="single" w:color="auto" w:sz="4" w:space="0"/>
              <w:left w:val="single" w:color="auto" w:sz="4" w:space="0"/>
              <w:bottom w:val="single" w:color="auto" w:sz="4" w:space="0"/>
              <w:right w:val="single" w:color="auto" w:sz="4" w:space="0"/>
            </w:tcBorders>
            <w:noWrap/>
            <w:vAlign w:val="center"/>
          </w:tcPr>
          <w:p w14:paraId="40512DD3">
            <w:pPr>
              <w:spacing w:line="380" w:lineRule="exact"/>
              <w:rPr>
                <w:rFonts w:ascii="宋体" w:hAnsi="宋体"/>
                <w:color w:val="auto"/>
                <w:szCs w:val="21"/>
                <w:highlight w:val="none"/>
              </w:rPr>
            </w:pPr>
            <w:r>
              <w:rPr>
                <w:rFonts w:hint="eastAsia" w:ascii="宋体" w:hAnsi="宋体"/>
                <w:color w:val="auto"/>
                <w:szCs w:val="21"/>
                <w:highlight w:val="none"/>
              </w:rPr>
              <w:t>备份投标文件</w:t>
            </w:r>
          </w:p>
        </w:tc>
        <w:tc>
          <w:tcPr>
            <w:tcW w:w="7185" w:type="dxa"/>
            <w:tcBorders>
              <w:top w:val="single" w:color="auto" w:sz="4" w:space="0"/>
              <w:left w:val="single" w:color="auto" w:sz="4" w:space="0"/>
              <w:bottom w:val="single" w:color="auto" w:sz="4" w:space="0"/>
              <w:right w:val="single" w:color="auto" w:sz="4" w:space="0"/>
            </w:tcBorders>
            <w:noWrap/>
            <w:vAlign w:val="center"/>
          </w:tcPr>
          <w:p w14:paraId="179D8EA2">
            <w:pPr>
              <w:autoSpaceDE w:val="0"/>
              <w:autoSpaceDN w:val="0"/>
              <w:snapToGrid w:val="0"/>
              <w:spacing w:line="380" w:lineRule="exact"/>
              <w:textAlignment w:val="bottom"/>
              <w:rPr>
                <w:rFonts w:ascii="宋体" w:hAnsi="宋体"/>
                <w:color w:val="auto"/>
                <w:szCs w:val="21"/>
                <w:highlight w:val="none"/>
              </w:rPr>
            </w:pPr>
            <w:r>
              <w:rPr>
                <w:rFonts w:hint="eastAsia" w:ascii="宋体" w:hAnsi="宋体"/>
                <w:color w:val="auto"/>
                <w:szCs w:val="21"/>
                <w:highlight w:val="none"/>
              </w:rPr>
              <w:t>本项目不接受备份投标文件。</w:t>
            </w:r>
          </w:p>
        </w:tc>
      </w:tr>
      <w:tr w14:paraId="46B2C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right w:val="single" w:color="auto" w:sz="4" w:space="0"/>
            </w:tcBorders>
            <w:noWrap/>
            <w:vAlign w:val="center"/>
          </w:tcPr>
          <w:p w14:paraId="44DCAF7B">
            <w:pPr>
              <w:spacing w:line="380" w:lineRule="exact"/>
              <w:rPr>
                <w:rFonts w:ascii="宋体" w:hAnsi="宋体"/>
                <w:color w:val="auto"/>
                <w:szCs w:val="21"/>
                <w:highlight w:val="none"/>
              </w:rPr>
            </w:pPr>
            <w:r>
              <w:rPr>
                <w:rFonts w:hint="eastAsia" w:ascii="宋体" w:hAnsi="宋体"/>
                <w:color w:val="auto"/>
                <w:szCs w:val="21"/>
                <w:highlight w:val="none"/>
              </w:rPr>
              <w:t>21.1</w:t>
            </w:r>
          </w:p>
        </w:tc>
        <w:tc>
          <w:tcPr>
            <w:tcW w:w="2071" w:type="dxa"/>
            <w:tcBorders>
              <w:top w:val="single" w:color="auto" w:sz="4" w:space="0"/>
              <w:left w:val="single" w:color="auto" w:sz="4" w:space="0"/>
              <w:bottom w:val="single" w:color="auto" w:sz="4" w:space="0"/>
              <w:right w:val="single" w:color="auto" w:sz="4" w:space="0"/>
            </w:tcBorders>
            <w:noWrap/>
            <w:vAlign w:val="center"/>
          </w:tcPr>
          <w:p w14:paraId="77157246">
            <w:pPr>
              <w:spacing w:line="380" w:lineRule="exact"/>
              <w:rPr>
                <w:rFonts w:ascii="宋体" w:hAnsi="宋体"/>
                <w:color w:val="auto"/>
                <w:szCs w:val="21"/>
                <w:highlight w:val="none"/>
              </w:rPr>
            </w:pPr>
            <w:r>
              <w:rPr>
                <w:rFonts w:hint="eastAsia" w:ascii="宋体" w:hAnsi="宋体"/>
                <w:color w:val="auto"/>
                <w:szCs w:val="21"/>
                <w:highlight w:val="none"/>
              </w:rPr>
              <w:t>投标截止时间</w:t>
            </w:r>
          </w:p>
        </w:tc>
        <w:tc>
          <w:tcPr>
            <w:tcW w:w="7185" w:type="dxa"/>
            <w:tcBorders>
              <w:top w:val="single" w:color="auto" w:sz="4" w:space="0"/>
              <w:left w:val="single" w:color="auto" w:sz="4" w:space="0"/>
              <w:bottom w:val="single" w:color="auto" w:sz="4" w:space="0"/>
              <w:right w:val="single" w:color="auto" w:sz="4" w:space="0"/>
            </w:tcBorders>
            <w:noWrap/>
            <w:vAlign w:val="center"/>
          </w:tcPr>
          <w:p w14:paraId="173F3140">
            <w:pPr>
              <w:snapToGrid w:val="0"/>
              <w:spacing w:line="380" w:lineRule="exact"/>
              <w:rPr>
                <w:rFonts w:ascii="宋体" w:hAnsi="宋体"/>
                <w:color w:val="auto"/>
                <w:szCs w:val="21"/>
                <w:highlight w:val="none"/>
                <w:u w:val="single"/>
              </w:rPr>
            </w:pPr>
            <w:r>
              <w:rPr>
                <w:rFonts w:hint="eastAsia" w:ascii="宋体" w:hAnsi="宋体"/>
                <w:color w:val="auto"/>
                <w:szCs w:val="21"/>
                <w:highlight w:val="none"/>
              </w:rPr>
              <w:t>详见招标公告</w:t>
            </w:r>
          </w:p>
        </w:tc>
      </w:tr>
      <w:tr w14:paraId="4563D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noWrap/>
            <w:vAlign w:val="center"/>
          </w:tcPr>
          <w:p w14:paraId="0A3D11FF">
            <w:pPr>
              <w:spacing w:line="380" w:lineRule="exact"/>
              <w:rPr>
                <w:rFonts w:ascii="宋体" w:hAnsi="宋体"/>
                <w:color w:val="auto"/>
                <w:szCs w:val="21"/>
                <w:highlight w:val="none"/>
              </w:rPr>
            </w:pPr>
          </w:p>
        </w:tc>
        <w:tc>
          <w:tcPr>
            <w:tcW w:w="2071" w:type="dxa"/>
            <w:tcBorders>
              <w:top w:val="single" w:color="auto" w:sz="4" w:space="0"/>
              <w:left w:val="single" w:color="auto" w:sz="4" w:space="0"/>
              <w:bottom w:val="single" w:color="auto" w:sz="4" w:space="0"/>
              <w:right w:val="single" w:color="auto" w:sz="4" w:space="0"/>
            </w:tcBorders>
            <w:noWrap/>
            <w:vAlign w:val="center"/>
          </w:tcPr>
          <w:p w14:paraId="776420D6">
            <w:pPr>
              <w:spacing w:line="380" w:lineRule="exact"/>
              <w:rPr>
                <w:rFonts w:ascii="宋体" w:hAnsi="宋体"/>
                <w:color w:val="auto"/>
                <w:szCs w:val="21"/>
                <w:highlight w:val="none"/>
              </w:rPr>
            </w:pPr>
            <w:r>
              <w:rPr>
                <w:rFonts w:hint="eastAsia" w:ascii="宋体" w:hAnsi="宋体"/>
                <w:color w:val="auto"/>
                <w:szCs w:val="21"/>
                <w:highlight w:val="none"/>
              </w:rPr>
              <w:t>投标文件提交起止时间</w:t>
            </w:r>
          </w:p>
        </w:tc>
        <w:tc>
          <w:tcPr>
            <w:tcW w:w="7185" w:type="dxa"/>
            <w:tcBorders>
              <w:top w:val="single" w:color="auto" w:sz="4" w:space="0"/>
              <w:left w:val="single" w:color="auto" w:sz="4" w:space="0"/>
              <w:bottom w:val="single" w:color="auto" w:sz="4" w:space="0"/>
              <w:right w:val="single" w:color="auto" w:sz="4" w:space="0"/>
            </w:tcBorders>
            <w:noWrap/>
            <w:vAlign w:val="center"/>
          </w:tcPr>
          <w:p w14:paraId="3927E968">
            <w:pPr>
              <w:snapToGrid w:val="0"/>
              <w:spacing w:line="380" w:lineRule="exact"/>
              <w:rPr>
                <w:rFonts w:ascii="宋体" w:hAnsi="宋体"/>
                <w:color w:val="auto"/>
                <w:szCs w:val="21"/>
                <w:highlight w:val="none"/>
              </w:rPr>
            </w:pPr>
            <w:r>
              <w:rPr>
                <w:rFonts w:hint="eastAsia" w:ascii="宋体" w:hAnsi="宋体"/>
                <w:color w:val="auto"/>
                <w:szCs w:val="21"/>
                <w:highlight w:val="none"/>
              </w:rPr>
              <w:t>详见招标公告</w:t>
            </w:r>
          </w:p>
        </w:tc>
      </w:tr>
      <w:tr w14:paraId="3AF090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noWrap/>
            <w:vAlign w:val="center"/>
          </w:tcPr>
          <w:p w14:paraId="0A8AA6CB">
            <w:pPr>
              <w:spacing w:line="380" w:lineRule="exact"/>
              <w:rPr>
                <w:rFonts w:ascii="宋体" w:hAnsi="宋体"/>
                <w:color w:val="auto"/>
                <w:szCs w:val="21"/>
                <w:highlight w:val="none"/>
              </w:rPr>
            </w:pPr>
          </w:p>
        </w:tc>
        <w:tc>
          <w:tcPr>
            <w:tcW w:w="2071" w:type="dxa"/>
            <w:tcBorders>
              <w:top w:val="single" w:color="auto" w:sz="4" w:space="0"/>
              <w:left w:val="single" w:color="auto" w:sz="4" w:space="0"/>
              <w:bottom w:val="single" w:color="auto" w:sz="4" w:space="0"/>
              <w:right w:val="single" w:color="auto" w:sz="4" w:space="0"/>
            </w:tcBorders>
            <w:noWrap/>
            <w:vAlign w:val="center"/>
          </w:tcPr>
          <w:p w14:paraId="2CB8FFB5">
            <w:pPr>
              <w:spacing w:line="380" w:lineRule="exact"/>
              <w:rPr>
                <w:rFonts w:ascii="宋体" w:hAnsi="宋体"/>
                <w:color w:val="auto"/>
                <w:szCs w:val="21"/>
                <w:highlight w:val="none"/>
              </w:rPr>
            </w:pPr>
            <w:r>
              <w:rPr>
                <w:rFonts w:hint="eastAsia" w:ascii="宋体" w:hAnsi="宋体"/>
                <w:color w:val="auto"/>
                <w:szCs w:val="21"/>
                <w:highlight w:val="none"/>
              </w:rPr>
              <w:t>投标地点</w:t>
            </w:r>
          </w:p>
        </w:tc>
        <w:tc>
          <w:tcPr>
            <w:tcW w:w="7185" w:type="dxa"/>
            <w:tcBorders>
              <w:top w:val="single" w:color="auto" w:sz="4" w:space="0"/>
              <w:left w:val="single" w:color="auto" w:sz="4" w:space="0"/>
              <w:bottom w:val="single" w:color="auto" w:sz="4" w:space="0"/>
              <w:right w:val="single" w:color="auto" w:sz="4" w:space="0"/>
            </w:tcBorders>
            <w:noWrap/>
            <w:vAlign w:val="center"/>
          </w:tcPr>
          <w:p w14:paraId="15E1A51B">
            <w:pPr>
              <w:snapToGrid w:val="0"/>
              <w:spacing w:line="380" w:lineRule="exact"/>
              <w:rPr>
                <w:rFonts w:ascii="宋体" w:hAnsi="宋体"/>
                <w:color w:val="auto"/>
                <w:szCs w:val="21"/>
                <w:highlight w:val="none"/>
              </w:rPr>
            </w:pPr>
            <w:r>
              <w:rPr>
                <w:rFonts w:hint="eastAsia" w:ascii="宋体" w:hAnsi="宋体"/>
                <w:color w:val="auto"/>
                <w:szCs w:val="21"/>
                <w:highlight w:val="none"/>
              </w:rPr>
              <w:t>详见招标公告</w:t>
            </w:r>
          </w:p>
        </w:tc>
      </w:tr>
      <w:tr w14:paraId="15EA3A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noWrap/>
            <w:vAlign w:val="center"/>
          </w:tcPr>
          <w:p w14:paraId="28E28752">
            <w:pPr>
              <w:spacing w:line="380" w:lineRule="exact"/>
              <w:rPr>
                <w:rFonts w:ascii="宋体" w:hAnsi="宋体"/>
                <w:color w:val="auto"/>
                <w:szCs w:val="21"/>
                <w:highlight w:val="none"/>
              </w:rPr>
            </w:pPr>
          </w:p>
        </w:tc>
        <w:tc>
          <w:tcPr>
            <w:tcW w:w="2071" w:type="dxa"/>
            <w:tcBorders>
              <w:top w:val="single" w:color="auto" w:sz="4" w:space="0"/>
              <w:left w:val="single" w:color="auto" w:sz="4" w:space="0"/>
              <w:bottom w:val="single" w:color="auto" w:sz="4" w:space="0"/>
              <w:right w:val="single" w:color="auto" w:sz="4" w:space="0"/>
            </w:tcBorders>
            <w:noWrap/>
            <w:vAlign w:val="center"/>
          </w:tcPr>
          <w:p w14:paraId="0634F5CB">
            <w:pPr>
              <w:spacing w:line="380" w:lineRule="exact"/>
              <w:rPr>
                <w:rFonts w:ascii="宋体" w:hAnsi="宋体"/>
                <w:color w:val="auto"/>
                <w:szCs w:val="21"/>
                <w:highlight w:val="none"/>
              </w:rPr>
            </w:pPr>
            <w:r>
              <w:rPr>
                <w:rFonts w:hint="eastAsia" w:ascii="宋体" w:hAnsi="宋体"/>
                <w:color w:val="auto"/>
                <w:szCs w:val="21"/>
                <w:highlight w:val="none"/>
              </w:rPr>
              <w:t>投标人递交投标样品截止时间及地点</w:t>
            </w:r>
          </w:p>
        </w:tc>
        <w:tc>
          <w:tcPr>
            <w:tcW w:w="7185" w:type="dxa"/>
            <w:tcBorders>
              <w:top w:val="single" w:color="auto" w:sz="4" w:space="0"/>
              <w:left w:val="single" w:color="auto" w:sz="4" w:space="0"/>
              <w:bottom w:val="single" w:color="auto" w:sz="4" w:space="0"/>
              <w:right w:val="single" w:color="auto" w:sz="4" w:space="0"/>
            </w:tcBorders>
            <w:noWrap/>
            <w:vAlign w:val="center"/>
          </w:tcPr>
          <w:p w14:paraId="25B40835">
            <w:pPr>
              <w:snapToGrid w:val="0"/>
              <w:spacing w:line="380" w:lineRule="exact"/>
              <w:rPr>
                <w:rFonts w:ascii="宋体" w:hAnsi="宋体"/>
                <w:bCs/>
                <w:color w:val="auto"/>
                <w:szCs w:val="21"/>
                <w:highlight w:val="none"/>
              </w:rPr>
            </w:pPr>
            <w:r>
              <w:rPr>
                <w:rFonts w:hint="eastAsia" w:ascii="宋体" w:hAnsi="宋体"/>
                <w:bCs/>
                <w:color w:val="auto"/>
                <w:szCs w:val="21"/>
                <w:highlight w:val="none"/>
              </w:rPr>
              <w:t>时间：</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w:t>
            </w:r>
            <w:r>
              <w:rPr>
                <w:rFonts w:hint="eastAsia" w:ascii="宋体" w:hAnsi="宋体"/>
                <w:bCs/>
                <w:color w:val="auto"/>
                <w:szCs w:val="21"/>
                <w:highlight w:val="none"/>
                <w:u w:val="single"/>
              </w:rPr>
              <w:t xml:space="preserve"> 年</w:t>
            </w:r>
            <w:r>
              <w:rPr>
                <w:rFonts w:hint="eastAsia" w:ascii="宋体" w:hAnsi="宋体"/>
                <w:bCs/>
                <w:color w:val="auto"/>
                <w:szCs w:val="21"/>
                <w:highlight w:val="none"/>
                <w:u w:val="single"/>
                <w:lang w:val="en-US" w:eastAsia="zh-CN"/>
              </w:rPr>
              <w:t>/</w:t>
            </w:r>
            <w:r>
              <w:rPr>
                <w:rFonts w:hint="eastAsia" w:ascii="宋体" w:hAnsi="宋体"/>
                <w:bCs/>
                <w:color w:val="auto"/>
                <w:szCs w:val="21"/>
                <w:highlight w:val="none"/>
                <w:u w:val="single"/>
              </w:rPr>
              <w:t xml:space="preserve">  月  </w:t>
            </w:r>
            <w:r>
              <w:rPr>
                <w:rFonts w:hint="eastAsia" w:ascii="宋体" w:hAnsi="宋体"/>
                <w:bCs/>
                <w:color w:val="auto"/>
                <w:szCs w:val="21"/>
                <w:highlight w:val="none"/>
                <w:u w:val="single"/>
                <w:lang w:val="en-US" w:eastAsia="zh-CN"/>
              </w:rPr>
              <w:t>/</w:t>
            </w:r>
            <w:r>
              <w:rPr>
                <w:rFonts w:hint="eastAsia" w:ascii="宋体" w:hAnsi="宋体"/>
                <w:bCs/>
                <w:color w:val="auto"/>
                <w:szCs w:val="21"/>
                <w:highlight w:val="none"/>
                <w:u w:val="single"/>
              </w:rPr>
              <w:t xml:space="preserve">日 </w:t>
            </w:r>
            <w:r>
              <w:rPr>
                <w:rFonts w:hint="eastAsia" w:ascii="宋体" w:hAnsi="宋体"/>
                <w:bCs/>
                <w:color w:val="auto"/>
                <w:szCs w:val="21"/>
                <w:highlight w:val="none"/>
                <w:u w:val="single"/>
                <w:lang w:val="en-US" w:eastAsia="zh-CN"/>
              </w:rPr>
              <w:t>/</w:t>
            </w:r>
            <w:r>
              <w:rPr>
                <w:rFonts w:hint="eastAsia" w:ascii="宋体" w:hAnsi="宋体"/>
                <w:bCs/>
                <w:color w:val="auto"/>
                <w:szCs w:val="21"/>
                <w:highlight w:val="none"/>
                <w:u w:val="single"/>
              </w:rPr>
              <w:t xml:space="preserve"> 时 </w:t>
            </w:r>
            <w:r>
              <w:rPr>
                <w:rFonts w:hint="eastAsia" w:ascii="宋体" w:hAnsi="宋体"/>
                <w:bCs/>
                <w:color w:val="auto"/>
                <w:szCs w:val="21"/>
                <w:highlight w:val="none"/>
                <w:u w:val="single"/>
                <w:lang w:val="en-US" w:eastAsia="zh-CN"/>
              </w:rPr>
              <w:t>/</w:t>
            </w:r>
            <w:r>
              <w:rPr>
                <w:rFonts w:hint="eastAsia" w:ascii="宋体" w:hAnsi="宋体"/>
                <w:bCs/>
                <w:color w:val="auto"/>
                <w:szCs w:val="21"/>
                <w:highlight w:val="none"/>
                <w:u w:val="single"/>
              </w:rPr>
              <w:t xml:space="preserve">  分</w:t>
            </w:r>
            <w:r>
              <w:rPr>
                <w:rFonts w:hint="eastAsia" w:ascii="宋体" w:hAnsi="宋体"/>
                <w:bCs/>
                <w:color w:val="auto"/>
                <w:szCs w:val="21"/>
                <w:highlight w:val="none"/>
              </w:rPr>
              <w:t>（北京时间）</w:t>
            </w:r>
          </w:p>
          <w:p w14:paraId="42DEF09F">
            <w:pPr>
              <w:snapToGrid w:val="0"/>
              <w:spacing w:line="380" w:lineRule="exact"/>
              <w:rPr>
                <w:rFonts w:hint="eastAsia" w:ascii="宋体" w:hAnsi="宋体" w:eastAsia="宋体"/>
                <w:color w:val="auto"/>
                <w:szCs w:val="21"/>
                <w:highlight w:val="none"/>
                <w:lang w:val="en-US" w:eastAsia="zh-CN"/>
              </w:rPr>
            </w:pPr>
            <w:r>
              <w:rPr>
                <w:rFonts w:hint="eastAsia" w:ascii="宋体" w:hAnsi="宋体"/>
                <w:bCs/>
                <w:color w:val="auto"/>
                <w:szCs w:val="21"/>
                <w:highlight w:val="none"/>
              </w:rPr>
              <w:t>地点：</w:t>
            </w:r>
            <w:r>
              <w:rPr>
                <w:rFonts w:hint="eastAsia" w:ascii="宋体" w:hAnsi="宋体"/>
                <w:bCs/>
                <w:color w:val="auto"/>
                <w:szCs w:val="21"/>
                <w:highlight w:val="none"/>
                <w:lang w:val="en-US" w:eastAsia="zh-CN"/>
              </w:rPr>
              <w:t>/</w:t>
            </w:r>
          </w:p>
        </w:tc>
      </w:tr>
      <w:tr w14:paraId="0A30AB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06D9856C">
            <w:pPr>
              <w:spacing w:line="380" w:lineRule="exact"/>
              <w:rPr>
                <w:rFonts w:ascii="宋体" w:hAnsi="宋体"/>
                <w:color w:val="auto"/>
                <w:szCs w:val="21"/>
                <w:highlight w:val="none"/>
              </w:rPr>
            </w:pPr>
            <w:r>
              <w:rPr>
                <w:rFonts w:hint="eastAsia" w:ascii="宋体" w:hAnsi="宋体"/>
                <w:color w:val="auto"/>
                <w:szCs w:val="21"/>
                <w:highlight w:val="none"/>
              </w:rPr>
              <w:t>23</w:t>
            </w:r>
          </w:p>
        </w:tc>
        <w:tc>
          <w:tcPr>
            <w:tcW w:w="2071" w:type="dxa"/>
            <w:tcBorders>
              <w:top w:val="single" w:color="auto" w:sz="4" w:space="0"/>
              <w:left w:val="single" w:color="auto" w:sz="4" w:space="0"/>
              <w:bottom w:val="single" w:color="auto" w:sz="4" w:space="0"/>
              <w:right w:val="single" w:color="auto" w:sz="4" w:space="0"/>
            </w:tcBorders>
            <w:noWrap/>
            <w:vAlign w:val="center"/>
          </w:tcPr>
          <w:p w14:paraId="5A3841E1">
            <w:pPr>
              <w:spacing w:line="380" w:lineRule="exact"/>
              <w:rPr>
                <w:rFonts w:ascii="宋体" w:hAnsi="宋体"/>
                <w:color w:val="auto"/>
                <w:szCs w:val="21"/>
                <w:highlight w:val="none"/>
              </w:rPr>
            </w:pPr>
            <w:r>
              <w:rPr>
                <w:rFonts w:hint="eastAsia" w:ascii="宋体" w:hAnsi="宋体"/>
                <w:color w:val="auto"/>
                <w:szCs w:val="21"/>
                <w:highlight w:val="none"/>
              </w:rPr>
              <w:t>开标时间、地点</w:t>
            </w:r>
          </w:p>
        </w:tc>
        <w:tc>
          <w:tcPr>
            <w:tcW w:w="7185" w:type="dxa"/>
            <w:tcBorders>
              <w:top w:val="single" w:color="auto" w:sz="4" w:space="0"/>
              <w:left w:val="single" w:color="auto" w:sz="4" w:space="0"/>
              <w:bottom w:val="single" w:color="auto" w:sz="4" w:space="0"/>
              <w:right w:val="single" w:color="auto" w:sz="4" w:space="0"/>
            </w:tcBorders>
            <w:noWrap/>
            <w:vAlign w:val="center"/>
          </w:tcPr>
          <w:p w14:paraId="29A06FC3">
            <w:pPr>
              <w:snapToGrid w:val="0"/>
              <w:spacing w:line="380" w:lineRule="exact"/>
              <w:rPr>
                <w:rFonts w:ascii="宋体" w:hAnsi="宋体"/>
                <w:color w:val="auto"/>
                <w:szCs w:val="21"/>
                <w:highlight w:val="none"/>
              </w:rPr>
            </w:pPr>
            <w:r>
              <w:rPr>
                <w:rFonts w:hint="eastAsia" w:ascii="宋体" w:hAnsi="宋体"/>
                <w:color w:val="auto"/>
                <w:szCs w:val="21"/>
                <w:highlight w:val="none"/>
              </w:rPr>
              <w:t xml:space="preserve">详见招标公告 </w:t>
            </w:r>
          </w:p>
        </w:tc>
      </w:tr>
      <w:tr w14:paraId="6F61A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right w:val="single" w:color="auto" w:sz="4" w:space="0"/>
            </w:tcBorders>
            <w:noWrap/>
            <w:vAlign w:val="center"/>
          </w:tcPr>
          <w:p w14:paraId="44FA0073">
            <w:pPr>
              <w:spacing w:line="380" w:lineRule="exact"/>
              <w:rPr>
                <w:rFonts w:ascii="宋体" w:hAnsi="宋体"/>
                <w:color w:val="auto"/>
                <w:szCs w:val="21"/>
                <w:highlight w:val="none"/>
              </w:rPr>
            </w:pPr>
            <w:r>
              <w:rPr>
                <w:rFonts w:hint="eastAsia" w:ascii="宋体" w:hAnsi="宋体"/>
                <w:color w:val="auto"/>
                <w:szCs w:val="21"/>
                <w:highlight w:val="none"/>
              </w:rPr>
              <w:t>25.3（2）</w:t>
            </w:r>
          </w:p>
        </w:tc>
        <w:tc>
          <w:tcPr>
            <w:tcW w:w="2071" w:type="dxa"/>
            <w:tcBorders>
              <w:top w:val="single" w:color="auto" w:sz="4" w:space="0"/>
              <w:left w:val="single" w:color="auto" w:sz="4" w:space="0"/>
              <w:bottom w:val="single" w:color="auto" w:sz="4" w:space="0"/>
              <w:right w:val="single" w:color="auto" w:sz="4" w:space="0"/>
            </w:tcBorders>
            <w:noWrap/>
            <w:vAlign w:val="center"/>
          </w:tcPr>
          <w:p w14:paraId="515B6CFE">
            <w:pPr>
              <w:spacing w:line="380" w:lineRule="exact"/>
              <w:rPr>
                <w:rFonts w:ascii="宋体" w:hAnsi="宋体"/>
                <w:color w:val="auto"/>
                <w:szCs w:val="21"/>
                <w:highlight w:val="none"/>
              </w:rPr>
            </w:pPr>
            <w:r>
              <w:rPr>
                <w:rFonts w:hint="eastAsia" w:ascii="宋体" w:hAnsi="宋体"/>
                <w:color w:val="auto"/>
                <w:szCs w:val="21"/>
                <w:highlight w:val="none"/>
              </w:rPr>
              <w:t>投标人信用查询渠道</w:t>
            </w:r>
          </w:p>
        </w:tc>
        <w:tc>
          <w:tcPr>
            <w:tcW w:w="7185" w:type="dxa"/>
            <w:tcBorders>
              <w:top w:val="single" w:color="auto" w:sz="4" w:space="0"/>
              <w:left w:val="single" w:color="auto" w:sz="4" w:space="0"/>
              <w:bottom w:val="single" w:color="auto" w:sz="4" w:space="0"/>
              <w:right w:val="single" w:color="auto" w:sz="4" w:space="0"/>
            </w:tcBorders>
            <w:noWrap/>
            <w:vAlign w:val="center"/>
          </w:tcPr>
          <w:p w14:paraId="0719652B">
            <w:pPr>
              <w:snapToGrid w:val="0"/>
              <w:spacing w:line="380" w:lineRule="exact"/>
              <w:rPr>
                <w:rFonts w:ascii="宋体" w:hAnsi="宋体"/>
                <w:color w:val="auto"/>
                <w:szCs w:val="21"/>
                <w:highlight w:val="none"/>
              </w:rPr>
            </w:pPr>
            <w:r>
              <w:rPr>
                <w:rFonts w:hint="eastAsia" w:ascii="宋体" w:hAnsi="宋体"/>
                <w:color w:val="auto"/>
                <w:szCs w:val="21"/>
                <w:highlight w:val="none"/>
              </w:rPr>
              <w:t>采购人或者采购代理机构在资格审查结束前，对投标人进行信用查询。</w:t>
            </w:r>
          </w:p>
          <w:p w14:paraId="22D1D55C">
            <w:pPr>
              <w:snapToGrid w:val="0"/>
              <w:spacing w:line="380" w:lineRule="exact"/>
              <w:rPr>
                <w:rFonts w:ascii="宋体" w:hAnsi="宋体"/>
                <w:color w:val="auto"/>
                <w:szCs w:val="21"/>
                <w:highlight w:val="none"/>
              </w:rPr>
            </w:pPr>
            <w:r>
              <w:rPr>
                <w:rFonts w:hint="eastAsia" w:ascii="宋体" w:hAnsi="宋体"/>
                <w:color w:val="auto"/>
                <w:szCs w:val="21"/>
                <w:highlight w:val="none"/>
              </w:rPr>
              <w:t>查询渠道：“信用中国”网站(www.creditchina.gov.cn) 、中国政府采购网(www.ccgp.gov.cn)。</w:t>
            </w:r>
          </w:p>
        </w:tc>
      </w:tr>
      <w:tr w14:paraId="514302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75" w:type="dxa"/>
            <w:vMerge w:val="continue"/>
            <w:tcBorders>
              <w:left w:val="single" w:color="auto" w:sz="4" w:space="0"/>
              <w:right w:val="single" w:color="auto" w:sz="4" w:space="0"/>
            </w:tcBorders>
            <w:noWrap/>
            <w:vAlign w:val="center"/>
          </w:tcPr>
          <w:p w14:paraId="3CBEE9CE">
            <w:pPr>
              <w:spacing w:line="380" w:lineRule="exact"/>
              <w:rPr>
                <w:rFonts w:ascii="宋体" w:hAnsi="宋体"/>
                <w:color w:val="auto"/>
                <w:szCs w:val="21"/>
                <w:highlight w:val="none"/>
              </w:rPr>
            </w:pPr>
          </w:p>
        </w:tc>
        <w:tc>
          <w:tcPr>
            <w:tcW w:w="2071" w:type="dxa"/>
            <w:tcBorders>
              <w:top w:val="single" w:color="auto" w:sz="4" w:space="0"/>
              <w:left w:val="single" w:color="auto" w:sz="4" w:space="0"/>
              <w:bottom w:val="single" w:color="auto" w:sz="4" w:space="0"/>
              <w:right w:val="single" w:color="auto" w:sz="4" w:space="0"/>
            </w:tcBorders>
            <w:noWrap/>
            <w:vAlign w:val="center"/>
          </w:tcPr>
          <w:p w14:paraId="351E2AE7">
            <w:pPr>
              <w:spacing w:line="380" w:lineRule="exact"/>
              <w:rPr>
                <w:rFonts w:ascii="宋体" w:hAnsi="宋体"/>
                <w:color w:val="auto"/>
                <w:szCs w:val="21"/>
                <w:highlight w:val="none"/>
              </w:rPr>
            </w:pPr>
            <w:r>
              <w:rPr>
                <w:rFonts w:hint="eastAsia" w:ascii="宋体" w:hAnsi="宋体"/>
                <w:color w:val="auto"/>
                <w:szCs w:val="21"/>
                <w:highlight w:val="none"/>
              </w:rPr>
              <w:t>信用查询截止时点</w:t>
            </w:r>
          </w:p>
        </w:tc>
        <w:tc>
          <w:tcPr>
            <w:tcW w:w="7185" w:type="dxa"/>
            <w:tcBorders>
              <w:top w:val="single" w:color="auto" w:sz="4" w:space="0"/>
              <w:left w:val="single" w:color="auto" w:sz="4" w:space="0"/>
              <w:bottom w:val="single" w:color="auto" w:sz="4" w:space="0"/>
              <w:right w:val="single" w:color="auto" w:sz="4" w:space="0"/>
            </w:tcBorders>
            <w:noWrap/>
            <w:vAlign w:val="center"/>
          </w:tcPr>
          <w:p w14:paraId="4DDAEC45">
            <w:pPr>
              <w:snapToGrid w:val="0"/>
              <w:spacing w:line="380" w:lineRule="exact"/>
              <w:rPr>
                <w:rFonts w:ascii="宋体" w:hAnsi="宋体"/>
                <w:color w:val="auto"/>
                <w:szCs w:val="21"/>
                <w:highlight w:val="none"/>
              </w:rPr>
            </w:pPr>
            <w:r>
              <w:rPr>
                <w:rFonts w:hint="eastAsia" w:ascii="宋体" w:hAnsi="宋体"/>
                <w:color w:val="auto"/>
                <w:szCs w:val="21"/>
                <w:highlight w:val="none"/>
              </w:rPr>
              <w:t>资格审查结束前</w:t>
            </w:r>
          </w:p>
        </w:tc>
      </w:tr>
      <w:tr w14:paraId="68FE2E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left w:val="single" w:color="auto" w:sz="4" w:space="0"/>
              <w:bottom w:val="single" w:color="auto" w:sz="4" w:space="0"/>
              <w:right w:val="single" w:color="auto" w:sz="4" w:space="0"/>
            </w:tcBorders>
            <w:noWrap/>
            <w:vAlign w:val="center"/>
          </w:tcPr>
          <w:p w14:paraId="13B4ED12">
            <w:pPr>
              <w:spacing w:line="380" w:lineRule="exact"/>
              <w:rPr>
                <w:rFonts w:ascii="宋体" w:hAnsi="宋体"/>
                <w:color w:val="auto"/>
                <w:szCs w:val="21"/>
                <w:highlight w:val="none"/>
              </w:rPr>
            </w:pPr>
          </w:p>
        </w:tc>
        <w:tc>
          <w:tcPr>
            <w:tcW w:w="2071" w:type="dxa"/>
            <w:tcBorders>
              <w:top w:val="single" w:color="auto" w:sz="4" w:space="0"/>
              <w:left w:val="single" w:color="auto" w:sz="4" w:space="0"/>
              <w:bottom w:val="single" w:color="auto" w:sz="4" w:space="0"/>
              <w:right w:val="single" w:color="auto" w:sz="4" w:space="0"/>
            </w:tcBorders>
            <w:noWrap/>
            <w:vAlign w:val="center"/>
          </w:tcPr>
          <w:p w14:paraId="31F13784">
            <w:pPr>
              <w:spacing w:line="380" w:lineRule="exact"/>
              <w:rPr>
                <w:rFonts w:ascii="宋体" w:hAnsi="宋体"/>
                <w:color w:val="auto"/>
                <w:szCs w:val="21"/>
                <w:highlight w:val="none"/>
              </w:rPr>
            </w:pPr>
            <w:r>
              <w:rPr>
                <w:rFonts w:hint="eastAsia" w:ascii="宋体" w:hAnsi="宋体"/>
                <w:color w:val="auto"/>
                <w:szCs w:val="21"/>
                <w:highlight w:val="none"/>
              </w:rPr>
              <w:t>信用信息使用规则</w:t>
            </w:r>
          </w:p>
        </w:tc>
        <w:tc>
          <w:tcPr>
            <w:tcW w:w="7185" w:type="dxa"/>
            <w:tcBorders>
              <w:top w:val="single" w:color="auto" w:sz="4" w:space="0"/>
              <w:left w:val="single" w:color="auto" w:sz="4" w:space="0"/>
              <w:bottom w:val="single" w:color="auto" w:sz="4" w:space="0"/>
              <w:right w:val="single" w:color="auto" w:sz="4" w:space="0"/>
            </w:tcBorders>
            <w:noWrap/>
            <w:vAlign w:val="center"/>
          </w:tcPr>
          <w:p w14:paraId="5A605100">
            <w:pPr>
              <w:snapToGrid w:val="0"/>
              <w:spacing w:line="380" w:lineRule="exact"/>
              <w:rPr>
                <w:rFonts w:ascii="宋体" w:hAnsi="宋体"/>
                <w:color w:val="auto"/>
                <w:szCs w:val="21"/>
                <w:highlight w:val="none"/>
              </w:rPr>
            </w:pPr>
            <w:r>
              <w:rPr>
                <w:rFonts w:hint="eastAsia" w:ascii="宋体" w:hAnsi="宋体"/>
                <w:color w:val="auto"/>
                <w:szCs w:val="21"/>
                <w:highlight w:val="none"/>
              </w:rPr>
              <w:t>对在“信用中国”网站(www.creditchina.gov.cn) 、中国政府采购网(www.ccgp.gov.cn)被列入失信被执行人、重大税收违法案件当事人名单</w:t>
            </w:r>
            <w:r>
              <w:rPr>
                <w:rFonts w:hint="eastAsia" w:ascii="宋体" w:hAnsi="宋体" w:cs="宋体"/>
                <w:color w:val="auto"/>
                <w:szCs w:val="21"/>
                <w:highlight w:val="none"/>
              </w:rPr>
              <w:t>（税收违法黑名单）</w:t>
            </w:r>
            <w:r>
              <w:rPr>
                <w:rFonts w:hint="eastAsia" w:ascii="宋体" w:hAnsi="宋体"/>
                <w:color w:val="auto"/>
                <w:szCs w:val="21"/>
                <w:highlight w:val="none"/>
              </w:rPr>
              <w:t>、政府采购严重违法失信行为记录名单及其他不符合《中华人民共和国政府采购法》第二十二条规定条件的供应商，采购人或者采购代理机构</w:t>
            </w:r>
            <w:r>
              <w:rPr>
                <w:rFonts w:hint="eastAsia"/>
                <w:color w:val="auto"/>
                <w:sz w:val="22"/>
                <w:szCs w:val="22"/>
                <w:highlight w:val="none"/>
              </w:rPr>
              <w:t>应</w:t>
            </w:r>
            <w:r>
              <w:rPr>
                <w:rFonts w:hint="eastAsia" w:ascii="宋体" w:hAnsi="宋体"/>
                <w:color w:val="auto"/>
                <w:szCs w:val="21"/>
                <w:highlight w:val="none"/>
              </w:rPr>
              <w:t>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17D82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1100BE10">
            <w:pPr>
              <w:spacing w:line="380" w:lineRule="exact"/>
              <w:rPr>
                <w:rFonts w:ascii="宋体" w:hAnsi="宋体"/>
                <w:color w:val="auto"/>
                <w:szCs w:val="21"/>
                <w:highlight w:val="none"/>
              </w:rPr>
            </w:pPr>
            <w:r>
              <w:rPr>
                <w:rFonts w:ascii="宋体" w:hAnsi="宋体"/>
                <w:color w:val="auto"/>
                <w:szCs w:val="21"/>
                <w:highlight w:val="none"/>
              </w:rPr>
              <w:t>29.1</w:t>
            </w:r>
          </w:p>
        </w:tc>
        <w:tc>
          <w:tcPr>
            <w:tcW w:w="2071" w:type="dxa"/>
            <w:tcBorders>
              <w:top w:val="single" w:color="auto" w:sz="4" w:space="0"/>
              <w:left w:val="single" w:color="auto" w:sz="4" w:space="0"/>
              <w:bottom w:val="single" w:color="auto" w:sz="4" w:space="0"/>
              <w:right w:val="single" w:color="auto" w:sz="4" w:space="0"/>
            </w:tcBorders>
            <w:noWrap/>
            <w:vAlign w:val="center"/>
          </w:tcPr>
          <w:p w14:paraId="7EB551B0">
            <w:pPr>
              <w:spacing w:line="380" w:lineRule="exact"/>
              <w:rPr>
                <w:rFonts w:ascii="宋体" w:hAnsi="宋体"/>
                <w:color w:val="auto"/>
                <w:szCs w:val="21"/>
                <w:highlight w:val="none"/>
              </w:rPr>
            </w:pPr>
            <w:r>
              <w:rPr>
                <w:rFonts w:hint="eastAsia" w:ascii="宋体" w:hAnsi="宋体"/>
                <w:color w:val="auto"/>
                <w:szCs w:val="21"/>
                <w:highlight w:val="none"/>
              </w:rPr>
              <w:t>评标方法</w:t>
            </w:r>
          </w:p>
        </w:tc>
        <w:tc>
          <w:tcPr>
            <w:tcW w:w="7185" w:type="dxa"/>
            <w:tcBorders>
              <w:top w:val="single" w:color="auto" w:sz="4" w:space="0"/>
              <w:left w:val="single" w:color="auto" w:sz="4" w:space="0"/>
              <w:bottom w:val="single" w:color="auto" w:sz="4" w:space="0"/>
              <w:right w:val="single" w:color="auto" w:sz="4" w:space="0"/>
            </w:tcBorders>
            <w:noWrap/>
            <w:vAlign w:val="center"/>
          </w:tcPr>
          <w:p w14:paraId="2D1A548B">
            <w:pPr>
              <w:autoSpaceDE w:val="0"/>
              <w:autoSpaceDN w:val="0"/>
              <w:snapToGrid w:val="0"/>
              <w:spacing w:line="380" w:lineRule="exact"/>
              <w:textAlignment w:val="bottom"/>
              <w:rPr>
                <w:rFonts w:ascii="宋体" w:hAnsi="宋体"/>
                <w:color w:val="auto"/>
                <w:szCs w:val="21"/>
                <w:highlight w:val="none"/>
              </w:rPr>
            </w:pPr>
            <w:r>
              <w:rPr>
                <w:rFonts w:ascii="仿宋" w:hAnsi="仿宋" w:eastAsia="仿宋"/>
                <w:b/>
                <w:bCs/>
                <w:color w:val="auto"/>
                <w:sz w:val="24"/>
                <w:highlight w:val="none"/>
              </w:rPr>
              <w:fldChar w:fldCharType="begin"/>
            </w:r>
            <w:r>
              <w:rPr>
                <w:rFonts w:hint="eastAsia" w:ascii="仿宋" w:hAnsi="仿宋" w:eastAsia="仿宋"/>
                <w:b/>
                <w:bCs/>
                <w:color w:val="auto"/>
                <w:sz w:val="24"/>
                <w:highlight w:val="none"/>
              </w:rPr>
              <w:instrText xml:space="preserve">eq \o\ac(□,</w:instrText>
            </w:r>
            <w:r>
              <w:rPr>
                <w:rFonts w:hint="eastAsia" w:ascii="仿宋" w:hAnsi="仿宋" w:eastAsia="仿宋"/>
                <w:b/>
                <w:bCs/>
                <w:color w:val="auto"/>
                <w:position w:val="2"/>
                <w:sz w:val="16"/>
                <w:highlight w:val="none"/>
              </w:rPr>
              <w:instrText xml:space="preserve">√</w:instrText>
            </w:r>
            <w:r>
              <w:rPr>
                <w:rFonts w:hint="eastAsia" w:ascii="仿宋" w:hAnsi="仿宋" w:eastAsia="仿宋"/>
                <w:b/>
                <w:bCs/>
                <w:color w:val="auto"/>
                <w:sz w:val="24"/>
                <w:highlight w:val="none"/>
              </w:rPr>
              <w:instrText xml:space="preserve">)</w:instrText>
            </w:r>
            <w:r>
              <w:rPr>
                <w:rFonts w:ascii="仿宋" w:hAnsi="仿宋" w:eastAsia="仿宋"/>
                <w:b/>
                <w:bCs/>
                <w:color w:val="auto"/>
                <w:sz w:val="24"/>
                <w:highlight w:val="none"/>
              </w:rPr>
              <w:fldChar w:fldCharType="end"/>
            </w:r>
            <w:r>
              <w:rPr>
                <w:rFonts w:hint="eastAsia" w:ascii="宋体" w:hAnsi="宋体"/>
                <w:color w:val="auto"/>
                <w:szCs w:val="21"/>
                <w:highlight w:val="none"/>
              </w:rPr>
              <w:t>综合评分法</w:t>
            </w:r>
          </w:p>
          <w:p w14:paraId="495A15F5">
            <w:pPr>
              <w:autoSpaceDE w:val="0"/>
              <w:autoSpaceDN w:val="0"/>
              <w:snapToGrid w:val="0"/>
              <w:spacing w:line="380" w:lineRule="exact"/>
              <w:textAlignment w:val="bottom"/>
              <w:rPr>
                <w:rFonts w:ascii="宋体" w:hAnsi="宋体"/>
                <w:color w:val="auto"/>
                <w:szCs w:val="21"/>
                <w:highlight w:val="none"/>
              </w:rPr>
            </w:pPr>
            <w:r>
              <w:rPr>
                <w:rFonts w:hint="eastAsia" w:ascii="宋体" w:hAnsi="宋体"/>
                <w:color w:val="auto"/>
                <w:szCs w:val="21"/>
                <w:highlight w:val="none"/>
              </w:rPr>
              <w:t>□最低评标价法</w:t>
            </w:r>
          </w:p>
        </w:tc>
      </w:tr>
      <w:tr w14:paraId="281347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75" w:type="dxa"/>
            <w:tcBorders>
              <w:top w:val="single" w:color="auto" w:sz="4" w:space="0"/>
              <w:left w:val="single" w:color="auto" w:sz="4" w:space="0"/>
              <w:right w:val="single" w:color="auto" w:sz="4" w:space="0"/>
            </w:tcBorders>
            <w:noWrap/>
            <w:vAlign w:val="center"/>
          </w:tcPr>
          <w:p w14:paraId="1FD7130E">
            <w:pPr>
              <w:spacing w:line="380" w:lineRule="exact"/>
              <w:rPr>
                <w:rFonts w:ascii="宋体" w:hAnsi="宋体"/>
                <w:color w:val="auto"/>
                <w:szCs w:val="21"/>
                <w:highlight w:val="none"/>
              </w:rPr>
            </w:pPr>
            <w:r>
              <w:rPr>
                <w:rFonts w:hint="eastAsia" w:ascii="宋体" w:hAnsi="宋体"/>
                <w:color w:val="auto"/>
                <w:szCs w:val="21"/>
                <w:highlight w:val="none"/>
              </w:rPr>
              <w:t>29</w:t>
            </w:r>
            <w:r>
              <w:rPr>
                <w:rFonts w:ascii="宋体" w:hAnsi="宋体"/>
                <w:color w:val="auto"/>
                <w:szCs w:val="21"/>
                <w:highlight w:val="none"/>
              </w:rPr>
              <w:t>.2</w:t>
            </w:r>
          </w:p>
        </w:tc>
        <w:tc>
          <w:tcPr>
            <w:tcW w:w="2071" w:type="dxa"/>
            <w:tcBorders>
              <w:top w:val="single" w:color="auto" w:sz="4" w:space="0"/>
              <w:left w:val="single" w:color="auto" w:sz="4" w:space="0"/>
              <w:right w:val="single" w:color="auto" w:sz="4" w:space="0"/>
            </w:tcBorders>
            <w:noWrap/>
            <w:vAlign w:val="center"/>
          </w:tcPr>
          <w:p w14:paraId="38466133">
            <w:pPr>
              <w:spacing w:line="380" w:lineRule="exact"/>
              <w:rPr>
                <w:rFonts w:ascii="宋体" w:hAnsi="宋体"/>
                <w:color w:val="auto"/>
                <w:szCs w:val="21"/>
                <w:highlight w:val="none"/>
              </w:rPr>
            </w:pPr>
            <w:r>
              <w:rPr>
                <w:rFonts w:hint="eastAsia" w:ascii="宋体" w:hAnsi="宋体"/>
                <w:color w:val="auto"/>
                <w:szCs w:val="21"/>
                <w:highlight w:val="none"/>
              </w:rPr>
              <w:t>允许负偏离项</w:t>
            </w:r>
          </w:p>
        </w:tc>
        <w:tc>
          <w:tcPr>
            <w:tcW w:w="7185" w:type="dxa"/>
            <w:tcBorders>
              <w:top w:val="single" w:color="auto" w:sz="4" w:space="0"/>
              <w:left w:val="single" w:color="auto" w:sz="4" w:space="0"/>
              <w:right w:val="single" w:color="auto" w:sz="4" w:space="0"/>
            </w:tcBorders>
            <w:noWrap/>
            <w:vAlign w:val="center"/>
          </w:tcPr>
          <w:p w14:paraId="5A663E69">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6277089D">
            <w:pPr>
              <w:snapToGrid w:val="0"/>
              <w:spacing w:line="38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技术</w:t>
            </w:r>
            <w:r>
              <w:rPr>
                <w:rFonts w:hint="eastAsia" w:ascii="宋体" w:hAnsi="宋体"/>
                <w:color w:val="auto"/>
                <w:szCs w:val="21"/>
                <w:highlight w:val="none"/>
              </w:rPr>
              <w:t>需求评审中允许负偏离的条款数为</w:t>
            </w:r>
            <w:r>
              <w:rPr>
                <w:rFonts w:hint="eastAsia" w:ascii="宋体" w:hAnsi="宋体"/>
                <w:color w:val="auto"/>
                <w:szCs w:val="21"/>
                <w:highlight w:val="none"/>
                <w:lang w:val="en-US" w:eastAsia="zh-CN"/>
              </w:rPr>
              <w:t>每个标的</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1</w:t>
            </w:r>
            <w:r>
              <w:rPr>
                <w:rFonts w:hint="eastAsia" w:ascii="宋体" w:hAnsi="宋体"/>
                <w:color w:val="auto"/>
                <w:szCs w:val="21"/>
                <w:highlight w:val="none"/>
              </w:rPr>
              <w:t>项</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所有标的总</w:t>
            </w:r>
            <w:r>
              <w:rPr>
                <w:rFonts w:hint="eastAsia" w:ascii="宋体" w:hAnsi="宋体"/>
                <w:color w:val="auto"/>
                <w:szCs w:val="21"/>
                <w:highlight w:val="none"/>
              </w:rPr>
              <w:t>负偏离的条款数</w:t>
            </w:r>
            <w:r>
              <w:rPr>
                <w:rFonts w:hint="default" w:ascii="Arial" w:hAnsi="Arial" w:cs="Arial"/>
                <w:b/>
                <w:bCs/>
                <w:color w:val="auto"/>
                <w:szCs w:val="21"/>
                <w:highlight w:val="none"/>
                <w:u w:val="single"/>
              </w:rPr>
              <w:t>≤</w:t>
            </w:r>
            <w:r>
              <w:rPr>
                <w:rFonts w:hint="eastAsia" w:ascii="Arial" w:hAnsi="Arial" w:cs="Arial"/>
                <w:b/>
                <w:bCs/>
                <w:color w:val="auto"/>
                <w:szCs w:val="21"/>
                <w:highlight w:val="none"/>
                <w:u w:val="single"/>
                <w:lang w:val="en-US" w:eastAsia="zh-CN"/>
              </w:rPr>
              <w:t>8</w:t>
            </w:r>
            <w:r>
              <w:rPr>
                <w:rFonts w:hint="eastAsia" w:ascii="宋体" w:hAnsi="宋体"/>
                <w:color w:val="auto"/>
                <w:szCs w:val="21"/>
                <w:highlight w:val="none"/>
                <w:lang w:val="en-US" w:eastAsia="zh-CN"/>
              </w:rPr>
              <w:t>项。</w:t>
            </w:r>
          </w:p>
        </w:tc>
      </w:tr>
      <w:tr w14:paraId="115C7E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7789C870">
            <w:pPr>
              <w:spacing w:line="380" w:lineRule="exact"/>
              <w:rPr>
                <w:rFonts w:ascii="宋体" w:hAnsi="宋体"/>
                <w:color w:val="auto"/>
                <w:szCs w:val="21"/>
                <w:highlight w:val="none"/>
              </w:rPr>
            </w:pPr>
            <w:r>
              <w:rPr>
                <w:rFonts w:hint="eastAsia" w:ascii="宋体" w:hAnsi="宋体"/>
                <w:color w:val="auto"/>
                <w:szCs w:val="21"/>
                <w:highlight w:val="none"/>
              </w:rPr>
              <w:t>30</w:t>
            </w:r>
            <w:r>
              <w:rPr>
                <w:rFonts w:ascii="宋体" w:hAnsi="宋体"/>
                <w:color w:val="auto"/>
                <w:szCs w:val="21"/>
                <w:highlight w:val="none"/>
              </w:rPr>
              <w:t>.1</w:t>
            </w:r>
          </w:p>
        </w:tc>
        <w:tc>
          <w:tcPr>
            <w:tcW w:w="2071" w:type="dxa"/>
            <w:tcBorders>
              <w:top w:val="single" w:color="auto" w:sz="4" w:space="0"/>
              <w:left w:val="single" w:color="auto" w:sz="4" w:space="0"/>
              <w:bottom w:val="single" w:color="auto" w:sz="4" w:space="0"/>
              <w:right w:val="single" w:color="auto" w:sz="4" w:space="0"/>
            </w:tcBorders>
            <w:noWrap/>
            <w:vAlign w:val="center"/>
          </w:tcPr>
          <w:p w14:paraId="54D46091">
            <w:pPr>
              <w:autoSpaceDE w:val="0"/>
              <w:autoSpaceDN w:val="0"/>
              <w:snapToGrid w:val="0"/>
              <w:spacing w:line="380" w:lineRule="exact"/>
              <w:textAlignment w:val="bottom"/>
              <w:rPr>
                <w:rFonts w:ascii="宋体" w:hAnsi="宋体"/>
                <w:color w:val="auto"/>
                <w:szCs w:val="21"/>
                <w:highlight w:val="none"/>
              </w:rPr>
            </w:pPr>
            <w:r>
              <w:rPr>
                <w:rFonts w:hint="eastAsia" w:ascii="宋体" w:hAnsi="宋体"/>
                <w:color w:val="auto"/>
                <w:szCs w:val="21"/>
                <w:highlight w:val="none"/>
              </w:rPr>
              <w:t xml:space="preserve">确定中标人时，出现中标候选人分数并列的情形，确定中标人方式 </w:t>
            </w:r>
          </w:p>
        </w:tc>
        <w:tc>
          <w:tcPr>
            <w:tcW w:w="7185" w:type="dxa"/>
            <w:tcBorders>
              <w:top w:val="single" w:color="auto" w:sz="4" w:space="0"/>
              <w:left w:val="single" w:color="auto" w:sz="4" w:space="0"/>
              <w:bottom w:val="single" w:color="auto" w:sz="4" w:space="0"/>
              <w:right w:val="single" w:color="auto" w:sz="4" w:space="0"/>
            </w:tcBorders>
            <w:noWrap/>
            <w:vAlign w:val="center"/>
          </w:tcPr>
          <w:p w14:paraId="0821F7E4">
            <w:pPr>
              <w:autoSpaceDE w:val="0"/>
              <w:autoSpaceDN w:val="0"/>
              <w:snapToGrid w:val="0"/>
              <w:spacing w:line="380" w:lineRule="exact"/>
              <w:textAlignment w:val="bottom"/>
              <w:rPr>
                <w:rFonts w:ascii="宋体" w:hAnsi="宋体"/>
                <w:color w:val="auto"/>
                <w:szCs w:val="21"/>
                <w:highlight w:val="none"/>
              </w:rPr>
            </w:pPr>
            <w:r>
              <w:rPr>
                <w:rFonts w:hint="eastAsia" w:ascii="宋体" w:hAnsi="宋体"/>
                <w:color w:val="auto"/>
                <w:szCs w:val="21"/>
                <w:highlight w:val="none"/>
              </w:rPr>
              <w:t xml:space="preserve">□采用最低评标价法的，投标文件满足招标文件全部实质性要求且投标报价最低的投标人为排名第一的中标候选人； </w:t>
            </w:r>
          </w:p>
          <w:p w14:paraId="71FD21D3">
            <w:pPr>
              <w:autoSpaceDE w:val="0"/>
              <w:autoSpaceDN w:val="0"/>
              <w:snapToGrid w:val="0"/>
              <w:spacing w:line="380" w:lineRule="exact"/>
              <w:textAlignment w:val="bottom"/>
              <w:rPr>
                <w:rFonts w:ascii="宋体" w:hAnsi="宋体"/>
                <w:b/>
                <w:color w:val="auto"/>
                <w:szCs w:val="21"/>
                <w:highlight w:val="none"/>
              </w:rPr>
            </w:pPr>
            <w:r>
              <w:rPr>
                <w:rFonts w:ascii="仿宋" w:hAnsi="仿宋" w:eastAsia="仿宋"/>
                <w:b/>
                <w:bCs/>
                <w:color w:val="auto"/>
                <w:sz w:val="24"/>
                <w:highlight w:val="none"/>
              </w:rPr>
              <w:fldChar w:fldCharType="begin"/>
            </w:r>
            <w:r>
              <w:rPr>
                <w:rFonts w:hint="eastAsia" w:ascii="仿宋" w:hAnsi="仿宋" w:eastAsia="仿宋"/>
                <w:b/>
                <w:bCs/>
                <w:color w:val="auto"/>
                <w:sz w:val="24"/>
                <w:highlight w:val="none"/>
              </w:rPr>
              <w:instrText xml:space="preserve">eq \o\ac(□,</w:instrText>
            </w:r>
            <w:r>
              <w:rPr>
                <w:rFonts w:hint="eastAsia" w:ascii="仿宋" w:hAnsi="仿宋" w:eastAsia="仿宋"/>
                <w:b/>
                <w:bCs/>
                <w:color w:val="auto"/>
                <w:position w:val="2"/>
                <w:sz w:val="16"/>
                <w:highlight w:val="none"/>
              </w:rPr>
              <w:instrText xml:space="preserve">√</w:instrText>
            </w:r>
            <w:r>
              <w:rPr>
                <w:rFonts w:hint="eastAsia" w:ascii="仿宋" w:hAnsi="仿宋" w:eastAsia="仿宋"/>
                <w:b/>
                <w:bCs/>
                <w:color w:val="auto"/>
                <w:sz w:val="24"/>
                <w:highlight w:val="none"/>
              </w:rPr>
              <w:instrText xml:space="preserve">)</w:instrText>
            </w:r>
            <w:r>
              <w:rPr>
                <w:rFonts w:ascii="仿宋" w:hAnsi="仿宋" w:eastAsia="仿宋"/>
                <w:b/>
                <w:bCs/>
                <w:color w:val="auto"/>
                <w:sz w:val="24"/>
                <w:highlight w:val="none"/>
              </w:rPr>
              <w:fldChar w:fldCharType="end"/>
            </w:r>
            <w:r>
              <w:rPr>
                <w:rFonts w:hint="eastAsia" w:ascii="宋体" w:hAnsi="宋体"/>
                <w:color w:val="auto"/>
                <w:szCs w:val="21"/>
                <w:highlight w:val="none"/>
              </w:rPr>
              <w:t>采用综合评分法的，按投标报价由低到高顺序排列。若综合得分且投标报价相同的，货物类采购项目以技术性能得分较高者为先，服务类采购项目以实力信誉及业绩得分较高者为先。投标文件满足招标文件全部实质性要求，且按照评审因素的量化指标评审得分最高的投标人为排名第一的中标候选人。</w:t>
            </w:r>
          </w:p>
        </w:tc>
      </w:tr>
      <w:tr w14:paraId="17B596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2547B258">
            <w:pPr>
              <w:spacing w:line="380" w:lineRule="exact"/>
              <w:rPr>
                <w:rFonts w:ascii="宋体" w:hAnsi="宋体"/>
                <w:color w:val="auto"/>
                <w:szCs w:val="21"/>
                <w:highlight w:val="none"/>
              </w:rPr>
            </w:pPr>
            <w:r>
              <w:rPr>
                <w:rFonts w:hint="eastAsia" w:ascii="宋体" w:hAnsi="宋体"/>
                <w:color w:val="auto"/>
                <w:szCs w:val="21"/>
                <w:highlight w:val="none"/>
              </w:rPr>
              <w:t>30.2</w:t>
            </w:r>
          </w:p>
        </w:tc>
        <w:tc>
          <w:tcPr>
            <w:tcW w:w="2071" w:type="dxa"/>
            <w:tcBorders>
              <w:top w:val="single" w:color="auto" w:sz="4" w:space="0"/>
              <w:left w:val="single" w:color="auto" w:sz="4" w:space="0"/>
              <w:bottom w:val="single" w:color="auto" w:sz="4" w:space="0"/>
              <w:right w:val="single" w:color="auto" w:sz="4" w:space="0"/>
            </w:tcBorders>
            <w:noWrap/>
            <w:vAlign w:val="center"/>
          </w:tcPr>
          <w:p w14:paraId="295877EC">
            <w:pPr>
              <w:spacing w:line="380" w:lineRule="exact"/>
              <w:rPr>
                <w:rFonts w:ascii="宋体" w:hAnsi="宋体"/>
                <w:color w:val="auto"/>
                <w:szCs w:val="21"/>
                <w:highlight w:val="none"/>
              </w:rPr>
            </w:pPr>
            <w:r>
              <w:rPr>
                <w:rFonts w:hint="eastAsia" w:ascii="宋体" w:hAnsi="宋体"/>
                <w:color w:val="auto"/>
                <w:szCs w:val="21"/>
                <w:highlight w:val="none"/>
              </w:rPr>
              <w:t>提供相同品牌产品且通过资格审查、符合性审查的不同投标人参加同一合同项下投标的中标候选人确定方式</w:t>
            </w:r>
          </w:p>
        </w:tc>
        <w:tc>
          <w:tcPr>
            <w:tcW w:w="7185" w:type="dxa"/>
            <w:tcBorders>
              <w:top w:val="single" w:color="auto" w:sz="4" w:space="0"/>
              <w:left w:val="single" w:color="auto" w:sz="4" w:space="0"/>
              <w:bottom w:val="single" w:color="auto" w:sz="4" w:space="0"/>
              <w:right w:val="single" w:color="auto" w:sz="4" w:space="0"/>
            </w:tcBorders>
            <w:noWrap/>
          </w:tcPr>
          <w:p w14:paraId="2B855412">
            <w:pPr>
              <w:autoSpaceDE w:val="0"/>
              <w:autoSpaceDN w:val="0"/>
              <w:snapToGrid w:val="0"/>
              <w:spacing w:line="380" w:lineRule="exact"/>
              <w:textAlignment w:val="bottom"/>
              <w:rPr>
                <w:rFonts w:ascii="宋体" w:hAnsi="宋体"/>
                <w:color w:val="auto"/>
                <w:szCs w:val="21"/>
                <w:highlight w:val="none"/>
              </w:rPr>
            </w:pPr>
            <w:r>
              <w:rPr>
                <w:rFonts w:hint="eastAsia" w:ascii="宋体" w:hAnsi="宋体"/>
                <w:color w:val="auto"/>
                <w:szCs w:val="21"/>
                <w:highlight w:val="none"/>
              </w:rPr>
              <w:t>□随机抽取（采用最低评标价法，报价相同时；采用综合评分法，评审价相同时）</w:t>
            </w:r>
          </w:p>
          <w:p w14:paraId="662FE4E9">
            <w:pPr>
              <w:autoSpaceDE w:val="0"/>
              <w:autoSpaceDN w:val="0"/>
              <w:snapToGrid w:val="0"/>
              <w:spacing w:line="380" w:lineRule="exact"/>
              <w:textAlignment w:val="bottom"/>
              <w:rPr>
                <w:rFonts w:ascii="宋体" w:hAnsi="宋体"/>
                <w:color w:val="auto"/>
                <w:szCs w:val="21"/>
                <w:highlight w:val="none"/>
                <w:u w:val="single"/>
              </w:rPr>
            </w:pPr>
            <w:r>
              <w:rPr>
                <w:rFonts w:ascii="仿宋" w:hAnsi="仿宋" w:eastAsia="仿宋"/>
                <w:b/>
                <w:bCs/>
                <w:color w:val="auto"/>
                <w:sz w:val="24"/>
                <w:highlight w:val="none"/>
              </w:rPr>
              <w:fldChar w:fldCharType="begin"/>
            </w:r>
            <w:r>
              <w:rPr>
                <w:rFonts w:hint="eastAsia" w:ascii="仿宋" w:hAnsi="仿宋" w:eastAsia="仿宋"/>
                <w:b/>
                <w:bCs/>
                <w:color w:val="auto"/>
                <w:sz w:val="24"/>
                <w:highlight w:val="none"/>
              </w:rPr>
              <w:instrText xml:space="preserve">eq \o\ac(□,</w:instrText>
            </w:r>
            <w:r>
              <w:rPr>
                <w:rFonts w:hint="eastAsia" w:ascii="仿宋" w:hAnsi="仿宋" w:eastAsia="仿宋"/>
                <w:b/>
                <w:bCs/>
                <w:color w:val="auto"/>
                <w:position w:val="2"/>
                <w:sz w:val="16"/>
                <w:highlight w:val="none"/>
              </w:rPr>
              <w:instrText xml:space="preserve">√</w:instrText>
            </w:r>
            <w:r>
              <w:rPr>
                <w:rFonts w:hint="eastAsia" w:ascii="仿宋" w:hAnsi="仿宋" w:eastAsia="仿宋"/>
                <w:b/>
                <w:bCs/>
                <w:color w:val="auto"/>
                <w:sz w:val="24"/>
                <w:highlight w:val="none"/>
              </w:rPr>
              <w:instrText xml:space="preserve">)</w:instrText>
            </w:r>
            <w:r>
              <w:rPr>
                <w:rFonts w:ascii="仿宋" w:hAnsi="仿宋" w:eastAsia="仿宋"/>
                <w:b/>
                <w:bCs/>
                <w:color w:val="auto"/>
                <w:sz w:val="24"/>
                <w:highlight w:val="none"/>
              </w:rPr>
              <w:fldChar w:fldCharType="end"/>
            </w:r>
            <w:r>
              <w:rPr>
                <w:rFonts w:hint="eastAsia" w:ascii="宋体" w:hAnsi="宋体"/>
                <w:color w:val="auto"/>
                <w:szCs w:val="21"/>
                <w:highlight w:val="none"/>
              </w:rPr>
              <w:t>其他方式：</w:t>
            </w:r>
            <w:r>
              <w:rPr>
                <w:rFonts w:hint="eastAsia" w:ascii="宋体" w:hAnsi="宋体"/>
                <w:color w:val="auto"/>
                <w:szCs w:val="21"/>
                <w:highlight w:val="none"/>
                <w:u w:val="single"/>
              </w:rPr>
              <w:t>以评审总得分最高者获得中标人推荐资格，评审总得分相同的由评标委员会现场协商确定，协商不一致的，由全体评委投票表决，得票率二分之一以上的供应商获得中标人推荐资格</w:t>
            </w:r>
          </w:p>
        </w:tc>
      </w:tr>
      <w:tr w14:paraId="7191FA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5"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7799FEB0">
            <w:pPr>
              <w:spacing w:line="380" w:lineRule="exact"/>
              <w:rPr>
                <w:rFonts w:ascii="宋体" w:hAnsi="宋体"/>
                <w:color w:val="auto"/>
                <w:szCs w:val="21"/>
                <w:highlight w:val="none"/>
              </w:rPr>
            </w:pPr>
            <w:r>
              <w:rPr>
                <w:rFonts w:hint="eastAsia" w:ascii="宋体" w:hAnsi="宋体"/>
                <w:color w:val="auto"/>
                <w:szCs w:val="21"/>
                <w:highlight w:val="none"/>
              </w:rPr>
              <w:t>35</w:t>
            </w:r>
          </w:p>
        </w:tc>
        <w:tc>
          <w:tcPr>
            <w:tcW w:w="2071" w:type="dxa"/>
            <w:tcBorders>
              <w:top w:val="single" w:color="auto" w:sz="4" w:space="0"/>
              <w:left w:val="single" w:color="auto" w:sz="4" w:space="0"/>
              <w:bottom w:val="single" w:color="auto" w:sz="4" w:space="0"/>
              <w:right w:val="single" w:color="auto" w:sz="4" w:space="0"/>
            </w:tcBorders>
            <w:noWrap/>
            <w:vAlign w:val="center"/>
          </w:tcPr>
          <w:p w14:paraId="54479F7A">
            <w:pPr>
              <w:spacing w:line="380" w:lineRule="exact"/>
              <w:rPr>
                <w:rFonts w:ascii="宋体" w:hAnsi="宋体"/>
                <w:color w:val="auto"/>
                <w:szCs w:val="21"/>
                <w:highlight w:val="none"/>
              </w:rPr>
            </w:pPr>
            <w:r>
              <w:rPr>
                <w:rFonts w:hint="eastAsia" w:ascii="宋体" w:hAnsi="宋体"/>
                <w:color w:val="auto"/>
                <w:szCs w:val="21"/>
                <w:highlight w:val="none"/>
              </w:rPr>
              <w:t>履约保证金金额</w:t>
            </w:r>
          </w:p>
        </w:tc>
        <w:tc>
          <w:tcPr>
            <w:tcW w:w="7185" w:type="dxa"/>
            <w:tcBorders>
              <w:top w:val="single" w:color="auto" w:sz="4" w:space="0"/>
              <w:left w:val="single" w:color="auto" w:sz="4" w:space="0"/>
              <w:bottom w:val="single" w:color="auto" w:sz="4" w:space="0"/>
              <w:right w:val="single" w:color="auto" w:sz="4" w:space="0"/>
            </w:tcBorders>
            <w:noWrap/>
            <w:vAlign w:val="bottom"/>
          </w:tcPr>
          <w:p w14:paraId="4385F2D0">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1.按项目中标金额的2%收取；</w:t>
            </w:r>
          </w:p>
          <w:p w14:paraId="77725872">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2.履约保证金提交方式：银行转账、支票、汇票、本票或者金融机构、担保机构出具的保函等非现金方式。</w:t>
            </w:r>
          </w:p>
          <w:p w14:paraId="54696245">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3.履约保证金退付方式、时间及条件：</w:t>
            </w:r>
            <w:r>
              <w:rPr>
                <w:rFonts w:hint="eastAsia" w:ascii="宋体" w:hAnsi="宋体" w:cs="宋体"/>
                <w:bCs w:val="0"/>
                <w:color w:val="auto"/>
                <w:spacing w:val="0"/>
                <w:kern w:val="2"/>
                <w:sz w:val="21"/>
                <w:szCs w:val="21"/>
                <w:highlight w:val="none"/>
              </w:rPr>
              <w:t>自签订合同之日起90日历日内交货，并安装调试完毕且通过验收</w:t>
            </w:r>
            <w:r>
              <w:rPr>
                <w:rFonts w:hint="eastAsia" w:ascii="宋体" w:hAnsi="宋体" w:eastAsia="宋体" w:cs="Times New Roman"/>
                <w:color w:val="auto"/>
                <w:szCs w:val="21"/>
                <w:highlight w:val="none"/>
                <w:lang w:val="en-US" w:eastAsia="zh-CN"/>
              </w:rPr>
              <w:t>，质保期满后</w:t>
            </w:r>
            <w:r>
              <w:rPr>
                <w:rFonts w:hint="eastAsia" w:ascii="宋体" w:hAnsi="宋体" w:cs="Times New Roman"/>
                <w:color w:val="auto"/>
                <w:szCs w:val="21"/>
                <w:highlight w:val="none"/>
                <w:lang w:val="en-US" w:eastAsia="zh-CN"/>
              </w:rPr>
              <w:t>中标</w:t>
            </w:r>
            <w:r>
              <w:rPr>
                <w:rFonts w:hint="eastAsia" w:ascii="宋体" w:hAnsi="宋体" w:eastAsia="宋体" w:cs="Times New Roman"/>
                <w:color w:val="auto"/>
                <w:szCs w:val="21"/>
                <w:highlight w:val="none"/>
                <w:lang w:val="en-US" w:eastAsia="zh-CN"/>
              </w:rPr>
              <w:t>供应商持履约保证金退付意见书、政府采购合同及履约验收证明到至采购人处办理退还履约保证金手续，采购人将在收到完整且合格的退付申请资料后五个工作日内无息原额退还。</w:t>
            </w:r>
          </w:p>
          <w:p w14:paraId="76E6A8C6">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4.缴纳履约保证金指定账户的信息：</w:t>
            </w:r>
          </w:p>
          <w:p w14:paraId="37D29E5C">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开户名称：陆川县人民医院</w:t>
            </w:r>
          </w:p>
          <w:p w14:paraId="53EBAF7D">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开户银行：陆川县农村商业银行</w:t>
            </w:r>
          </w:p>
          <w:p w14:paraId="341498C3">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olor w:val="auto"/>
                <w:szCs w:val="21"/>
                <w:highlight w:val="none"/>
              </w:rPr>
            </w:pPr>
            <w:r>
              <w:rPr>
                <w:rFonts w:hint="eastAsia" w:ascii="宋体" w:hAnsi="宋体" w:eastAsia="宋体" w:cs="Times New Roman"/>
                <w:color w:val="auto"/>
                <w:szCs w:val="21"/>
                <w:highlight w:val="none"/>
                <w:lang w:val="en-US" w:eastAsia="zh-CN"/>
              </w:rPr>
              <w:t>银行账号：550612010100149285</w:t>
            </w:r>
          </w:p>
        </w:tc>
      </w:tr>
      <w:tr w14:paraId="4968D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08882C7C">
            <w:pPr>
              <w:spacing w:line="380" w:lineRule="exact"/>
              <w:rPr>
                <w:rFonts w:ascii="宋体" w:hAnsi="宋体"/>
                <w:color w:val="auto"/>
                <w:szCs w:val="21"/>
                <w:highlight w:val="none"/>
              </w:rPr>
            </w:pPr>
            <w:r>
              <w:rPr>
                <w:rFonts w:hint="eastAsia" w:ascii="宋体" w:hAnsi="宋体"/>
                <w:color w:val="auto"/>
                <w:szCs w:val="21"/>
                <w:highlight w:val="none"/>
              </w:rPr>
              <w:t>36.1</w:t>
            </w:r>
          </w:p>
        </w:tc>
        <w:tc>
          <w:tcPr>
            <w:tcW w:w="2071" w:type="dxa"/>
            <w:tcBorders>
              <w:top w:val="single" w:color="auto" w:sz="4" w:space="0"/>
              <w:left w:val="single" w:color="auto" w:sz="4" w:space="0"/>
              <w:bottom w:val="single" w:color="auto" w:sz="4" w:space="0"/>
              <w:right w:val="single" w:color="auto" w:sz="4" w:space="0"/>
            </w:tcBorders>
            <w:noWrap/>
            <w:vAlign w:val="center"/>
          </w:tcPr>
          <w:p w14:paraId="21255F60">
            <w:pPr>
              <w:pStyle w:val="9"/>
              <w:spacing w:line="440" w:lineRule="exact"/>
              <w:rPr>
                <w:rFonts w:ascii="宋体" w:hAnsi="宋体"/>
                <w:color w:val="auto"/>
                <w:szCs w:val="21"/>
                <w:highlight w:val="none"/>
              </w:rPr>
            </w:pPr>
            <w:r>
              <w:rPr>
                <w:rFonts w:hint="eastAsia" w:ascii="宋体" w:hAnsi="宋体" w:cs="宋体"/>
                <w:color w:val="auto"/>
                <w:highlight w:val="none"/>
              </w:rPr>
              <w:t>签订合同携带的证明材料</w:t>
            </w:r>
          </w:p>
        </w:tc>
        <w:tc>
          <w:tcPr>
            <w:tcW w:w="7185" w:type="dxa"/>
            <w:tcBorders>
              <w:top w:val="single" w:color="auto" w:sz="4" w:space="0"/>
              <w:left w:val="single" w:color="auto" w:sz="4" w:space="0"/>
              <w:bottom w:val="single" w:color="auto" w:sz="4" w:space="0"/>
              <w:right w:val="single" w:color="auto" w:sz="4" w:space="0"/>
            </w:tcBorders>
            <w:noWrap/>
            <w:vAlign w:val="center"/>
          </w:tcPr>
          <w:p w14:paraId="133324B6">
            <w:pPr>
              <w:pStyle w:val="9"/>
              <w:spacing w:line="440" w:lineRule="exact"/>
              <w:rPr>
                <w:rFonts w:ascii="宋体" w:hAnsi="宋体" w:cs="宋体"/>
                <w:color w:val="auto"/>
                <w:highlight w:val="none"/>
              </w:rPr>
            </w:pPr>
            <w:r>
              <w:rPr>
                <w:rFonts w:hint="eastAsia" w:ascii="宋体" w:hAnsi="宋体" w:cs="宋体"/>
                <w:color w:val="auto"/>
                <w:highlight w:val="none"/>
              </w:rPr>
              <w:t>委托代理人负责签订合同的，须携带授权委托书及委托代理人身份证原件等其他资格证件。</w:t>
            </w:r>
          </w:p>
          <w:p w14:paraId="362E999E">
            <w:pPr>
              <w:autoSpaceDE w:val="0"/>
              <w:autoSpaceDN w:val="0"/>
              <w:snapToGrid w:val="0"/>
              <w:spacing w:line="380" w:lineRule="exact"/>
              <w:textAlignment w:val="bottom"/>
              <w:rPr>
                <w:rFonts w:ascii="宋体" w:hAnsi="宋体"/>
                <w:color w:val="auto"/>
                <w:szCs w:val="21"/>
                <w:highlight w:val="none"/>
              </w:rPr>
            </w:pPr>
            <w:r>
              <w:rPr>
                <w:rFonts w:hint="eastAsia" w:ascii="宋体" w:hAnsi="宋体" w:cs="宋体"/>
                <w:color w:val="auto"/>
                <w:highlight w:val="none"/>
              </w:rPr>
              <w:t>法定代表人负责签订合同的，须携带法定代表人身份证明原件及身份证原件等其他证明材料。</w:t>
            </w:r>
          </w:p>
        </w:tc>
      </w:tr>
      <w:tr w14:paraId="3C040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right w:val="single" w:color="auto" w:sz="4" w:space="0"/>
            </w:tcBorders>
            <w:noWrap/>
            <w:vAlign w:val="center"/>
          </w:tcPr>
          <w:p w14:paraId="59616B59">
            <w:pPr>
              <w:spacing w:line="380" w:lineRule="exac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8.2</w:t>
            </w:r>
            <w:r>
              <w:rPr>
                <w:rFonts w:hint="eastAsia" w:ascii="宋体" w:hAnsi="宋体"/>
                <w:color w:val="auto"/>
                <w:szCs w:val="21"/>
                <w:highlight w:val="none"/>
              </w:rPr>
              <w:t>.1</w:t>
            </w:r>
          </w:p>
        </w:tc>
        <w:tc>
          <w:tcPr>
            <w:tcW w:w="2071" w:type="dxa"/>
            <w:tcBorders>
              <w:top w:val="single" w:color="auto" w:sz="4" w:space="0"/>
              <w:left w:val="single" w:color="auto" w:sz="4" w:space="0"/>
              <w:bottom w:val="single" w:color="auto" w:sz="4" w:space="0"/>
              <w:right w:val="single" w:color="auto" w:sz="4" w:space="0"/>
            </w:tcBorders>
            <w:noWrap/>
            <w:vAlign w:val="center"/>
          </w:tcPr>
          <w:p w14:paraId="1838BA33">
            <w:pPr>
              <w:spacing w:line="380" w:lineRule="exact"/>
              <w:rPr>
                <w:rFonts w:ascii="宋体" w:hAnsi="宋体"/>
                <w:color w:val="auto"/>
                <w:szCs w:val="21"/>
                <w:highlight w:val="none"/>
              </w:rPr>
            </w:pPr>
            <w:r>
              <w:rPr>
                <w:rFonts w:hint="eastAsia" w:ascii="宋体" w:hAnsi="宋体"/>
                <w:color w:val="auto"/>
                <w:szCs w:val="21"/>
                <w:highlight w:val="none"/>
              </w:rPr>
              <w:t>接收质疑函方式</w:t>
            </w:r>
          </w:p>
        </w:tc>
        <w:tc>
          <w:tcPr>
            <w:tcW w:w="7185" w:type="dxa"/>
            <w:tcBorders>
              <w:top w:val="single" w:color="auto" w:sz="4" w:space="0"/>
              <w:left w:val="single" w:color="auto" w:sz="4" w:space="0"/>
              <w:bottom w:val="single" w:color="auto" w:sz="4" w:space="0"/>
              <w:right w:val="single" w:color="auto" w:sz="4" w:space="0"/>
            </w:tcBorders>
            <w:noWrap/>
            <w:vAlign w:val="center"/>
          </w:tcPr>
          <w:p w14:paraId="535331A7">
            <w:pPr>
              <w:snapToGrid w:val="0"/>
              <w:spacing w:line="380" w:lineRule="exact"/>
              <w:rPr>
                <w:rFonts w:ascii="宋体" w:hAnsi="宋体"/>
                <w:color w:val="auto"/>
                <w:szCs w:val="21"/>
                <w:highlight w:val="none"/>
              </w:rPr>
            </w:pPr>
            <w:r>
              <w:rPr>
                <w:rFonts w:hint="eastAsia" w:ascii="宋体" w:hAnsi="宋体"/>
                <w:color w:val="auto"/>
                <w:szCs w:val="21"/>
                <w:highlight w:val="none"/>
              </w:rPr>
              <w:t>以书面形式</w:t>
            </w:r>
          </w:p>
        </w:tc>
      </w:tr>
      <w:tr w14:paraId="4434D7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75" w:type="dxa"/>
            <w:vMerge w:val="continue"/>
            <w:tcBorders>
              <w:left w:val="single" w:color="auto" w:sz="4" w:space="0"/>
              <w:right w:val="single" w:color="auto" w:sz="4" w:space="0"/>
            </w:tcBorders>
            <w:noWrap/>
            <w:vAlign w:val="center"/>
          </w:tcPr>
          <w:p w14:paraId="5CB29920">
            <w:pPr>
              <w:spacing w:line="380" w:lineRule="exact"/>
              <w:rPr>
                <w:rFonts w:ascii="宋体" w:hAnsi="宋体"/>
                <w:color w:val="auto"/>
                <w:szCs w:val="21"/>
                <w:highlight w:val="none"/>
              </w:rPr>
            </w:pPr>
          </w:p>
        </w:tc>
        <w:tc>
          <w:tcPr>
            <w:tcW w:w="2071" w:type="dxa"/>
            <w:tcBorders>
              <w:top w:val="single" w:color="auto" w:sz="4" w:space="0"/>
              <w:left w:val="single" w:color="auto" w:sz="4" w:space="0"/>
              <w:bottom w:val="single" w:color="auto" w:sz="4" w:space="0"/>
              <w:right w:val="single" w:color="auto" w:sz="4" w:space="0"/>
            </w:tcBorders>
            <w:noWrap/>
            <w:vAlign w:val="center"/>
          </w:tcPr>
          <w:p w14:paraId="41FA5CA9">
            <w:pPr>
              <w:spacing w:line="380" w:lineRule="exact"/>
              <w:rPr>
                <w:rFonts w:ascii="宋体" w:hAnsi="宋体"/>
                <w:color w:val="auto"/>
                <w:szCs w:val="21"/>
                <w:highlight w:val="none"/>
              </w:rPr>
            </w:pPr>
            <w:r>
              <w:rPr>
                <w:rFonts w:hint="eastAsia" w:ascii="宋体" w:hAnsi="宋体"/>
                <w:color w:val="auto"/>
                <w:szCs w:val="21"/>
                <w:highlight w:val="none"/>
              </w:rPr>
              <w:t>质疑联系部门及联系方式</w:t>
            </w:r>
          </w:p>
        </w:tc>
        <w:tc>
          <w:tcPr>
            <w:tcW w:w="7185" w:type="dxa"/>
            <w:tcBorders>
              <w:top w:val="single" w:color="auto" w:sz="4" w:space="0"/>
              <w:left w:val="single" w:color="auto" w:sz="4" w:space="0"/>
              <w:bottom w:val="single" w:color="auto" w:sz="4" w:space="0"/>
              <w:right w:val="single" w:color="auto" w:sz="4" w:space="0"/>
            </w:tcBorders>
            <w:noWrap/>
            <w:vAlign w:val="center"/>
          </w:tcPr>
          <w:p w14:paraId="10552156">
            <w:pPr>
              <w:snapToGrid w:val="0"/>
              <w:spacing w:line="380" w:lineRule="exact"/>
              <w:rPr>
                <w:rFonts w:ascii="宋体" w:hAnsi="宋体"/>
                <w:color w:val="auto"/>
                <w:szCs w:val="21"/>
                <w:highlight w:val="none"/>
              </w:rPr>
            </w:pPr>
            <w:r>
              <w:rPr>
                <w:rFonts w:hint="eastAsia" w:ascii="宋体" w:hAnsi="宋体"/>
                <w:color w:val="auto"/>
                <w:szCs w:val="21"/>
                <w:highlight w:val="none"/>
              </w:rPr>
              <w:t>（1）</w:t>
            </w:r>
            <w:r>
              <w:rPr>
                <w:rFonts w:hint="eastAsia" w:ascii="宋体" w:hAnsi="宋体" w:cs="宋体"/>
                <w:bCs/>
                <w:color w:val="auto"/>
                <w:szCs w:val="21"/>
                <w:highlight w:val="none"/>
              </w:rPr>
              <w:t>广西建汇工程咨询有限公司</w:t>
            </w:r>
          </w:p>
          <w:p w14:paraId="7BB882E0">
            <w:pPr>
              <w:snapToGrid w:val="0"/>
              <w:spacing w:line="380" w:lineRule="exact"/>
              <w:rPr>
                <w:rFonts w:ascii="宋体" w:hAnsi="宋体"/>
                <w:color w:val="auto"/>
                <w:szCs w:val="21"/>
                <w:highlight w:val="none"/>
              </w:rPr>
            </w:pPr>
            <w:r>
              <w:rPr>
                <w:rFonts w:ascii="宋体" w:hAnsi="宋体"/>
                <w:color w:val="auto"/>
                <w:szCs w:val="21"/>
                <w:highlight w:val="none"/>
              </w:rPr>
              <w:t>联系电话</w:t>
            </w:r>
            <w:r>
              <w:rPr>
                <w:rFonts w:hint="eastAsia" w:ascii="宋体" w:hAnsi="宋体"/>
                <w:color w:val="auto"/>
                <w:szCs w:val="21"/>
                <w:highlight w:val="none"/>
              </w:rPr>
              <w:t>：</w:t>
            </w:r>
            <w:r>
              <w:rPr>
                <w:rFonts w:hint="eastAsia" w:ascii="宋体" w:hAnsi="宋体" w:cs="宋体"/>
                <w:bCs/>
                <w:color w:val="auto"/>
                <w:szCs w:val="21"/>
                <w:highlight w:val="none"/>
              </w:rPr>
              <w:t>0775-2698633</w:t>
            </w:r>
          </w:p>
          <w:p w14:paraId="56BA04D3">
            <w:pPr>
              <w:snapToGrid w:val="0"/>
              <w:spacing w:line="380" w:lineRule="exact"/>
              <w:rPr>
                <w:rFonts w:ascii="宋体" w:hAnsi="宋体"/>
                <w:color w:val="auto"/>
                <w:szCs w:val="21"/>
                <w:highlight w:val="none"/>
              </w:rPr>
            </w:pPr>
            <w:r>
              <w:rPr>
                <w:rFonts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eastAsia="宋体" w:cs="宋体"/>
                <w:color w:val="auto"/>
                <w:sz w:val="21"/>
                <w:szCs w:val="21"/>
                <w:highlight w:val="none"/>
                <w:u w:val="none"/>
                <w:lang w:eastAsia="zh-CN"/>
              </w:rPr>
              <w:t>玉林市玉州区江滨路东55号山水名城8栋10号商铺</w:t>
            </w:r>
          </w:p>
          <w:p w14:paraId="5C3593C6">
            <w:pPr>
              <w:snapToGrid w:val="0"/>
              <w:spacing w:line="380" w:lineRule="exact"/>
              <w:rPr>
                <w:rFonts w:ascii="宋体" w:hAnsi="宋体"/>
                <w:color w:val="auto"/>
                <w:szCs w:val="21"/>
                <w:highlight w:val="none"/>
              </w:rPr>
            </w:pPr>
            <w:r>
              <w:rPr>
                <w:rFonts w:hint="eastAsia" w:ascii="宋体" w:hAnsi="宋体"/>
                <w:color w:val="auto"/>
                <w:szCs w:val="21"/>
                <w:highlight w:val="none"/>
              </w:rPr>
              <w:t>（2）</w:t>
            </w:r>
            <w:r>
              <w:rPr>
                <w:rFonts w:hint="eastAsia" w:ascii="宋体" w:hAnsi="宋体" w:cs="宋体"/>
                <w:bCs/>
                <w:color w:val="auto"/>
                <w:szCs w:val="21"/>
                <w:highlight w:val="none"/>
              </w:rPr>
              <w:t>陆川县人民医院</w:t>
            </w:r>
          </w:p>
          <w:p w14:paraId="1BCED1AC">
            <w:pPr>
              <w:snapToGrid w:val="0"/>
              <w:spacing w:line="380" w:lineRule="exact"/>
              <w:rPr>
                <w:rFonts w:ascii="宋体" w:hAnsi="宋体"/>
                <w:color w:val="auto"/>
                <w:szCs w:val="21"/>
                <w:highlight w:val="none"/>
              </w:rPr>
            </w:pPr>
            <w:r>
              <w:rPr>
                <w:rFonts w:ascii="宋体" w:hAnsi="宋体"/>
                <w:color w:val="auto"/>
                <w:szCs w:val="21"/>
                <w:highlight w:val="none"/>
              </w:rPr>
              <w:t>联系电话</w:t>
            </w:r>
            <w:r>
              <w:rPr>
                <w:rFonts w:hint="eastAsia" w:ascii="宋体" w:hAnsi="宋体"/>
                <w:color w:val="auto"/>
                <w:szCs w:val="21"/>
                <w:highlight w:val="none"/>
              </w:rPr>
              <w:t>：0775-7339169</w:t>
            </w:r>
          </w:p>
          <w:p w14:paraId="55757E51">
            <w:pPr>
              <w:spacing w:line="400" w:lineRule="exact"/>
              <w:rPr>
                <w:rFonts w:ascii="宋体" w:hAnsi="宋体"/>
                <w:color w:val="auto"/>
                <w:szCs w:val="21"/>
                <w:highlight w:val="none"/>
              </w:rPr>
            </w:pPr>
            <w:r>
              <w:rPr>
                <w:rFonts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s="宋体"/>
                <w:bCs/>
                <w:color w:val="auto"/>
                <w:szCs w:val="21"/>
                <w:highlight w:val="none"/>
              </w:rPr>
              <w:t xml:space="preserve">陆川县新洲路146号 </w:t>
            </w:r>
          </w:p>
        </w:tc>
      </w:tr>
      <w:tr w14:paraId="63925D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left w:val="single" w:color="auto" w:sz="4" w:space="0"/>
              <w:bottom w:val="single" w:color="auto" w:sz="4" w:space="0"/>
              <w:right w:val="single" w:color="auto" w:sz="4" w:space="0"/>
            </w:tcBorders>
            <w:noWrap/>
            <w:vAlign w:val="center"/>
          </w:tcPr>
          <w:p w14:paraId="2226AF42">
            <w:pPr>
              <w:spacing w:line="380" w:lineRule="exact"/>
              <w:rPr>
                <w:rFonts w:ascii="宋体" w:hAnsi="宋体"/>
                <w:color w:val="auto"/>
                <w:szCs w:val="21"/>
                <w:highlight w:val="none"/>
              </w:rPr>
            </w:pPr>
          </w:p>
        </w:tc>
        <w:tc>
          <w:tcPr>
            <w:tcW w:w="2071" w:type="dxa"/>
            <w:tcBorders>
              <w:top w:val="single" w:color="auto" w:sz="4" w:space="0"/>
              <w:left w:val="single" w:color="auto" w:sz="4" w:space="0"/>
              <w:bottom w:val="single" w:color="auto" w:sz="4" w:space="0"/>
              <w:right w:val="single" w:color="auto" w:sz="4" w:space="0"/>
            </w:tcBorders>
            <w:noWrap/>
            <w:vAlign w:val="center"/>
          </w:tcPr>
          <w:p w14:paraId="67331DE0">
            <w:pPr>
              <w:spacing w:line="380" w:lineRule="exact"/>
              <w:rPr>
                <w:rFonts w:ascii="宋体" w:hAnsi="宋体"/>
                <w:color w:val="auto"/>
                <w:szCs w:val="21"/>
                <w:highlight w:val="none"/>
              </w:rPr>
            </w:pPr>
            <w:r>
              <w:rPr>
                <w:rFonts w:hint="eastAsia" w:hAnsi="宋体"/>
                <w:color w:val="auto"/>
                <w:highlight w:val="none"/>
              </w:rPr>
              <w:t>现场提交质疑办理业务时间</w:t>
            </w:r>
          </w:p>
        </w:tc>
        <w:tc>
          <w:tcPr>
            <w:tcW w:w="7185" w:type="dxa"/>
            <w:tcBorders>
              <w:top w:val="single" w:color="auto" w:sz="4" w:space="0"/>
              <w:left w:val="single" w:color="auto" w:sz="4" w:space="0"/>
              <w:bottom w:val="single" w:color="auto" w:sz="4" w:space="0"/>
              <w:right w:val="single" w:color="auto" w:sz="4" w:space="0"/>
            </w:tcBorders>
            <w:noWrap/>
            <w:vAlign w:val="center"/>
          </w:tcPr>
          <w:p w14:paraId="5945C7CE">
            <w:pPr>
              <w:snapToGrid w:val="0"/>
              <w:spacing w:line="380" w:lineRule="exact"/>
              <w:rPr>
                <w:rFonts w:ascii="宋体" w:hAnsi="宋体"/>
                <w:color w:val="auto"/>
                <w:szCs w:val="21"/>
                <w:highlight w:val="none"/>
              </w:rPr>
            </w:pPr>
            <w:r>
              <w:rPr>
                <w:rFonts w:hint="eastAsia" w:hAnsi="宋体"/>
                <w:color w:val="auto"/>
                <w:highlight w:val="none"/>
              </w:rPr>
              <w:t>质疑期内每个工作日</w:t>
            </w:r>
            <w:r>
              <w:rPr>
                <w:rFonts w:hint="eastAsia" w:hAnsi="宋体"/>
                <w:color w:val="auto"/>
                <w:highlight w:val="none"/>
                <w:lang w:val="en-US" w:eastAsia="zh-CN"/>
              </w:rPr>
              <w:t>上午</w:t>
            </w:r>
            <w:r>
              <w:rPr>
                <w:rFonts w:hint="eastAsia" w:hAnsi="宋体"/>
                <w:color w:val="auto"/>
                <w:highlight w:val="none"/>
                <w:u w:val="single"/>
              </w:rPr>
              <w:t>08</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分到</w:t>
            </w:r>
            <w:r>
              <w:rPr>
                <w:rFonts w:hint="eastAsia" w:hAnsi="宋体"/>
                <w:color w:val="auto"/>
                <w:highlight w:val="none"/>
                <w:u w:val="single"/>
              </w:rPr>
              <w:t>12</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w:t>
            </w:r>
            <w:r>
              <w:rPr>
                <w:rFonts w:hint="eastAsia" w:hAnsi="宋体"/>
                <w:color w:val="auto"/>
                <w:highlight w:val="none"/>
                <w:lang w:val="en-US" w:eastAsia="zh-CN"/>
              </w:rPr>
              <w:t>下午</w:t>
            </w:r>
            <w:r>
              <w:rPr>
                <w:rFonts w:hint="eastAsia" w:hAnsi="宋体"/>
                <w:color w:val="auto"/>
                <w:highlight w:val="none"/>
                <w:u w:val="single"/>
                <w:lang w:val="en-US" w:eastAsia="zh-CN"/>
              </w:rPr>
              <w:t>3</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分到</w:t>
            </w:r>
            <w:r>
              <w:rPr>
                <w:rFonts w:hint="eastAsia" w:hAnsi="宋体"/>
                <w:color w:val="auto"/>
                <w:highlight w:val="none"/>
                <w:u w:val="single"/>
                <w:lang w:val="en-US" w:eastAsia="zh-CN"/>
              </w:rPr>
              <w:t>6</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w:t>
            </w:r>
          </w:p>
        </w:tc>
      </w:tr>
      <w:tr w14:paraId="506FB7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left w:val="single" w:color="auto" w:sz="4" w:space="0"/>
              <w:bottom w:val="single" w:color="auto" w:sz="4" w:space="0"/>
              <w:right w:val="single" w:color="auto" w:sz="4" w:space="0"/>
            </w:tcBorders>
            <w:noWrap/>
            <w:vAlign w:val="center"/>
          </w:tcPr>
          <w:p w14:paraId="7A6AE1FD">
            <w:pPr>
              <w:spacing w:line="380" w:lineRule="exact"/>
              <w:rPr>
                <w:rFonts w:ascii="宋体" w:hAnsi="宋体"/>
                <w:color w:val="auto"/>
                <w:szCs w:val="21"/>
                <w:highlight w:val="none"/>
              </w:rPr>
            </w:pPr>
            <w:r>
              <w:rPr>
                <w:rFonts w:hint="eastAsia" w:ascii="宋体" w:hAnsi="宋体"/>
                <w:color w:val="auto"/>
                <w:szCs w:val="21"/>
                <w:highlight w:val="none"/>
              </w:rPr>
              <w:t>38.3.1</w:t>
            </w:r>
          </w:p>
        </w:tc>
        <w:tc>
          <w:tcPr>
            <w:tcW w:w="2071" w:type="dxa"/>
            <w:tcBorders>
              <w:top w:val="single" w:color="auto" w:sz="4" w:space="0"/>
              <w:left w:val="single" w:color="auto" w:sz="4" w:space="0"/>
              <w:bottom w:val="single" w:color="auto" w:sz="4" w:space="0"/>
              <w:right w:val="single" w:color="auto" w:sz="4" w:space="0"/>
            </w:tcBorders>
            <w:noWrap/>
            <w:vAlign w:val="center"/>
          </w:tcPr>
          <w:p w14:paraId="12A126D2">
            <w:pPr>
              <w:spacing w:line="380" w:lineRule="exact"/>
              <w:rPr>
                <w:rFonts w:hAnsi="宋体"/>
                <w:color w:val="auto"/>
                <w:highlight w:val="none"/>
              </w:rPr>
            </w:pPr>
            <w:r>
              <w:rPr>
                <w:rFonts w:hint="eastAsia" w:hAnsi="宋体"/>
                <w:color w:val="auto"/>
                <w:highlight w:val="none"/>
              </w:rPr>
              <w:t>投诉受理方式</w:t>
            </w:r>
          </w:p>
        </w:tc>
        <w:tc>
          <w:tcPr>
            <w:tcW w:w="7185" w:type="dxa"/>
            <w:tcBorders>
              <w:top w:val="single" w:color="auto" w:sz="4" w:space="0"/>
              <w:left w:val="single" w:color="auto" w:sz="4" w:space="0"/>
              <w:bottom w:val="single" w:color="auto" w:sz="4" w:space="0"/>
              <w:right w:val="single" w:color="auto" w:sz="4" w:space="0"/>
            </w:tcBorders>
            <w:noWrap/>
            <w:vAlign w:val="center"/>
          </w:tcPr>
          <w:p w14:paraId="25878892">
            <w:pPr>
              <w:snapToGrid w:val="0"/>
              <w:spacing w:line="380" w:lineRule="exact"/>
              <w:rPr>
                <w:rFonts w:hAnsi="宋体"/>
                <w:color w:val="auto"/>
                <w:highlight w:val="none"/>
              </w:rPr>
            </w:pPr>
            <w:r>
              <w:rPr>
                <w:rFonts w:hint="eastAsia" w:hAnsi="宋体"/>
                <w:color w:val="auto"/>
                <w:highlight w:val="none"/>
              </w:rPr>
              <w:t>1、受理方式：纸质方式受理，投诉书正、副本（经过质疑的事项才可投诉）。</w:t>
            </w:r>
          </w:p>
          <w:p w14:paraId="5C170418">
            <w:pPr>
              <w:snapToGrid w:val="0"/>
              <w:spacing w:line="380" w:lineRule="exact"/>
              <w:rPr>
                <w:rFonts w:hAnsi="宋体"/>
                <w:color w:val="auto"/>
                <w:highlight w:val="none"/>
              </w:rPr>
            </w:pPr>
            <w:r>
              <w:rPr>
                <w:rFonts w:hint="eastAsia" w:hAnsi="宋体"/>
                <w:color w:val="auto"/>
                <w:highlight w:val="none"/>
              </w:rPr>
              <w:t>2、邮寄地址：</w:t>
            </w:r>
          </w:p>
          <w:p w14:paraId="40EFF611">
            <w:pPr>
              <w:snapToGrid w:val="0"/>
              <w:spacing w:line="380" w:lineRule="exact"/>
              <w:rPr>
                <w:rFonts w:hAnsi="宋体"/>
                <w:color w:val="auto"/>
                <w:highlight w:val="none"/>
              </w:rPr>
            </w:pPr>
            <w:r>
              <w:rPr>
                <w:rFonts w:hint="eastAsia" w:hAnsi="宋体"/>
                <w:color w:val="auto"/>
                <w:highlight w:val="none"/>
              </w:rPr>
              <w:t xml:space="preserve">名称：陆川县财政局政府采购监督管理股      </w:t>
            </w:r>
          </w:p>
          <w:p w14:paraId="5FD00E10">
            <w:pPr>
              <w:snapToGrid w:val="0"/>
              <w:spacing w:line="380" w:lineRule="exact"/>
              <w:rPr>
                <w:rFonts w:hAnsi="宋体"/>
                <w:color w:val="auto"/>
                <w:highlight w:val="none"/>
              </w:rPr>
            </w:pPr>
            <w:r>
              <w:rPr>
                <w:rFonts w:hint="eastAsia" w:hAnsi="宋体"/>
                <w:color w:val="auto"/>
                <w:highlight w:val="none"/>
              </w:rPr>
              <w:t>联系电话：</w:t>
            </w:r>
            <w:r>
              <w:rPr>
                <w:rFonts w:hint="eastAsia" w:ascii="宋体" w:hAnsi="宋体" w:cs="宋体"/>
                <w:color w:val="auto"/>
                <w:highlight w:val="none"/>
              </w:rPr>
              <w:t>0775-7235528</w:t>
            </w:r>
          </w:p>
        </w:tc>
      </w:tr>
      <w:tr w14:paraId="415167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675" w:type="dxa"/>
            <w:vMerge w:val="restart"/>
            <w:tcBorders>
              <w:top w:val="single" w:color="auto" w:sz="4" w:space="0"/>
              <w:left w:val="single" w:color="auto" w:sz="4" w:space="0"/>
              <w:right w:val="single" w:color="auto" w:sz="4" w:space="0"/>
            </w:tcBorders>
            <w:noWrap/>
            <w:vAlign w:val="center"/>
          </w:tcPr>
          <w:p w14:paraId="435C8874">
            <w:pPr>
              <w:spacing w:line="380" w:lineRule="exact"/>
              <w:rPr>
                <w:rFonts w:ascii="宋体" w:hAnsi="宋体"/>
                <w:color w:val="auto"/>
                <w:szCs w:val="21"/>
                <w:highlight w:val="none"/>
              </w:rPr>
            </w:pPr>
            <w:r>
              <w:rPr>
                <w:rFonts w:hint="eastAsia" w:ascii="宋体" w:hAnsi="宋体"/>
                <w:color w:val="auto"/>
                <w:szCs w:val="21"/>
                <w:highlight w:val="none"/>
              </w:rPr>
              <w:t>40</w:t>
            </w:r>
          </w:p>
        </w:tc>
        <w:tc>
          <w:tcPr>
            <w:tcW w:w="2071" w:type="dxa"/>
            <w:tcBorders>
              <w:top w:val="single" w:color="auto" w:sz="4" w:space="0"/>
              <w:left w:val="single" w:color="auto" w:sz="4" w:space="0"/>
              <w:bottom w:val="single" w:color="auto" w:sz="4" w:space="0"/>
              <w:right w:val="single" w:color="auto" w:sz="4" w:space="0"/>
            </w:tcBorders>
            <w:noWrap/>
            <w:vAlign w:val="center"/>
          </w:tcPr>
          <w:p w14:paraId="399864E5">
            <w:pPr>
              <w:spacing w:line="380" w:lineRule="exact"/>
              <w:rPr>
                <w:rFonts w:ascii="宋体" w:hAnsi="宋体"/>
                <w:color w:val="auto"/>
                <w:szCs w:val="21"/>
                <w:highlight w:val="none"/>
              </w:rPr>
            </w:pPr>
            <w:r>
              <w:rPr>
                <w:rFonts w:hint="eastAsia" w:hAnsi="宋体" w:cs="宋体"/>
                <w:color w:val="auto"/>
                <w:highlight w:val="none"/>
              </w:rPr>
              <w:t>采购代理费支付方式</w:t>
            </w:r>
          </w:p>
        </w:tc>
        <w:tc>
          <w:tcPr>
            <w:tcW w:w="7185" w:type="dxa"/>
            <w:tcBorders>
              <w:top w:val="single" w:color="auto" w:sz="4" w:space="0"/>
              <w:left w:val="single" w:color="auto" w:sz="4" w:space="0"/>
              <w:bottom w:val="single" w:color="auto" w:sz="4" w:space="0"/>
              <w:right w:val="single" w:color="auto" w:sz="4" w:space="0"/>
            </w:tcBorders>
            <w:noWrap/>
            <w:vAlign w:val="center"/>
          </w:tcPr>
          <w:p w14:paraId="6F2FABF3">
            <w:pPr>
              <w:pStyle w:val="13"/>
              <w:snapToGrid w:val="0"/>
              <w:spacing w:line="380" w:lineRule="exact"/>
              <w:rPr>
                <w:rFonts w:hAnsi="宋体" w:cs="宋体"/>
                <w:color w:val="auto"/>
                <w:highlight w:val="none"/>
              </w:rPr>
            </w:pPr>
            <w:r>
              <w:rPr>
                <w:rFonts w:hint="eastAsia" w:hAnsi="宋体" w:cs="宋体"/>
                <w:color w:val="auto"/>
                <w:highlight w:val="none"/>
              </w:rPr>
              <w:t>本项目代理服务费由</w:t>
            </w:r>
            <w:r>
              <w:rPr>
                <w:rFonts w:hint="eastAsia" w:hAnsi="宋体" w:cs="宋体"/>
                <w:color w:val="auto"/>
                <w:highlight w:val="none"/>
                <w:u w:val="single"/>
              </w:rPr>
              <w:t>中标人</w:t>
            </w:r>
            <w:r>
              <w:rPr>
                <w:rFonts w:hint="eastAsia" w:hAnsi="宋体" w:cs="宋体"/>
                <w:color w:val="auto"/>
                <w:highlight w:val="none"/>
              </w:rPr>
              <w:t>在领取中标通知书前，一次性向采购代理机构支付。</w:t>
            </w:r>
          </w:p>
        </w:tc>
      </w:tr>
      <w:tr w14:paraId="043D41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75" w:type="dxa"/>
            <w:vMerge w:val="continue"/>
            <w:tcBorders>
              <w:left w:val="single" w:color="auto" w:sz="4" w:space="0"/>
              <w:right w:val="single" w:color="auto" w:sz="4" w:space="0"/>
            </w:tcBorders>
            <w:noWrap/>
            <w:vAlign w:val="center"/>
          </w:tcPr>
          <w:p w14:paraId="757C8011">
            <w:pPr>
              <w:spacing w:line="380" w:lineRule="exact"/>
              <w:rPr>
                <w:rFonts w:ascii="宋体" w:hAnsi="宋体"/>
                <w:color w:val="auto"/>
                <w:szCs w:val="21"/>
                <w:highlight w:val="none"/>
              </w:rPr>
            </w:pPr>
          </w:p>
        </w:tc>
        <w:tc>
          <w:tcPr>
            <w:tcW w:w="2071" w:type="dxa"/>
            <w:tcBorders>
              <w:top w:val="single" w:color="auto" w:sz="4" w:space="0"/>
              <w:left w:val="single" w:color="auto" w:sz="4" w:space="0"/>
              <w:bottom w:val="single" w:color="auto" w:sz="4" w:space="0"/>
              <w:right w:val="single" w:color="auto" w:sz="4" w:space="0"/>
            </w:tcBorders>
            <w:noWrap/>
            <w:vAlign w:val="center"/>
          </w:tcPr>
          <w:p w14:paraId="5B9B738D">
            <w:pPr>
              <w:spacing w:line="380" w:lineRule="exact"/>
              <w:rPr>
                <w:rFonts w:ascii="宋体" w:hAnsi="宋体"/>
                <w:color w:val="auto"/>
                <w:szCs w:val="21"/>
                <w:highlight w:val="none"/>
              </w:rPr>
            </w:pPr>
            <w:r>
              <w:rPr>
                <w:rFonts w:hint="eastAsia" w:hAnsi="宋体" w:cs="宋体"/>
                <w:color w:val="auto"/>
                <w:highlight w:val="none"/>
              </w:rPr>
              <w:t>采购代理费收取标准</w:t>
            </w:r>
          </w:p>
        </w:tc>
        <w:tc>
          <w:tcPr>
            <w:tcW w:w="7185" w:type="dxa"/>
            <w:tcBorders>
              <w:top w:val="single" w:color="auto" w:sz="4" w:space="0"/>
              <w:left w:val="single" w:color="auto" w:sz="4" w:space="0"/>
              <w:bottom w:val="single" w:color="auto" w:sz="4" w:space="0"/>
              <w:right w:val="single" w:color="auto" w:sz="4" w:space="0"/>
            </w:tcBorders>
            <w:noWrap/>
            <w:vAlign w:val="center"/>
          </w:tcPr>
          <w:p w14:paraId="283D92AA">
            <w:pPr>
              <w:pStyle w:val="13"/>
              <w:snapToGrid w:val="0"/>
              <w:spacing w:line="380" w:lineRule="exact"/>
              <w:rPr>
                <w:rFonts w:hAnsi="宋体" w:cs="宋体"/>
                <w:color w:val="auto"/>
                <w:highlight w:val="none"/>
                <w:u w:val="single"/>
              </w:rPr>
            </w:pPr>
            <w:r>
              <w:rPr>
                <w:rFonts w:hint="eastAsia" w:hAnsi="宋体" w:cs="宋体"/>
                <w:color w:val="auto"/>
                <w:highlight w:val="none"/>
              </w:rPr>
              <w:t>本项目采购代理服务费</w:t>
            </w:r>
            <w:r>
              <w:rPr>
                <w:rFonts w:hint="eastAsia" w:hAnsi="宋体" w:cs="宋体"/>
                <w:color w:val="auto"/>
                <w:highlight w:val="none"/>
                <w:lang w:val="en-US" w:eastAsia="zh-CN"/>
              </w:rPr>
              <w:t>以</w:t>
            </w:r>
            <w:r>
              <w:rPr>
                <w:rFonts w:hint="eastAsia" w:hAnsi="宋体" w:cs="宋体"/>
                <w:color w:val="auto"/>
                <w:highlight w:val="none"/>
              </w:rPr>
              <w:t>中标金额为基数，按差额定率累进法计算，其费率为：</w:t>
            </w:r>
            <w:r>
              <w:rPr>
                <w:rFonts w:hint="eastAsia" w:hAnsi="宋体" w:cs="宋体"/>
                <w:color w:val="auto"/>
                <w:szCs w:val="21"/>
                <w:highlight w:val="none"/>
              </w:rPr>
              <w:t>100万以下—1.5%，100～500万元—1.1%</w:t>
            </w:r>
            <w:r>
              <w:rPr>
                <w:rFonts w:hint="eastAsia" w:hAnsi="宋体" w:cs="宋体"/>
                <w:color w:val="auto"/>
                <w:highlight w:val="none"/>
              </w:rPr>
              <w:t>。</w:t>
            </w:r>
          </w:p>
        </w:tc>
      </w:tr>
      <w:tr w14:paraId="6A523C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1B482D6A">
            <w:pPr>
              <w:snapToGrid w:val="0"/>
              <w:spacing w:line="380" w:lineRule="exact"/>
              <w:jc w:val="center"/>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1</w:t>
            </w:r>
            <w:r>
              <w:rPr>
                <w:rFonts w:ascii="宋体" w:hAnsi="宋体"/>
                <w:color w:val="auto"/>
                <w:szCs w:val="21"/>
                <w:highlight w:val="none"/>
              </w:rPr>
              <w:t>.1</w:t>
            </w:r>
          </w:p>
        </w:tc>
        <w:tc>
          <w:tcPr>
            <w:tcW w:w="2071" w:type="dxa"/>
            <w:tcBorders>
              <w:top w:val="single" w:color="auto" w:sz="4" w:space="0"/>
              <w:left w:val="single" w:color="auto" w:sz="4" w:space="0"/>
              <w:bottom w:val="single" w:color="auto" w:sz="4" w:space="0"/>
              <w:right w:val="single" w:color="auto" w:sz="4" w:space="0"/>
            </w:tcBorders>
            <w:noWrap/>
            <w:vAlign w:val="center"/>
          </w:tcPr>
          <w:p w14:paraId="5A663213">
            <w:pPr>
              <w:snapToGrid w:val="0"/>
              <w:spacing w:line="380" w:lineRule="exact"/>
              <w:rPr>
                <w:rFonts w:ascii="宋体" w:hAnsi="宋体"/>
                <w:color w:val="auto"/>
                <w:szCs w:val="21"/>
                <w:highlight w:val="none"/>
              </w:rPr>
            </w:pPr>
            <w:r>
              <w:rPr>
                <w:rFonts w:hint="eastAsia" w:ascii="宋体" w:hAnsi="宋体"/>
                <w:color w:val="auto"/>
                <w:szCs w:val="21"/>
                <w:highlight w:val="none"/>
              </w:rPr>
              <w:t>解释</w:t>
            </w:r>
          </w:p>
        </w:tc>
        <w:tc>
          <w:tcPr>
            <w:tcW w:w="7185" w:type="dxa"/>
            <w:tcBorders>
              <w:top w:val="single" w:color="auto" w:sz="4" w:space="0"/>
              <w:left w:val="single" w:color="auto" w:sz="4" w:space="0"/>
              <w:bottom w:val="single" w:color="auto" w:sz="4" w:space="0"/>
              <w:right w:val="single" w:color="auto" w:sz="4" w:space="0"/>
            </w:tcBorders>
            <w:noWrap/>
            <w:vAlign w:val="center"/>
          </w:tcPr>
          <w:p w14:paraId="6DEC19CD">
            <w:pPr>
              <w:snapToGrid w:val="0"/>
              <w:spacing w:line="380" w:lineRule="exact"/>
              <w:rPr>
                <w:rFonts w:ascii="宋体" w:hAnsi="宋体"/>
                <w:b/>
                <w:color w:val="auto"/>
                <w:szCs w:val="21"/>
                <w:highlight w:val="none"/>
              </w:rPr>
            </w:pPr>
            <w:r>
              <w:rPr>
                <w:rFonts w:hint="eastAsia" w:ascii="宋体" w:hAnsi="宋体"/>
                <w:b/>
                <w:color w:val="auto"/>
                <w:szCs w:val="21"/>
                <w:highlight w:val="none"/>
              </w:rPr>
              <w:t>解释权：</w:t>
            </w:r>
            <w:r>
              <w:rPr>
                <w:rFonts w:ascii="宋体" w:hAnsi="宋体"/>
                <w:color w:val="auto"/>
                <w:szCs w:val="21"/>
                <w:highlight w:val="none"/>
              </w:rPr>
              <w:t>构成本招标文件的各个组成文件应互为解释，互为说明；除招标文件中有特别规定外，仅适用于招标投标阶段的规定，按</w:t>
            </w:r>
            <w:r>
              <w:rPr>
                <w:rFonts w:hint="eastAsia" w:ascii="宋体" w:hAnsi="宋体"/>
                <w:color w:val="auto"/>
                <w:szCs w:val="21"/>
                <w:highlight w:val="none"/>
              </w:rPr>
              <w:t>更正公告（澄清公告）</w:t>
            </w:r>
            <w:r>
              <w:rPr>
                <w:rFonts w:ascii="宋体" w:hAnsi="宋体"/>
                <w:color w:val="auto"/>
                <w:szCs w:val="21"/>
                <w:highlight w:val="none"/>
              </w:rPr>
              <w:t>、招标公告、</w:t>
            </w:r>
            <w:r>
              <w:rPr>
                <w:rFonts w:hint="eastAsia" w:ascii="宋体" w:hAnsi="宋体"/>
                <w:color w:val="auto"/>
                <w:szCs w:val="21"/>
                <w:highlight w:val="none"/>
              </w:rPr>
              <w:t>采购需求、</w:t>
            </w:r>
            <w:r>
              <w:rPr>
                <w:rFonts w:ascii="宋体" w:hAnsi="宋体"/>
                <w:color w:val="auto"/>
                <w:szCs w:val="21"/>
                <w:highlight w:val="none"/>
              </w:rPr>
              <w:t>投标人须知、</w:t>
            </w:r>
            <w:r>
              <w:rPr>
                <w:rFonts w:hint="eastAsia" w:ascii="宋体" w:hAnsi="宋体"/>
                <w:color w:val="auto"/>
                <w:szCs w:val="21"/>
                <w:highlight w:val="none"/>
              </w:rPr>
              <w:t>评标方法及评标标准</w:t>
            </w:r>
            <w:r>
              <w:rPr>
                <w:rFonts w:ascii="宋体" w:hAnsi="宋体"/>
                <w:color w:val="auto"/>
                <w:szCs w:val="21"/>
                <w:highlight w:val="none"/>
              </w:rPr>
              <w:t>、</w:t>
            </w:r>
            <w:r>
              <w:rPr>
                <w:rFonts w:hint="eastAsia" w:ascii="宋体" w:hAnsi="宋体"/>
                <w:color w:val="auto"/>
                <w:szCs w:val="21"/>
                <w:highlight w:val="none"/>
              </w:rPr>
              <w:t>拟签订的合同文本、</w:t>
            </w:r>
            <w:r>
              <w:rPr>
                <w:rFonts w:ascii="宋体" w:hAnsi="宋体"/>
                <w:color w:val="auto"/>
                <w:szCs w:val="21"/>
                <w:highlight w:val="none"/>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auto"/>
                <w:szCs w:val="21"/>
                <w:highlight w:val="none"/>
              </w:rPr>
              <w:t>更正公告（澄清公告）</w:t>
            </w:r>
            <w:r>
              <w:rPr>
                <w:rFonts w:ascii="宋体" w:hAnsi="宋体"/>
                <w:color w:val="auto"/>
                <w:szCs w:val="21"/>
                <w:highlight w:val="none"/>
              </w:rPr>
              <w:t>与同步更新的招标文件不一致时以</w:t>
            </w:r>
            <w:r>
              <w:rPr>
                <w:rFonts w:hint="eastAsia" w:ascii="宋体" w:hAnsi="宋体"/>
                <w:color w:val="auto"/>
                <w:szCs w:val="21"/>
                <w:highlight w:val="none"/>
              </w:rPr>
              <w:t>更正公告（澄清公告）</w:t>
            </w:r>
            <w:r>
              <w:rPr>
                <w:rFonts w:ascii="宋体" w:hAnsi="宋体"/>
                <w:color w:val="auto"/>
                <w:szCs w:val="21"/>
                <w:highlight w:val="none"/>
              </w:rPr>
              <w:t>为准。按本款前述规定仍不能形成结论的</w:t>
            </w:r>
            <w:r>
              <w:rPr>
                <w:rFonts w:ascii="宋体" w:hAnsi="宋体"/>
                <w:b/>
                <w:color w:val="auto"/>
                <w:szCs w:val="21"/>
                <w:highlight w:val="none"/>
              </w:rPr>
              <w:t>，由</w:t>
            </w:r>
            <w:r>
              <w:rPr>
                <w:rFonts w:hint="eastAsia" w:ascii="宋体" w:hAnsi="宋体"/>
                <w:b/>
                <w:color w:val="auto"/>
                <w:szCs w:val="21"/>
                <w:highlight w:val="none"/>
              </w:rPr>
              <w:t>采购</w:t>
            </w:r>
            <w:r>
              <w:rPr>
                <w:rFonts w:ascii="宋体" w:hAnsi="宋体"/>
                <w:b/>
                <w:color w:val="auto"/>
                <w:szCs w:val="21"/>
                <w:highlight w:val="none"/>
              </w:rPr>
              <w:t>人</w:t>
            </w:r>
            <w:r>
              <w:rPr>
                <w:rFonts w:hint="eastAsia" w:ascii="宋体" w:hAnsi="宋体"/>
                <w:b/>
                <w:color w:val="auto"/>
                <w:szCs w:val="21"/>
                <w:highlight w:val="none"/>
              </w:rPr>
              <w:t>或者采购代理机构</w:t>
            </w:r>
            <w:r>
              <w:rPr>
                <w:rFonts w:ascii="宋体" w:hAnsi="宋体"/>
                <w:b/>
                <w:color w:val="auto"/>
                <w:szCs w:val="21"/>
                <w:highlight w:val="none"/>
              </w:rPr>
              <w:t>负责解释。</w:t>
            </w:r>
          </w:p>
          <w:p w14:paraId="7417447E">
            <w:pPr>
              <w:snapToGrid w:val="0"/>
              <w:spacing w:line="380" w:lineRule="exact"/>
              <w:rPr>
                <w:rFonts w:ascii="宋体" w:hAnsi="宋体"/>
                <w:b/>
                <w:color w:val="auto"/>
                <w:szCs w:val="21"/>
                <w:highlight w:val="none"/>
              </w:rPr>
            </w:pPr>
            <w:r>
              <w:rPr>
                <w:rFonts w:hint="eastAsia" w:ascii="宋体" w:hAnsi="宋体"/>
                <w:b/>
                <w:color w:val="auto"/>
                <w:szCs w:val="21"/>
                <w:highlight w:val="none"/>
              </w:rPr>
              <w:t>法律责任：</w:t>
            </w:r>
          </w:p>
          <w:p w14:paraId="15637D5F">
            <w:pPr>
              <w:snapToGrid w:val="0"/>
              <w:spacing w:line="380" w:lineRule="exact"/>
              <w:rPr>
                <w:rFonts w:ascii="宋体" w:hAnsi="宋体"/>
                <w:color w:val="auto"/>
                <w:szCs w:val="21"/>
                <w:highlight w:val="none"/>
              </w:rPr>
            </w:pPr>
            <w:r>
              <w:rPr>
                <w:rFonts w:hint="eastAsia" w:ascii="宋体" w:hAnsi="宋体"/>
                <w:color w:val="auto"/>
                <w:szCs w:val="21"/>
                <w:highlight w:val="none"/>
              </w:rPr>
              <w:t>1.本采购文件根据《中华人民共和国政府采购法》、《中华人民共和国民法典》；《中华人民共和国政府采购法实施条例》、</w:t>
            </w:r>
            <w:r>
              <w:rPr>
                <w:rFonts w:hint="eastAsia" w:ascii="宋体" w:hAnsi="宋体"/>
                <w:color w:val="auto"/>
                <w:sz w:val="21"/>
                <w:szCs w:val="21"/>
                <w:highlight w:val="none"/>
              </w:rPr>
              <w:t>《政府采购货物和服务招标投标管理办法》</w:t>
            </w:r>
            <w:r>
              <w:rPr>
                <w:rFonts w:hint="eastAsia" w:ascii="宋体" w:hAnsi="宋体" w:eastAsia="宋体" w:cs="宋体"/>
                <w:i w:val="0"/>
                <w:iCs w:val="0"/>
                <w:caps w:val="0"/>
                <w:color w:val="auto"/>
                <w:spacing w:val="0"/>
                <w:sz w:val="21"/>
                <w:szCs w:val="21"/>
                <w:highlight w:val="none"/>
                <w:shd w:val="clear" w:fill="FFFFFF"/>
              </w:rPr>
              <w:t>（财政部令第</w:t>
            </w:r>
            <w:r>
              <w:rPr>
                <w:rFonts w:hint="eastAsia" w:ascii="宋体" w:hAnsi="宋体" w:eastAsia="宋体" w:cs="宋体"/>
                <w:i w:val="0"/>
                <w:iCs w:val="0"/>
                <w:caps w:val="0"/>
                <w:color w:val="auto"/>
                <w:spacing w:val="0"/>
                <w:sz w:val="21"/>
                <w:szCs w:val="21"/>
                <w:highlight w:val="none"/>
                <w:shd w:val="clear" w:fill="FFFFFF"/>
                <w:lang w:val="en-US" w:eastAsia="zh-CN"/>
              </w:rPr>
              <w:t>87</w:t>
            </w:r>
            <w:r>
              <w:rPr>
                <w:rFonts w:hint="eastAsia" w:ascii="宋体" w:hAnsi="宋体" w:eastAsia="宋体" w:cs="宋体"/>
                <w:i w:val="0"/>
                <w:iCs w:val="0"/>
                <w:caps w:val="0"/>
                <w:color w:val="auto"/>
                <w:spacing w:val="0"/>
                <w:sz w:val="21"/>
                <w:szCs w:val="21"/>
                <w:highlight w:val="none"/>
                <w:shd w:val="clear" w:fill="FFFFFF"/>
              </w:rPr>
              <w:t>号）</w:t>
            </w:r>
            <w:r>
              <w:rPr>
                <w:rFonts w:hint="eastAsia" w:ascii="宋体" w:hAnsi="宋体"/>
                <w:color w:val="auto"/>
                <w:szCs w:val="21"/>
                <w:highlight w:val="none"/>
              </w:rPr>
              <w:t>等有关法律、法规编制，参与本项目的各政府采购当事人依法享有上述法律法规所赋予的权利与义务。</w:t>
            </w:r>
          </w:p>
          <w:p w14:paraId="5F8667F4">
            <w:pPr>
              <w:spacing w:line="380" w:lineRule="exact"/>
              <w:rPr>
                <w:color w:val="auto"/>
                <w:highlight w:val="none"/>
              </w:rPr>
            </w:pPr>
            <w:r>
              <w:rPr>
                <w:rFonts w:hint="eastAsia" w:ascii="宋体" w:hAnsi="宋体"/>
                <w:b/>
                <w:color w:val="auto"/>
                <w:szCs w:val="21"/>
                <w:highlight w:val="none"/>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3AFC3E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4F976240">
            <w:pPr>
              <w:snapToGrid w:val="0"/>
              <w:spacing w:line="380" w:lineRule="exact"/>
              <w:jc w:val="center"/>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1</w:t>
            </w:r>
            <w:r>
              <w:rPr>
                <w:rFonts w:ascii="宋体" w:hAnsi="宋体"/>
                <w:color w:val="auto"/>
                <w:szCs w:val="21"/>
                <w:highlight w:val="none"/>
              </w:rPr>
              <w:t>.2</w:t>
            </w:r>
          </w:p>
        </w:tc>
        <w:tc>
          <w:tcPr>
            <w:tcW w:w="2071" w:type="dxa"/>
            <w:tcBorders>
              <w:top w:val="single" w:color="auto" w:sz="4" w:space="0"/>
              <w:left w:val="single" w:color="auto" w:sz="4" w:space="0"/>
              <w:bottom w:val="single" w:color="auto" w:sz="4" w:space="0"/>
              <w:right w:val="single" w:color="auto" w:sz="4" w:space="0"/>
            </w:tcBorders>
            <w:noWrap/>
            <w:vAlign w:val="center"/>
          </w:tcPr>
          <w:p w14:paraId="02D00D97">
            <w:pPr>
              <w:snapToGrid w:val="0"/>
              <w:spacing w:line="380" w:lineRule="exact"/>
              <w:rPr>
                <w:rFonts w:ascii="宋体" w:hAnsi="宋体"/>
                <w:color w:val="auto"/>
                <w:szCs w:val="21"/>
                <w:highlight w:val="none"/>
              </w:rPr>
            </w:pPr>
            <w:r>
              <w:rPr>
                <w:rFonts w:hint="eastAsia" w:ascii="宋体" w:hAnsi="宋体"/>
                <w:color w:val="auto"/>
                <w:szCs w:val="21"/>
                <w:highlight w:val="none"/>
              </w:rPr>
              <w:t>其他释义</w:t>
            </w:r>
          </w:p>
        </w:tc>
        <w:tc>
          <w:tcPr>
            <w:tcW w:w="7185" w:type="dxa"/>
            <w:tcBorders>
              <w:top w:val="single" w:color="auto" w:sz="4" w:space="0"/>
              <w:left w:val="single" w:color="auto" w:sz="4" w:space="0"/>
              <w:bottom w:val="single" w:color="auto" w:sz="4" w:space="0"/>
              <w:right w:val="single" w:color="auto" w:sz="4" w:space="0"/>
            </w:tcBorders>
            <w:noWrap/>
            <w:vAlign w:val="center"/>
          </w:tcPr>
          <w:p w14:paraId="11D287B4">
            <w:pPr>
              <w:pStyle w:val="13"/>
              <w:snapToGrid w:val="0"/>
              <w:spacing w:line="360" w:lineRule="auto"/>
              <w:rPr>
                <w:color w:val="auto"/>
                <w:highlight w:val="none"/>
              </w:rPr>
            </w:pPr>
            <w:r>
              <w:rPr>
                <w:rFonts w:hint="eastAsia"/>
                <w:color w:val="auto"/>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2E64B8BA">
            <w:pPr>
              <w:pStyle w:val="13"/>
              <w:snapToGrid w:val="0"/>
              <w:spacing w:line="360" w:lineRule="auto"/>
              <w:rPr>
                <w:color w:val="auto"/>
                <w:highlight w:val="none"/>
              </w:rPr>
            </w:pPr>
            <w:r>
              <w:rPr>
                <w:rFonts w:hint="eastAsia"/>
                <w:color w:val="auto"/>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0D2A4218">
            <w:pPr>
              <w:pStyle w:val="13"/>
              <w:snapToGrid w:val="0"/>
              <w:spacing w:line="360" w:lineRule="auto"/>
              <w:rPr>
                <w:color w:val="auto"/>
                <w:highlight w:val="none"/>
              </w:rPr>
            </w:pPr>
            <w:r>
              <w:rPr>
                <w:rFonts w:hint="eastAsia"/>
                <w:color w:val="auto"/>
                <w:highlight w:val="none"/>
              </w:rPr>
              <w:t>3.本招标文件中描述投标人的“签字”是指投标人的法定代表人或者委托代理人亲自在文件规定签署处亲笔写上个人的名字的行为，私章、签字章、印鉴、影印等其他形式均不能代替亲笔签字。</w:t>
            </w:r>
          </w:p>
          <w:p w14:paraId="5F7CDE72">
            <w:pPr>
              <w:pStyle w:val="13"/>
              <w:snapToGrid w:val="0"/>
              <w:spacing w:line="360" w:lineRule="auto"/>
              <w:rPr>
                <w:color w:val="auto"/>
                <w:highlight w:val="none"/>
              </w:rPr>
            </w:pPr>
            <w:r>
              <w:rPr>
                <w:rFonts w:hint="eastAsia"/>
                <w:color w:val="auto"/>
                <w:highlight w:val="none"/>
              </w:rPr>
              <w:t>4.自然人投标的，招标文件规定盖公章处由自然人摁手指指印。</w:t>
            </w:r>
          </w:p>
          <w:p w14:paraId="068C5D25">
            <w:pPr>
              <w:spacing w:line="360" w:lineRule="auto"/>
              <w:jc w:val="left"/>
              <w:rPr>
                <w:color w:val="auto"/>
                <w:highlight w:val="none"/>
              </w:rPr>
            </w:pPr>
            <w:r>
              <w:rPr>
                <w:rFonts w:hint="eastAsia"/>
                <w:color w:val="auto"/>
                <w:highlight w:val="none"/>
              </w:rPr>
              <w:t>5.本招标文件所称的“以上”“以下”“以内”“届满”，包括本数；所称的“不满”“超过”“以外”，不包括本数。</w:t>
            </w:r>
          </w:p>
          <w:p w14:paraId="579D567A">
            <w:pPr>
              <w:pStyle w:val="5"/>
              <w:spacing w:line="360" w:lineRule="auto"/>
              <w:ind w:left="0"/>
              <w:rPr>
                <w:color w:val="auto"/>
                <w:highlight w:val="none"/>
              </w:rPr>
            </w:pPr>
            <w:r>
              <w:rPr>
                <w:rFonts w:hint="eastAsia" w:ascii="宋体" w:hAnsi="Courier New"/>
                <w:b w:val="0"/>
                <w:bCs w:val="0"/>
                <w:color w:val="auto"/>
                <w:sz w:val="21"/>
                <w:szCs w:val="24"/>
                <w:highlight w:val="none"/>
              </w:rPr>
              <w:t>6.如果投标人没办理有姓名制作的电子印章的，可在投标文件中涉及到签字的位置线下签好字然后扫描做成PDF的格式即可。</w:t>
            </w:r>
          </w:p>
        </w:tc>
      </w:tr>
    </w:tbl>
    <w:p w14:paraId="7C6B0945">
      <w:pPr>
        <w:pStyle w:val="43"/>
        <w:rPr>
          <w:color w:val="auto"/>
          <w:highlight w:val="none"/>
        </w:rPr>
      </w:pPr>
      <w:bookmarkStart w:id="73" w:name="_Toc89075993"/>
    </w:p>
    <w:p w14:paraId="2B2CC22E">
      <w:pPr>
        <w:pStyle w:val="44"/>
        <w:rPr>
          <w:color w:val="auto"/>
          <w:highlight w:val="none"/>
        </w:rPr>
      </w:pPr>
    </w:p>
    <w:p w14:paraId="6E9C0983">
      <w:pPr>
        <w:rPr>
          <w:color w:val="auto"/>
          <w:highlight w:val="none"/>
        </w:rPr>
      </w:pPr>
    </w:p>
    <w:p w14:paraId="6B06E661">
      <w:pPr>
        <w:pStyle w:val="10"/>
        <w:rPr>
          <w:color w:val="auto"/>
          <w:highlight w:val="none"/>
        </w:rPr>
      </w:pPr>
    </w:p>
    <w:p w14:paraId="0A17C8BA">
      <w:pPr>
        <w:rPr>
          <w:color w:val="auto"/>
          <w:highlight w:val="none"/>
        </w:rPr>
      </w:pPr>
    </w:p>
    <w:p w14:paraId="32F5EEA9">
      <w:pPr>
        <w:pStyle w:val="10"/>
        <w:rPr>
          <w:color w:val="auto"/>
          <w:highlight w:val="none"/>
        </w:rPr>
      </w:pPr>
    </w:p>
    <w:p w14:paraId="0A9FCCB7">
      <w:pPr>
        <w:rPr>
          <w:color w:val="auto"/>
          <w:highlight w:val="none"/>
        </w:rPr>
      </w:pPr>
    </w:p>
    <w:p w14:paraId="3EB99554">
      <w:pPr>
        <w:pStyle w:val="10"/>
        <w:rPr>
          <w:color w:val="auto"/>
          <w:highlight w:val="none"/>
        </w:rPr>
      </w:pPr>
    </w:p>
    <w:p w14:paraId="624C8BFB">
      <w:pPr>
        <w:rPr>
          <w:color w:val="auto"/>
          <w:highlight w:val="none"/>
        </w:rPr>
      </w:pPr>
    </w:p>
    <w:p w14:paraId="67F08DED">
      <w:pPr>
        <w:pStyle w:val="10"/>
        <w:rPr>
          <w:color w:val="auto"/>
          <w:highlight w:val="none"/>
        </w:rPr>
      </w:pPr>
    </w:p>
    <w:p w14:paraId="21B72599">
      <w:pPr>
        <w:rPr>
          <w:color w:val="auto"/>
          <w:highlight w:val="none"/>
        </w:rPr>
      </w:pPr>
    </w:p>
    <w:p w14:paraId="2A00914E">
      <w:pPr>
        <w:pStyle w:val="10"/>
        <w:rPr>
          <w:color w:val="auto"/>
          <w:highlight w:val="none"/>
        </w:rPr>
      </w:pPr>
    </w:p>
    <w:p w14:paraId="66C33B53">
      <w:pPr>
        <w:rPr>
          <w:color w:val="auto"/>
          <w:highlight w:val="none"/>
        </w:rPr>
      </w:pPr>
    </w:p>
    <w:p w14:paraId="3608E4D9">
      <w:pPr>
        <w:pStyle w:val="10"/>
        <w:rPr>
          <w:color w:val="auto"/>
          <w:highlight w:val="none"/>
        </w:rPr>
      </w:pPr>
    </w:p>
    <w:p w14:paraId="697C4932">
      <w:pPr>
        <w:rPr>
          <w:color w:val="auto"/>
          <w:highlight w:val="none"/>
        </w:rPr>
      </w:pPr>
    </w:p>
    <w:p w14:paraId="5C92AD96">
      <w:pPr>
        <w:pStyle w:val="10"/>
        <w:rPr>
          <w:color w:val="auto"/>
          <w:highlight w:val="none"/>
        </w:rPr>
      </w:pPr>
    </w:p>
    <w:p w14:paraId="76F15687">
      <w:pPr>
        <w:rPr>
          <w:color w:val="auto"/>
          <w:highlight w:val="none"/>
        </w:rPr>
      </w:pPr>
    </w:p>
    <w:p w14:paraId="35EBC5D4">
      <w:pPr>
        <w:pStyle w:val="10"/>
        <w:rPr>
          <w:color w:val="auto"/>
          <w:highlight w:val="none"/>
        </w:rPr>
      </w:pPr>
    </w:p>
    <w:p w14:paraId="0ED29BB2">
      <w:pPr>
        <w:rPr>
          <w:color w:val="auto"/>
          <w:highlight w:val="none"/>
        </w:rPr>
      </w:pPr>
    </w:p>
    <w:p w14:paraId="12D788D1">
      <w:pPr>
        <w:pStyle w:val="10"/>
        <w:rPr>
          <w:color w:val="auto"/>
          <w:highlight w:val="none"/>
        </w:rPr>
      </w:pPr>
    </w:p>
    <w:p w14:paraId="10815EF3">
      <w:pPr>
        <w:rPr>
          <w:color w:val="auto"/>
          <w:highlight w:val="none"/>
        </w:rPr>
      </w:pPr>
    </w:p>
    <w:p w14:paraId="72609DCC">
      <w:pPr>
        <w:pStyle w:val="10"/>
        <w:rPr>
          <w:color w:val="auto"/>
          <w:highlight w:val="none"/>
        </w:rPr>
      </w:pPr>
    </w:p>
    <w:p w14:paraId="43B6DD51">
      <w:pPr>
        <w:rPr>
          <w:color w:val="auto"/>
          <w:highlight w:val="none"/>
        </w:rPr>
      </w:pPr>
    </w:p>
    <w:p w14:paraId="2E5DF439">
      <w:pPr>
        <w:pStyle w:val="10"/>
        <w:rPr>
          <w:color w:val="auto"/>
          <w:highlight w:val="none"/>
        </w:rPr>
      </w:pPr>
    </w:p>
    <w:p w14:paraId="7C266D4F">
      <w:pPr>
        <w:rPr>
          <w:color w:val="auto"/>
          <w:highlight w:val="none"/>
        </w:rPr>
      </w:pPr>
    </w:p>
    <w:p w14:paraId="6A33D41C">
      <w:pPr>
        <w:pStyle w:val="10"/>
        <w:rPr>
          <w:color w:val="auto"/>
          <w:highlight w:val="none"/>
        </w:rPr>
      </w:pPr>
    </w:p>
    <w:p w14:paraId="228C3E69">
      <w:pPr>
        <w:rPr>
          <w:color w:val="auto"/>
          <w:highlight w:val="none"/>
        </w:rPr>
      </w:pPr>
    </w:p>
    <w:p w14:paraId="26F9CBB0">
      <w:pPr>
        <w:pStyle w:val="10"/>
        <w:rPr>
          <w:color w:val="auto"/>
          <w:highlight w:val="none"/>
        </w:rPr>
      </w:pPr>
    </w:p>
    <w:p w14:paraId="58A55120">
      <w:pPr>
        <w:rPr>
          <w:color w:val="auto"/>
          <w:highlight w:val="none"/>
        </w:rPr>
      </w:pPr>
    </w:p>
    <w:p w14:paraId="33695EEA">
      <w:pPr>
        <w:pStyle w:val="10"/>
        <w:rPr>
          <w:color w:val="auto"/>
          <w:highlight w:val="none"/>
        </w:rPr>
      </w:pPr>
    </w:p>
    <w:p w14:paraId="309235DD">
      <w:pPr>
        <w:rPr>
          <w:color w:val="auto"/>
          <w:highlight w:val="none"/>
        </w:rPr>
      </w:pPr>
    </w:p>
    <w:p w14:paraId="4B6AEE46">
      <w:pPr>
        <w:pStyle w:val="10"/>
        <w:rPr>
          <w:color w:val="auto"/>
          <w:highlight w:val="none"/>
        </w:rPr>
      </w:pPr>
    </w:p>
    <w:p w14:paraId="450DDFD5">
      <w:pPr>
        <w:rPr>
          <w:color w:val="auto"/>
          <w:highlight w:val="none"/>
        </w:rPr>
      </w:pPr>
    </w:p>
    <w:p w14:paraId="74BA520A">
      <w:pPr>
        <w:pStyle w:val="7"/>
        <w:rPr>
          <w:color w:val="auto"/>
          <w:highlight w:val="none"/>
        </w:rPr>
      </w:pPr>
    </w:p>
    <w:p w14:paraId="30DA8832">
      <w:pPr>
        <w:rPr>
          <w:color w:val="auto"/>
          <w:highlight w:val="none"/>
        </w:rPr>
      </w:pPr>
    </w:p>
    <w:p w14:paraId="3739FD6D">
      <w:pPr>
        <w:pStyle w:val="7"/>
        <w:rPr>
          <w:color w:val="auto"/>
          <w:highlight w:val="none"/>
        </w:rPr>
      </w:pPr>
    </w:p>
    <w:p w14:paraId="1C769E85">
      <w:pPr>
        <w:rPr>
          <w:color w:val="auto"/>
          <w:highlight w:val="none"/>
        </w:rPr>
      </w:pPr>
    </w:p>
    <w:p w14:paraId="1FF3FF69">
      <w:pPr>
        <w:pStyle w:val="7"/>
        <w:rPr>
          <w:color w:val="auto"/>
        </w:rPr>
      </w:pPr>
    </w:p>
    <w:p w14:paraId="2770FE99">
      <w:pPr>
        <w:rPr>
          <w:color w:val="auto"/>
          <w:highlight w:val="none"/>
        </w:rPr>
      </w:pPr>
    </w:p>
    <w:p w14:paraId="11C1B31B">
      <w:pPr>
        <w:pStyle w:val="10"/>
        <w:rPr>
          <w:color w:val="auto"/>
        </w:rPr>
      </w:pPr>
    </w:p>
    <w:p w14:paraId="55165C60">
      <w:pPr>
        <w:pStyle w:val="3"/>
        <w:ind w:firstLine="2570" w:firstLineChars="800"/>
        <w:rPr>
          <w:color w:val="auto"/>
          <w:highlight w:val="none"/>
        </w:rPr>
      </w:pPr>
      <w:r>
        <w:rPr>
          <w:rFonts w:hint="eastAsia"/>
          <w:color w:val="auto"/>
          <w:highlight w:val="none"/>
        </w:rPr>
        <w:t>第二节 投标人须知正文</w:t>
      </w:r>
      <w:bookmarkEnd w:id="73"/>
    </w:p>
    <w:p w14:paraId="4CF9E8BE">
      <w:pPr>
        <w:pStyle w:val="4"/>
        <w:keepNext w:val="0"/>
        <w:keepLines w:val="0"/>
        <w:spacing w:line="400" w:lineRule="exact"/>
        <w:jc w:val="center"/>
        <w:rPr>
          <w:color w:val="auto"/>
          <w:highlight w:val="none"/>
        </w:rPr>
      </w:pPr>
      <w:bookmarkStart w:id="74" w:name="_Toc89075994"/>
      <w:r>
        <w:rPr>
          <w:rFonts w:hint="eastAsia"/>
          <w:color w:val="auto"/>
          <w:highlight w:val="none"/>
        </w:rPr>
        <w:t>一、总  则</w:t>
      </w:r>
      <w:bookmarkEnd w:id="74"/>
    </w:p>
    <w:p w14:paraId="3087640F">
      <w:pPr>
        <w:spacing w:line="360" w:lineRule="auto"/>
        <w:ind w:firstLine="480" w:firstLineChars="200"/>
        <w:rPr>
          <w:rFonts w:ascii="黑体" w:hAnsi="黑体" w:eastAsia="黑体"/>
          <w:color w:val="auto"/>
          <w:sz w:val="24"/>
          <w:highlight w:val="none"/>
        </w:rPr>
      </w:pPr>
      <w:bookmarkStart w:id="75" w:name="_Toc254970527"/>
      <w:bookmarkStart w:id="76" w:name="_Toc254970668"/>
      <w:r>
        <w:rPr>
          <w:rFonts w:hint="eastAsia" w:ascii="黑体" w:hAnsi="黑体" w:eastAsia="黑体"/>
          <w:color w:val="auto"/>
          <w:sz w:val="24"/>
          <w:highlight w:val="none"/>
        </w:rPr>
        <w:t>1.适用范围</w:t>
      </w:r>
      <w:bookmarkEnd w:id="75"/>
      <w:bookmarkEnd w:id="76"/>
    </w:p>
    <w:p w14:paraId="573D4DB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适用法律：本项目采购人、采购代理机构、投标人、评标委员会的相关行为均受《中华人民共和国政府采购法》、《中华人民共和国政府采购法实施条例》、《政府采购货物和货物招标投标管理办法》及本项目本级和上级财政部门政府采购有关规定的约束和保护。</w:t>
      </w:r>
    </w:p>
    <w:p w14:paraId="63DDADB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3843CFF1">
      <w:pPr>
        <w:spacing w:line="360" w:lineRule="auto"/>
        <w:ind w:firstLine="480" w:firstLineChars="200"/>
        <w:rPr>
          <w:rFonts w:ascii="黑体" w:hAnsi="黑体" w:eastAsia="黑体"/>
          <w:color w:val="auto"/>
          <w:sz w:val="24"/>
          <w:highlight w:val="none"/>
        </w:rPr>
      </w:pPr>
      <w:bookmarkStart w:id="77" w:name="_Toc254970669"/>
      <w:bookmarkStart w:id="78" w:name="_Toc254970528"/>
      <w:r>
        <w:rPr>
          <w:rFonts w:hint="eastAsia" w:ascii="黑体" w:hAnsi="黑体" w:eastAsia="黑体"/>
          <w:color w:val="auto"/>
          <w:sz w:val="24"/>
          <w:highlight w:val="none"/>
        </w:rPr>
        <w:t>2.定义</w:t>
      </w:r>
      <w:bookmarkEnd w:id="77"/>
      <w:bookmarkEnd w:id="78"/>
    </w:p>
    <w:p w14:paraId="2D537A73">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2.1“采购人”是指依法进行政府采购的国家机关、事业单位、团体组织。</w:t>
      </w:r>
    </w:p>
    <w:p w14:paraId="602CB9C0">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2.2“采购代理机构” 指政府采购集中采购机构和集中采购机构以外的采购代理机构。</w:t>
      </w:r>
    </w:p>
    <w:p w14:paraId="2A0BADE5">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2.3“供应商”是指向采购人提供货物、工程或者服务的法人、其他组织或者自然人。</w:t>
      </w:r>
    </w:p>
    <w:p w14:paraId="271A576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2.4“投标人”是指响应招标、参加投标竞争的法人、非法人组织或者自然人。</w:t>
      </w:r>
    </w:p>
    <w:p w14:paraId="39C23739">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2.5“货物”是指各种形态和种类的物品，包括原材料、燃料、设备、产品等。</w:t>
      </w:r>
    </w:p>
    <w:p w14:paraId="6AFEBC2A">
      <w:pPr>
        <w:pStyle w:val="6"/>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2.6“售后服务” 是指商品出售以后所提供的各种服务，包含但不限于投标人须承担的备品备件、包装、运输、装卸、保险、货到就位以及安装、调试、培训、保修以及其他各种服务。</w:t>
      </w:r>
    </w:p>
    <w:p w14:paraId="6B9D9074">
      <w:pPr>
        <w:pStyle w:val="6"/>
        <w:keepNext w:val="0"/>
        <w:keepLines w:val="0"/>
        <w:spacing w:before="0" w:after="0" w:line="360" w:lineRule="auto"/>
        <w:rPr>
          <w:rFonts w:ascii="宋体" w:hAnsi="宋体"/>
          <w:b w:val="0"/>
          <w:color w:val="auto"/>
          <w:sz w:val="21"/>
          <w:szCs w:val="21"/>
          <w:highlight w:val="none"/>
        </w:rPr>
      </w:pPr>
      <w:r>
        <w:rPr>
          <w:rFonts w:hint="eastAsia" w:ascii="宋体" w:hAnsi="宋体"/>
          <w:b w:val="0"/>
          <w:color w:val="auto"/>
          <w:sz w:val="21"/>
          <w:szCs w:val="21"/>
          <w:highlight w:val="none"/>
        </w:rPr>
        <w:t xml:space="preserve">    2.7“书面形式”是指合同书、信件和数据电文（包括电报、电传、传真、电子数据交换和电子邮件）等可以有形地表现所载内容的形式。</w:t>
      </w:r>
    </w:p>
    <w:p w14:paraId="44079475">
      <w:pPr>
        <w:pStyle w:val="6"/>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2.8“实质性要求”是指招标文件中已经指明不满足则投标无效的条款，或者不能负偏离的条款，或者采购需求中带“▲”的条款。</w:t>
      </w:r>
    </w:p>
    <w:p w14:paraId="289669CA">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 xml:space="preserve">2.9 </w:t>
      </w:r>
      <w:r>
        <w:rPr>
          <w:rFonts w:hint="eastAsia" w:ascii="宋体" w:hAnsi="宋体" w:cs="宋体"/>
          <w:color w:val="auto"/>
          <w:szCs w:val="21"/>
          <w:highlight w:val="none"/>
        </w:rPr>
        <w:t>“正偏离”，是指投标文件对招标文件“采购需求”中有关条款作出的响应优于条款要求并有利于采购人的情形。</w:t>
      </w:r>
    </w:p>
    <w:p w14:paraId="31FF0CB1">
      <w:pPr>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2.10</w:t>
      </w:r>
      <w:r>
        <w:rPr>
          <w:rFonts w:hint="eastAsia" w:ascii="宋体" w:hAnsi="宋体" w:cs="宋体"/>
          <w:color w:val="auto"/>
          <w:szCs w:val="21"/>
          <w:highlight w:val="none"/>
        </w:rPr>
        <w:t>“负偏离”，是指投标文件对招标文件“采购需求”中有关条款作出的响应不满足条款要求，导致采购人要求不能得到满足的情形。</w:t>
      </w:r>
    </w:p>
    <w:p w14:paraId="6CBB455A">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1</w:t>
      </w:r>
      <w:r>
        <w:rPr>
          <w:rFonts w:hint="eastAsia" w:ascii="宋体" w:hAnsi="宋体" w:cs="宋体"/>
          <w:color w:val="auto"/>
          <w:szCs w:val="21"/>
          <w:highlight w:val="none"/>
        </w:rPr>
        <w:t>“允许负偏离的条款”是指采购需求中的不属于“实质性要求”的条款。</w:t>
      </w:r>
    </w:p>
    <w:p w14:paraId="4CF17629">
      <w:pPr>
        <w:spacing w:line="360" w:lineRule="auto"/>
        <w:ind w:firstLine="480" w:firstLineChars="200"/>
        <w:rPr>
          <w:rFonts w:ascii="黑体" w:hAnsi="黑体" w:eastAsia="黑体"/>
          <w:color w:val="auto"/>
          <w:sz w:val="24"/>
          <w:highlight w:val="none"/>
        </w:rPr>
      </w:pPr>
      <w:bookmarkStart w:id="79" w:name="_Toc254970670"/>
      <w:bookmarkStart w:id="80" w:name="_Toc254970529"/>
      <w:r>
        <w:rPr>
          <w:rFonts w:hint="eastAsia" w:ascii="黑体" w:hAnsi="黑体" w:eastAsia="黑体"/>
          <w:color w:val="auto"/>
          <w:sz w:val="24"/>
          <w:highlight w:val="none"/>
        </w:rPr>
        <w:t>3.</w:t>
      </w:r>
      <w:bookmarkEnd w:id="79"/>
      <w:bookmarkEnd w:id="80"/>
      <w:r>
        <w:rPr>
          <w:rFonts w:hint="eastAsia" w:ascii="黑体" w:hAnsi="黑体" w:eastAsia="黑体"/>
          <w:color w:val="auto"/>
          <w:sz w:val="24"/>
          <w:highlight w:val="none"/>
        </w:rPr>
        <w:t>投标人的资格要求</w:t>
      </w:r>
    </w:p>
    <w:p w14:paraId="19FF4A6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投标人的资格要求详见“招标公告”。</w:t>
      </w:r>
    </w:p>
    <w:p w14:paraId="0A6C0B23">
      <w:pPr>
        <w:spacing w:line="360" w:lineRule="auto"/>
        <w:ind w:firstLine="480" w:firstLineChars="200"/>
        <w:rPr>
          <w:rFonts w:ascii="黑体" w:hAnsi="黑体" w:eastAsia="黑体"/>
          <w:color w:val="auto"/>
          <w:sz w:val="24"/>
          <w:highlight w:val="none"/>
        </w:rPr>
      </w:pPr>
      <w:bookmarkStart w:id="81" w:name="_Toc254970671"/>
      <w:bookmarkStart w:id="82" w:name="_Toc254970530"/>
      <w:r>
        <w:rPr>
          <w:rFonts w:hint="eastAsia" w:ascii="黑体" w:hAnsi="黑体" w:eastAsia="黑体"/>
          <w:color w:val="auto"/>
          <w:sz w:val="24"/>
          <w:highlight w:val="none"/>
        </w:rPr>
        <w:t>4.投标委托</w:t>
      </w:r>
      <w:bookmarkEnd w:id="81"/>
      <w:bookmarkEnd w:id="82"/>
    </w:p>
    <w:p w14:paraId="58D3A59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投标人代表参加投标活动过程中必须携带个人有效身份证件。如投标人代表不是法定代表人，须持有法定代表人授权委托书（正本用原件，副本用复印件，按第六章要求格式填写）。</w:t>
      </w:r>
    </w:p>
    <w:p w14:paraId="50B08C57">
      <w:pPr>
        <w:spacing w:line="360" w:lineRule="auto"/>
        <w:ind w:firstLine="480" w:firstLineChars="200"/>
        <w:rPr>
          <w:rFonts w:ascii="黑体" w:hAnsi="黑体" w:eastAsia="黑体"/>
          <w:color w:val="auto"/>
          <w:sz w:val="24"/>
          <w:highlight w:val="none"/>
        </w:rPr>
      </w:pPr>
      <w:bookmarkStart w:id="83" w:name="_5.投标费用"/>
      <w:bookmarkEnd w:id="83"/>
      <w:bookmarkStart w:id="84" w:name="_Toc254970672"/>
      <w:bookmarkStart w:id="85" w:name="_Toc254970531"/>
      <w:r>
        <w:rPr>
          <w:rFonts w:hint="eastAsia" w:ascii="黑体" w:hAnsi="黑体" w:eastAsia="黑体"/>
          <w:color w:val="auto"/>
          <w:sz w:val="24"/>
          <w:highlight w:val="none"/>
        </w:rPr>
        <w:t>5.投标费用</w:t>
      </w:r>
      <w:bookmarkEnd w:id="84"/>
      <w:bookmarkEnd w:id="85"/>
    </w:p>
    <w:p w14:paraId="1E70B64A">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1B0AAAE5">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6.联合体投标</w:t>
      </w:r>
    </w:p>
    <w:p w14:paraId="3974460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6.1本项目是否接受联合体投标，详见“投标人须知前附表”。</w:t>
      </w:r>
    </w:p>
    <w:p w14:paraId="48455DF8">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6.2如接受联合体投标，联合体投标要求详见“投标人须知前附表”。</w:t>
      </w:r>
    </w:p>
    <w:p w14:paraId="32FA3864">
      <w:pPr>
        <w:spacing w:line="360" w:lineRule="auto"/>
        <w:ind w:firstLine="420" w:firstLineChars="200"/>
        <w:rPr>
          <w:rFonts w:ascii="Helvetica Neue"/>
          <w:color w:val="auto"/>
          <w:sz w:val="24"/>
          <w:highlight w:val="none"/>
          <w:shd w:val="clear" w:color="auto" w:fill="FFFFFF"/>
        </w:rPr>
      </w:pPr>
      <w:r>
        <w:rPr>
          <w:rFonts w:hint="eastAsia" w:ascii="宋体" w:hAnsi="宋体"/>
          <w:bCs/>
          <w:color w:val="auto"/>
          <w:szCs w:val="21"/>
          <w:highlight w:val="none"/>
        </w:rPr>
        <w:t>6.3根据《政府采购促进中小企业发展管理办法》（财库[2020]46号）</w:t>
      </w:r>
      <w:r>
        <w:rPr>
          <w:rFonts w:ascii="宋体" w:hAnsi="宋体"/>
          <w:bCs/>
          <w:color w:val="auto"/>
          <w:szCs w:val="21"/>
          <w:highlight w:val="none"/>
        </w:rPr>
        <w:t>第九条</w:t>
      </w:r>
      <w:r>
        <w:rPr>
          <w:rFonts w:hint="eastAsia" w:ascii="宋体" w:hAnsi="宋体"/>
          <w:bCs/>
          <w:color w:val="auto"/>
          <w:szCs w:val="21"/>
          <w:highlight w:val="none"/>
        </w:rPr>
        <w:t>规定</w:t>
      </w:r>
      <w:r>
        <w:rPr>
          <w:rFonts w:hint="eastAsia" w:ascii="宋体" w:hAnsi="宋体"/>
          <w:bCs/>
          <w:color w:val="auto"/>
          <w:szCs w:val="21"/>
          <w:highlight w:val="none"/>
          <w:lang w:val="en-US" w:eastAsia="zh-CN"/>
        </w:rPr>
        <w:t>和“关于进一步加大政府采购支持中小企业力度的通知 财库</w:t>
      </w:r>
      <w:r>
        <w:rPr>
          <w:rFonts w:hint="eastAsia" w:ascii="宋体" w:hAnsi="宋体"/>
          <w:bCs/>
          <w:color w:val="auto"/>
          <w:szCs w:val="21"/>
          <w:highlight w:val="none"/>
        </w:rPr>
        <w:t>[</w:t>
      </w:r>
      <w:r>
        <w:rPr>
          <w:rFonts w:hint="eastAsia" w:ascii="宋体" w:hAnsi="宋体"/>
          <w:bCs/>
          <w:color w:val="auto"/>
          <w:szCs w:val="21"/>
          <w:highlight w:val="none"/>
          <w:lang w:val="en-US" w:eastAsia="zh-CN"/>
        </w:rPr>
        <w:t>2022</w:t>
      </w:r>
      <w:r>
        <w:rPr>
          <w:rFonts w:hint="eastAsia" w:ascii="宋体" w:hAnsi="宋体"/>
          <w:bCs/>
          <w:color w:val="auto"/>
          <w:szCs w:val="21"/>
          <w:highlight w:val="none"/>
        </w:rPr>
        <w:t>]</w:t>
      </w:r>
      <w:r>
        <w:rPr>
          <w:rFonts w:hint="eastAsia" w:ascii="宋体" w:hAnsi="宋体"/>
          <w:bCs/>
          <w:color w:val="auto"/>
          <w:szCs w:val="21"/>
          <w:highlight w:val="none"/>
          <w:lang w:val="en-US" w:eastAsia="zh-CN"/>
        </w:rPr>
        <w:t>19号”第二条规定</w:t>
      </w:r>
      <w:r>
        <w:rPr>
          <w:rFonts w:hint="eastAsia" w:ascii="宋体" w:hAnsi="宋体"/>
          <w:bCs/>
          <w:color w:val="auto"/>
          <w:szCs w:val="21"/>
          <w:highlight w:val="none"/>
        </w:rPr>
        <w:t>，</w:t>
      </w:r>
      <w:r>
        <w:rPr>
          <w:rFonts w:ascii="宋体" w:hAnsi="宋体"/>
          <w:bCs/>
          <w:color w:val="auto"/>
          <w:szCs w:val="21"/>
          <w:highlight w:val="none"/>
        </w:rPr>
        <w:t xml:space="preserve">接受大中型企业与小微企业组成联合体的采购项目，对于联合协议约定小微企业的合同份额占到合同总金额 </w:t>
      </w:r>
      <w:r>
        <w:rPr>
          <w:rFonts w:hint="eastAsia" w:ascii="宋体" w:hAnsi="宋体"/>
          <w:bCs/>
          <w:color w:val="auto"/>
          <w:szCs w:val="21"/>
          <w:highlight w:val="none"/>
          <w:lang w:val="en-US" w:eastAsia="zh-CN"/>
        </w:rPr>
        <w:t>3</w:t>
      </w:r>
      <w:r>
        <w:rPr>
          <w:rFonts w:ascii="宋体" w:hAnsi="宋体"/>
          <w:bCs/>
          <w:color w:val="auto"/>
          <w:szCs w:val="21"/>
          <w:highlight w:val="none"/>
        </w:rPr>
        <w:t xml:space="preserve">0%以上的，采购人、采购代理机构应当对联合体的报价给予 </w:t>
      </w:r>
      <w:r>
        <w:rPr>
          <w:rFonts w:hint="eastAsia" w:ascii="宋体" w:hAnsi="宋体"/>
          <w:bCs/>
          <w:color w:val="auto"/>
          <w:szCs w:val="21"/>
          <w:highlight w:val="none"/>
        </w:rPr>
        <w:t>4</w:t>
      </w:r>
      <w:r>
        <w:rPr>
          <w:rFonts w:ascii="宋体" w:hAnsi="宋体"/>
          <w:bCs/>
          <w:color w:val="auto"/>
          <w:szCs w:val="21"/>
          <w:highlight w:val="none"/>
        </w:rPr>
        <w:t>%-</w:t>
      </w:r>
      <w:r>
        <w:rPr>
          <w:rFonts w:hint="eastAsia" w:ascii="宋体" w:hAnsi="宋体"/>
          <w:bCs/>
          <w:color w:val="auto"/>
          <w:szCs w:val="21"/>
          <w:highlight w:val="none"/>
        </w:rPr>
        <w:t>6</w:t>
      </w:r>
      <w:r>
        <w:rPr>
          <w:rFonts w:ascii="宋体" w:hAnsi="宋体"/>
          <w:bCs/>
          <w:color w:val="auto"/>
          <w:szCs w:val="21"/>
          <w:highlight w:val="none"/>
        </w:rPr>
        <w:t>%（工程项目为 1%—2%）的扣除，用扣除后的价格参加评审。组成联合体的小微企业与联合体内其他企业、分包企业之间存在直接控股、管理关系的，不享受价格扣除优惠政策。</w:t>
      </w:r>
    </w:p>
    <w:p w14:paraId="6A2097F5">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 xml:space="preserve">7.转包与分包             </w:t>
      </w:r>
    </w:p>
    <w:p w14:paraId="09D467EA">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7.</w:t>
      </w:r>
      <w:r>
        <w:rPr>
          <w:rFonts w:ascii="宋体" w:hAnsi="宋体"/>
          <w:b/>
          <w:color w:val="auto"/>
          <w:szCs w:val="21"/>
          <w:highlight w:val="none"/>
        </w:rPr>
        <w:t>1</w:t>
      </w:r>
      <w:r>
        <w:rPr>
          <w:rFonts w:hint="eastAsia" w:ascii="宋体" w:hAnsi="宋体"/>
          <w:b/>
          <w:color w:val="auto"/>
          <w:szCs w:val="21"/>
          <w:highlight w:val="none"/>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18BE0E1A">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7.</w:t>
      </w:r>
      <w:r>
        <w:rPr>
          <w:rFonts w:ascii="宋体" w:hAnsi="宋体"/>
          <w:bCs/>
          <w:color w:val="auto"/>
          <w:szCs w:val="21"/>
          <w:highlight w:val="none"/>
        </w:rPr>
        <w:t>2</w:t>
      </w:r>
      <w:r>
        <w:rPr>
          <w:rFonts w:hint="eastAsia" w:ascii="宋体" w:hAnsi="宋体"/>
          <w:bCs/>
          <w:color w:val="auto"/>
          <w:szCs w:val="21"/>
          <w:highlight w:val="none"/>
        </w:rPr>
        <w:t>根据《政府采购促进中小企业发展管理办法》（财库[2020]46号）</w:t>
      </w:r>
      <w:r>
        <w:rPr>
          <w:rFonts w:ascii="宋体" w:hAnsi="宋体"/>
          <w:bCs/>
          <w:color w:val="auto"/>
          <w:szCs w:val="21"/>
          <w:highlight w:val="none"/>
        </w:rPr>
        <w:t>第九条</w:t>
      </w:r>
      <w:r>
        <w:rPr>
          <w:rFonts w:hint="eastAsia" w:ascii="宋体" w:hAnsi="宋体"/>
          <w:bCs/>
          <w:color w:val="auto"/>
          <w:szCs w:val="21"/>
          <w:highlight w:val="none"/>
        </w:rPr>
        <w:t>规定</w:t>
      </w:r>
      <w:r>
        <w:rPr>
          <w:rFonts w:hint="eastAsia" w:ascii="宋体" w:hAnsi="宋体"/>
          <w:bCs/>
          <w:color w:val="auto"/>
          <w:szCs w:val="21"/>
          <w:highlight w:val="none"/>
          <w:lang w:val="en-US" w:eastAsia="zh-CN"/>
        </w:rPr>
        <w:t>和“关于进一步加大政府采购支持中小企业力度的通知 财库</w:t>
      </w:r>
      <w:r>
        <w:rPr>
          <w:rFonts w:hint="eastAsia" w:ascii="宋体" w:hAnsi="宋体"/>
          <w:bCs/>
          <w:color w:val="auto"/>
          <w:szCs w:val="21"/>
          <w:highlight w:val="none"/>
        </w:rPr>
        <w:t>[</w:t>
      </w:r>
      <w:r>
        <w:rPr>
          <w:rFonts w:hint="eastAsia" w:ascii="宋体" w:hAnsi="宋体"/>
          <w:bCs/>
          <w:color w:val="auto"/>
          <w:szCs w:val="21"/>
          <w:highlight w:val="none"/>
          <w:lang w:val="en-US" w:eastAsia="zh-CN"/>
        </w:rPr>
        <w:t>2022</w:t>
      </w:r>
      <w:r>
        <w:rPr>
          <w:rFonts w:hint="eastAsia" w:ascii="宋体" w:hAnsi="宋体"/>
          <w:bCs/>
          <w:color w:val="auto"/>
          <w:szCs w:val="21"/>
          <w:highlight w:val="none"/>
        </w:rPr>
        <w:t>]</w:t>
      </w:r>
      <w:r>
        <w:rPr>
          <w:rFonts w:hint="eastAsia" w:ascii="宋体" w:hAnsi="宋体"/>
          <w:bCs/>
          <w:color w:val="auto"/>
          <w:szCs w:val="21"/>
          <w:highlight w:val="none"/>
          <w:lang w:val="en-US" w:eastAsia="zh-CN"/>
        </w:rPr>
        <w:t>19号”第二条规定</w:t>
      </w:r>
      <w:r>
        <w:rPr>
          <w:rFonts w:hint="eastAsia" w:ascii="宋体" w:hAnsi="宋体"/>
          <w:bCs/>
          <w:color w:val="auto"/>
          <w:szCs w:val="21"/>
          <w:highlight w:val="none"/>
        </w:rPr>
        <w:t>，</w:t>
      </w:r>
      <w:r>
        <w:rPr>
          <w:rFonts w:ascii="宋体" w:hAnsi="宋体"/>
          <w:bCs/>
          <w:color w:val="auto"/>
          <w:szCs w:val="21"/>
          <w:highlight w:val="none"/>
        </w:rPr>
        <w:t xml:space="preserve">允许大中型企业向一家或者多家小微企业分包的采购项目，对于分包意向协议约定小微企业的合同份额占到合同总金额 30%以上的，采购人、采购代理机构应当对大中型企业的报价给予 </w:t>
      </w:r>
      <w:r>
        <w:rPr>
          <w:rFonts w:hint="eastAsia" w:ascii="宋体" w:hAnsi="宋体"/>
          <w:bCs/>
          <w:color w:val="auto"/>
          <w:szCs w:val="21"/>
          <w:highlight w:val="none"/>
        </w:rPr>
        <w:t>4</w:t>
      </w:r>
      <w:r>
        <w:rPr>
          <w:rFonts w:ascii="宋体" w:hAnsi="宋体"/>
          <w:bCs/>
          <w:color w:val="auto"/>
          <w:szCs w:val="21"/>
          <w:highlight w:val="none"/>
        </w:rPr>
        <w:t>%-</w:t>
      </w:r>
      <w:r>
        <w:rPr>
          <w:rFonts w:hint="eastAsia" w:ascii="宋体" w:hAnsi="宋体"/>
          <w:bCs/>
          <w:color w:val="auto"/>
          <w:szCs w:val="21"/>
          <w:highlight w:val="none"/>
        </w:rPr>
        <w:t>6</w:t>
      </w:r>
      <w:r>
        <w:rPr>
          <w:rFonts w:ascii="宋体" w:hAnsi="宋体"/>
          <w:bCs/>
          <w:color w:val="auto"/>
          <w:szCs w:val="21"/>
          <w:highlight w:val="none"/>
        </w:rPr>
        <w:t>%的扣除，用扣除后的价格参加评审。接受分包的小微企业与分包企业之间存在直接控股、管理关系的，不享受价格扣除优惠政策。</w:t>
      </w:r>
    </w:p>
    <w:p w14:paraId="6B9E48D9">
      <w:pPr>
        <w:spacing w:line="360" w:lineRule="auto"/>
        <w:ind w:firstLine="480" w:firstLineChars="200"/>
        <w:rPr>
          <w:rFonts w:ascii="黑体" w:hAnsi="黑体" w:eastAsia="黑体"/>
          <w:color w:val="auto"/>
          <w:sz w:val="24"/>
          <w:highlight w:val="none"/>
        </w:rPr>
      </w:pPr>
      <w:bookmarkStart w:id="86" w:name="_Toc254970673"/>
      <w:bookmarkStart w:id="87" w:name="_Toc254970532"/>
      <w:r>
        <w:rPr>
          <w:rFonts w:hint="eastAsia" w:ascii="黑体" w:hAnsi="黑体" w:eastAsia="黑体"/>
          <w:color w:val="auto"/>
          <w:sz w:val="24"/>
          <w:highlight w:val="none"/>
        </w:rPr>
        <w:t>8.特别说明：</w:t>
      </w:r>
      <w:bookmarkEnd w:id="86"/>
      <w:bookmarkEnd w:id="87"/>
      <w:bookmarkStart w:id="88" w:name="_8.1提供相同品牌产品且通过资格审查、符合性审查的不同投标人参加同一合"/>
      <w:bookmarkEnd w:id="88"/>
    </w:p>
    <w:p w14:paraId="42044B5B">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8.</w:t>
      </w:r>
      <w:r>
        <w:rPr>
          <w:rFonts w:ascii="宋体" w:hAnsi="宋体"/>
          <w:b/>
          <w:color w:val="auto"/>
          <w:szCs w:val="21"/>
          <w:highlight w:val="none"/>
        </w:rPr>
        <w:t>1</w:t>
      </w:r>
      <w:r>
        <w:rPr>
          <w:rFonts w:hint="eastAsia" w:ascii="宋体" w:hAnsi="宋体"/>
          <w:b/>
          <w:color w:val="auto"/>
          <w:szCs w:val="21"/>
          <w:highlight w:val="none"/>
        </w:rPr>
        <w:t>如果本招标文件要求投标人提供资格、信誉、荣誉、业绩与企业认证等材料的，则投标人所提供的以上材料必须为投标人所拥有。</w:t>
      </w:r>
    </w:p>
    <w:p w14:paraId="361DEF32">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8.</w:t>
      </w:r>
      <w:r>
        <w:rPr>
          <w:rFonts w:ascii="宋体" w:hAnsi="宋体"/>
          <w:b/>
          <w:color w:val="auto"/>
          <w:szCs w:val="21"/>
          <w:highlight w:val="none"/>
        </w:rPr>
        <w:t>2</w:t>
      </w:r>
      <w:r>
        <w:rPr>
          <w:rFonts w:hint="eastAsia" w:ascii="宋体" w:hAnsi="宋体"/>
          <w:b/>
          <w:color w:val="auto"/>
          <w:szCs w:val="21"/>
          <w:highlight w:val="none"/>
        </w:rPr>
        <w:t>投标人应仔细阅读招标文件的所有内容，按照招标文件的要求提交投标文件，并对所提供的全部资料的真实性承担法律责任。</w:t>
      </w:r>
    </w:p>
    <w:p w14:paraId="281CA3C9">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8.</w:t>
      </w:r>
      <w:r>
        <w:rPr>
          <w:rFonts w:ascii="宋体" w:hAnsi="宋体"/>
          <w:b/>
          <w:color w:val="auto"/>
          <w:szCs w:val="21"/>
          <w:highlight w:val="none"/>
        </w:rPr>
        <w:t>3</w:t>
      </w:r>
      <w:r>
        <w:rPr>
          <w:rFonts w:hint="eastAsia" w:ascii="宋体" w:hAnsi="宋体"/>
          <w:b/>
          <w:color w:val="auto"/>
          <w:szCs w:val="21"/>
          <w:highlight w:val="none"/>
        </w:rPr>
        <w:t>投标人在投标活动中提供任何虚假材料，将报监管部门查处；中标后发现的，中标人须依照《中华人民共和国消费者权益保护法》规定赔偿采购人，且民事赔偿并不免除违法投标人的行政与刑事责任。</w:t>
      </w:r>
    </w:p>
    <w:p w14:paraId="5ABF71C0">
      <w:pPr>
        <w:spacing w:line="360" w:lineRule="auto"/>
        <w:ind w:firstLine="480" w:firstLineChars="200"/>
        <w:rPr>
          <w:rFonts w:ascii="黑体" w:hAnsi="黑体" w:eastAsia="黑体"/>
          <w:color w:val="auto"/>
          <w:sz w:val="24"/>
          <w:highlight w:val="none"/>
        </w:rPr>
      </w:pPr>
      <w:r>
        <w:rPr>
          <w:rFonts w:ascii="黑体" w:hAnsi="黑体" w:eastAsia="黑体"/>
          <w:color w:val="auto"/>
          <w:sz w:val="24"/>
          <w:highlight w:val="none"/>
        </w:rPr>
        <w:t>9.</w:t>
      </w:r>
      <w:r>
        <w:rPr>
          <w:rFonts w:hint="eastAsia" w:ascii="黑体" w:hAnsi="黑体" w:eastAsia="黑体"/>
          <w:color w:val="auto"/>
          <w:sz w:val="24"/>
          <w:highlight w:val="none"/>
        </w:rPr>
        <w:t>回避与串通投标</w:t>
      </w:r>
    </w:p>
    <w:p w14:paraId="7F101B95">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9</w:t>
      </w:r>
      <w:r>
        <w:rPr>
          <w:rFonts w:ascii="宋体" w:hAnsi="宋体"/>
          <w:b/>
          <w:color w:val="auto"/>
          <w:szCs w:val="21"/>
          <w:highlight w:val="none"/>
        </w:rPr>
        <w:t>.1在政府采购活动中，采购人员及相关人员与</w:t>
      </w:r>
      <w:r>
        <w:rPr>
          <w:rFonts w:hint="eastAsia" w:ascii="宋体" w:hAnsi="宋体"/>
          <w:b/>
          <w:color w:val="auto"/>
          <w:szCs w:val="21"/>
          <w:highlight w:val="none"/>
        </w:rPr>
        <w:t>供应商</w:t>
      </w:r>
      <w:r>
        <w:rPr>
          <w:rFonts w:ascii="宋体" w:hAnsi="宋体"/>
          <w:b/>
          <w:color w:val="auto"/>
          <w:szCs w:val="21"/>
          <w:highlight w:val="none"/>
        </w:rPr>
        <w:t>有下列利害关系之一的，应当回避：</w:t>
      </w:r>
    </w:p>
    <w:p w14:paraId="1AD34198">
      <w:pPr>
        <w:spacing w:line="360" w:lineRule="auto"/>
        <w:ind w:firstLine="420" w:firstLineChars="200"/>
        <w:rPr>
          <w:rFonts w:hAnsi="宋体"/>
          <w:color w:val="auto"/>
          <w:highlight w:val="none"/>
        </w:rPr>
      </w:pPr>
      <w:r>
        <w:rPr>
          <w:rFonts w:hAnsi="宋体"/>
          <w:color w:val="auto"/>
          <w:highlight w:val="none"/>
        </w:rPr>
        <w:t>（</w:t>
      </w:r>
      <w:r>
        <w:rPr>
          <w:rFonts w:hint="eastAsia" w:hAnsi="宋体"/>
          <w:color w:val="auto"/>
          <w:highlight w:val="none"/>
        </w:rPr>
        <w:t>1</w:t>
      </w:r>
      <w:r>
        <w:rPr>
          <w:rFonts w:hAnsi="宋体"/>
          <w:color w:val="auto"/>
          <w:highlight w:val="none"/>
        </w:rPr>
        <w:t>）参加采购活动前3年内与</w:t>
      </w:r>
      <w:r>
        <w:rPr>
          <w:rFonts w:hint="eastAsia" w:hAnsi="宋体"/>
          <w:color w:val="auto"/>
          <w:highlight w:val="none"/>
        </w:rPr>
        <w:t>供应商</w:t>
      </w:r>
      <w:r>
        <w:rPr>
          <w:rFonts w:hAnsi="宋体"/>
          <w:color w:val="auto"/>
          <w:highlight w:val="none"/>
        </w:rPr>
        <w:t>存在劳动关系；</w:t>
      </w:r>
    </w:p>
    <w:p w14:paraId="09FA2873">
      <w:pPr>
        <w:spacing w:line="360" w:lineRule="auto"/>
        <w:ind w:firstLine="420" w:firstLineChars="200"/>
        <w:rPr>
          <w:rFonts w:hAnsi="宋体"/>
          <w:color w:val="auto"/>
          <w:highlight w:val="none"/>
        </w:rPr>
      </w:pPr>
      <w:r>
        <w:rPr>
          <w:rFonts w:hAnsi="宋体"/>
          <w:color w:val="auto"/>
          <w:highlight w:val="none"/>
        </w:rPr>
        <w:t>（</w:t>
      </w:r>
      <w:r>
        <w:rPr>
          <w:rFonts w:hint="eastAsia" w:hAnsi="宋体"/>
          <w:color w:val="auto"/>
          <w:highlight w:val="none"/>
        </w:rPr>
        <w:t>2</w:t>
      </w:r>
      <w:r>
        <w:rPr>
          <w:rFonts w:hAnsi="宋体"/>
          <w:color w:val="auto"/>
          <w:highlight w:val="none"/>
        </w:rPr>
        <w:t>）参加采购活动前3年内担任</w:t>
      </w:r>
      <w:r>
        <w:rPr>
          <w:rFonts w:hint="eastAsia" w:hAnsi="宋体"/>
          <w:color w:val="auto"/>
          <w:highlight w:val="none"/>
        </w:rPr>
        <w:t>供应商</w:t>
      </w:r>
      <w:r>
        <w:rPr>
          <w:rFonts w:hAnsi="宋体"/>
          <w:color w:val="auto"/>
          <w:highlight w:val="none"/>
        </w:rPr>
        <w:t>的董事、监事；</w:t>
      </w:r>
    </w:p>
    <w:p w14:paraId="686A50EA">
      <w:pPr>
        <w:spacing w:line="360" w:lineRule="auto"/>
        <w:ind w:firstLine="420" w:firstLineChars="200"/>
        <w:rPr>
          <w:rFonts w:hAnsi="宋体"/>
          <w:color w:val="auto"/>
          <w:highlight w:val="none"/>
        </w:rPr>
      </w:pPr>
      <w:r>
        <w:rPr>
          <w:rFonts w:hAnsi="宋体"/>
          <w:color w:val="auto"/>
          <w:highlight w:val="none"/>
        </w:rPr>
        <w:t>（</w:t>
      </w:r>
      <w:r>
        <w:rPr>
          <w:rFonts w:hint="eastAsia" w:hAnsi="宋体"/>
          <w:color w:val="auto"/>
          <w:highlight w:val="none"/>
        </w:rPr>
        <w:t>3</w:t>
      </w:r>
      <w:r>
        <w:rPr>
          <w:rFonts w:hAnsi="宋体"/>
          <w:color w:val="auto"/>
          <w:highlight w:val="none"/>
        </w:rPr>
        <w:t>）参加采购活动前3年内是</w:t>
      </w:r>
      <w:r>
        <w:rPr>
          <w:rFonts w:hint="eastAsia" w:hAnsi="宋体"/>
          <w:color w:val="auto"/>
          <w:highlight w:val="none"/>
        </w:rPr>
        <w:t>供应商</w:t>
      </w:r>
      <w:r>
        <w:rPr>
          <w:rFonts w:hAnsi="宋体"/>
          <w:color w:val="auto"/>
          <w:highlight w:val="none"/>
        </w:rPr>
        <w:t>的控股股东或者实际控制人；</w:t>
      </w:r>
    </w:p>
    <w:p w14:paraId="2D04E5B7">
      <w:pPr>
        <w:spacing w:line="360" w:lineRule="auto"/>
        <w:ind w:firstLine="420" w:firstLineChars="200"/>
        <w:rPr>
          <w:rFonts w:hAnsi="宋体"/>
          <w:color w:val="auto"/>
          <w:highlight w:val="none"/>
        </w:rPr>
      </w:pPr>
      <w:r>
        <w:rPr>
          <w:rFonts w:hAnsi="宋体"/>
          <w:color w:val="auto"/>
          <w:highlight w:val="none"/>
        </w:rPr>
        <w:t>（</w:t>
      </w:r>
      <w:r>
        <w:rPr>
          <w:rFonts w:hint="eastAsia" w:hAnsi="宋体"/>
          <w:color w:val="auto"/>
          <w:highlight w:val="none"/>
        </w:rPr>
        <w:t>4</w:t>
      </w:r>
      <w:r>
        <w:rPr>
          <w:rFonts w:hAnsi="宋体"/>
          <w:color w:val="auto"/>
          <w:highlight w:val="none"/>
        </w:rPr>
        <w:t>）与</w:t>
      </w:r>
      <w:r>
        <w:rPr>
          <w:rFonts w:hint="eastAsia" w:hAnsi="宋体"/>
          <w:color w:val="auto"/>
          <w:highlight w:val="none"/>
        </w:rPr>
        <w:t>供应商</w:t>
      </w:r>
      <w:r>
        <w:rPr>
          <w:rFonts w:hAnsi="宋体"/>
          <w:color w:val="auto"/>
          <w:highlight w:val="none"/>
        </w:rPr>
        <w:t>的法定代表人或者负责人有夫妻、直系血亲、三代以内旁系血亲或者近姻亲关系；</w:t>
      </w:r>
    </w:p>
    <w:p w14:paraId="12FDF5B8">
      <w:pPr>
        <w:spacing w:line="360" w:lineRule="auto"/>
        <w:ind w:firstLine="420" w:firstLineChars="200"/>
        <w:rPr>
          <w:rFonts w:hAnsi="宋体"/>
          <w:color w:val="auto"/>
          <w:highlight w:val="none"/>
        </w:rPr>
      </w:pPr>
      <w:r>
        <w:rPr>
          <w:rFonts w:hAnsi="宋体"/>
          <w:color w:val="auto"/>
          <w:highlight w:val="none"/>
        </w:rPr>
        <w:t>（</w:t>
      </w:r>
      <w:r>
        <w:rPr>
          <w:rFonts w:hint="eastAsia" w:hAnsi="宋体"/>
          <w:color w:val="auto"/>
          <w:highlight w:val="none"/>
        </w:rPr>
        <w:t>5</w:t>
      </w:r>
      <w:r>
        <w:rPr>
          <w:rFonts w:hAnsi="宋体"/>
          <w:color w:val="auto"/>
          <w:highlight w:val="none"/>
        </w:rPr>
        <w:t>）与</w:t>
      </w:r>
      <w:r>
        <w:rPr>
          <w:rFonts w:hint="eastAsia" w:hAnsi="宋体"/>
          <w:color w:val="auto"/>
          <w:highlight w:val="none"/>
        </w:rPr>
        <w:t>供应商</w:t>
      </w:r>
      <w:r>
        <w:rPr>
          <w:rFonts w:hAnsi="宋体"/>
          <w:color w:val="auto"/>
          <w:highlight w:val="none"/>
        </w:rPr>
        <w:t>有其他可能影响政府采购活动公平、公正进行的关系。</w:t>
      </w:r>
    </w:p>
    <w:p w14:paraId="2F18BBA0">
      <w:pPr>
        <w:spacing w:line="360" w:lineRule="auto"/>
        <w:ind w:firstLine="420" w:firstLineChars="200"/>
        <w:rPr>
          <w:rFonts w:hAnsi="宋体"/>
          <w:color w:val="auto"/>
          <w:highlight w:val="none"/>
        </w:rPr>
      </w:pPr>
      <w:r>
        <w:rPr>
          <w:rFonts w:hint="eastAsia" w:hAnsi="宋体"/>
          <w:color w:val="auto"/>
          <w:highlight w:val="none"/>
        </w:rPr>
        <w:t>供应商</w:t>
      </w:r>
      <w:r>
        <w:rPr>
          <w:rFonts w:hAnsi="宋体"/>
          <w:color w:val="auto"/>
          <w:highlight w:val="none"/>
        </w:rPr>
        <w:t>认为采购人员及相关人员与其他</w:t>
      </w:r>
      <w:r>
        <w:rPr>
          <w:rFonts w:hint="eastAsia" w:hAnsi="宋体"/>
          <w:color w:val="auto"/>
          <w:highlight w:val="none"/>
        </w:rPr>
        <w:t>供应商</w:t>
      </w:r>
      <w:r>
        <w:rPr>
          <w:rFonts w:hAnsi="宋体"/>
          <w:color w:val="auto"/>
          <w:highlight w:val="none"/>
        </w:rPr>
        <w:t>有利害关系的，可以向采购人或者采购代理机构书面提出回避申请，并说明理由。采购人或者采购代理机构应当及时询问被申请回避人员，有利害关系的被申请回避人员应当回避。</w:t>
      </w:r>
    </w:p>
    <w:p w14:paraId="57A68AAC">
      <w:pPr>
        <w:spacing w:line="360" w:lineRule="auto"/>
        <w:ind w:firstLine="420" w:firstLineChars="200"/>
        <w:rPr>
          <w:rFonts w:ascii="宋体" w:hAnsi="宋体"/>
          <w:color w:val="auto"/>
          <w:szCs w:val="21"/>
          <w:highlight w:val="none"/>
        </w:rPr>
      </w:pPr>
      <w:r>
        <w:rPr>
          <w:rFonts w:ascii="宋体" w:hAnsi="宋体"/>
          <w:color w:val="auto"/>
          <w:szCs w:val="21"/>
          <w:highlight w:val="none"/>
        </w:rPr>
        <w:t>9.2</w:t>
      </w:r>
      <w:r>
        <w:rPr>
          <w:rFonts w:hint="eastAsia" w:ascii="宋体" w:hAnsi="宋体"/>
          <w:color w:val="auto"/>
          <w:szCs w:val="21"/>
          <w:highlight w:val="none"/>
        </w:rPr>
        <w:t>有下列情形之一的视为投标人相互串通投标，投标文件将被视为无效：</w:t>
      </w:r>
    </w:p>
    <w:p w14:paraId="083D37F2">
      <w:pPr>
        <w:spacing w:line="360" w:lineRule="auto"/>
        <w:ind w:firstLine="422" w:firstLineChars="200"/>
        <w:rPr>
          <w:rFonts w:hAnsi="宋体"/>
          <w:b/>
          <w:color w:val="auto"/>
          <w:highlight w:val="none"/>
        </w:rPr>
      </w:pPr>
      <w:r>
        <w:rPr>
          <w:rFonts w:hint="eastAsia" w:hAnsi="宋体"/>
          <w:b/>
          <w:color w:val="auto"/>
          <w:highlight w:val="none"/>
        </w:rPr>
        <w:t>（1）不同投标人的投标文件由同一单位或者个人编制；或者不同投标人报名的IP地址一致的；或者不同投标人报名的IP地址一致的；或者编制标书硬件设备CPU编号、硬盘编号、网卡地址一致的情况。</w:t>
      </w:r>
    </w:p>
    <w:p w14:paraId="40E2DF60">
      <w:pPr>
        <w:spacing w:line="360" w:lineRule="auto"/>
        <w:ind w:firstLine="422" w:firstLineChars="200"/>
        <w:rPr>
          <w:rFonts w:hAnsi="宋体"/>
          <w:b/>
          <w:color w:val="auto"/>
          <w:highlight w:val="none"/>
        </w:rPr>
      </w:pPr>
      <w:r>
        <w:rPr>
          <w:rFonts w:hint="eastAsia" w:hAnsi="宋体"/>
          <w:b/>
          <w:color w:val="auto"/>
          <w:highlight w:val="none"/>
        </w:rPr>
        <w:t>（2）不同投标人委托同一单位或者个人办理投标事宜；</w:t>
      </w:r>
    </w:p>
    <w:p w14:paraId="04EF320D">
      <w:pPr>
        <w:spacing w:line="360" w:lineRule="auto"/>
        <w:ind w:firstLine="422" w:firstLineChars="200"/>
        <w:rPr>
          <w:rFonts w:hAnsi="宋体"/>
          <w:b/>
          <w:color w:val="auto"/>
          <w:highlight w:val="none"/>
        </w:rPr>
      </w:pPr>
      <w:r>
        <w:rPr>
          <w:rFonts w:hint="eastAsia" w:hAnsi="宋体"/>
          <w:b/>
          <w:color w:val="auto"/>
          <w:highlight w:val="none"/>
        </w:rPr>
        <w:t>（3）不同的投标人的投标文件载明的项目管理员为同一个人；</w:t>
      </w:r>
    </w:p>
    <w:p w14:paraId="6A4901FC">
      <w:pPr>
        <w:spacing w:line="360" w:lineRule="auto"/>
        <w:ind w:firstLine="422" w:firstLineChars="200"/>
        <w:rPr>
          <w:rFonts w:hAnsi="宋体"/>
          <w:b/>
          <w:color w:val="auto"/>
          <w:highlight w:val="none"/>
        </w:rPr>
      </w:pPr>
      <w:r>
        <w:rPr>
          <w:rFonts w:hint="eastAsia" w:hAnsi="宋体"/>
          <w:b/>
          <w:color w:val="auto"/>
          <w:highlight w:val="none"/>
        </w:rPr>
        <w:t>（4）不同投标人的电子或纸质投标文件异常一致或者投标报价呈规律性差异；</w:t>
      </w:r>
    </w:p>
    <w:p w14:paraId="0763A621">
      <w:pPr>
        <w:spacing w:line="360" w:lineRule="auto"/>
        <w:ind w:firstLine="422" w:firstLineChars="200"/>
        <w:rPr>
          <w:rFonts w:hAnsi="宋体"/>
          <w:b/>
          <w:color w:val="auto"/>
          <w:highlight w:val="none"/>
        </w:rPr>
      </w:pPr>
      <w:r>
        <w:rPr>
          <w:rFonts w:hint="eastAsia" w:hAnsi="宋体"/>
          <w:b/>
          <w:color w:val="auto"/>
          <w:highlight w:val="none"/>
        </w:rPr>
        <w:t>（5）不同投标人的纸质投标文件相互混装；</w:t>
      </w:r>
    </w:p>
    <w:p w14:paraId="7A48F769">
      <w:pPr>
        <w:spacing w:line="360" w:lineRule="auto"/>
        <w:ind w:firstLine="420" w:firstLineChars="200"/>
        <w:rPr>
          <w:rFonts w:ascii="宋体" w:hAnsi="宋体"/>
          <w:color w:val="auto"/>
          <w:szCs w:val="21"/>
          <w:highlight w:val="none"/>
        </w:rPr>
      </w:pPr>
      <w:r>
        <w:rPr>
          <w:rFonts w:ascii="宋体" w:hAnsi="宋体"/>
          <w:color w:val="auto"/>
          <w:szCs w:val="21"/>
          <w:highlight w:val="none"/>
        </w:rPr>
        <w:t>9.3</w:t>
      </w:r>
      <w:r>
        <w:rPr>
          <w:rFonts w:hint="eastAsia" w:ascii="宋体" w:hAnsi="宋体"/>
          <w:color w:val="auto"/>
          <w:szCs w:val="21"/>
          <w:highlight w:val="none"/>
        </w:rPr>
        <w:t>供应商有下列情形之一的，属于恶意串通行为，将报同级监督管理部门：</w:t>
      </w:r>
    </w:p>
    <w:p w14:paraId="6E5C1EF9">
      <w:pPr>
        <w:spacing w:line="360" w:lineRule="auto"/>
        <w:ind w:firstLine="420" w:firstLineChars="200"/>
        <w:rPr>
          <w:rFonts w:hAnsi="宋体"/>
          <w:color w:val="auto"/>
          <w:highlight w:val="none"/>
        </w:rPr>
      </w:pPr>
      <w:r>
        <w:rPr>
          <w:rFonts w:hint="eastAsia" w:hAnsi="宋体"/>
          <w:color w:val="auto"/>
          <w:highlight w:val="none"/>
        </w:rPr>
        <w:t>（1）供应商直接或者间接从采购人或者采购代理机构处获得其他供应商的相关信息并修改其投标文件或者投标文件；</w:t>
      </w:r>
    </w:p>
    <w:p w14:paraId="06E3736E">
      <w:pPr>
        <w:spacing w:line="360" w:lineRule="auto"/>
        <w:ind w:firstLine="420" w:firstLineChars="200"/>
        <w:rPr>
          <w:rFonts w:hAnsi="宋体"/>
          <w:color w:val="auto"/>
          <w:highlight w:val="none"/>
        </w:rPr>
      </w:pPr>
      <w:r>
        <w:rPr>
          <w:rFonts w:hint="eastAsia" w:hAnsi="宋体"/>
          <w:color w:val="auto"/>
          <w:highlight w:val="none"/>
        </w:rPr>
        <w:t>（2）供应商按照采购人或者采购代理机构的授意撤换、修改投标文件或者投标文件；</w:t>
      </w:r>
    </w:p>
    <w:p w14:paraId="6202D9F0">
      <w:pPr>
        <w:spacing w:line="360" w:lineRule="auto"/>
        <w:ind w:firstLine="420" w:firstLineChars="200"/>
        <w:rPr>
          <w:rFonts w:hAnsi="宋体"/>
          <w:color w:val="auto"/>
          <w:highlight w:val="none"/>
        </w:rPr>
      </w:pPr>
      <w:r>
        <w:rPr>
          <w:rFonts w:hint="eastAsia" w:hAnsi="宋体"/>
          <w:color w:val="auto"/>
          <w:highlight w:val="none"/>
        </w:rPr>
        <w:t>（3）供应商之间协商报价、技术方案等投标文件或者投标文件的实质性内容；</w:t>
      </w:r>
    </w:p>
    <w:p w14:paraId="4C232655">
      <w:pPr>
        <w:spacing w:line="360" w:lineRule="auto"/>
        <w:ind w:firstLine="420" w:firstLineChars="200"/>
        <w:rPr>
          <w:rFonts w:hAnsi="宋体"/>
          <w:color w:val="auto"/>
          <w:highlight w:val="none"/>
        </w:rPr>
      </w:pPr>
      <w:r>
        <w:rPr>
          <w:rFonts w:hint="eastAsia" w:hAnsi="宋体"/>
          <w:color w:val="auto"/>
          <w:highlight w:val="none"/>
        </w:rPr>
        <w:t>（4）属于同一集团、协会、商会等组织成员的供应商按照该组织要求协同参加政府采购活动；</w:t>
      </w:r>
    </w:p>
    <w:p w14:paraId="2E0FBF26">
      <w:pPr>
        <w:spacing w:line="360" w:lineRule="auto"/>
        <w:ind w:firstLine="420" w:firstLineChars="200"/>
        <w:rPr>
          <w:rFonts w:hAnsi="宋体"/>
          <w:color w:val="auto"/>
          <w:highlight w:val="none"/>
        </w:rPr>
      </w:pPr>
      <w:r>
        <w:rPr>
          <w:rFonts w:hint="eastAsia" w:hAnsi="宋体"/>
          <w:color w:val="auto"/>
          <w:highlight w:val="none"/>
        </w:rPr>
        <w:t>（5）供应商之间事先约定一致抬高或者压低投标报价，或者在招标项目中事先约定轮流以高价位或者低价位中标，或者事先约定由某一特定供应商中标，然后再参加投标；</w:t>
      </w:r>
    </w:p>
    <w:p w14:paraId="0DADAD44">
      <w:pPr>
        <w:spacing w:line="360" w:lineRule="auto"/>
        <w:ind w:firstLine="420" w:firstLineChars="200"/>
        <w:rPr>
          <w:rFonts w:hAnsi="宋体"/>
          <w:color w:val="auto"/>
          <w:highlight w:val="none"/>
        </w:rPr>
      </w:pPr>
      <w:r>
        <w:rPr>
          <w:rFonts w:hint="eastAsia" w:hAnsi="宋体"/>
          <w:color w:val="auto"/>
          <w:highlight w:val="none"/>
        </w:rPr>
        <w:t>（6）供应商之间商定部分供应商放弃参加政府采购活动或者放弃中标；</w:t>
      </w:r>
    </w:p>
    <w:p w14:paraId="1E5240A6">
      <w:pPr>
        <w:spacing w:line="360" w:lineRule="auto"/>
        <w:ind w:firstLine="420" w:firstLineChars="200"/>
        <w:rPr>
          <w:rFonts w:hAnsi="宋体"/>
          <w:color w:val="auto"/>
          <w:highlight w:val="none"/>
        </w:rPr>
      </w:pPr>
      <w:r>
        <w:rPr>
          <w:rFonts w:hint="eastAsia" w:hAnsi="宋体"/>
          <w:color w:val="auto"/>
          <w:highlight w:val="none"/>
        </w:rPr>
        <w:t>（7）供应商与采购人或者采购代理机构之间、供应商相互之间，为谋求特定供应商中标或者排斥其他供应商的其他串通行为。</w:t>
      </w:r>
    </w:p>
    <w:p w14:paraId="4B958631">
      <w:pPr>
        <w:pStyle w:val="13"/>
        <w:snapToGrid w:val="0"/>
        <w:spacing w:line="360" w:lineRule="auto"/>
        <w:ind w:left="2" w:leftChars="1" w:firstLine="422" w:firstLineChars="200"/>
        <w:rPr>
          <w:rFonts w:hAnsi="宋体"/>
          <w:b/>
          <w:color w:val="auto"/>
          <w:highlight w:val="none"/>
        </w:rPr>
      </w:pPr>
    </w:p>
    <w:p w14:paraId="2C5346E7">
      <w:pPr>
        <w:pStyle w:val="4"/>
        <w:keepNext w:val="0"/>
        <w:keepLines w:val="0"/>
        <w:spacing w:line="400" w:lineRule="exact"/>
        <w:jc w:val="center"/>
        <w:rPr>
          <w:color w:val="auto"/>
          <w:highlight w:val="none"/>
        </w:rPr>
      </w:pPr>
      <w:bookmarkStart w:id="89" w:name="_Toc254970675"/>
      <w:bookmarkStart w:id="90" w:name="_Toc89075995"/>
      <w:bookmarkStart w:id="91" w:name="_Toc254970534"/>
      <w:r>
        <w:rPr>
          <w:rFonts w:hint="eastAsia"/>
          <w:color w:val="auto"/>
          <w:highlight w:val="none"/>
        </w:rPr>
        <w:t>二、招标文件</w:t>
      </w:r>
      <w:bookmarkEnd w:id="89"/>
      <w:bookmarkEnd w:id="90"/>
      <w:bookmarkEnd w:id="91"/>
    </w:p>
    <w:p w14:paraId="779595AF">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10.招标文件的组成</w:t>
      </w:r>
    </w:p>
    <w:p w14:paraId="14A7070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第一章 招标公告；</w:t>
      </w:r>
    </w:p>
    <w:p w14:paraId="7CD33C2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第二章 采购需求； </w:t>
      </w:r>
    </w:p>
    <w:p w14:paraId="5B53326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第三章 投标人须知；</w:t>
      </w:r>
    </w:p>
    <w:p w14:paraId="73DA0C7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第四章 评标方法及评标标准；</w:t>
      </w:r>
    </w:p>
    <w:p w14:paraId="5ADC0AA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第五章 拟签订的合同文本；</w:t>
      </w:r>
    </w:p>
    <w:p w14:paraId="2C67F18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第六章 投标文件格式；</w:t>
      </w:r>
    </w:p>
    <w:p w14:paraId="1593D28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第七章 质疑、投诉材料格式</w:t>
      </w:r>
    </w:p>
    <w:p w14:paraId="564605A7">
      <w:pPr>
        <w:spacing w:line="360" w:lineRule="auto"/>
        <w:ind w:firstLine="420" w:firstLineChars="200"/>
        <w:rPr>
          <w:rFonts w:hAnsi="宋体"/>
          <w:color w:val="auto"/>
          <w:highlight w:val="none"/>
        </w:rPr>
      </w:pPr>
      <w:r>
        <w:rPr>
          <w:rFonts w:hint="eastAsia" w:hAnsi="宋体"/>
          <w:color w:val="auto"/>
          <w:highlight w:val="none"/>
        </w:rPr>
        <w:t>根据本章第11.1项的规定对公开招标文件所做的澄清、修改，构成招标文件的组成部分。当公开招标文件与招标文件的澄清和修改就同一内容的表述不一致时，</w:t>
      </w:r>
      <w:r>
        <w:rPr>
          <w:rFonts w:hint="eastAsia"/>
          <w:color w:val="auto"/>
          <w:highlight w:val="none"/>
        </w:rPr>
        <w:t>以最后澄清或修改公告为准。</w:t>
      </w:r>
    </w:p>
    <w:p w14:paraId="13604A57">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11.招标文件的澄清、修改 、现场考察和答疑会</w:t>
      </w:r>
    </w:p>
    <w:p w14:paraId="0803AB7B">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714F2F5F">
      <w:pPr>
        <w:spacing w:line="360" w:lineRule="auto"/>
        <w:ind w:firstLine="420" w:firstLineChars="200"/>
        <w:rPr>
          <w:rFonts w:hAnsi="宋体"/>
          <w:color w:val="auto"/>
          <w:highlight w:val="none"/>
        </w:rPr>
      </w:pPr>
      <w:r>
        <w:rPr>
          <w:rFonts w:hint="eastAsia" w:hAnsi="宋体"/>
          <w:color w:val="auto"/>
          <w:highlight w:val="none"/>
        </w:rPr>
        <w:t>11.2 投标人应认真审阅本公开招标文件，如有疑问，或发现其中有误或有要求不合理的，应在投标人须知前附表规定的</w:t>
      </w:r>
      <w:r>
        <w:rPr>
          <w:rFonts w:hint="eastAsia" w:cs="宋体"/>
          <w:color w:val="auto"/>
          <w:kern w:val="0"/>
          <w:szCs w:val="21"/>
          <w:highlight w:val="none"/>
        </w:rPr>
        <w:t>投标截止时间</w:t>
      </w:r>
      <w:r>
        <w:rPr>
          <w:rFonts w:hint="eastAsia" w:hAnsi="宋体"/>
          <w:color w:val="auto"/>
          <w:highlight w:val="none"/>
        </w:rPr>
        <w:t>前以书面形式要求采购人或采购代理机构对招标文件予以澄清；否则，由此产生的后果由投标人自行负责。</w:t>
      </w:r>
    </w:p>
    <w:p w14:paraId="67B3A5A6">
      <w:pPr>
        <w:spacing w:line="360" w:lineRule="auto"/>
        <w:ind w:firstLine="420" w:firstLineChars="200"/>
        <w:rPr>
          <w:color w:val="auto"/>
          <w:highlight w:val="none"/>
        </w:rPr>
      </w:pPr>
      <w:r>
        <w:rPr>
          <w:rFonts w:hint="eastAsia" w:hAnsi="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Ansi="宋体"/>
          <w:color w:val="auto"/>
          <w:szCs w:val="21"/>
          <w:highlight w:val="none"/>
        </w:rPr>
        <w:t>投标人须知前附表”</w:t>
      </w:r>
      <w:r>
        <w:rPr>
          <w:rFonts w:hint="eastAsia" w:hAnsi="宋体"/>
          <w:color w:val="auto"/>
          <w:highlight w:val="none"/>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25D36E35">
      <w:pPr>
        <w:spacing w:line="360" w:lineRule="auto"/>
        <w:ind w:firstLine="420" w:firstLineChars="200"/>
        <w:rPr>
          <w:color w:val="auto"/>
          <w:highlight w:val="none"/>
        </w:rPr>
      </w:pPr>
      <w:r>
        <w:rPr>
          <w:rFonts w:hint="eastAsia" w:hAnsi="宋体"/>
          <w:color w:val="auto"/>
          <w:highlight w:val="none"/>
        </w:rPr>
        <w:t xml:space="preserve">11.4 </w:t>
      </w:r>
      <w:r>
        <w:rPr>
          <w:rFonts w:hint="eastAsia"/>
          <w:color w:val="auto"/>
          <w:highlight w:val="none"/>
        </w:rPr>
        <w:t>采购人和采购代理机构可以视采购具体情况，变更投标截止时间和开标时间，将变更时间将在</w:t>
      </w:r>
      <w:r>
        <w:rPr>
          <w:rFonts w:hint="eastAsia" w:hAnsi="宋体"/>
          <w:color w:val="auto"/>
          <w:highlight w:val="none"/>
        </w:rPr>
        <w:t>“</w:t>
      </w:r>
      <w:r>
        <w:rPr>
          <w:rFonts w:hAnsi="宋体"/>
          <w:color w:val="auto"/>
          <w:szCs w:val="21"/>
          <w:highlight w:val="none"/>
        </w:rPr>
        <w:t>投标人须知前附表”</w:t>
      </w:r>
      <w:r>
        <w:rPr>
          <w:rFonts w:hint="eastAsia" w:cs="宋体"/>
          <w:color w:val="auto"/>
          <w:kern w:val="0"/>
          <w:szCs w:val="21"/>
          <w:highlight w:val="none"/>
        </w:rPr>
        <w:t>规定的政府采购信息发布媒体上</w:t>
      </w:r>
      <w:r>
        <w:rPr>
          <w:rFonts w:hint="eastAsia"/>
          <w:color w:val="auto"/>
          <w:highlight w:val="none"/>
        </w:rPr>
        <w:t>发布更正公告。</w:t>
      </w:r>
    </w:p>
    <w:p w14:paraId="06C61697">
      <w:pPr>
        <w:spacing w:line="360" w:lineRule="auto"/>
        <w:ind w:firstLine="420" w:firstLineChars="200"/>
        <w:rPr>
          <w:rFonts w:hAnsi="宋体"/>
          <w:color w:val="auto"/>
          <w:highlight w:val="none"/>
        </w:rPr>
      </w:pPr>
      <w:r>
        <w:rPr>
          <w:rFonts w:hint="eastAsia" w:hAnsi="宋体"/>
          <w:color w:val="auto"/>
          <w:highlight w:val="none"/>
        </w:rPr>
        <w:t>1</w:t>
      </w:r>
      <w:r>
        <w:rPr>
          <w:rFonts w:hAnsi="宋体"/>
          <w:color w:val="auto"/>
          <w:highlight w:val="none"/>
        </w:rPr>
        <w:t>1.</w:t>
      </w:r>
      <w:bookmarkStart w:id="92" w:name="_Hlk53134511"/>
      <w:r>
        <w:rPr>
          <w:rFonts w:hint="eastAsia" w:hAnsi="宋体"/>
          <w:color w:val="auto"/>
          <w:highlight w:val="none"/>
        </w:rPr>
        <w:t>5采购人或者采购代理机构可以在招标文件提供期限截止后，组织已获取招标文件的潜在投标人现场考察或者召开开标前答疑会，具体详见“投标人须知前附表”。</w:t>
      </w:r>
    </w:p>
    <w:bookmarkEnd w:id="92"/>
    <w:p w14:paraId="18FF1CD8">
      <w:pPr>
        <w:pStyle w:val="4"/>
        <w:keepNext w:val="0"/>
        <w:keepLines w:val="0"/>
        <w:spacing w:line="400" w:lineRule="exact"/>
        <w:jc w:val="center"/>
        <w:rPr>
          <w:color w:val="auto"/>
          <w:highlight w:val="none"/>
        </w:rPr>
      </w:pPr>
      <w:bookmarkStart w:id="93" w:name="_Toc89075996"/>
      <w:bookmarkStart w:id="94" w:name="_Toc254970676"/>
      <w:bookmarkStart w:id="95" w:name="_Toc254970535"/>
      <w:r>
        <w:rPr>
          <w:rFonts w:hint="eastAsia"/>
          <w:color w:val="auto"/>
          <w:highlight w:val="none"/>
        </w:rPr>
        <w:t>三、投标文件的编制</w:t>
      </w:r>
      <w:bookmarkEnd w:id="93"/>
      <w:bookmarkEnd w:id="94"/>
      <w:bookmarkEnd w:id="95"/>
    </w:p>
    <w:p w14:paraId="2D722D83">
      <w:pPr>
        <w:spacing w:line="360" w:lineRule="auto"/>
        <w:ind w:firstLine="480" w:firstLineChars="200"/>
        <w:rPr>
          <w:rFonts w:ascii="黑体" w:hAnsi="黑体" w:eastAsia="黑体"/>
          <w:color w:val="auto"/>
          <w:sz w:val="24"/>
          <w:highlight w:val="none"/>
        </w:rPr>
      </w:pPr>
      <w:bookmarkStart w:id="96" w:name="_Toc254970677"/>
      <w:bookmarkStart w:id="97" w:name="_Toc254970536"/>
      <w:r>
        <w:rPr>
          <w:rFonts w:hint="eastAsia" w:ascii="黑体" w:hAnsi="黑体" w:eastAsia="黑体"/>
          <w:color w:val="auto"/>
          <w:sz w:val="24"/>
          <w:highlight w:val="none"/>
        </w:rPr>
        <w:t>12.投标文件的编制原则</w:t>
      </w:r>
    </w:p>
    <w:p w14:paraId="4DEB847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12.1</w:t>
      </w:r>
      <w:r>
        <w:rPr>
          <w:rFonts w:ascii="宋体" w:hAnsi="宋体"/>
          <w:color w:val="auto"/>
          <w:szCs w:val="21"/>
          <w:highlight w:val="none"/>
        </w:rPr>
        <w:t>投标人必须按照招标文件的要求编制投标文件。投标文件必须对招标文件提出的要求和条件作出明确响应。</w:t>
      </w:r>
    </w:p>
    <w:p w14:paraId="64D4324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247383D9">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13.投标文件的组成</w:t>
      </w:r>
      <w:bookmarkEnd w:id="96"/>
      <w:bookmarkEnd w:id="97"/>
    </w:p>
    <w:p w14:paraId="635E271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3.1</w:t>
      </w:r>
      <w:r>
        <w:rPr>
          <w:rFonts w:hint="eastAsia" w:ascii="宋体" w:hAnsi="宋体"/>
          <w:color w:val="auto"/>
          <w:szCs w:val="21"/>
          <w:highlight w:val="none"/>
        </w:rPr>
        <w:t>投标文件由报价文件、资格证明文件、商务文件、技术文件四部分组成。</w:t>
      </w:r>
    </w:p>
    <w:p w14:paraId="1D54068D">
      <w:pPr>
        <w:spacing w:line="360" w:lineRule="auto"/>
        <w:ind w:firstLine="420" w:firstLineChars="200"/>
        <w:rPr>
          <w:rFonts w:ascii="宋体" w:hAnsi="宋体"/>
          <w:bCs/>
          <w:color w:val="auto"/>
          <w:szCs w:val="21"/>
          <w:highlight w:val="none"/>
        </w:rPr>
      </w:pPr>
      <w:bookmarkStart w:id="98" w:name="_13.1报价文件:_具体材料见“投标人须知前附表”。"/>
      <w:bookmarkEnd w:id="98"/>
      <w:bookmarkStart w:id="99" w:name="_13.2资格证明文件：具体材料见“投标人须知前附表”。"/>
      <w:bookmarkEnd w:id="99"/>
      <w:r>
        <w:rPr>
          <w:rFonts w:hint="eastAsia" w:ascii="宋体" w:hAnsi="宋体"/>
          <w:bCs/>
          <w:color w:val="auto"/>
          <w:szCs w:val="21"/>
          <w:highlight w:val="none"/>
        </w:rPr>
        <w:t>（1）资格证明文件：</w:t>
      </w:r>
      <w:r>
        <w:rPr>
          <w:rFonts w:ascii="宋体" w:hAnsi="宋体"/>
          <w:bCs/>
          <w:color w:val="auto"/>
          <w:szCs w:val="21"/>
          <w:highlight w:val="none"/>
        </w:rPr>
        <w:t>具体材料见“投标人须知前附表”</w:t>
      </w:r>
      <w:r>
        <w:rPr>
          <w:rFonts w:hint="eastAsia" w:ascii="宋体" w:hAnsi="宋体"/>
          <w:bCs/>
          <w:color w:val="auto"/>
          <w:szCs w:val="21"/>
          <w:highlight w:val="none"/>
        </w:rPr>
        <w:t>。</w:t>
      </w:r>
    </w:p>
    <w:p w14:paraId="79F73267">
      <w:pPr>
        <w:spacing w:line="360" w:lineRule="auto"/>
        <w:ind w:firstLine="420" w:firstLineChars="200"/>
        <w:rPr>
          <w:rFonts w:ascii="宋体" w:hAnsi="宋体"/>
          <w:bCs/>
          <w:color w:val="auto"/>
          <w:szCs w:val="21"/>
          <w:highlight w:val="none"/>
        </w:rPr>
      </w:pPr>
      <w:bookmarkStart w:id="100" w:name="_13.3商务文件:_具体材料见“投标人须知前附表”。"/>
      <w:bookmarkEnd w:id="100"/>
      <w:r>
        <w:rPr>
          <w:rFonts w:hint="eastAsia" w:ascii="宋体" w:hAnsi="宋体"/>
          <w:bCs/>
          <w:color w:val="auto"/>
          <w:szCs w:val="21"/>
          <w:highlight w:val="none"/>
        </w:rPr>
        <w:t>（2）商务文件：</w:t>
      </w:r>
      <w:r>
        <w:rPr>
          <w:rFonts w:ascii="宋体" w:hAnsi="宋体"/>
          <w:bCs/>
          <w:color w:val="auto"/>
          <w:szCs w:val="21"/>
          <w:highlight w:val="none"/>
        </w:rPr>
        <w:t>具体材料见“投标人须知前附表”</w:t>
      </w:r>
      <w:r>
        <w:rPr>
          <w:rFonts w:hint="eastAsia" w:ascii="宋体" w:hAnsi="宋体"/>
          <w:bCs/>
          <w:color w:val="auto"/>
          <w:szCs w:val="21"/>
          <w:highlight w:val="none"/>
        </w:rPr>
        <w:t>。</w:t>
      </w:r>
    </w:p>
    <w:p w14:paraId="505924AE">
      <w:pPr>
        <w:spacing w:line="360" w:lineRule="auto"/>
        <w:ind w:firstLine="420" w:firstLineChars="200"/>
        <w:rPr>
          <w:rFonts w:ascii="宋体" w:hAnsi="宋体"/>
          <w:bCs/>
          <w:color w:val="auto"/>
          <w:szCs w:val="21"/>
          <w:highlight w:val="none"/>
        </w:rPr>
      </w:pPr>
      <w:bookmarkStart w:id="101" w:name="_13.4技术文件：具体材料见“投标人须知前附表”。"/>
      <w:bookmarkEnd w:id="101"/>
      <w:r>
        <w:rPr>
          <w:rFonts w:hint="eastAsia" w:ascii="宋体" w:hAnsi="宋体"/>
          <w:bCs/>
          <w:color w:val="auto"/>
          <w:szCs w:val="21"/>
          <w:highlight w:val="none"/>
        </w:rPr>
        <w:t>（3）技术文件：</w:t>
      </w:r>
      <w:r>
        <w:rPr>
          <w:rFonts w:ascii="宋体" w:hAnsi="宋体"/>
          <w:bCs/>
          <w:color w:val="auto"/>
          <w:szCs w:val="21"/>
          <w:highlight w:val="none"/>
        </w:rPr>
        <w:t>具体材料见“投标人须知前附表”</w:t>
      </w:r>
      <w:r>
        <w:rPr>
          <w:rFonts w:hint="eastAsia" w:ascii="宋体" w:hAnsi="宋体"/>
          <w:bCs/>
          <w:color w:val="auto"/>
          <w:szCs w:val="21"/>
          <w:highlight w:val="none"/>
        </w:rPr>
        <w:t xml:space="preserve">。 </w:t>
      </w:r>
    </w:p>
    <w:p w14:paraId="6E524672">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（4）报价文件：</w:t>
      </w:r>
      <w:r>
        <w:rPr>
          <w:rFonts w:ascii="宋体" w:hAnsi="宋体"/>
          <w:bCs/>
          <w:color w:val="auto"/>
          <w:szCs w:val="21"/>
          <w:highlight w:val="none"/>
        </w:rPr>
        <w:t xml:space="preserve"> 具体材料见“投标人须知前附表”</w:t>
      </w:r>
      <w:r>
        <w:rPr>
          <w:rFonts w:hint="eastAsia" w:ascii="宋体" w:hAnsi="宋体"/>
          <w:bCs/>
          <w:color w:val="auto"/>
          <w:szCs w:val="21"/>
          <w:highlight w:val="none"/>
        </w:rPr>
        <w:t>。</w:t>
      </w:r>
    </w:p>
    <w:p w14:paraId="62F5AD2C">
      <w:pPr>
        <w:spacing w:line="360" w:lineRule="auto"/>
        <w:ind w:firstLine="420" w:firstLineChars="200"/>
        <w:rPr>
          <w:rFonts w:ascii="宋体" w:hAnsi="宋体"/>
          <w:bCs/>
          <w:color w:val="auto"/>
          <w:szCs w:val="21"/>
          <w:highlight w:val="none"/>
        </w:rPr>
      </w:pPr>
      <w:bookmarkStart w:id="102" w:name="_13.5投标文件电子版：具体材料见“投标人须知前附表”。"/>
      <w:bookmarkEnd w:id="102"/>
      <w:r>
        <w:rPr>
          <w:rFonts w:hint="eastAsia" w:ascii="宋体" w:hAnsi="宋体"/>
          <w:bCs/>
          <w:color w:val="auto"/>
          <w:szCs w:val="21"/>
          <w:highlight w:val="none"/>
        </w:rPr>
        <w:t>13.</w:t>
      </w:r>
      <w:r>
        <w:rPr>
          <w:rFonts w:ascii="宋体" w:hAnsi="宋体"/>
          <w:bCs/>
          <w:color w:val="auto"/>
          <w:szCs w:val="21"/>
          <w:highlight w:val="none"/>
        </w:rPr>
        <w:t>2</w:t>
      </w:r>
      <w:r>
        <w:rPr>
          <w:rFonts w:hint="eastAsia" w:ascii="宋体" w:hAnsi="宋体"/>
          <w:bCs/>
          <w:color w:val="auto"/>
          <w:szCs w:val="21"/>
          <w:highlight w:val="none"/>
        </w:rPr>
        <w:t>投标文件电子版：</w:t>
      </w:r>
      <w:r>
        <w:rPr>
          <w:rFonts w:ascii="宋体" w:hAnsi="宋体"/>
          <w:bCs/>
          <w:color w:val="auto"/>
          <w:szCs w:val="21"/>
          <w:highlight w:val="none"/>
        </w:rPr>
        <w:t>具体</w:t>
      </w:r>
      <w:r>
        <w:rPr>
          <w:rFonts w:hint="eastAsia" w:ascii="宋体" w:hAnsi="宋体"/>
          <w:bCs/>
          <w:color w:val="auto"/>
          <w:szCs w:val="21"/>
          <w:highlight w:val="none"/>
        </w:rPr>
        <w:t>要求</w:t>
      </w:r>
      <w:r>
        <w:rPr>
          <w:rFonts w:ascii="宋体" w:hAnsi="宋体"/>
          <w:bCs/>
          <w:color w:val="auto"/>
          <w:szCs w:val="21"/>
          <w:highlight w:val="none"/>
        </w:rPr>
        <w:t>见</w:t>
      </w:r>
      <w:r>
        <w:rPr>
          <w:rFonts w:hint="eastAsia" w:ascii="宋体" w:hAnsi="宋体"/>
          <w:bCs/>
          <w:color w:val="auto"/>
          <w:szCs w:val="21"/>
          <w:highlight w:val="none"/>
        </w:rPr>
        <w:t>本节19.投标文件编制。</w:t>
      </w:r>
    </w:p>
    <w:p w14:paraId="54B2C160">
      <w:pPr>
        <w:spacing w:line="360" w:lineRule="auto"/>
        <w:ind w:firstLine="480" w:firstLineChars="200"/>
        <w:rPr>
          <w:rFonts w:ascii="黑体" w:hAnsi="黑体" w:eastAsia="黑体"/>
          <w:color w:val="auto"/>
          <w:sz w:val="24"/>
          <w:highlight w:val="none"/>
        </w:rPr>
      </w:pPr>
      <w:bookmarkStart w:id="103" w:name="_Toc254970678"/>
      <w:bookmarkStart w:id="104" w:name="_Toc254970537"/>
      <w:r>
        <w:rPr>
          <w:rFonts w:hint="eastAsia" w:ascii="黑体" w:hAnsi="黑体" w:eastAsia="黑体"/>
          <w:color w:val="auto"/>
          <w:sz w:val="24"/>
          <w:highlight w:val="none"/>
        </w:rPr>
        <w:t>14.投标文件的语言及计量</w:t>
      </w:r>
      <w:bookmarkEnd w:id="103"/>
      <w:bookmarkEnd w:id="104"/>
    </w:p>
    <w:p w14:paraId="1417F4EB">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14.1语言文字</w:t>
      </w:r>
    </w:p>
    <w:p w14:paraId="132B0FD8">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3771F804">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14.2投标计量单位</w:t>
      </w:r>
    </w:p>
    <w:p w14:paraId="5BE784E2">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招标文件已有明确规定的，使用招标文件规定的计量单位；招标文件没有规定的，应采用中华人民共和国法定计量单位，货币种类为人民币，否则视同未响应。</w:t>
      </w:r>
    </w:p>
    <w:p w14:paraId="5A6A613D">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15.投标的风险</w:t>
      </w:r>
    </w:p>
    <w:p w14:paraId="362389BD">
      <w:pPr>
        <w:spacing w:line="360" w:lineRule="auto"/>
        <w:ind w:firstLine="420" w:firstLineChars="200"/>
        <w:rPr>
          <w:rFonts w:hAnsi="宋体"/>
          <w:b/>
          <w:bCs/>
          <w:color w:val="auto"/>
          <w:highlight w:val="none"/>
        </w:rPr>
      </w:pPr>
      <w:r>
        <w:rPr>
          <w:rFonts w:hint="eastAsia" w:hAnsi="宋体"/>
          <w:color w:val="auto"/>
          <w:highlight w:val="none"/>
        </w:rPr>
        <w:t>投标文件分为资格证明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hAnsi="宋体"/>
          <w:b/>
          <w:bCs/>
          <w:color w:val="auto"/>
          <w:highlight w:val="none"/>
        </w:rPr>
        <w:t>投标文件未按规定的格式编制的、没有按照招标文件要求提供全部资料、没有对招标文件作出实质性响应，投标无效；</w:t>
      </w:r>
    </w:p>
    <w:p w14:paraId="710A8033">
      <w:pPr>
        <w:spacing w:line="360" w:lineRule="auto"/>
        <w:ind w:firstLine="480" w:firstLineChars="200"/>
        <w:rPr>
          <w:rFonts w:ascii="黑体" w:hAnsi="黑体" w:eastAsia="黑体"/>
          <w:color w:val="auto"/>
          <w:sz w:val="24"/>
          <w:highlight w:val="none"/>
        </w:rPr>
      </w:pPr>
      <w:bookmarkStart w:id="105" w:name="_Toc254970538"/>
      <w:bookmarkStart w:id="106" w:name="_Toc254970679"/>
      <w:r>
        <w:rPr>
          <w:rFonts w:hint="eastAsia" w:ascii="黑体" w:hAnsi="黑体" w:eastAsia="黑体"/>
          <w:color w:val="auto"/>
          <w:sz w:val="24"/>
          <w:highlight w:val="none"/>
        </w:rPr>
        <w:t>16.投标报价</w:t>
      </w:r>
      <w:bookmarkEnd w:id="105"/>
      <w:bookmarkEnd w:id="106"/>
    </w:p>
    <w:p w14:paraId="2CCA77ED">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16.1投标报价应</w:t>
      </w:r>
      <w:r>
        <w:rPr>
          <w:rFonts w:hint="eastAsia" w:ascii="宋体" w:hAnsi="宋体"/>
          <w:bCs/>
          <w:color w:val="auto"/>
          <w:szCs w:val="20"/>
          <w:highlight w:val="none"/>
        </w:rPr>
        <w:t>按“第六章　投标文件格式”中“开标一览表”格式填写。</w:t>
      </w:r>
    </w:p>
    <w:p w14:paraId="69E51839">
      <w:pPr>
        <w:spacing w:line="360" w:lineRule="auto"/>
        <w:ind w:firstLine="420" w:firstLineChars="200"/>
        <w:rPr>
          <w:rFonts w:ascii="宋体" w:hAnsi="宋体"/>
          <w:bCs/>
          <w:color w:val="auto"/>
          <w:szCs w:val="21"/>
          <w:highlight w:val="none"/>
        </w:rPr>
      </w:pPr>
      <w:bookmarkStart w:id="107" w:name="_16.2投标报价具体定义见投标人须知前附表。"/>
      <w:bookmarkEnd w:id="107"/>
      <w:r>
        <w:rPr>
          <w:rFonts w:hint="eastAsia" w:ascii="宋体" w:hAnsi="宋体"/>
          <w:bCs/>
          <w:color w:val="auto"/>
          <w:szCs w:val="21"/>
          <w:highlight w:val="none"/>
        </w:rPr>
        <w:t>16.2投标报价具体包括内容详见“投标人须知前附表”。</w:t>
      </w:r>
    </w:p>
    <w:p w14:paraId="4956B9A1">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16.3投标人必须就所投每个分标的全部内容分别作完整唯一总价报价，不得存在漏项报价；投标人必须就所投分标的单项内容作唯一报价。</w:t>
      </w:r>
    </w:p>
    <w:p w14:paraId="357CEE2F">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17.投标有效期</w:t>
      </w:r>
    </w:p>
    <w:p w14:paraId="7A2AE8A9">
      <w:pPr>
        <w:spacing w:line="360" w:lineRule="auto"/>
        <w:ind w:firstLine="420" w:firstLineChars="200"/>
        <w:rPr>
          <w:rFonts w:ascii="宋体" w:hAnsi="宋体"/>
          <w:bCs/>
          <w:color w:val="auto"/>
          <w:szCs w:val="21"/>
          <w:highlight w:val="none"/>
        </w:rPr>
      </w:pPr>
      <w:bookmarkStart w:id="108" w:name="_17.1投标有效期应按“投标人须知中的前附表”规定的期限。"/>
      <w:bookmarkEnd w:id="108"/>
      <w:r>
        <w:rPr>
          <w:rFonts w:hint="eastAsia" w:ascii="宋体" w:hAnsi="宋体"/>
          <w:bCs/>
          <w:color w:val="auto"/>
          <w:szCs w:val="21"/>
          <w:highlight w:val="none"/>
        </w:rPr>
        <w:t>17.1投标有效期是指为保证采购人有足够的时间在开标后完成评标、定标、合同签订等工作而要求投标人提交的投标文件在一定时间内保持有效的期限。</w:t>
      </w:r>
    </w:p>
    <w:p w14:paraId="772CDF4C">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17.2</w:t>
      </w:r>
      <w:bookmarkStart w:id="109" w:name="_Toc254970540"/>
      <w:bookmarkStart w:id="110" w:name="_Toc254970681"/>
      <w:r>
        <w:rPr>
          <w:rFonts w:hint="eastAsia" w:ascii="宋体" w:hAnsi="宋体"/>
          <w:bCs/>
          <w:color w:val="auto"/>
          <w:szCs w:val="21"/>
          <w:highlight w:val="none"/>
        </w:rPr>
        <w:t xml:space="preserve"> 投标有效期应按规定的期限作出承诺，具体详见“投标人须知前附表”。</w:t>
      </w:r>
    </w:p>
    <w:p w14:paraId="3F9E459B">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17.3投标人的投标文件在投标有效期内均保持有效。</w:t>
      </w:r>
      <w:bookmarkEnd w:id="109"/>
      <w:bookmarkEnd w:id="110"/>
    </w:p>
    <w:p w14:paraId="12DF3FF5">
      <w:pPr>
        <w:spacing w:line="360" w:lineRule="auto"/>
        <w:ind w:firstLine="480" w:firstLineChars="200"/>
        <w:rPr>
          <w:rFonts w:ascii="黑体" w:hAnsi="黑体" w:eastAsia="黑体"/>
          <w:color w:val="auto"/>
          <w:sz w:val="24"/>
          <w:highlight w:val="none"/>
        </w:rPr>
      </w:pPr>
      <w:bookmarkStart w:id="111" w:name="_18.投标保证金"/>
      <w:bookmarkEnd w:id="111"/>
      <w:bookmarkStart w:id="112" w:name="_Toc254970682"/>
      <w:bookmarkStart w:id="113" w:name="_Toc254970541"/>
      <w:r>
        <w:rPr>
          <w:rFonts w:hint="eastAsia" w:ascii="黑体" w:hAnsi="黑体" w:eastAsia="黑体"/>
          <w:color w:val="auto"/>
          <w:sz w:val="24"/>
          <w:highlight w:val="none"/>
        </w:rPr>
        <w:t>18.投标保证金</w:t>
      </w:r>
      <w:bookmarkEnd w:id="112"/>
      <w:bookmarkEnd w:id="113"/>
    </w:p>
    <w:p w14:paraId="098DFD38">
      <w:pPr>
        <w:spacing w:line="360" w:lineRule="auto"/>
        <w:ind w:firstLine="420" w:firstLineChars="200"/>
        <w:rPr>
          <w:rFonts w:ascii="宋体" w:hAnsi="宋体"/>
          <w:bCs/>
          <w:color w:val="auto"/>
          <w:szCs w:val="21"/>
          <w:highlight w:val="none"/>
        </w:rPr>
      </w:pPr>
      <w:bookmarkStart w:id="114" w:name="_Toc254970542"/>
      <w:bookmarkStart w:id="115" w:name="_Toc254970683"/>
      <w:r>
        <w:rPr>
          <w:rFonts w:hint="eastAsia" w:ascii="宋体" w:hAnsi="宋体"/>
          <w:bCs/>
          <w:color w:val="auto"/>
          <w:szCs w:val="21"/>
          <w:highlight w:val="none"/>
        </w:rPr>
        <w:t>见“投标人须知前附表”。</w:t>
      </w:r>
    </w:p>
    <w:p w14:paraId="6018B479">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19.投标文件的</w:t>
      </w:r>
      <w:bookmarkEnd w:id="114"/>
      <w:bookmarkEnd w:id="115"/>
      <w:r>
        <w:rPr>
          <w:rFonts w:hint="eastAsia" w:ascii="黑体" w:hAnsi="黑体" w:eastAsia="黑体"/>
          <w:color w:val="auto"/>
          <w:sz w:val="24"/>
          <w:highlight w:val="none"/>
        </w:rPr>
        <w:t>编制</w:t>
      </w:r>
    </w:p>
    <w:p w14:paraId="58C831EF">
      <w:pPr>
        <w:spacing w:line="360" w:lineRule="auto"/>
        <w:ind w:firstLine="420" w:firstLineChars="200"/>
        <w:rPr>
          <w:rFonts w:hAnsi="宋体"/>
          <w:color w:val="auto"/>
          <w:szCs w:val="21"/>
          <w:highlight w:val="none"/>
        </w:rPr>
      </w:pPr>
      <w:r>
        <w:rPr>
          <w:rFonts w:hint="eastAsia" w:hAnsi="宋体"/>
          <w:color w:val="auto"/>
          <w:szCs w:val="21"/>
          <w:highlight w:val="none"/>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16" w:name="_19.2投标文件应按报价文件、资格证明文件、商务文件、技术文件分别编制"/>
      <w:bookmarkEnd w:id="116"/>
    </w:p>
    <w:p w14:paraId="6BD88E08">
      <w:pPr>
        <w:pStyle w:val="59"/>
        <w:snapToGrid w:val="0"/>
        <w:spacing w:before="0"/>
        <w:ind w:firstLine="420"/>
        <w:rPr>
          <w:rFonts w:hAnsi="宋体"/>
          <w:color w:val="auto"/>
          <w:sz w:val="21"/>
          <w:szCs w:val="21"/>
          <w:highlight w:val="none"/>
        </w:rPr>
      </w:pPr>
      <w:r>
        <w:rPr>
          <w:rFonts w:hAnsi="宋体"/>
          <w:color w:val="auto"/>
          <w:sz w:val="21"/>
          <w:szCs w:val="21"/>
          <w:highlight w:val="none"/>
        </w:rPr>
        <w:t>19</w:t>
      </w:r>
      <w:r>
        <w:rPr>
          <w:rFonts w:hint="eastAsia" w:hAnsi="宋体"/>
          <w:color w:val="auto"/>
          <w:sz w:val="21"/>
          <w:szCs w:val="21"/>
          <w:highlight w:val="none"/>
        </w:rPr>
        <w:t>.2投标文件按照招标文件第六章格式要求在规定位置进行签署、盖章。投标人的投标文件未按照招标文件要求签署、盖章的，</w:t>
      </w:r>
      <w:r>
        <w:rPr>
          <w:rFonts w:hint="eastAsia" w:hAnsi="宋体"/>
          <w:b/>
          <w:color w:val="auto"/>
          <w:sz w:val="21"/>
          <w:szCs w:val="21"/>
          <w:highlight w:val="none"/>
        </w:rPr>
        <w:t>其投标无效。</w:t>
      </w:r>
      <w:r>
        <w:rPr>
          <w:rFonts w:hint="eastAsia" w:hAnsi="宋体"/>
          <w:color w:val="auto"/>
          <w:sz w:val="21"/>
          <w:szCs w:val="21"/>
          <w:highlight w:val="none"/>
        </w:rPr>
        <w:t>骑缝盖公章不视为在规定位置盖章。</w:t>
      </w:r>
    </w:p>
    <w:p w14:paraId="689B205F">
      <w:pPr>
        <w:pStyle w:val="59"/>
        <w:snapToGrid w:val="0"/>
        <w:spacing w:before="0"/>
        <w:ind w:firstLine="420"/>
        <w:rPr>
          <w:rFonts w:hAnsi="宋体"/>
          <w:color w:val="auto"/>
          <w:sz w:val="21"/>
          <w:szCs w:val="21"/>
          <w:highlight w:val="none"/>
        </w:rPr>
      </w:pPr>
      <w:r>
        <w:rPr>
          <w:rFonts w:hAnsi="宋体"/>
          <w:color w:val="auto"/>
          <w:sz w:val="21"/>
          <w:szCs w:val="21"/>
          <w:highlight w:val="none"/>
        </w:rPr>
        <w:t>19.</w:t>
      </w:r>
      <w:r>
        <w:rPr>
          <w:rFonts w:hint="eastAsia" w:hAnsi="宋体"/>
          <w:color w:val="auto"/>
          <w:sz w:val="21"/>
          <w:szCs w:val="21"/>
          <w:highlight w:val="none"/>
        </w:rPr>
        <w:t>3为确保网上操作合法、有效和安全，投标人应当在投标截止时间前完成在</w:t>
      </w:r>
      <w:r>
        <w:rPr>
          <w:rFonts w:hint="eastAsia" w:hAnsi="宋体"/>
          <w:color w:val="auto"/>
          <w:sz w:val="21"/>
          <w:szCs w:val="21"/>
          <w:highlight w:val="none"/>
          <w:lang w:eastAsia="zh-CN"/>
        </w:rPr>
        <w:t>广西政府采购云平台</w:t>
      </w:r>
      <w:r>
        <w:rPr>
          <w:rFonts w:hint="eastAsia" w:hAnsi="宋体"/>
          <w:color w:val="auto"/>
          <w:sz w:val="21"/>
          <w:szCs w:val="21"/>
          <w:highlight w:val="none"/>
        </w:rPr>
        <w:t>的身份认证，确保在电子投标过程中能够对相关数据电文进行加密和使用电子签名。</w:t>
      </w:r>
    </w:p>
    <w:p w14:paraId="2EE88F1D">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color w:val="auto"/>
          <w:szCs w:val="21"/>
          <w:highlight w:val="none"/>
        </w:rPr>
        <w:t>否则作无效投标处理</w:t>
      </w:r>
      <w:r>
        <w:rPr>
          <w:rFonts w:hint="eastAsia" w:ascii="宋体" w:hAnsi="宋体"/>
          <w:b/>
          <w:color w:val="auto"/>
          <w:szCs w:val="21"/>
          <w:highlight w:val="none"/>
        </w:rPr>
        <w:t>。</w:t>
      </w:r>
    </w:p>
    <w:p w14:paraId="57599371">
      <w:pPr>
        <w:spacing w:line="360" w:lineRule="auto"/>
        <w:ind w:firstLine="420" w:firstLineChars="200"/>
        <w:rPr>
          <w:rFonts w:ascii="宋体" w:hAnsi="宋体" w:cs="宋体"/>
          <w:b/>
          <w:color w:val="auto"/>
          <w:szCs w:val="21"/>
          <w:highlight w:val="none"/>
        </w:rPr>
      </w:pPr>
      <w:r>
        <w:rPr>
          <w:rFonts w:hint="eastAsia" w:hAnsi="宋体"/>
          <w:color w:val="auto"/>
          <w:szCs w:val="21"/>
          <w:highlight w:val="none"/>
        </w:rPr>
        <w:t xml:space="preserve"> 19.5投标文件应避免涂改、行间插字或者删除，</w:t>
      </w:r>
      <w:r>
        <w:rPr>
          <w:rFonts w:hint="eastAsia" w:ascii="宋体" w:hAnsi="宋体" w:cs="宋体"/>
          <w:b/>
          <w:color w:val="auto"/>
          <w:szCs w:val="21"/>
          <w:highlight w:val="none"/>
        </w:rPr>
        <w:t>否则其投标无效。</w:t>
      </w:r>
    </w:p>
    <w:p w14:paraId="21E47AE0">
      <w:pPr>
        <w:spacing w:line="360" w:lineRule="auto"/>
        <w:ind w:firstLine="520" w:firstLineChars="248"/>
        <w:rPr>
          <w:rFonts w:hAnsi="宋体"/>
          <w:color w:val="auto"/>
          <w:highlight w:val="none"/>
        </w:rPr>
      </w:pPr>
      <w:r>
        <w:rPr>
          <w:rFonts w:hint="eastAsia" w:hAnsi="宋体"/>
          <w:color w:val="auto"/>
          <w:highlight w:val="none"/>
        </w:rPr>
        <w:t>19.6 对招标文件的实质性要求和条件作出响应是指投标人必须对招标文件中标注为实质性要求和条件的</w:t>
      </w:r>
      <w:r>
        <w:rPr>
          <w:rFonts w:hint="eastAsia"/>
          <w:color w:val="auto"/>
          <w:szCs w:val="21"/>
          <w:highlight w:val="none"/>
        </w:rPr>
        <w:t>货物内容及要求</w:t>
      </w:r>
      <w:r>
        <w:rPr>
          <w:rFonts w:hint="eastAsia" w:hAnsi="宋体"/>
          <w:color w:val="auto"/>
          <w:highlight w:val="none"/>
        </w:rPr>
        <w:t>、商务条款及其它内容</w:t>
      </w:r>
      <w:r>
        <w:rPr>
          <w:rFonts w:hint="eastAsia"/>
          <w:b/>
          <w:color w:val="auto"/>
          <w:highlight w:val="none"/>
        </w:rPr>
        <w:t>作出满足或者优于原要求和条件的承诺</w:t>
      </w:r>
      <w:r>
        <w:rPr>
          <w:rFonts w:hint="eastAsia"/>
          <w:color w:val="auto"/>
          <w:highlight w:val="none"/>
        </w:rPr>
        <w:t>。</w:t>
      </w:r>
    </w:p>
    <w:p w14:paraId="617B223D">
      <w:pPr>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u w:val="single"/>
        </w:rPr>
        <w:t>19.7本项目为全流程电子化项目，异常情况见“第二节 投标人须知正文”中“四、24.2</w:t>
      </w:r>
      <w:r>
        <w:rPr>
          <w:rFonts w:ascii="宋体" w:hAnsi="宋体"/>
          <w:b/>
          <w:color w:val="auto"/>
          <w:szCs w:val="21"/>
          <w:highlight w:val="none"/>
          <w:u w:val="single"/>
        </w:rPr>
        <w:t>开</w:t>
      </w:r>
      <w:r>
        <w:rPr>
          <w:rFonts w:hint="eastAsia" w:ascii="宋体" w:hAnsi="宋体"/>
          <w:b/>
          <w:color w:val="auto"/>
          <w:szCs w:val="21"/>
          <w:highlight w:val="none"/>
          <w:u w:val="single"/>
        </w:rPr>
        <w:t>标</w:t>
      </w:r>
      <w:r>
        <w:rPr>
          <w:rFonts w:ascii="宋体" w:hAnsi="宋体"/>
          <w:b/>
          <w:color w:val="auto"/>
          <w:szCs w:val="21"/>
          <w:highlight w:val="none"/>
          <w:u w:val="single"/>
        </w:rPr>
        <w:t>程序</w:t>
      </w:r>
      <w:r>
        <w:rPr>
          <w:rFonts w:hint="eastAsia" w:ascii="宋体" w:hAnsi="宋体"/>
          <w:b/>
          <w:color w:val="auto"/>
          <w:szCs w:val="21"/>
          <w:highlight w:val="none"/>
          <w:u w:val="single"/>
        </w:rPr>
        <w:t>。</w:t>
      </w:r>
    </w:p>
    <w:p w14:paraId="25EA8694">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20.备份投标文件</w:t>
      </w:r>
    </w:p>
    <w:p w14:paraId="38C334C4">
      <w:pPr>
        <w:spacing w:line="360" w:lineRule="auto"/>
        <w:ind w:firstLine="420" w:firstLineChars="200"/>
        <w:rPr>
          <w:rFonts w:ascii="黑体" w:hAnsi="黑体" w:eastAsia="黑体"/>
          <w:color w:val="auto"/>
          <w:sz w:val="24"/>
          <w:highlight w:val="none"/>
        </w:rPr>
      </w:pPr>
      <w:r>
        <w:rPr>
          <w:rFonts w:hint="eastAsia" w:hAnsi="宋体"/>
          <w:bCs/>
          <w:color w:val="auto"/>
          <w:szCs w:val="21"/>
          <w:highlight w:val="none"/>
        </w:rPr>
        <w:t>详见在“投标人须知前附表”。</w:t>
      </w:r>
    </w:p>
    <w:p w14:paraId="21281CDB">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21.投标文件的提交</w:t>
      </w:r>
    </w:p>
    <w:p w14:paraId="700BA7A8">
      <w:pPr>
        <w:spacing w:line="360" w:lineRule="auto"/>
        <w:ind w:firstLine="420" w:firstLineChars="200"/>
        <w:rPr>
          <w:rFonts w:hAnsi="宋体"/>
          <w:b/>
          <w:color w:val="auto"/>
          <w:highlight w:val="none"/>
        </w:rPr>
      </w:pPr>
      <w:bookmarkStart w:id="117" w:name="_21.1投标人必须在“投标人须知中的前附表”规定的投标文件接收时间和投"/>
      <w:bookmarkEnd w:id="117"/>
      <w:r>
        <w:rPr>
          <w:rFonts w:hint="eastAsia" w:hAnsi="宋体"/>
          <w:bCs/>
          <w:color w:val="auto"/>
          <w:szCs w:val="21"/>
          <w:highlight w:val="none"/>
        </w:rPr>
        <w:t>21.1投标人必须在“投标人须知前附表”规定的投标文件接收时间和投标地点提交电子版投标文件。电子投标文件应在制作完成后，</w:t>
      </w:r>
      <w:r>
        <w:rPr>
          <w:rFonts w:hAnsi="宋体"/>
          <w:bCs/>
          <w:color w:val="auto"/>
          <w:szCs w:val="21"/>
          <w:highlight w:val="none"/>
        </w:rPr>
        <w:t>在投标截止时间前</w:t>
      </w:r>
      <w:r>
        <w:rPr>
          <w:rFonts w:hint="eastAsia" w:hAnsi="宋体"/>
          <w:bCs/>
          <w:color w:val="auto"/>
          <w:szCs w:val="21"/>
          <w:highlight w:val="none"/>
        </w:rPr>
        <w:t>通过有效数字证书（CA认证锁）进行电子签章、加密，然后通过网络将加密的电子投标文件递交至</w:t>
      </w:r>
      <w:r>
        <w:rPr>
          <w:rFonts w:hint="eastAsia" w:ascii="宋体" w:hAnsi="宋体"/>
          <w:color w:val="auto"/>
          <w:szCs w:val="21"/>
        </w:rPr>
        <w:t>广西政府采购云平台</w:t>
      </w:r>
      <w:r>
        <w:rPr>
          <w:rFonts w:hint="eastAsia" w:hAnsi="宋体"/>
          <w:bCs/>
          <w:color w:val="auto"/>
          <w:szCs w:val="21"/>
          <w:highlight w:val="none"/>
        </w:rPr>
        <w:t xml:space="preserve">。 </w:t>
      </w:r>
    </w:p>
    <w:p w14:paraId="2BCE2289">
      <w:pPr>
        <w:spacing w:line="360" w:lineRule="auto"/>
        <w:ind w:firstLine="422" w:firstLineChars="200"/>
        <w:rPr>
          <w:rFonts w:ascii="宋体" w:hAnsi="宋体"/>
          <w:b/>
          <w:color w:val="auto"/>
          <w:szCs w:val="20"/>
          <w:highlight w:val="none"/>
        </w:rPr>
      </w:pPr>
      <w:r>
        <w:rPr>
          <w:rFonts w:hint="eastAsia" w:ascii="宋体" w:hAnsi="宋体"/>
          <w:b/>
          <w:color w:val="auto"/>
          <w:szCs w:val="21"/>
          <w:highlight w:val="none"/>
        </w:rPr>
        <w:t>21.</w:t>
      </w:r>
      <w:r>
        <w:rPr>
          <w:rFonts w:ascii="宋体" w:hAnsi="宋体"/>
          <w:b/>
          <w:color w:val="auto"/>
          <w:szCs w:val="21"/>
          <w:highlight w:val="none"/>
        </w:rPr>
        <w:t>2</w:t>
      </w:r>
      <w:r>
        <w:rPr>
          <w:rFonts w:hint="eastAsia" w:ascii="宋体" w:hAnsi="宋体"/>
          <w:b/>
          <w:color w:val="auto"/>
          <w:szCs w:val="21"/>
          <w:highlight w:val="none"/>
        </w:rPr>
        <w:t>未在规定时间内提交或者未按照招标文件要求密封或者标记的电子投标文件，</w:t>
      </w:r>
      <w:r>
        <w:rPr>
          <w:rFonts w:hint="eastAsia" w:ascii="宋体" w:hAnsi="宋体"/>
          <w:b/>
          <w:color w:val="auto"/>
          <w:szCs w:val="21"/>
          <w:highlight w:val="none"/>
          <w:lang w:eastAsia="zh-CN"/>
        </w:rPr>
        <w:t>广西政府采购云平台</w:t>
      </w:r>
      <w:r>
        <w:rPr>
          <w:rFonts w:hint="eastAsia" w:ascii="宋体" w:hAnsi="宋体"/>
          <w:b/>
          <w:color w:val="auto"/>
          <w:szCs w:val="21"/>
          <w:highlight w:val="none"/>
        </w:rPr>
        <w:t>将拒收。</w:t>
      </w:r>
    </w:p>
    <w:p w14:paraId="0502763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3</w:t>
      </w:r>
      <w:r>
        <w:rPr>
          <w:rFonts w:hint="eastAsia" w:ascii="宋体" w:hAnsi="宋体"/>
          <w:color w:val="auto"/>
          <w:szCs w:val="21"/>
          <w:highlight w:val="none"/>
        </w:rPr>
        <w:t>电子版投标文件提交方式见“招标公告”中“四、提交投标文件截止时间、开标时间和地点”</w:t>
      </w:r>
      <w:r>
        <w:rPr>
          <w:rFonts w:hint="eastAsia" w:ascii="宋体" w:hAnsi="宋体"/>
          <w:b/>
          <w:color w:val="auto"/>
          <w:szCs w:val="21"/>
          <w:highlight w:val="none"/>
        </w:rPr>
        <w:t xml:space="preserve"> 。</w:t>
      </w:r>
    </w:p>
    <w:p w14:paraId="5DF029A3">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22. 投标文件的补充、修改、撤回与退回</w:t>
      </w:r>
      <w:bookmarkStart w:id="118" w:name="_Toc254970684"/>
      <w:bookmarkStart w:id="119" w:name="_Toc254970543"/>
    </w:p>
    <w:p w14:paraId="4850B369">
      <w:pPr>
        <w:spacing w:line="360" w:lineRule="auto"/>
        <w:ind w:firstLine="420" w:firstLineChars="200"/>
        <w:rPr>
          <w:rFonts w:ascii="黑体" w:hAnsi="黑体" w:eastAsia="黑体"/>
          <w:color w:val="auto"/>
          <w:sz w:val="24"/>
          <w:highlight w:val="none"/>
        </w:rPr>
      </w:pPr>
      <w:r>
        <w:rPr>
          <w:rFonts w:ascii="宋体" w:hAnsi="宋体" w:cs="宋体"/>
          <w:color w:val="auto"/>
          <w:szCs w:val="21"/>
          <w:highlight w:val="none"/>
        </w:rPr>
        <w:t>22</w:t>
      </w:r>
      <w:r>
        <w:rPr>
          <w:rFonts w:hint="eastAsia" w:ascii="宋体" w:hAnsi="宋体" w:cs="宋体"/>
          <w:color w:val="auto"/>
          <w:szCs w:val="21"/>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w:t>
      </w:r>
      <w:r>
        <w:rPr>
          <w:rFonts w:hint="eastAsia" w:ascii="宋体" w:hAnsi="宋体"/>
          <w:color w:val="auto"/>
          <w:szCs w:val="21"/>
        </w:rPr>
        <w:t>广西政府采购云平台</w:t>
      </w:r>
      <w:r>
        <w:rPr>
          <w:rFonts w:hint="eastAsia" w:ascii="宋体" w:hAnsi="宋体" w:cs="宋体"/>
          <w:color w:val="auto"/>
          <w:szCs w:val="21"/>
          <w:highlight w:val="none"/>
        </w:rPr>
        <w:t>将拒收。（补充、修改或者撤回方式见公告附件“电子投标文件制作与投送教程”）</w:t>
      </w:r>
    </w:p>
    <w:p w14:paraId="53AD6E0C">
      <w:pPr>
        <w:pStyle w:val="59"/>
        <w:spacing w:before="0"/>
        <w:ind w:firstLine="420"/>
        <w:rPr>
          <w:rFonts w:ascii="宋体" w:hAnsi="宋体" w:cs="宋体"/>
          <w:color w:val="auto"/>
          <w:sz w:val="21"/>
          <w:szCs w:val="21"/>
          <w:highlight w:val="none"/>
        </w:rPr>
      </w:pPr>
      <w:r>
        <w:rPr>
          <w:rFonts w:ascii="宋体" w:hAnsi="宋体" w:cs="宋体"/>
          <w:color w:val="auto"/>
          <w:sz w:val="21"/>
          <w:szCs w:val="21"/>
          <w:highlight w:val="none"/>
        </w:rPr>
        <w:t>22.</w:t>
      </w:r>
      <w:r>
        <w:rPr>
          <w:rFonts w:hint="eastAsia" w:ascii="宋体" w:hAnsi="宋体" w:cs="宋体"/>
          <w:color w:val="auto"/>
          <w:sz w:val="21"/>
          <w:szCs w:val="21"/>
          <w:highlight w:val="none"/>
        </w:rPr>
        <w:t>2</w:t>
      </w:r>
      <w:r>
        <w:rPr>
          <w:rFonts w:hint="eastAsia" w:ascii="宋体" w:hAnsi="宋体"/>
          <w:color w:val="auto"/>
          <w:szCs w:val="21"/>
        </w:rPr>
        <w:t>广西政府采购云平台</w:t>
      </w:r>
      <w:r>
        <w:rPr>
          <w:rFonts w:hint="eastAsia" w:ascii="宋体" w:hAnsi="宋体" w:cs="宋体"/>
          <w:color w:val="auto"/>
          <w:sz w:val="21"/>
          <w:szCs w:val="21"/>
          <w:highlight w:val="none"/>
        </w:rPr>
        <w:t>收到投标文件，将妥善保存并即时向供应商发出确认回执通知。在投标截止时间前，除供应商补充、修改或者撤回投标文件外，任何单位和个人不得解密或提取投标文件。</w:t>
      </w:r>
    </w:p>
    <w:bookmarkEnd w:id="118"/>
    <w:bookmarkEnd w:id="119"/>
    <w:p w14:paraId="2703F7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3</w:t>
      </w:r>
      <w:r>
        <w:rPr>
          <w:rFonts w:hint="eastAsia" w:ascii="宋体" w:hAnsi="宋体" w:cs="宋体"/>
          <w:color w:val="auto"/>
          <w:szCs w:val="21"/>
          <w:highlight w:val="none"/>
        </w:rPr>
        <w:t>在投标截止时间止提交电子版投标文件的投标人不足3家时，电子版投标文件由代理机构在</w:t>
      </w:r>
      <w:r>
        <w:rPr>
          <w:rFonts w:hint="eastAsia" w:ascii="宋体" w:hAnsi="宋体"/>
          <w:color w:val="auto"/>
          <w:szCs w:val="21"/>
        </w:rPr>
        <w:t>广西政府采购云平台</w:t>
      </w:r>
      <w:r>
        <w:rPr>
          <w:rFonts w:hint="eastAsia" w:ascii="宋体" w:hAnsi="宋体" w:cs="宋体"/>
          <w:color w:val="auto"/>
          <w:szCs w:val="21"/>
          <w:highlight w:val="none"/>
        </w:rPr>
        <w:t>操作退回，除此之外采购人和采购代理机构对已提交的投标文件概不退回。</w:t>
      </w:r>
    </w:p>
    <w:p w14:paraId="2F14F24F">
      <w:pPr>
        <w:pStyle w:val="11"/>
        <w:snapToGrid w:val="0"/>
        <w:spacing w:line="400" w:lineRule="exact"/>
        <w:ind w:firstLine="739"/>
        <w:rPr>
          <w:rFonts w:hAnsi="宋体"/>
          <w:snapToGrid w:val="0"/>
          <w:color w:val="auto"/>
          <w:sz w:val="21"/>
          <w:szCs w:val="21"/>
          <w:highlight w:val="none"/>
        </w:rPr>
      </w:pPr>
    </w:p>
    <w:p w14:paraId="51800CAB">
      <w:pPr>
        <w:pStyle w:val="4"/>
        <w:keepNext w:val="0"/>
        <w:keepLines w:val="0"/>
        <w:spacing w:line="400" w:lineRule="exact"/>
        <w:jc w:val="center"/>
        <w:rPr>
          <w:color w:val="auto"/>
          <w:highlight w:val="none"/>
        </w:rPr>
      </w:pPr>
      <w:bookmarkStart w:id="120" w:name="_Toc254970544"/>
      <w:bookmarkStart w:id="121" w:name="_Toc89075997"/>
      <w:bookmarkStart w:id="122" w:name="_Toc254970685"/>
      <w:r>
        <w:rPr>
          <w:rFonts w:hint="eastAsia"/>
          <w:color w:val="auto"/>
          <w:highlight w:val="none"/>
        </w:rPr>
        <w:t>四、开    标</w:t>
      </w:r>
      <w:bookmarkEnd w:id="120"/>
      <w:bookmarkEnd w:id="121"/>
      <w:bookmarkEnd w:id="122"/>
    </w:p>
    <w:p w14:paraId="0E3E0AEC">
      <w:pPr>
        <w:spacing w:line="360" w:lineRule="auto"/>
        <w:ind w:firstLine="480" w:firstLineChars="200"/>
        <w:rPr>
          <w:rFonts w:ascii="黑体" w:hAnsi="黑体" w:eastAsia="黑体"/>
          <w:color w:val="auto"/>
          <w:sz w:val="24"/>
          <w:highlight w:val="none"/>
        </w:rPr>
      </w:pPr>
      <w:bookmarkStart w:id="123" w:name="_23.开标时间和地点"/>
      <w:bookmarkEnd w:id="123"/>
      <w:r>
        <w:rPr>
          <w:rFonts w:hint="eastAsia" w:ascii="黑体" w:hAnsi="黑体" w:eastAsia="黑体"/>
          <w:color w:val="auto"/>
          <w:sz w:val="24"/>
          <w:highlight w:val="none"/>
        </w:rPr>
        <w:t>23.开标时间和地点</w:t>
      </w:r>
    </w:p>
    <w:p w14:paraId="57F2DB8B">
      <w:pPr>
        <w:spacing w:line="360" w:lineRule="auto"/>
        <w:ind w:firstLine="420" w:firstLineChars="200"/>
        <w:rPr>
          <w:rFonts w:hAnsi="宋体"/>
          <w:bCs/>
          <w:color w:val="auto"/>
          <w:highlight w:val="none"/>
        </w:rPr>
      </w:pPr>
      <w:r>
        <w:rPr>
          <w:rFonts w:hint="eastAsia" w:hAnsi="宋体"/>
          <w:bCs/>
          <w:color w:val="auto"/>
          <w:highlight w:val="none"/>
        </w:rPr>
        <w:t>23.1开标时间及地点详见“投标人须知前附表”</w:t>
      </w:r>
    </w:p>
    <w:p w14:paraId="17EEC2F2">
      <w:pPr>
        <w:spacing w:line="360" w:lineRule="auto"/>
        <w:ind w:firstLine="420" w:firstLineChars="200"/>
        <w:rPr>
          <w:color w:val="auto"/>
          <w:highlight w:val="none"/>
        </w:rPr>
      </w:pPr>
      <w:r>
        <w:rPr>
          <w:rFonts w:hint="eastAsia" w:hAnsi="宋体"/>
          <w:color w:val="auto"/>
          <w:highlight w:val="none"/>
        </w:rPr>
        <w:t>23.2如</w:t>
      </w:r>
      <w:r>
        <w:rPr>
          <w:rFonts w:hint="eastAsia" w:hAnsi="宋体"/>
          <w:bCs/>
          <w:color w:val="auto"/>
          <w:highlight w:val="none"/>
        </w:rPr>
        <w:t>投标人成功解密投标文件，但未在</w:t>
      </w:r>
      <w:r>
        <w:rPr>
          <w:rFonts w:hint="eastAsia" w:ascii="宋体" w:hAnsi="宋体"/>
          <w:color w:val="auto"/>
          <w:szCs w:val="21"/>
        </w:rPr>
        <w:t>广西政府采购云平台</w:t>
      </w:r>
      <w:r>
        <w:rPr>
          <w:rFonts w:hint="eastAsia" w:hAnsi="宋体"/>
          <w:bCs/>
          <w:color w:val="auto"/>
          <w:highlight w:val="none"/>
        </w:rPr>
        <w:t>电子开标大厅参加开标的，视同认可开标过程和结果，</w:t>
      </w:r>
      <w:r>
        <w:rPr>
          <w:rFonts w:hint="eastAsia" w:hAnsi="宋体"/>
          <w:color w:val="auto"/>
          <w:highlight w:val="none"/>
        </w:rPr>
        <w:t xml:space="preserve">由此产生的后果由投标人自行负责。 </w:t>
      </w:r>
      <w:r>
        <w:rPr>
          <w:rFonts w:hint="eastAsia"/>
          <w:color w:val="auto"/>
          <w:highlight w:val="none"/>
        </w:rPr>
        <w:t>投标人不足3家的，不得开标。</w:t>
      </w:r>
    </w:p>
    <w:p w14:paraId="185E6BE9">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24.开标程序</w:t>
      </w:r>
    </w:p>
    <w:p w14:paraId="2A357911">
      <w:pPr>
        <w:autoSpaceDE w:val="0"/>
        <w:autoSpaceDN w:val="0"/>
        <w:adjustRightInd w:val="0"/>
        <w:spacing w:line="440" w:lineRule="exact"/>
        <w:ind w:firstLine="420" w:firstLineChars="200"/>
        <w:rPr>
          <w:rFonts w:ascii="宋体" w:hAnsi="宋体"/>
          <w:color w:val="auto"/>
          <w:kern w:val="0"/>
          <w:szCs w:val="21"/>
          <w:highlight w:val="none"/>
        </w:rPr>
      </w:pPr>
      <w:r>
        <w:rPr>
          <w:rFonts w:hint="eastAsia" w:ascii="宋体" w:hAnsi="宋体"/>
          <w:bCs/>
          <w:color w:val="auto"/>
          <w:szCs w:val="21"/>
          <w:highlight w:val="none"/>
        </w:rPr>
        <w:t>24.1</w:t>
      </w:r>
      <w:r>
        <w:rPr>
          <w:rFonts w:hint="eastAsia" w:ascii="宋体" w:hAnsi="宋体"/>
          <w:color w:val="auto"/>
          <w:kern w:val="0"/>
          <w:szCs w:val="21"/>
          <w:highlight w:val="none"/>
        </w:rPr>
        <w:t>开标形式：</w:t>
      </w:r>
    </w:p>
    <w:p w14:paraId="11224302">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color w:val="auto"/>
          <w:szCs w:val="21"/>
          <w:highlight w:val="none"/>
        </w:rPr>
        <w:t>（1）</w:t>
      </w:r>
      <w:r>
        <w:rPr>
          <w:rFonts w:hint="eastAsia" w:ascii="宋体" w:hAnsi="宋体"/>
          <w:bCs/>
          <w:color w:val="auto"/>
          <w:szCs w:val="21"/>
          <w:highlight w:val="none"/>
        </w:rPr>
        <w:t>开标的准备工作由采购代理机构负责落实，采购代理机构必须基于</w:t>
      </w:r>
      <w:r>
        <w:rPr>
          <w:rFonts w:hint="eastAsia" w:ascii="宋体" w:hAnsi="宋体"/>
          <w:bCs/>
          <w:color w:val="auto"/>
          <w:szCs w:val="21"/>
          <w:highlight w:val="none"/>
          <w:lang w:eastAsia="zh-CN"/>
        </w:rPr>
        <w:t>广西政府采购云平台</w:t>
      </w:r>
      <w:r>
        <w:rPr>
          <w:rFonts w:hint="eastAsia" w:ascii="宋体" w:hAnsi="宋体"/>
          <w:bCs/>
          <w:color w:val="auto"/>
          <w:szCs w:val="21"/>
          <w:highlight w:val="none"/>
        </w:rPr>
        <w:t>选取评审专家，如采购代理机构未按规定选取专家的，视为本次开评标无效，应当重新采购；</w:t>
      </w:r>
    </w:p>
    <w:p w14:paraId="08753122">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（2）采购代理机构将按照招标文件规定的时间通过</w:t>
      </w:r>
      <w:r>
        <w:rPr>
          <w:rFonts w:hint="eastAsia" w:ascii="宋体" w:hAnsi="宋体"/>
          <w:bCs/>
          <w:color w:val="auto"/>
          <w:szCs w:val="21"/>
          <w:highlight w:val="none"/>
          <w:lang w:eastAsia="zh-CN"/>
        </w:rPr>
        <w:t>广西政府采购云平台</w:t>
      </w:r>
      <w:r>
        <w:rPr>
          <w:rFonts w:hint="eastAsia" w:ascii="宋体" w:hAnsi="宋体"/>
          <w:bCs/>
          <w:color w:val="auto"/>
          <w:szCs w:val="21"/>
          <w:highlight w:val="none"/>
        </w:rPr>
        <w:t>组织线上开标活动、开启投标文件，所有供应商均应当准时在线参加。投标人</w:t>
      </w:r>
      <w:r>
        <w:rPr>
          <w:rFonts w:ascii="宋体" w:hAnsi="宋体"/>
          <w:bCs/>
          <w:color w:val="auto"/>
          <w:szCs w:val="21"/>
          <w:highlight w:val="none"/>
        </w:rPr>
        <w:t>如不</w:t>
      </w:r>
      <w:r>
        <w:rPr>
          <w:rFonts w:hint="eastAsia" w:ascii="宋体" w:hAnsi="宋体"/>
          <w:bCs/>
          <w:color w:val="auto"/>
          <w:szCs w:val="21"/>
          <w:highlight w:val="none"/>
        </w:rPr>
        <w:t>参加</w:t>
      </w:r>
      <w:r>
        <w:rPr>
          <w:rFonts w:ascii="宋体" w:hAnsi="宋体"/>
          <w:bCs/>
          <w:color w:val="auto"/>
          <w:szCs w:val="21"/>
          <w:highlight w:val="none"/>
        </w:rPr>
        <w:t>开标大会的，</w:t>
      </w:r>
      <w:r>
        <w:rPr>
          <w:rFonts w:hint="eastAsia" w:ascii="宋体" w:hAnsi="宋体"/>
          <w:bCs/>
          <w:color w:val="auto"/>
          <w:szCs w:val="21"/>
          <w:highlight w:val="none"/>
        </w:rPr>
        <w:t>视同认可开标结果，</w:t>
      </w:r>
      <w:r>
        <w:rPr>
          <w:rFonts w:ascii="宋体" w:hAnsi="宋体"/>
          <w:bCs/>
          <w:color w:val="auto"/>
          <w:szCs w:val="21"/>
          <w:highlight w:val="none"/>
        </w:rPr>
        <w:t>事后不得对采购相关人员、开标过程和开标结果提出异议</w:t>
      </w:r>
      <w:r>
        <w:rPr>
          <w:rFonts w:hint="eastAsia" w:ascii="宋体" w:hAnsi="宋体"/>
          <w:bCs/>
          <w:color w:val="auto"/>
          <w:szCs w:val="21"/>
          <w:highlight w:val="none"/>
        </w:rPr>
        <w:t>，同时投标人因未在线参加开标而导致投标文件无法按时解密等一切后果由投标人自己承担。</w:t>
      </w:r>
    </w:p>
    <w:p w14:paraId="204B8AF1">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24.2</w:t>
      </w:r>
      <w:r>
        <w:rPr>
          <w:rFonts w:ascii="宋体" w:hAnsi="宋体"/>
          <w:bCs/>
          <w:color w:val="auto"/>
          <w:szCs w:val="21"/>
          <w:highlight w:val="none"/>
        </w:rPr>
        <w:t>开</w:t>
      </w:r>
      <w:r>
        <w:rPr>
          <w:rFonts w:hint="eastAsia" w:ascii="宋体" w:hAnsi="宋体"/>
          <w:bCs/>
          <w:color w:val="auto"/>
          <w:szCs w:val="21"/>
          <w:highlight w:val="none"/>
        </w:rPr>
        <w:t>标</w:t>
      </w:r>
      <w:r>
        <w:rPr>
          <w:rFonts w:ascii="宋体" w:hAnsi="宋体"/>
          <w:bCs/>
          <w:color w:val="auto"/>
          <w:szCs w:val="21"/>
          <w:highlight w:val="none"/>
        </w:rPr>
        <w:t>程序：</w:t>
      </w:r>
    </w:p>
    <w:p w14:paraId="6A7FBCED">
      <w:pPr>
        <w:pStyle w:val="13"/>
        <w:snapToGrid w:val="0"/>
        <w:spacing w:line="440" w:lineRule="exact"/>
        <w:ind w:firstLine="422" w:firstLineChars="200"/>
        <w:rPr>
          <w:rFonts w:hAnsi="宋体"/>
          <w:color w:val="auto"/>
          <w:szCs w:val="21"/>
          <w:highlight w:val="none"/>
        </w:rPr>
      </w:pPr>
      <w:r>
        <w:rPr>
          <w:rFonts w:hint="eastAsia" w:hAnsi="宋体"/>
          <w:b/>
          <w:color w:val="auto"/>
          <w:szCs w:val="21"/>
          <w:highlight w:val="none"/>
        </w:rPr>
        <w:t>（1）解密电子投标文件。</w:t>
      </w:r>
      <w:r>
        <w:rPr>
          <w:rFonts w:hint="eastAsia" w:hAnsi="宋体" w:cs="仿宋_GB2312"/>
          <w:b/>
          <w:color w:val="auto"/>
          <w:szCs w:val="21"/>
          <w:highlight w:val="none"/>
          <w:lang w:eastAsia="zh-CN"/>
        </w:rPr>
        <w:t>广西政府采购云平台</w:t>
      </w:r>
      <w:r>
        <w:rPr>
          <w:rFonts w:hint="eastAsia" w:hAnsi="宋体" w:cs="仿宋_GB2312"/>
          <w:color w:val="auto"/>
          <w:szCs w:val="21"/>
          <w:highlight w:val="none"/>
        </w:rPr>
        <w:t>按开标时间自动提取所有投标文件。采购代理机构依托</w:t>
      </w:r>
      <w:r>
        <w:rPr>
          <w:rFonts w:hint="eastAsia" w:hAnsi="宋体" w:cs="仿宋_GB2312"/>
          <w:color w:val="auto"/>
          <w:szCs w:val="21"/>
          <w:highlight w:val="none"/>
          <w:lang w:eastAsia="zh-CN"/>
        </w:rPr>
        <w:t>广西政府采购云平台</w:t>
      </w:r>
      <w:r>
        <w:rPr>
          <w:rFonts w:hint="eastAsia" w:hAnsi="宋体"/>
          <w:color w:val="auto"/>
          <w:szCs w:val="21"/>
          <w:highlight w:val="none"/>
        </w:rPr>
        <w:t>向各投标人发出电子加密投标文件【开始解密】通知，由投标人按招标文件规定的时间内自行进行投标文件解密。投标人的法定代表人或其委托代理人</w:t>
      </w:r>
      <w:r>
        <w:rPr>
          <w:rFonts w:hint="eastAsia" w:hAnsi="宋体"/>
          <w:b/>
          <w:color w:val="auto"/>
          <w:szCs w:val="21"/>
          <w:highlight w:val="none"/>
        </w:rPr>
        <w:t>须携带加密时所用的CA锁准时登录到</w:t>
      </w:r>
      <w:r>
        <w:rPr>
          <w:rFonts w:hint="eastAsia" w:hAnsi="宋体"/>
          <w:b/>
          <w:color w:val="auto"/>
          <w:szCs w:val="21"/>
          <w:highlight w:val="none"/>
          <w:lang w:eastAsia="zh-CN"/>
        </w:rPr>
        <w:t>广西政府采购云平台</w:t>
      </w:r>
      <w:r>
        <w:rPr>
          <w:rFonts w:hint="eastAsia" w:hAnsi="宋体"/>
          <w:b/>
          <w:color w:val="auto"/>
          <w:szCs w:val="21"/>
          <w:highlight w:val="none"/>
        </w:rPr>
        <w:t>电子开标大厅签到并对电子投标文件解密</w:t>
      </w:r>
      <w:r>
        <w:rPr>
          <w:rFonts w:hint="eastAsia" w:hAnsi="宋体"/>
          <w:color w:val="auto"/>
          <w:szCs w:val="21"/>
          <w:highlight w:val="none"/>
        </w:rPr>
        <w:t>。</w:t>
      </w:r>
      <w:r>
        <w:rPr>
          <w:rFonts w:hint="eastAsia" w:hAnsi="宋体"/>
          <w:b/>
          <w:bCs/>
          <w:color w:val="auto"/>
          <w:szCs w:val="21"/>
          <w:highlight w:val="none"/>
        </w:rPr>
        <w:t>到时间未解密成功，</w:t>
      </w:r>
      <w:r>
        <w:rPr>
          <w:rFonts w:hint="eastAsia" w:hAnsi="宋体"/>
          <w:b/>
          <w:color w:val="auto"/>
          <w:szCs w:val="21"/>
          <w:highlight w:val="none"/>
        </w:rPr>
        <w:t>均视为无效投标。</w:t>
      </w:r>
    </w:p>
    <w:p w14:paraId="7C5E0A2E">
      <w:pPr>
        <w:pStyle w:val="13"/>
        <w:snapToGrid w:val="0"/>
        <w:spacing w:line="440" w:lineRule="exact"/>
        <w:ind w:firstLine="420" w:firstLineChars="200"/>
        <w:rPr>
          <w:rFonts w:hAnsi="宋体"/>
          <w:color w:val="auto"/>
          <w:szCs w:val="21"/>
          <w:highlight w:val="none"/>
        </w:rPr>
      </w:pPr>
      <w:r>
        <w:rPr>
          <w:rFonts w:hint="eastAsia" w:hAnsi="宋体"/>
          <w:color w:val="auto"/>
          <w:szCs w:val="21"/>
          <w:highlight w:val="none"/>
        </w:rPr>
        <w:t>（解密</w:t>
      </w:r>
      <w:r>
        <w:rPr>
          <w:rFonts w:hint="eastAsia" w:hAnsi="宋体"/>
          <w:bCs/>
          <w:color w:val="auto"/>
          <w:szCs w:val="21"/>
          <w:highlight w:val="none"/>
        </w:rPr>
        <w:t>异常情况处理：详见本章</w:t>
      </w:r>
      <w:r>
        <w:rPr>
          <w:rFonts w:hint="eastAsia" w:hAnsi="宋体"/>
          <w:color w:val="auto"/>
          <w:highlight w:val="none"/>
        </w:rPr>
        <w:t>29.3 电子交易活动的中止。</w:t>
      </w:r>
      <w:r>
        <w:rPr>
          <w:rFonts w:hint="eastAsia" w:hAnsi="宋体"/>
          <w:color w:val="auto"/>
          <w:szCs w:val="21"/>
          <w:highlight w:val="none"/>
        </w:rPr>
        <w:t>）</w:t>
      </w:r>
    </w:p>
    <w:p w14:paraId="6AE77EA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电子唱标。</w:t>
      </w:r>
      <w:r>
        <w:rPr>
          <w:rFonts w:hint="eastAsia" w:ascii="宋体" w:hAnsi="宋体"/>
          <w:color w:val="auto"/>
          <w:szCs w:val="21"/>
          <w:highlight w:val="none"/>
        </w:rPr>
        <w:t>投标文件解密结束，各投标供应商报价均在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远程不见面开标大厅展示；</w:t>
      </w:r>
    </w:p>
    <w:p w14:paraId="3D6D013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b/>
          <w:color w:val="auto"/>
          <w:szCs w:val="21"/>
          <w:highlight w:val="none"/>
        </w:rPr>
        <w:t>签署电子《政府采购活动现场确认声明书》。</w:t>
      </w:r>
      <w:r>
        <w:rPr>
          <w:rFonts w:hint="eastAsia" w:ascii="宋体" w:hAnsi="宋体"/>
          <w:color w:val="auto"/>
          <w:szCs w:val="21"/>
          <w:highlight w:val="none"/>
        </w:rPr>
        <w:t>通过邮件形式在远程不见面开标大厅发送各投标人签署电子《政府采购活动现场确认声明书》。</w:t>
      </w:r>
    </w:p>
    <w:p w14:paraId="1DB980E5">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27AFB639">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3BA8D65A">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（6）开标结束。</w:t>
      </w:r>
    </w:p>
    <w:p w14:paraId="54FD2619">
      <w:pPr>
        <w:pStyle w:val="13"/>
        <w:snapToGrid w:val="0"/>
        <w:spacing w:line="440" w:lineRule="exact"/>
        <w:ind w:firstLine="422" w:firstLineChars="200"/>
        <w:rPr>
          <w:rFonts w:hAnsi="宋体"/>
          <w:color w:val="auto"/>
          <w:szCs w:val="21"/>
          <w:highlight w:val="none"/>
        </w:rPr>
      </w:pPr>
      <w:r>
        <w:rPr>
          <w:rFonts w:hint="eastAsia" w:hAnsi="宋体"/>
          <w:b/>
          <w:bCs/>
          <w:color w:val="auto"/>
          <w:szCs w:val="21"/>
          <w:highlight w:val="none"/>
        </w:rPr>
        <w:t>特别说明：</w:t>
      </w:r>
      <w:r>
        <w:rPr>
          <w:rFonts w:hint="eastAsia" w:hAnsi="宋体"/>
          <w:color w:val="auto"/>
          <w:szCs w:val="21"/>
          <w:highlight w:val="none"/>
        </w:rPr>
        <w:t>如遇</w:t>
      </w:r>
      <w:r>
        <w:rPr>
          <w:rFonts w:hint="eastAsia" w:hAnsi="宋体"/>
          <w:color w:val="auto"/>
          <w:szCs w:val="21"/>
          <w:highlight w:val="none"/>
          <w:lang w:eastAsia="zh-CN"/>
        </w:rPr>
        <w:t>广西政府采购云平台</w:t>
      </w:r>
      <w:r>
        <w:rPr>
          <w:rFonts w:hint="eastAsia" w:hAnsi="宋体"/>
          <w:color w:val="auto"/>
          <w:szCs w:val="21"/>
          <w:highlight w:val="none"/>
        </w:rPr>
        <w:t>电子化开标或评审程序调整的，按调整后执行。</w:t>
      </w:r>
    </w:p>
    <w:p w14:paraId="2F0114EC">
      <w:pPr>
        <w:pStyle w:val="13"/>
        <w:snapToGrid w:val="0"/>
        <w:spacing w:line="400" w:lineRule="exact"/>
        <w:ind w:left="689" w:leftChars="228" w:hanging="210" w:hangingChars="100"/>
        <w:rPr>
          <w:rFonts w:hAnsi="宋体"/>
          <w:color w:val="auto"/>
          <w:highlight w:val="none"/>
        </w:rPr>
      </w:pPr>
    </w:p>
    <w:p w14:paraId="786E6693">
      <w:pPr>
        <w:rPr>
          <w:rFonts w:hAnsi="宋体"/>
          <w:color w:val="auto"/>
          <w:highlight w:val="none"/>
        </w:rPr>
      </w:pPr>
    </w:p>
    <w:p w14:paraId="44ECDA2C">
      <w:pPr>
        <w:pStyle w:val="45"/>
        <w:rPr>
          <w:color w:val="auto"/>
          <w:highlight w:val="none"/>
        </w:rPr>
      </w:pPr>
    </w:p>
    <w:p w14:paraId="4D50FD5F">
      <w:pPr>
        <w:pStyle w:val="4"/>
        <w:keepNext w:val="0"/>
        <w:keepLines w:val="0"/>
        <w:spacing w:line="400" w:lineRule="exact"/>
        <w:jc w:val="center"/>
        <w:rPr>
          <w:color w:val="auto"/>
          <w:highlight w:val="none"/>
        </w:rPr>
      </w:pPr>
      <w:bookmarkStart w:id="124" w:name="_Toc89075998"/>
      <w:r>
        <w:rPr>
          <w:rFonts w:hint="eastAsia"/>
          <w:color w:val="auto"/>
          <w:highlight w:val="none"/>
        </w:rPr>
        <w:t>五、资格审查</w:t>
      </w:r>
      <w:bookmarkEnd w:id="124"/>
    </w:p>
    <w:p w14:paraId="1EC73DF7">
      <w:pPr>
        <w:pStyle w:val="6"/>
        <w:keepNext w:val="0"/>
        <w:keepLines w:val="0"/>
        <w:spacing w:before="0" w:after="0" w:line="360" w:lineRule="auto"/>
        <w:ind w:firstLine="482" w:firstLineChars="200"/>
        <w:rPr>
          <w:rFonts w:ascii="黑体" w:hAnsi="黑体" w:eastAsia="黑体"/>
          <w:color w:val="auto"/>
          <w:sz w:val="24"/>
          <w:highlight w:val="none"/>
        </w:rPr>
      </w:pPr>
      <w:r>
        <w:rPr>
          <w:rFonts w:hint="eastAsia" w:ascii="黑体" w:hAnsi="黑体" w:eastAsia="黑体"/>
          <w:color w:val="auto"/>
          <w:sz w:val="24"/>
          <w:highlight w:val="none"/>
        </w:rPr>
        <w:t>25.资格审查</w:t>
      </w:r>
    </w:p>
    <w:p w14:paraId="76565F64">
      <w:pPr>
        <w:spacing w:line="360" w:lineRule="auto"/>
        <w:ind w:firstLine="422" w:firstLineChars="200"/>
        <w:rPr>
          <w:rFonts w:ascii="宋体" w:hAnsi="宋体"/>
          <w:b/>
          <w:bCs/>
          <w:color w:val="auto"/>
          <w:szCs w:val="20"/>
          <w:highlight w:val="none"/>
        </w:rPr>
      </w:pPr>
      <w:r>
        <w:rPr>
          <w:rFonts w:hint="eastAsia" w:ascii="宋体" w:hAnsi="宋体"/>
          <w:b/>
          <w:bCs/>
          <w:color w:val="auto"/>
          <w:szCs w:val="20"/>
          <w:highlight w:val="none"/>
        </w:rPr>
        <w:t xml:space="preserve"> 25.1</w:t>
      </w:r>
      <w:r>
        <w:rPr>
          <w:rFonts w:ascii="宋体" w:hAnsi="宋体"/>
          <w:b/>
          <w:bCs/>
          <w:color w:val="auto"/>
          <w:szCs w:val="20"/>
          <w:highlight w:val="none"/>
        </w:rPr>
        <w:t>开标结束后，</w:t>
      </w:r>
      <w:r>
        <w:rPr>
          <w:rFonts w:hint="eastAsia" w:ascii="宋体" w:hAnsi="宋体"/>
          <w:b/>
          <w:bCs/>
          <w:color w:val="auto"/>
          <w:szCs w:val="20"/>
          <w:highlight w:val="none"/>
        </w:rPr>
        <w:t>采购人或采购机构</w:t>
      </w:r>
      <w:r>
        <w:rPr>
          <w:rFonts w:ascii="宋体" w:hAnsi="宋体"/>
          <w:b/>
          <w:bCs/>
          <w:color w:val="auto"/>
          <w:szCs w:val="20"/>
          <w:highlight w:val="none"/>
        </w:rPr>
        <w:t>依法</w:t>
      </w:r>
      <w:r>
        <w:rPr>
          <w:rFonts w:hint="eastAsia" w:ascii="宋体" w:hAnsi="宋体"/>
          <w:b/>
          <w:bCs/>
          <w:color w:val="auto"/>
          <w:szCs w:val="20"/>
          <w:highlight w:val="none"/>
        </w:rPr>
        <w:t>通过电子投标文件</w:t>
      </w:r>
      <w:r>
        <w:rPr>
          <w:rFonts w:ascii="宋体" w:hAnsi="宋体"/>
          <w:b/>
          <w:bCs/>
          <w:color w:val="auto"/>
          <w:szCs w:val="20"/>
          <w:highlight w:val="none"/>
        </w:rPr>
        <w:t>对投标人的资格进行</w:t>
      </w:r>
      <w:r>
        <w:rPr>
          <w:rFonts w:hint="eastAsia" w:ascii="宋体" w:hAnsi="宋体"/>
          <w:b/>
          <w:bCs/>
          <w:color w:val="auto"/>
          <w:szCs w:val="20"/>
          <w:highlight w:val="none"/>
        </w:rPr>
        <w:t>线上</w:t>
      </w:r>
      <w:r>
        <w:rPr>
          <w:rFonts w:ascii="宋体" w:hAnsi="宋体"/>
          <w:b/>
          <w:bCs/>
          <w:color w:val="auto"/>
          <w:szCs w:val="20"/>
          <w:highlight w:val="none"/>
        </w:rPr>
        <w:t>审查。</w:t>
      </w:r>
    </w:p>
    <w:p w14:paraId="235FD922">
      <w:pPr>
        <w:spacing w:line="360" w:lineRule="auto"/>
        <w:ind w:firstLine="422" w:firstLineChars="200"/>
        <w:rPr>
          <w:rFonts w:ascii="宋体" w:hAnsi="宋体"/>
          <w:b/>
          <w:bCs/>
          <w:color w:val="auto"/>
          <w:szCs w:val="20"/>
          <w:highlight w:val="none"/>
        </w:rPr>
      </w:pPr>
      <w:r>
        <w:rPr>
          <w:rFonts w:hint="eastAsia" w:ascii="宋体" w:hAnsi="宋体"/>
          <w:b/>
          <w:bCs/>
          <w:color w:val="auto"/>
          <w:szCs w:val="20"/>
          <w:highlight w:val="none"/>
        </w:rPr>
        <w:t xml:space="preserve"> 25.2采购人或采购机构依据法律法规和招标文件的规定，对投标人的基本资格条件、特定资格条件进行审查。</w:t>
      </w:r>
    </w:p>
    <w:p w14:paraId="47F11EE8">
      <w:pPr>
        <w:spacing w:line="360" w:lineRule="auto"/>
        <w:ind w:firstLine="420" w:firstLineChars="200"/>
        <w:rPr>
          <w:rFonts w:ascii="宋体" w:hAnsi="宋体"/>
          <w:color w:val="auto"/>
          <w:highlight w:val="none"/>
        </w:rPr>
      </w:pPr>
      <w:r>
        <w:rPr>
          <w:rFonts w:hint="eastAsia" w:ascii="宋体" w:hAnsi="宋体"/>
          <w:color w:val="auto"/>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59D60A1C">
      <w:pPr>
        <w:spacing w:line="360" w:lineRule="auto"/>
        <w:ind w:firstLine="422" w:firstLineChars="200"/>
        <w:rPr>
          <w:rFonts w:ascii="宋体" w:hAnsi="宋体"/>
          <w:b/>
          <w:bCs/>
          <w:color w:val="auto"/>
          <w:szCs w:val="20"/>
          <w:highlight w:val="none"/>
        </w:rPr>
      </w:pPr>
      <w:bookmarkStart w:id="125" w:name="_25.3_投标人有下列情形之一的，资格审查不通过而导致其投标无效："/>
      <w:bookmarkEnd w:id="125"/>
      <w:r>
        <w:rPr>
          <w:rFonts w:hint="eastAsia" w:ascii="宋体" w:hAnsi="宋体"/>
          <w:b/>
          <w:bCs/>
          <w:color w:val="auto"/>
          <w:szCs w:val="20"/>
          <w:highlight w:val="none"/>
        </w:rPr>
        <w:t>25.4投标人有下列情形之一的，资格审查不通过，作无效投标处理：</w:t>
      </w:r>
    </w:p>
    <w:p w14:paraId="767F09BD">
      <w:pPr>
        <w:spacing w:line="360" w:lineRule="auto"/>
        <w:ind w:firstLine="420" w:firstLineChars="200"/>
        <w:rPr>
          <w:rFonts w:hAnsi="宋体"/>
          <w:color w:val="auto"/>
          <w:highlight w:val="none"/>
        </w:rPr>
      </w:pPr>
      <w:r>
        <w:rPr>
          <w:rFonts w:hint="eastAsia" w:hAnsi="宋体"/>
          <w:color w:val="auto"/>
          <w:highlight w:val="none"/>
        </w:rPr>
        <w:t>（1）不具备招标文件中规定的资格要求的；（注：其中信用查询规则见“投标人须知前附表”，</w:t>
      </w:r>
      <w:r>
        <w:rPr>
          <w:rFonts w:hint="eastAsia" w:hAnsi="宋体"/>
          <w:color w:val="auto"/>
          <w:highlight w:val="none"/>
          <w:lang w:eastAsia="zh-CN"/>
        </w:rPr>
        <w:t>广西政府采购云平台</w:t>
      </w:r>
      <w:r>
        <w:rPr>
          <w:rFonts w:hint="eastAsia" w:hAnsi="宋体"/>
          <w:color w:val="auto"/>
          <w:highlight w:val="none"/>
        </w:rPr>
        <w:t>已与“信用中国”平台做接口，审查专家可直接在线查询）</w:t>
      </w:r>
    </w:p>
    <w:p w14:paraId="1CF2469B">
      <w:pPr>
        <w:spacing w:line="360" w:lineRule="auto"/>
        <w:ind w:firstLine="420" w:firstLineChars="200"/>
        <w:rPr>
          <w:rFonts w:hAnsi="宋体"/>
          <w:color w:val="auto"/>
          <w:highlight w:val="none"/>
        </w:rPr>
      </w:pPr>
      <w:r>
        <w:rPr>
          <w:rFonts w:hint="eastAsia" w:hAnsi="宋体"/>
          <w:color w:val="auto"/>
          <w:highlight w:val="none"/>
        </w:rPr>
        <w:t>（2）投标文件未提供任一项“投标人须知前附表”资格证明文件规定的“必须提供”的文件资料的；</w:t>
      </w:r>
    </w:p>
    <w:p w14:paraId="72267183">
      <w:pPr>
        <w:spacing w:line="360" w:lineRule="auto"/>
        <w:ind w:firstLine="420" w:firstLineChars="200"/>
        <w:rPr>
          <w:rFonts w:hAnsi="宋体"/>
          <w:color w:val="auto"/>
          <w:highlight w:val="none"/>
        </w:rPr>
      </w:pPr>
      <w:r>
        <w:rPr>
          <w:rFonts w:hint="eastAsia" w:hAnsi="宋体"/>
          <w:color w:val="auto"/>
          <w:highlight w:val="none"/>
        </w:rPr>
        <w:t>（3）投标文件提供的资格证明文件出现任一项不符合“投标人须知前附表”资格证明文件规定的“必须提供”的文件资料要求或者无效的。</w:t>
      </w:r>
    </w:p>
    <w:p w14:paraId="0B65D90D">
      <w:pPr>
        <w:pStyle w:val="6"/>
        <w:keepNext w:val="0"/>
        <w:keepLines w:val="0"/>
        <w:spacing w:before="0" w:after="0" w:line="360" w:lineRule="auto"/>
        <w:ind w:firstLine="420" w:firstLineChars="200"/>
        <w:rPr>
          <w:rFonts w:ascii="宋体" w:hAnsi="宋体"/>
          <w:b w:val="0"/>
          <w:color w:val="auto"/>
          <w:sz w:val="21"/>
          <w:szCs w:val="20"/>
          <w:highlight w:val="none"/>
        </w:rPr>
      </w:pPr>
      <w:r>
        <w:rPr>
          <w:rFonts w:hint="eastAsia" w:ascii="宋体" w:hAnsi="宋体"/>
          <w:b w:val="0"/>
          <w:color w:val="auto"/>
          <w:sz w:val="21"/>
          <w:szCs w:val="20"/>
          <w:highlight w:val="none"/>
        </w:rPr>
        <w:t>25.5资格审查的</w:t>
      </w:r>
      <w:r>
        <w:rPr>
          <w:rFonts w:ascii="宋体" w:hAnsi="宋体"/>
          <w:b w:val="0"/>
          <w:color w:val="auto"/>
          <w:sz w:val="21"/>
          <w:szCs w:val="20"/>
          <w:highlight w:val="none"/>
        </w:rPr>
        <w:t>合格投标人不足3家的，不得评标。</w:t>
      </w:r>
    </w:p>
    <w:p w14:paraId="3E3D5098">
      <w:pPr>
        <w:pStyle w:val="4"/>
        <w:keepNext w:val="0"/>
        <w:keepLines w:val="0"/>
        <w:spacing w:line="360" w:lineRule="auto"/>
        <w:jc w:val="center"/>
        <w:rPr>
          <w:color w:val="auto"/>
          <w:highlight w:val="none"/>
        </w:rPr>
      </w:pPr>
      <w:bookmarkStart w:id="126" w:name="_Toc89075999"/>
      <w:r>
        <w:rPr>
          <w:rFonts w:hint="eastAsia"/>
          <w:color w:val="auto"/>
          <w:highlight w:val="none"/>
        </w:rPr>
        <w:t>六、评   标</w:t>
      </w:r>
      <w:bookmarkEnd w:id="126"/>
    </w:p>
    <w:p w14:paraId="0511EA4A">
      <w:pPr>
        <w:spacing w:line="360" w:lineRule="auto"/>
        <w:ind w:firstLine="480" w:firstLineChars="200"/>
        <w:rPr>
          <w:rFonts w:ascii="黑体" w:hAnsi="黑体" w:eastAsia="黑体"/>
          <w:color w:val="auto"/>
          <w:sz w:val="24"/>
          <w:highlight w:val="none"/>
        </w:rPr>
      </w:pPr>
      <w:bookmarkStart w:id="127" w:name="_26.组建评标委员会"/>
      <w:bookmarkEnd w:id="127"/>
      <w:r>
        <w:rPr>
          <w:rFonts w:hint="eastAsia" w:ascii="黑体" w:hAnsi="黑体" w:eastAsia="黑体"/>
          <w:color w:val="auto"/>
          <w:sz w:val="24"/>
          <w:highlight w:val="none"/>
        </w:rPr>
        <w:t>26.组建评标委员会</w:t>
      </w:r>
    </w:p>
    <w:p w14:paraId="1049C13A">
      <w:pPr>
        <w:spacing w:line="360" w:lineRule="auto"/>
        <w:ind w:firstLine="420" w:firstLineChars="200"/>
        <w:rPr>
          <w:rFonts w:hAnsi="宋体"/>
          <w:color w:val="auto"/>
          <w:highlight w:val="none"/>
        </w:rPr>
      </w:pPr>
      <w:r>
        <w:rPr>
          <w:rFonts w:hint="eastAsia" w:hAnsi="宋体"/>
          <w:color w:val="auto"/>
          <w:highlight w:val="none"/>
        </w:rPr>
        <w:t>评标委员会由采购人代表和评审专家组成，人</w:t>
      </w:r>
      <w:r>
        <w:rPr>
          <w:rFonts w:hint="eastAsia" w:ascii="宋体" w:hAnsi="宋体" w:cs="宋体"/>
          <w:color w:val="auto"/>
          <w:highlight w:val="none"/>
        </w:rPr>
        <w:t>数为</w:t>
      </w:r>
      <w:r>
        <w:rPr>
          <w:rFonts w:hint="eastAsia" w:ascii="宋体" w:hAnsi="宋体" w:cs="宋体"/>
          <w:color w:val="auto"/>
          <w:highlight w:val="none"/>
          <w:lang w:val="en-US" w:eastAsia="zh-CN"/>
        </w:rPr>
        <w:t>5</w:t>
      </w:r>
      <w:r>
        <w:rPr>
          <w:rFonts w:hint="eastAsia" w:ascii="宋体" w:hAnsi="宋体" w:cs="宋体"/>
          <w:color w:val="auto"/>
          <w:highlight w:val="none"/>
        </w:rPr>
        <w:t>人以上</w:t>
      </w:r>
      <w:r>
        <w:rPr>
          <w:rFonts w:hint="eastAsia" w:hAnsi="宋体"/>
          <w:color w:val="auto"/>
          <w:highlight w:val="none"/>
        </w:rPr>
        <w:t>单数，其中评审专家不得少于成员总数的三分之二。</w:t>
      </w:r>
    </w:p>
    <w:p w14:paraId="5D2150C8">
      <w:pPr>
        <w:spacing w:line="360" w:lineRule="auto"/>
        <w:ind w:firstLine="420" w:firstLineChars="200"/>
        <w:rPr>
          <w:rFonts w:hAnsi="宋体"/>
          <w:color w:val="auto"/>
          <w:highlight w:val="none"/>
        </w:rPr>
      </w:pPr>
      <w:r>
        <w:rPr>
          <w:rFonts w:hint="eastAsia" w:hAnsi="宋体"/>
          <w:color w:val="auto"/>
          <w:highlight w:val="none"/>
        </w:rPr>
        <w:t>参加过采购项目前期咨询论证的专家，不得参加该采购项目的评审活动。</w:t>
      </w:r>
    </w:p>
    <w:p w14:paraId="46CCC07B">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27.评标的依据</w:t>
      </w:r>
    </w:p>
    <w:p w14:paraId="12EE5B5A">
      <w:pPr>
        <w:spacing w:line="360" w:lineRule="auto"/>
        <w:ind w:firstLine="420" w:firstLineChars="200"/>
        <w:rPr>
          <w:rFonts w:hAnsi="宋体"/>
          <w:color w:val="auto"/>
          <w:highlight w:val="none"/>
        </w:rPr>
      </w:pPr>
      <w:r>
        <w:rPr>
          <w:rFonts w:hint="eastAsia" w:hAnsi="宋体"/>
          <w:color w:val="auto"/>
          <w:highlight w:val="none"/>
        </w:rPr>
        <w:t>评标委员会以招标文件为依据对投标文件进行评审，</w:t>
      </w:r>
      <w:r>
        <w:rPr>
          <w:rFonts w:hint="eastAsia" w:hAnsi="宋体" w:cs="宋体"/>
          <w:color w:val="auto"/>
          <w:highlight w:val="none"/>
        </w:rPr>
        <w:t>“第四章 评标方法和评标标准”</w:t>
      </w:r>
      <w:r>
        <w:rPr>
          <w:rFonts w:hAnsi="宋体"/>
          <w:color w:val="auto"/>
          <w:highlight w:val="none"/>
        </w:rPr>
        <w:t>没有规定的方法、评审因素和标准，不作为评标依据。</w:t>
      </w:r>
    </w:p>
    <w:p w14:paraId="77C83D29">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28.评标原则</w:t>
      </w:r>
    </w:p>
    <w:p w14:paraId="0FFF1E4A">
      <w:pPr>
        <w:spacing w:line="360" w:lineRule="auto"/>
        <w:ind w:firstLine="420" w:firstLineChars="200"/>
        <w:rPr>
          <w:rFonts w:hAnsi="宋体"/>
          <w:color w:val="auto"/>
          <w:highlight w:val="none"/>
        </w:rPr>
      </w:pPr>
      <w:r>
        <w:rPr>
          <w:rFonts w:hint="eastAsia" w:hAnsi="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2A6D7035">
      <w:pPr>
        <w:spacing w:line="360" w:lineRule="auto"/>
        <w:ind w:firstLine="420" w:firstLineChars="200"/>
        <w:rPr>
          <w:rFonts w:hAnsi="宋体"/>
          <w:color w:val="auto"/>
          <w:highlight w:val="none"/>
        </w:rPr>
      </w:pPr>
      <w:r>
        <w:rPr>
          <w:rFonts w:hint="eastAsia" w:hAnsi="宋体"/>
          <w:color w:val="auto"/>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28" w:name="_28.3评标方法。本项目将按须知前附表规定的评标办法进行评标，具体评标"/>
      <w:bookmarkEnd w:id="128"/>
    </w:p>
    <w:p w14:paraId="2C446BB1">
      <w:pPr>
        <w:spacing w:line="360" w:lineRule="auto"/>
        <w:ind w:firstLine="420" w:firstLineChars="200"/>
        <w:rPr>
          <w:rFonts w:hAnsi="宋体"/>
          <w:color w:val="auto"/>
          <w:highlight w:val="none"/>
        </w:rPr>
      </w:pPr>
      <w:r>
        <w:rPr>
          <w:rFonts w:hint="eastAsia" w:hAnsi="宋体"/>
          <w:color w:val="auto"/>
          <w:highlight w:val="none"/>
        </w:rPr>
        <w:t>28.</w:t>
      </w:r>
      <w:r>
        <w:rPr>
          <w:rFonts w:hAnsi="宋体"/>
          <w:color w:val="auto"/>
          <w:highlight w:val="none"/>
        </w:rPr>
        <w:t>3</w:t>
      </w:r>
      <w:r>
        <w:rPr>
          <w:rFonts w:hint="eastAsia" w:hAnsi="宋体"/>
          <w:color w:val="auto"/>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0DFEC68C">
      <w:pPr>
        <w:spacing w:line="360" w:lineRule="auto"/>
        <w:ind w:firstLine="420" w:firstLineChars="200"/>
        <w:rPr>
          <w:rFonts w:hAnsi="宋体"/>
          <w:color w:val="auto"/>
          <w:highlight w:val="none"/>
        </w:rPr>
      </w:pPr>
      <w:r>
        <w:rPr>
          <w:rFonts w:hint="eastAsia" w:hAnsi="宋体"/>
          <w:color w:val="auto"/>
          <w:highlight w:val="none"/>
        </w:rPr>
        <w:t>2</w:t>
      </w:r>
      <w:r>
        <w:rPr>
          <w:rFonts w:hAnsi="宋体"/>
          <w:color w:val="auto"/>
          <w:highlight w:val="none"/>
        </w:rPr>
        <w:t>8.4</w:t>
      </w:r>
      <w:r>
        <w:rPr>
          <w:rFonts w:hint="eastAsia" w:hAnsi="宋体"/>
          <w:color w:val="auto"/>
          <w:highlight w:val="none"/>
        </w:rPr>
        <w:t>评标过程的监控。本项目电子评标过程实行网上留痕、全程录音、录像监控，投标人在评标过程中所进行的试图影响评标结果的不公正活动，可能导致其投标按无效处理。</w:t>
      </w:r>
    </w:p>
    <w:p w14:paraId="590B9541">
      <w:pPr>
        <w:widowControl/>
        <w:spacing w:line="560" w:lineRule="exact"/>
        <w:ind w:firstLine="420" w:firstLineChars="200"/>
        <w:jc w:val="left"/>
        <w:textAlignment w:val="baseline"/>
        <w:rPr>
          <w:rFonts w:hAnsi="宋体"/>
          <w:color w:val="auto"/>
          <w:highlight w:val="none"/>
        </w:rPr>
      </w:pPr>
      <w:r>
        <w:rPr>
          <w:rFonts w:hint="eastAsia" w:hAnsi="宋体"/>
          <w:color w:val="auto"/>
          <w:highlight w:val="none"/>
        </w:rPr>
        <w:t>28.5</w:t>
      </w:r>
      <w:r>
        <w:rPr>
          <w:rFonts w:hAnsi="宋体"/>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1AE197C">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29.评标方法及评标标准</w:t>
      </w:r>
    </w:p>
    <w:p w14:paraId="43D24B04">
      <w:pPr>
        <w:spacing w:line="360" w:lineRule="auto"/>
        <w:ind w:firstLine="420" w:firstLineChars="200"/>
        <w:rPr>
          <w:rFonts w:hAnsi="宋体"/>
          <w:color w:val="auto"/>
          <w:highlight w:val="none"/>
        </w:rPr>
      </w:pPr>
      <w:r>
        <w:rPr>
          <w:rFonts w:hint="eastAsia" w:hAnsi="宋体"/>
          <w:color w:val="auto"/>
          <w:highlight w:val="none"/>
        </w:rPr>
        <w:t>2</w:t>
      </w:r>
      <w:r>
        <w:rPr>
          <w:rFonts w:hAnsi="宋体"/>
          <w:color w:val="auto"/>
          <w:highlight w:val="none"/>
        </w:rPr>
        <w:t>9.1</w:t>
      </w:r>
      <w:r>
        <w:rPr>
          <w:rFonts w:hint="eastAsia" w:hAnsi="宋体"/>
          <w:color w:val="auto"/>
          <w:highlight w:val="none"/>
        </w:rPr>
        <w:t>本项目的评标方法详见“投标人须知前附表”。</w:t>
      </w:r>
    </w:p>
    <w:p w14:paraId="135326C6">
      <w:pPr>
        <w:spacing w:line="360" w:lineRule="auto"/>
        <w:ind w:firstLine="420" w:firstLineChars="200"/>
        <w:rPr>
          <w:rFonts w:hAnsi="宋体"/>
          <w:color w:val="auto"/>
          <w:highlight w:val="none"/>
        </w:rPr>
      </w:pPr>
      <w:r>
        <w:rPr>
          <w:rFonts w:hint="eastAsia" w:hAnsi="宋体"/>
          <w:color w:val="auto"/>
          <w:highlight w:val="none"/>
        </w:rPr>
        <w:t>2</w:t>
      </w:r>
      <w:r>
        <w:rPr>
          <w:rFonts w:hAnsi="宋体"/>
          <w:color w:val="auto"/>
          <w:highlight w:val="none"/>
        </w:rPr>
        <w:t>9.2评标委员会按照</w:t>
      </w:r>
      <w:r>
        <w:rPr>
          <w:rFonts w:hint="eastAsia" w:hAnsi="宋体" w:cs="宋体"/>
          <w:b/>
          <w:color w:val="auto"/>
          <w:highlight w:val="none"/>
        </w:rPr>
        <w:t>“第四章 评标方法和评标标准”</w:t>
      </w:r>
      <w:r>
        <w:rPr>
          <w:rFonts w:hAnsi="宋体"/>
          <w:color w:val="auto"/>
          <w:highlight w:val="none"/>
        </w:rPr>
        <w:t>规定的方法、评审因素、标准和程序对投标文件进行评审。</w:t>
      </w:r>
    </w:p>
    <w:p w14:paraId="10E63E7D">
      <w:pPr>
        <w:spacing w:line="360" w:lineRule="auto"/>
        <w:ind w:firstLine="420" w:firstLineChars="200"/>
        <w:rPr>
          <w:rFonts w:hAnsi="宋体"/>
          <w:color w:val="auto"/>
          <w:highlight w:val="none"/>
        </w:rPr>
      </w:pPr>
      <w:r>
        <w:rPr>
          <w:rFonts w:hint="eastAsia" w:hAnsi="宋体"/>
          <w:color w:val="auto"/>
          <w:highlight w:val="none"/>
        </w:rPr>
        <w:t>29.3 电子交易活动的中止。采购过程中出现以下情形，导致电子交易平台无法正常运行，或者无法保证电子交易的公平、公正和安全时，采购机构可中止电子交易活动：</w:t>
      </w:r>
    </w:p>
    <w:p w14:paraId="70C31285">
      <w:pPr>
        <w:spacing w:line="360" w:lineRule="auto"/>
        <w:ind w:firstLine="420" w:firstLineChars="200"/>
        <w:rPr>
          <w:rFonts w:hAnsi="宋体"/>
          <w:color w:val="auto"/>
          <w:highlight w:val="none"/>
        </w:rPr>
      </w:pPr>
      <w:r>
        <w:rPr>
          <w:rFonts w:hint="eastAsia" w:hAnsi="宋体"/>
          <w:color w:val="auto"/>
          <w:highlight w:val="none"/>
        </w:rPr>
        <w:t xml:space="preserve">（1）电子交易平台发生故障而无法登录访问的； </w:t>
      </w:r>
    </w:p>
    <w:p w14:paraId="72DE2955">
      <w:pPr>
        <w:spacing w:line="360" w:lineRule="auto"/>
        <w:ind w:firstLine="420" w:firstLineChars="200"/>
        <w:rPr>
          <w:rFonts w:hAnsi="宋体"/>
          <w:color w:val="auto"/>
          <w:highlight w:val="none"/>
        </w:rPr>
      </w:pPr>
      <w:r>
        <w:rPr>
          <w:rFonts w:hint="eastAsia" w:hAnsi="宋体"/>
          <w:color w:val="auto"/>
          <w:highlight w:val="none"/>
        </w:rPr>
        <w:t>（2）电子交易平台应用或数据库出现错误，不能进行正常操作的；</w:t>
      </w:r>
    </w:p>
    <w:p w14:paraId="608F2830">
      <w:pPr>
        <w:spacing w:line="360" w:lineRule="auto"/>
        <w:ind w:firstLine="420" w:firstLineChars="200"/>
        <w:rPr>
          <w:rFonts w:hAnsi="宋体"/>
          <w:color w:val="auto"/>
          <w:highlight w:val="none"/>
        </w:rPr>
      </w:pPr>
      <w:r>
        <w:rPr>
          <w:rFonts w:hint="eastAsia" w:hAnsi="宋体"/>
          <w:color w:val="auto"/>
          <w:highlight w:val="none"/>
        </w:rPr>
        <w:t>（3）电子交易平台发现严重安全漏洞，有潜在泄密危险的；</w:t>
      </w:r>
    </w:p>
    <w:p w14:paraId="6F7F9106">
      <w:pPr>
        <w:spacing w:line="360" w:lineRule="auto"/>
        <w:ind w:firstLine="420" w:firstLineChars="200"/>
        <w:rPr>
          <w:rFonts w:hAnsi="宋体"/>
          <w:color w:val="auto"/>
          <w:highlight w:val="none"/>
        </w:rPr>
      </w:pPr>
      <w:r>
        <w:rPr>
          <w:rFonts w:hint="eastAsia" w:hAnsi="宋体"/>
          <w:color w:val="auto"/>
          <w:highlight w:val="none"/>
        </w:rPr>
        <w:t xml:space="preserve">（4）病毒发作导致不能进行正常操作的； </w:t>
      </w:r>
    </w:p>
    <w:p w14:paraId="15ED429C">
      <w:pPr>
        <w:spacing w:line="360" w:lineRule="auto"/>
        <w:ind w:firstLine="420" w:firstLineChars="200"/>
        <w:rPr>
          <w:rFonts w:hAnsi="宋体"/>
          <w:color w:val="auto"/>
          <w:highlight w:val="none"/>
        </w:rPr>
      </w:pPr>
      <w:r>
        <w:rPr>
          <w:rFonts w:hint="eastAsia" w:hAnsi="宋体"/>
          <w:color w:val="auto"/>
          <w:highlight w:val="none"/>
        </w:rPr>
        <w:t>（4）其他无法保证电子交易的公平、公正和安全的情况。</w:t>
      </w:r>
    </w:p>
    <w:p w14:paraId="6F7CF2F2">
      <w:pPr>
        <w:spacing w:line="360" w:lineRule="auto"/>
        <w:ind w:firstLine="420" w:firstLineChars="200"/>
        <w:rPr>
          <w:rFonts w:hAnsi="宋体"/>
          <w:color w:val="auto"/>
          <w:highlight w:val="none"/>
        </w:rPr>
      </w:pPr>
      <w:r>
        <w:rPr>
          <w:rFonts w:hint="eastAsia" w:hAnsi="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2FC0815E">
      <w:pPr>
        <w:pStyle w:val="13"/>
        <w:snapToGrid w:val="0"/>
        <w:spacing w:line="400" w:lineRule="exact"/>
        <w:ind w:firstLine="420" w:firstLineChars="200"/>
        <w:rPr>
          <w:rFonts w:hAnsi="宋体"/>
          <w:color w:val="auto"/>
          <w:highlight w:val="none"/>
        </w:rPr>
      </w:pPr>
    </w:p>
    <w:p w14:paraId="306A8DDE">
      <w:pPr>
        <w:pStyle w:val="4"/>
        <w:keepNext w:val="0"/>
        <w:keepLines w:val="0"/>
        <w:spacing w:line="400" w:lineRule="exact"/>
        <w:jc w:val="center"/>
        <w:rPr>
          <w:color w:val="auto"/>
          <w:highlight w:val="none"/>
        </w:rPr>
      </w:pPr>
      <w:bookmarkStart w:id="129" w:name="_Toc254970687"/>
      <w:bookmarkStart w:id="130" w:name="_Toc254970546"/>
      <w:bookmarkStart w:id="131" w:name="_Toc89076000"/>
      <w:r>
        <w:rPr>
          <w:rFonts w:hint="eastAsia"/>
          <w:color w:val="auto"/>
          <w:highlight w:val="none"/>
        </w:rPr>
        <w:t>七、</w:t>
      </w:r>
      <w:bookmarkEnd w:id="129"/>
      <w:bookmarkEnd w:id="130"/>
      <w:r>
        <w:rPr>
          <w:rFonts w:hint="eastAsia"/>
          <w:color w:val="auto"/>
          <w:highlight w:val="none"/>
        </w:rPr>
        <w:t>中标和合同</w:t>
      </w:r>
      <w:bookmarkEnd w:id="131"/>
    </w:p>
    <w:p w14:paraId="2546E21C">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30.确定中标人</w:t>
      </w:r>
    </w:p>
    <w:p w14:paraId="28803D87">
      <w:pPr>
        <w:spacing w:line="360" w:lineRule="auto"/>
        <w:ind w:firstLine="422" w:firstLineChars="200"/>
        <w:rPr>
          <w:rFonts w:ascii="宋体" w:hAnsi="宋体" w:cs="Courier New"/>
          <w:b/>
          <w:bCs/>
          <w:color w:val="auto"/>
          <w:szCs w:val="21"/>
          <w:highlight w:val="none"/>
        </w:rPr>
      </w:pPr>
      <w:r>
        <w:rPr>
          <w:rFonts w:ascii="宋体" w:hAnsi="宋体" w:cs="Courier New"/>
          <w:b/>
          <w:bCs/>
          <w:color w:val="auto"/>
          <w:szCs w:val="21"/>
          <w:highlight w:val="none"/>
        </w:rPr>
        <w:t>30.1</w:t>
      </w:r>
      <w:r>
        <w:rPr>
          <w:rFonts w:hint="eastAsia" w:ascii="宋体" w:hAnsi="宋体" w:cs="Courier New"/>
          <w:b/>
          <w:bCs/>
          <w:color w:val="auto"/>
          <w:szCs w:val="21"/>
          <w:highlight w:val="none"/>
        </w:rPr>
        <w:t>本项目</w:t>
      </w:r>
      <w:r>
        <w:rPr>
          <w:rFonts w:hint="eastAsia" w:ascii="宋体" w:hAnsi="宋体" w:cs="Courier New"/>
          <w:b/>
          <w:bCs/>
          <w:color w:val="auto"/>
          <w:szCs w:val="21"/>
          <w:highlight w:val="none"/>
          <w:lang w:val="en-US" w:eastAsia="zh-CN"/>
        </w:rPr>
        <w:t>由</w:t>
      </w:r>
      <w:r>
        <w:rPr>
          <w:rFonts w:hint="eastAsia" w:ascii="宋体" w:hAnsi="宋体" w:cs="Courier New"/>
          <w:b/>
          <w:bCs/>
          <w:color w:val="auto"/>
          <w:szCs w:val="21"/>
          <w:highlight w:val="none"/>
        </w:rPr>
        <w:t>评标委员会按第四章“评标方法及标准”的规定排列顺序，并依照次序</w:t>
      </w:r>
      <w:r>
        <w:rPr>
          <w:rFonts w:hint="eastAsia" w:ascii="宋体" w:hAnsi="宋体" w:cs="Courier New"/>
          <w:b/>
          <w:bCs/>
          <w:color w:val="auto"/>
          <w:szCs w:val="21"/>
          <w:highlight w:val="none"/>
          <w:lang w:val="en-US" w:eastAsia="zh-CN"/>
        </w:rPr>
        <w:t>推荐</w:t>
      </w:r>
      <w:r>
        <w:rPr>
          <w:rFonts w:hint="eastAsia" w:ascii="宋体" w:hAnsi="宋体" w:cs="Courier New"/>
          <w:b/>
          <w:bCs/>
          <w:color w:val="auto"/>
          <w:szCs w:val="21"/>
          <w:highlight w:val="none"/>
        </w:rPr>
        <w:t>中标</w:t>
      </w:r>
      <w:r>
        <w:rPr>
          <w:rFonts w:hint="eastAsia" w:ascii="宋体" w:hAnsi="宋体" w:cs="Courier New"/>
          <w:b/>
          <w:bCs/>
          <w:color w:val="auto"/>
          <w:szCs w:val="21"/>
          <w:highlight w:val="none"/>
          <w:lang w:val="en-US" w:eastAsia="zh-CN"/>
        </w:rPr>
        <w:t>候选</w:t>
      </w:r>
      <w:r>
        <w:rPr>
          <w:rFonts w:hint="eastAsia" w:ascii="宋体" w:hAnsi="宋体" w:cs="Courier New"/>
          <w:b/>
          <w:bCs/>
          <w:color w:val="auto"/>
          <w:szCs w:val="21"/>
          <w:highlight w:val="none"/>
        </w:rPr>
        <w:t>人。</w:t>
      </w:r>
      <w:r>
        <w:rPr>
          <w:rFonts w:hint="eastAsia" w:ascii="宋体" w:hAnsi="宋体" w:cs="Courier New"/>
          <w:b/>
          <w:bCs/>
          <w:color w:val="auto"/>
          <w:szCs w:val="21"/>
          <w:highlight w:val="none"/>
          <w:lang w:val="en-US" w:eastAsia="zh-CN"/>
        </w:rPr>
        <w:t>采购人</w:t>
      </w:r>
      <w:r>
        <w:rPr>
          <w:rFonts w:hint="eastAsia" w:ascii="宋体" w:hAnsi="宋体" w:cs="Courier New"/>
          <w:b/>
          <w:bCs/>
          <w:color w:val="auto"/>
          <w:szCs w:val="21"/>
          <w:highlight w:val="none"/>
        </w:rPr>
        <w:t>自收到评审报告之日起5个工作日内</w:t>
      </w:r>
      <w:r>
        <w:rPr>
          <w:rFonts w:hint="eastAsia" w:ascii="宋体" w:hAnsi="宋体" w:cs="Courier New"/>
          <w:b/>
          <w:bCs/>
          <w:color w:val="auto"/>
          <w:szCs w:val="21"/>
          <w:highlight w:val="none"/>
          <w:lang w:val="en-US" w:eastAsia="zh-CN"/>
        </w:rPr>
        <w:t>确定中标人</w:t>
      </w:r>
      <w:r>
        <w:rPr>
          <w:rFonts w:hint="eastAsia" w:ascii="宋体" w:hAnsi="宋体" w:cs="Courier New"/>
          <w:b/>
          <w:bCs/>
          <w:color w:val="auto"/>
          <w:szCs w:val="21"/>
          <w:highlight w:val="none"/>
          <w:lang w:eastAsia="zh-CN"/>
        </w:rPr>
        <w:t>。</w:t>
      </w:r>
    </w:p>
    <w:p w14:paraId="65A90F66">
      <w:pPr>
        <w:spacing w:line="360" w:lineRule="auto"/>
        <w:ind w:firstLine="422" w:firstLineChars="200"/>
        <w:rPr>
          <w:rFonts w:ascii="宋体" w:hAnsi="宋体" w:cs="Courier New"/>
          <w:b/>
          <w:bCs/>
          <w:color w:val="auto"/>
          <w:szCs w:val="21"/>
          <w:highlight w:val="none"/>
        </w:rPr>
      </w:pPr>
      <w:r>
        <w:rPr>
          <w:rFonts w:hint="eastAsia" w:ascii="宋体" w:hAnsi="宋体" w:cs="Courier New"/>
          <w:b/>
          <w:bCs/>
          <w:color w:val="auto"/>
          <w:szCs w:val="21"/>
          <w:highlight w:val="none"/>
        </w:rPr>
        <w:t>30.2提供相同品牌产品且通过资格审查、符合性审查的不同投标人参加同一合同项下投标的，按一家投标人计算，采用最低评标价法则以报价最低者参与评标，采用综合评分法则以评审得分最高者获得中标人推荐资格，采用最低评标价法报价相同的或者采用综合评分法评审得分相同的，按“投标人须知前附表”规定方式确定，确定后其他同品牌投标人投标无效或不作为中标候选人。</w:t>
      </w:r>
    </w:p>
    <w:p w14:paraId="50393380">
      <w:pPr>
        <w:spacing w:line="360" w:lineRule="auto"/>
        <w:ind w:firstLine="420" w:firstLineChars="200"/>
        <w:rPr>
          <w:rFonts w:ascii="宋体" w:hAnsi="宋体" w:cs="Courier New"/>
          <w:color w:val="auto"/>
          <w:szCs w:val="21"/>
          <w:highlight w:val="none"/>
        </w:rPr>
      </w:pPr>
      <w:r>
        <w:rPr>
          <w:rFonts w:ascii="宋体" w:hAnsi="宋体" w:cs="Courier New"/>
          <w:color w:val="auto"/>
          <w:szCs w:val="21"/>
          <w:highlight w:val="none"/>
        </w:rPr>
        <w:t>30.</w:t>
      </w:r>
      <w:r>
        <w:rPr>
          <w:rFonts w:hint="eastAsia" w:ascii="宋体" w:hAnsi="宋体" w:cs="Courier New"/>
          <w:color w:val="auto"/>
          <w:szCs w:val="21"/>
          <w:highlight w:val="none"/>
        </w:rPr>
        <w:t>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23395C5E">
      <w:pPr>
        <w:spacing w:line="360" w:lineRule="auto"/>
        <w:ind w:firstLine="420" w:firstLineChars="200"/>
        <w:rPr>
          <w:rFonts w:ascii="宋体" w:hAnsi="宋体" w:cs="Courier New"/>
          <w:color w:val="auto"/>
          <w:szCs w:val="21"/>
          <w:highlight w:val="none"/>
        </w:rPr>
      </w:pPr>
      <w:r>
        <w:rPr>
          <w:rFonts w:ascii="宋体" w:hAnsi="宋体" w:cs="Courier New"/>
          <w:color w:val="auto"/>
          <w:szCs w:val="21"/>
          <w:highlight w:val="none"/>
        </w:rPr>
        <w:t>30.</w:t>
      </w:r>
      <w:r>
        <w:rPr>
          <w:rFonts w:hint="eastAsia" w:ascii="宋体" w:hAnsi="宋体" w:cs="Courier New"/>
          <w:color w:val="auto"/>
          <w:szCs w:val="21"/>
          <w:highlight w:val="none"/>
        </w:rPr>
        <w:t>4中标供应商无正当理由拒签合同的，根据《中华人民共和国政府采购法》第七十七条第一款规定处理。</w:t>
      </w:r>
    </w:p>
    <w:p w14:paraId="3AF65B18">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30.5根据《中华人民共和国民法典》</w:t>
      </w:r>
      <w:r>
        <w:rPr>
          <w:rFonts w:ascii="宋体" w:hAnsi="宋体" w:cs="Courier New"/>
          <w:color w:val="auto"/>
          <w:szCs w:val="21"/>
          <w:highlight w:val="none"/>
        </w:rPr>
        <w:t>第五百六十三条</w:t>
      </w:r>
      <w:r>
        <w:rPr>
          <w:rFonts w:hint="eastAsia" w:ascii="宋体" w:hAnsi="宋体" w:cs="Courier New"/>
          <w:color w:val="auto"/>
          <w:szCs w:val="21"/>
          <w:highlight w:val="none"/>
        </w:rPr>
        <w:t>，因不可抗力致使不能实现合同目的的，当事人可以解除合同。</w:t>
      </w:r>
    </w:p>
    <w:p w14:paraId="62CDF856">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31. 结果公告</w:t>
      </w:r>
    </w:p>
    <w:p w14:paraId="7135AD2D">
      <w:pPr>
        <w:spacing w:line="360" w:lineRule="auto"/>
        <w:ind w:firstLine="420" w:firstLineChars="200"/>
        <w:rPr>
          <w:rFonts w:hAnsi="宋体" w:cs="宋体"/>
          <w:color w:val="auto"/>
          <w:highlight w:val="none"/>
        </w:rPr>
      </w:pPr>
      <w:r>
        <w:rPr>
          <w:rFonts w:hint="eastAsia" w:hAnsi="宋体"/>
          <w:color w:val="auto"/>
          <w:szCs w:val="21"/>
          <w:highlight w:val="none"/>
        </w:rPr>
        <w:t>3</w:t>
      </w:r>
      <w:r>
        <w:rPr>
          <w:rFonts w:hAnsi="宋体"/>
          <w:color w:val="auto"/>
          <w:szCs w:val="21"/>
          <w:highlight w:val="none"/>
        </w:rPr>
        <w:t>1.1</w:t>
      </w:r>
      <w:r>
        <w:rPr>
          <w:rFonts w:hint="eastAsia" w:hAnsi="宋体" w:cs="宋体"/>
          <w:color w:val="auto"/>
          <w:highlight w:val="none"/>
        </w:rPr>
        <w:t>在中标供应商</w:t>
      </w:r>
      <w:r>
        <w:rPr>
          <w:rFonts w:hint="eastAsia" w:hAnsi="宋体" w:cs="Arial"/>
          <w:color w:val="auto"/>
          <w:highlight w:val="none"/>
        </w:rPr>
        <w:t>确定之日起</w:t>
      </w:r>
      <w:r>
        <w:rPr>
          <w:rFonts w:hint="eastAsia" w:hAnsi="宋体" w:cs="宋体"/>
          <w:color w:val="auto"/>
          <w:highlight w:val="none"/>
        </w:rPr>
        <w:t>2个工作日内，由采购代理机构</w:t>
      </w:r>
      <w:r>
        <w:rPr>
          <w:rFonts w:hint="eastAsia" w:hAnsi="宋体"/>
          <w:b/>
          <w:color w:val="auto"/>
          <w:szCs w:val="21"/>
          <w:highlight w:val="none"/>
        </w:rPr>
        <w:t>在招标公告发布媒体上</w:t>
      </w:r>
      <w:r>
        <w:rPr>
          <w:rFonts w:hint="eastAsia" w:hAnsi="宋体" w:cs="宋体"/>
          <w:color w:val="auto"/>
          <w:highlight w:val="none"/>
        </w:rPr>
        <w:t>发布中标结果公告，中标结果公告期限为1个工作日，发布中标结果公告的同时向中标供应商发出中标通知书。</w:t>
      </w:r>
      <w:r>
        <w:rPr>
          <w:rFonts w:hint="eastAsia" w:hAnsi="宋体"/>
          <w:b/>
          <w:color w:val="auto"/>
          <w:szCs w:val="21"/>
          <w:highlight w:val="none"/>
        </w:rPr>
        <w:t>采购代理机构发出中标通知书前，应当对中标人信用进行核实，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hAnsi="宋体"/>
          <w:color w:val="auto"/>
          <w:szCs w:val="21"/>
          <w:highlight w:val="none"/>
        </w:rPr>
        <w:t>排名第二的中标候选人因前款规定的同样原因被取消中标资格的，</w:t>
      </w:r>
      <w:r>
        <w:rPr>
          <w:rFonts w:hint="eastAsia" w:hAnsi="宋体" w:cs="Courier New"/>
          <w:color w:val="auto"/>
          <w:szCs w:val="21"/>
          <w:highlight w:val="none"/>
        </w:rPr>
        <w:t>授权的评标委员会</w:t>
      </w:r>
      <w:r>
        <w:rPr>
          <w:rFonts w:hint="eastAsia" w:hAnsi="宋体"/>
          <w:color w:val="auto"/>
          <w:szCs w:val="21"/>
          <w:highlight w:val="none"/>
        </w:rPr>
        <w:t>可以确定排名第三的中标候选人为中标人，以此类推。</w:t>
      </w:r>
    </w:p>
    <w:p w14:paraId="6AB131EF">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33C61298">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32.发出中标通知书</w:t>
      </w:r>
    </w:p>
    <w:p w14:paraId="073D3DDB">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32.1在发布中标公告的同时，采购代理机构向中标人发出中标通知书。</w:t>
      </w:r>
    </w:p>
    <w:p w14:paraId="397C3E40">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32.2对未通过资格审查的投标人，采购人或采购机构应当告知其未通过的原因；采用综合评分办法评审的，采购人或采购机构还应当告知未中标人本人的评审得分与排序。</w:t>
      </w:r>
    </w:p>
    <w:p w14:paraId="0EAA6877">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33. 无义务解释未中标原因</w:t>
      </w:r>
    </w:p>
    <w:p w14:paraId="458F6A60">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采购代理机构无义务向未中标的投标人解释未中标原因和退还投标文件。</w:t>
      </w:r>
    </w:p>
    <w:p w14:paraId="02E394B2">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34.合同授予标准</w:t>
      </w:r>
    </w:p>
    <w:p w14:paraId="205183C4">
      <w:pPr>
        <w:spacing w:line="360" w:lineRule="auto"/>
        <w:ind w:firstLine="420" w:firstLineChars="200"/>
        <w:rPr>
          <w:rFonts w:ascii="宋体" w:hAnsi="宋体"/>
          <w:color w:val="auto"/>
          <w:szCs w:val="21"/>
          <w:highlight w:val="none"/>
        </w:rPr>
      </w:pPr>
      <w:r>
        <w:rPr>
          <w:rFonts w:hint="eastAsia" w:ascii="宋体" w:hAnsi="宋体" w:cs="Courier New"/>
          <w:color w:val="auto"/>
          <w:szCs w:val="21"/>
          <w:highlight w:val="none"/>
        </w:rPr>
        <w:t>合同将授予被确定实质上响应招标文件要求，具备履行合同能力的中标人（招标文件另有约定多名中标人的除外）。</w:t>
      </w:r>
    </w:p>
    <w:p w14:paraId="59713DFE">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35.履约保证金</w:t>
      </w:r>
    </w:p>
    <w:p w14:paraId="0E46E96E">
      <w:pPr>
        <w:pStyle w:val="59"/>
        <w:snapToGrid w:val="0"/>
        <w:spacing w:before="0"/>
        <w:ind w:firstLine="420"/>
        <w:rPr>
          <w:rFonts w:ascii="宋体" w:hAnsi="宋体"/>
          <w:color w:val="auto"/>
          <w:kern w:val="0"/>
          <w:sz w:val="21"/>
          <w:szCs w:val="21"/>
          <w:highlight w:val="none"/>
          <w:lang w:val="zh-CN"/>
        </w:rPr>
      </w:pPr>
      <w:bookmarkStart w:id="132" w:name="_39.1中标人须于签订合同前按本须知前附表规定的金额转账或电汇到指定账"/>
      <w:bookmarkEnd w:id="132"/>
      <w:r>
        <w:rPr>
          <w:rFonts w:hint="eastAsia" w:ascii="宋体" w:hAnsi="宋体"/>
          <w:color w:val="auto"/>
          <w:kern w:val="0"/>
          <w:sz w:val="21"/>
          <w:szCs w:val="21"/>
          <w:highlight w:val="none"/>
          <w:lang w:val="zh-CN"/>
        </w:rPr>
        <w:t>见“投标人须知前附表”。</w:t>
      </w:r>
    </w:p>
    <w:p w14:paraId="5EF68B6E">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36.签订合同</w:t>
      </w:r>
    </w:p>
    <w:p w14:paraId="1BE34A13">
      <w:pPr>
        <w:pStyle w:val="59"/>
        <w:snapToGrid w:val="0"/>
        <w:spacing w:before="0"/>
        <w:ind w:firstLine="422"/>
        <w:rPr>
          <w:rFonts w:ascii="宋体" w:hAnsi="宋体"/>
          <w:color w:val="auto"/>
          <w:kern w:val="0"/>
          <w:sz w:val="21"/>
          <w:szCs w:val="21"/>
          <w:highlight w:val="none"/>
          <w:lang w:val="zh-CN"/>
        </w:rPr>
      </w:pPr>
      <w:bookmarkStart w:id="133" w:name="_40.1投标人接到中标通知书后，按须知前附表规定向采购人出示相关资格证"/>
      <w:bookmarkEnd w:id="133"/>
      <w:r>
        <w:rPr>
          <w:rFonts w:hint="eastAsia" w:ascii="宋体" w:hAnsi="宋体"/>
          <w:b/>
          <w:color w:val="auto"/>
          <w:sz w:val="21"/>
          <w:szCs w:val="21"/>
          <w:highlight w:val="none"/>
        </w:rPr>
        <w:t xml:space="preserve"> 36.1中标人领取中标通知书后，</w:t>
      </w:r>
      <w:r>
        <w:rPr>
          <w:rFonts w:hint="eastAsia" w:ascii="宋体" w:hAnsi="宋体"/>
          <w:color w:val="auto"/>
          <w:kern w:val="0"/>
          <w:sz w:val="21"/>
          <w:szCs w:val="21"/>
          <w:highlight w:val="none"/>
          <w:lang w:val="zh-CN"/>
        </w:rPr>
        <w:t>按规定的日期、时间、地点，由法定代表人或其授权代表与采购人代表签订采购合同。如中标人为联合体的，由联合体成员各方法定代表人或其授权代表与采购人代表签订合同，签订携带资料详见“投标人须知前附表”。</w:t>
      </w:r>
    </w:p>
    <w:p w14:paraId="7BE99B0D">
      <w:pPr>
        <w:pStyle w:val="59"/>
        <w:snapToGrid w:val="0"/>
        <w:spacing w:before="0"/>
        <w:ind w:firstLine="420"/>
        <w:rPr>
          <w:rFonts w:ascii="宋体" w:hAnsi="宋体"/>
          <w:color w:val="auto"/>
          <w:kern w:val="0"/>
          <w:sz w:val="21"/>
          <w:szCs w:val="21"/>
          <w:highlight w:val="none"/>
          <w:lang w:val="zh-CN"/>
        </w:rPr>
      </w:pPr>
      <w:r>
        <w:rPr>
          <w:rFonts w:hint="eastAsia" w:ascii="宋体" w:hAnsi="宋体"/>
          <w:color w:val="auto"/>
          <w:kern w:val="0"/>
          <w:sz w:val="21"/>
          <w:szCs w:val="21"/>
          <w:highlight w:val="none"/>
          <w:lang w:val="zh-CN"/>
        </w:rPr>
        <w:t>36.2</w:t>
      </w:r>
      <w:r>
        <w:rPr>
          <w:rFonts w:ascii="宋体" w:hAnsi="宋体" w:cs="仿宋_GB2312"/>
          <w:color w:val="auto"/>
          <w:sz w:val="21"/>
          <w:szCs w:val="21"/>
          <w:highlight w:val="none"/>
        </w:rPr>
        <w:t>采购合同由采购人与中标供应商根据</w:t>
      </w:r>
      <w:r>
        <w:rPr>
          <w:rFonts w:hint="eastAsia" w:ascii="宋体" w:hAnsi="宋体" w:cs="仿宋_GB2312"/>
          <w:color w:val="auto"/>
          <w:sz w:val="21"/>
          <w:szCs w:val="21"/>
          <w:highlight w:val="none"/>
        </w:rPr>
        <w:t>招标文件、投标文件等内容签订。</w:t>
      </w:r>
    </w:p>
    <w:p w14:paraId="5A0AAF7E">
      <w:pPr>
        <w:pStyle w:val="59"/>
        <w:snapToGrid w:val="0"/>
        <w:spacing w:before="0"/>
        <w:ind w:firstLine="420"/>
        <w:rPr>
          <w:rFonts w:ascii="宋体" w:hAnsi="宋体" w:cs="仿宋_GB2312"/>
          <w:color w:val="auto"/>
          <w:sz w:val="21"/>
          <w:szCs w:val="21"/>
          <w:highlight w:val="none"/>
        </w:rPr>
      </w:pPr>
      <w:r>
        <w:rPr>
          <w:rFonts w:hint="eastAsia" w:ascii="宋体" w:hAnsi="宋体"/>
          <w:color w:val="auto"/>
          <w:sz w:val="21"/>
          <w:szCs w:val="21"/>
          <w:highlight w:val="none"/>
        </w:rPr>
        <w:t>36.3签订合同时间：按中标通知书规定的时间与采购人签订合同（最长不能超过25日）。</w:t>
      </w:r>
    </w:p>
    <w:p w14:paraId="55BA936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14:paraId="516B550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2116E5A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02FCF5F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36.7</w:t>
      </w:r>
      <w:r>
        <w:rPr>
          <w:rFonts w:hint="eastAsia" w:ascii="宋体" w:hAnsi="宋体" w:cs="仿宋_GB2312"/>
          <w:color w:val="auto"/>
          <w:szCs w:val="21"/>
          <w:highlight w:val="none"/>
        </w:rPr>
        <w:t>如签订合同并生效后，供应商无故拒绝或延期，除按照合同条款处理外，将承担相应的法律责任。</w:t>
      </w:r>
    </w:p>
    <w:p w14:paraId="6CDE7297">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36.8采购人需追加与合同标的相同的货物或者货物的，在不改变原合同条款且已报财政部门批准落实资金的前提下，可从原中标供应商处添购， 所签订的补充添置合同的采购资金总额不超过原采购合同金额的10%。</w:t>
      </w:r>
    </w:p>
    <w:p w14:paraId="3BDA7B9F">
      <w:pPr>
        <w:spacing w:line="360" w:lineRule="auto"/>
        <w:ind w:firstLine="480" w:firstLineChars="200"/>
        <w:rPr>
          <w:rFonts w:ascii="黑体" w:hAnsi="黑体" w:eastAsia="黑体"/>
          <w:color w:val="auto"/>
          <w:sz w:val="24"/>
          <w:highlight w:val="none"/>
        </w:rPr>
      </w:pPr>
      <w:bookmarkStart w:id="134" w:name="_41.政府采购合同公告"/>
      <w:bookmarkEnd w:id="134"/>
      <w:r>
        <w:rPr>
          <w:rFonts w:hint="eastAsia" w:ascii="黑体" w:hAnsi="黑体" w:eastAsia="黑体"/>
          <w:color w:val="auto"/>
          <w:sz w:val="24"/>
          <w:highlight w:val="none"/>
        </w:rPr>
        <w:t>37.政府采购合同公告</w:t>
      </w:r>
    </w:p>
    <w:p w14:paraId="295B8452">
      <w:pPr>
        <w:spacing w:line="360" w:lineRule="auto"/>
        <w:ind w:firstLine="420" w:firstLineChars="200"/>
        <w:rPr>
          <w:rFonts w:hAnsi="宋体"/>
          <w:color w:val="auto"/>
          <w:highlight w:val="none"/>
        </w:rPr>
      </w:pPr>
      <w:r>
        <w:rPr>
          <w:rFonts w:hint="eastAsia" w:hAnsi="宋体"/>
          <w:color w:val="auto"/>
          <w:highlight w:val="none"/>
        </w:rPr>
        <w:t>采购人或者受托采购代理机构应当自政府采购合同签订之日起2个工作日内，将政府采购合同</w:t>
      </w:r>
      <w:r>
        <w:rPr>
          <w:rFonts w:hint="eastAsia" w:ascii="宋体" w:hAnsi="宋体"/>
          <w:bCs/>
          <w:color w:val="auto"/>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hAnsi="宋体"/>
          <w:color w:val="auto"/>
          <w:highlight w:val="none"/>
        </w:rPr>
        <w:t>上公告，</w:t>
      </w:r>
      <w:r>
        <w:rPr>
          <w:rFonts w:hAnsi="宋体"/>
          <w:color w:val="auto"/>
          <w:highlight w:val="none"/>
        </w:rPr>
        <w:t>但政府采购合同中涉及国家秘密、商业秘密的内容除外。</w:t>
      </w:r>
    </w:p>
    <w:p w14:paraId="2C6E0853">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w:t>
      </w:r>
      <w:r>
        <w:rPr>
          <w:rFonts w:ascii="黑体" w:hAnsi="黑体" w:eastAsia="黑体"/>
          <w:color w:val="auto"/>
          <w:sz w:val="24"/>
          <w:highlight w:val="none"/>
        </w:rPr>
        <w:t>8.</w:t>
      </w:r>
      <w:r>
        <w:rPr>
          <w:rFonts w:hint="eastAsia" w:ascii="黑体" w:hAnsi="黑体" w:eastAsia="黑体"/>
          <w:color w:val="auto"/>
          <w:sz w:val="24"/>
          <w:highlight w:val="none"/>
        </w:rPr>
        <w:t xml:space="preserve"> 询问、质疑和投诉</w:t>
      </w:r>
    </w:p>
    <w:p w14:paraId="66C43FFC">
      <w:pPr>
        <w:spacing w:line="360" w:lineRule="auto"/>
        <w:ind w:firstLine="422" w:firstLineChars="200"/>
        <w:rPr>
          <w:rFonts w:hAnsi="宋体"/>
          <w:b/>
          <w:color w:val="auto"/>
          <w:szCs w:val="21"/>
          <w:highlight w:val="none"/>
        </w:rPr>
      </w:pPr>
      <w:r>
        <w:rPr>
          <w:rFonts w:hAnsi="宋体"/>
          <w:b/>
          <w:color w:val="auto"/>
          <w:szCs w:val="21"/>
          <w:highlight w:val="none"/>
        </w:rPr>
        <w:t>38.1</w:t>
      </w:r>
      <w:r>
        <w:rPr>
          <w:rFonts w:hint="eastAsia" w:hAnsi="宋体"/>
          <w:b/>
          <w:color w:val="auto"/>
          <w:szCs w:val="21"/>
          <w:highlight w:val="none"/>
        </w:rPr>
        <w:t>询问</w:t>
      </w:r>
    </w:p>
    <w:p w14:paraId="4F0881AA">
      <w:pPr>
        <w:spacing w:line="360" w:lineRule="auto"/>
        <w:ind w:firstLine="420" w:firstLineChars="200"/>
        <w:rPr>
          <w:rFonts w:hAnsi="宋体"/>
          <w:bCs/>
          <w:color w:val="auto"/>
          <w:szCs w:val="21"/>
          <w:highlight w:val="none"/>
        </w:rPr>
      </w:pPr>
      <w:r>
        <w:rPr>
          <w:rFonts w:hAnsi="宋体"/>
          <w:bCs/>
          <w:color w:val="auto"/>
          <w:szCs w:val="21"/>
          <w:highlight w:val="none"/>
        </w:rPr>
        <w:t>38.1</w:t>
      </w:r>
      <w:r>
        <w:rPr>
          <w:rFonts w:hint="eastAsia" w:hAnsi="宋体"/>
          <w:bCs/>
          <w:color w:val="auto"/>
          <w:szCs w:val="21"/>
          <w:highlight w:val="none"/>
        </w:rPr>
        <w:t>.1供应商在开标前对政府采购活动事项有疑问的，可以向采购人或采购代理机构项目负责人提出询问。</w:t>
      </w:r>
    </w:p>
    <w:p w14:paraId="2B2CA04A">
      <w:pPr>
        <w:spacing w:line="360" w:lineRule="auto"/>
        <w:ind w:firstLine="420" w:firstLineChars="200"/>
        <w:rPr>
          <w:rFonts w:hAnsi="宋体"/>
          <w:bCs/>
          <w:color w:val="auto"/>
          <w:szCs w:val="21"/>
          <w:highlight w:val="none"/>
        </w:rPr>
      </w:pPr>
      <w:r>
        <w:rPr>
          <w:rFonts w:hAnsi="宋体"/>
          <w:bCs/>
          <w:color w:val="auto"/>
          <w:szCs w:val="21"/>
          <w:highlight w:val="none"/>
        </w:rPr>
        <w:t>38.1</w:t>
      </w:r>
      <w:r>
        <w:rPr>
          <w:rFonts w:hint="eastAsia" w:hAnsi="宋体"/>
          <w:bCs/>
          <w:color w:val="auto"/>
          <w:szCs w:val="21"/>
          <w:highlight w:val="none"/>
        </w:rPr>
        <w:t>.2采购人或采购人委托的采购代理机构自受理询问之日起3个工作日内对供应商依法提出的询问作出答复，</w:t>
      </w:r>
      <w:r>
        <w:rPr>
          <w:rFonts w:hint="eastAsia"/>
          <w:color w:val="auto"/>
          <w:highlight w:val="none"/>
        </w:rPr>
        <w:t>但答复内容不得涉及商业秘密</w:t>
      </w:r>
      <w:r>
        <w:rPr>
          <w:rFonts w:hint="eastAsia" w:hAnsi="宋体"/>
          <w:bCs/>
          <w:color w:val="auto"/>
          <w:szCs w:val="21"/>
          <w:highlight w:val="none"/>
        </w:rPr>
        <w:t>。</w:t>
      </w:r>
    </w:p>
    <w:p w14:paraId="2C3716AC">
      <w:pPr>
        <w:spacing w:line="360" w:lineRule="auto"/>
        <w:ind w:firstLine="420" w:firstLineChars="200"/>
        <w:rPr>
          <w:rFonts w:hAnsi="宋体"/>
          <w:bCs/>
          <w:color w:val="auto"/>
          <w:szCs w:val="21"/>
          <w:highlight w:val="none"/>
        </w:rPr>
      </w:pPr>
      <w:r>
        <w:rPr>
          <w:rFonts w:hAnsi="宋体"/>
          <w:bCs/>
          <w:color w:val="auto"/>
          <w:szCs w:val="21"/>
          <w:highlight w:val="none"/>
        </w:rPr>
        <w:t xml:space="preserve">38.1.3 </w:t>
      </w:r>
      <w:r>
        <w:rPr>
          <w:rFonts w:hint="eastAsia" w:hAnsi="宋体"/>
          <w:bCs/>
          <w:color w:val="auto"/>
          <w:szCs w:val="21"/>
          <w:highlight w:val="none"/>
        </w:rPr>
        <w:t>询问事项可能影响中标、成交结果的，采购人应当暂停签订合同，已经签订合同的，应当中止履行合同。</w:t>
      </w:r>
    </w:p>
    <w:p w14:paraId="18955F51">
      <w:pPr>
        <w:spacing w:line="360" w:lineRule="auto"/>
        <w:ind w:firstLine="420" w:firstLineChars="200"/>
        <w:rPr>
          <w:rFonts w:ascii="宋体" w:hAnsi="宋体"/>
          <w:color w:val="auto"/>
          <w:szCs w:val="21"/>
          <w:highlight w:val="none"/>
        </w:rPr>
      </w:pPr>
      <w:r>
        <w:rPr>
          <w:rFonts w:ascii="宋体" w:hAnsi="宋体"/>
          <w:color w:val="auto"/>
          <w:szCs w:val="21"/>
          <w:highlight w:val="none"/>
        </w:rPr>
        <w:t>38</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质疑</w:t>
      </w:r>
    </w:p>
    <w:p w14:paraId="6B2AA6A5">
      <w:pPr>
        <w:spacing w:line="360" w:lineRule="auto"/>
        <w:ind w:firstLine="420" w:firstLineChars="200"/>
        <w:rPr>
          <w:rFonts w:ascii="宋体" w:hAnsi="宋体"/>
          <w:b/>
          <w:color w:val="auto"/>
          <w:szCs w:val="21"/>
          <w:highlight w:val="none"/>
        </w:rPr>
      </w:pPr>
      <w:r>
        <w:rPr>
          <w:rFonts w:hint="eastAsia" w:ascii="宋体" w:hAnsi="宋体"/>
          <w:color w:val="auto"/>
          <w:szCs w:val="21"/>
          <w:highlight w:val="none"/>
        </w:rPr>
        <w:t>38.2.1</w:t>
      </w:r>
      <w:r>
        <w:rPr>
          <w:rFonts w:hint="eastAsia" w:ascii="宋体" w:hAnsi="宋体"/>
          <w:b/>
          <w:color w:val="auto"/>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2A91DFD1">
      <w:pPr>
        <w:spacing w:line="360" w:lineRule="auto"/>
        <w:ind w:firstLine="420" w:firstLineChars="200"/>
        <w:rPr>
          <w:rFonts w:hAnsi="宋体"/>
          <w:bCs/>
          <w:color w:val="auto"/>
          <w:highlight w:val="none"/>
        </w:rPr>
      </w:pPr>
      <w:r>
        <w:rPr>
          <w:rFonts w:hint="eastAsia" w:hAnsi="宋体"/>
          <w:bCs/>
          <w:color w:val="auto"/>
          <w:highlight w:val="none"/>
        </w:rPr>
        <w:t>（1）潜在供应商依法获取公开招标文件后，认为采购文件使自己的权益受到损害的，应当在公开招标文件公告期限届满之日起7个工作日内提出质疑。</w:t>
      </w:r>
      <w:r>
        <w:rPr>
          <w:rFonts w:hint="eastAsia"/>
          <w:color w:val="auto"/>
          <w:highlight w:val="none"/>
        </w:rPr>
        <w:t>委托代理协议无特殊约定的，</w:t>
      </w:r>
      <w:r>
        <w:rPr>
          <w:rFonts w:hint="eastAsia" w:hAnsi="宋体"/>
          <w:bCs/>
          <w:color w:val="auto"/>
          <w:highlight w:val="none"/>
        </w:rPr>
        <w:t>对公开招标文件中采购需求（含资格要求、采购预算和评分办法）的质疑由采购人受理并负责答复；对公开招标文件中的采购执行程序的质疑由采购代理机构受理并负责答复。</w:t>
      </w:r>
    </w:p>
    <w:p w14:paraId="30BBCF6D">
      <w:pPr>
        <w:spacing w:line="360" w:lineRule="auto"/>
        <w:ind w:firstLine="420" w:firstLineChars="200"/>
        <w:rPr>
          <w:rFonts w:hAnsi="宋体"/>
          <w:bCs/>
          <w:color w:val="auto"/>
          <w:highlight w:val="none"/>
        </w:rPr>
      </w:pPr>
      <w:r>
        <w:rPr>
          <w:rFonts w:hint="eastAsia" w:hAnsi="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3FDC9119">
      <w:pPr>
        <w:spacing w:line="360" w:lineRule="auto"/>
        <w:ind w:firstLine="420" w:firstLineChars="200"/>
        <w:rPr>
          <w:rFonts w:hAnsi="宋体"/>
          <w:bCs/>
          <w:color w:val="auto"/>
          <w:highlight w:val="none"/>
        </w:rPr>
      </w:pPr>
      <w:r>
        <w:rPr>
          <w:rFonts w:hint="eastAsia" w:hAnsi="宋体"/>
          <w:bCs/>
          <w:color w:val="auto"/>
          <w:highlight w:val="none"/>
        </w:rPr>
        <w:t>（3）供应商认为中标或者成交结果使自己的权益受到损害的，应当在中标或者成交结果公告期限届满之日起7个工作日内提出质疑，由采购人受理并负责答复。</w:t>
      </w:r>
    </w:p>
    <w:p w14:paraId="4FA9BF92">
      <w:pPr>
        <w:spacing w:line="360" w:lineRule="auto"/>
        <w:ind w:firstLine="422" w:firstLineChars="200"/>
        <w:rPr>
          <w:rFonts w:hAnsi="宋体"/>
          <w:bCs/>
          <w:color w:val="auto"/>
          <w:szCs w:val="21"/>
          <w:highlight w:val="none"/>
        </w:rPr>
      </w:pPr>
      <w:r>
        <w:rPr>
          <w:rFonts w:hint="eastAsia" w:hAnsi="宋体"/>
          <w:b/>
          <w:bCs/>
          <w:color w:val="auto"/>
          <w:szCs w:val="21"/>
          <w:highlight w:val="none"/>
        </w:rPr>
        <w:t>38.2.2</w:t>
      </w:r>
      <w:r>
        <w:rPr>
          <w:rFonts w:hint="eastAsia" w:hAnsi="宋体"/>
          <w:bCs/>
          <w:color w:val="auto"/>
          <w:szCs w:val="21"/>
          <w:highlight w:val="none"/>
        </w:rPr>
        <w:t>供应商质疑实行实名制，其质疑应当有具体的质疑事项及事实根据，质疑应当坚持依法依规、诚实信用原则，不得进行虚假、恶意质疑。</w:t>
      </w:r>
    </w:p>
    <w:p w14:paraId="17176D62">
      <w:pPr>
        <w:spacing w:line="360" w:lineRule="auto"/>
        <w:ind w:firstLine="422" w:firstLineChars="200"/>
        <w:rPr>
          <w:rFonts w:hAnsi="宋体"/>
          <w:bCs/>
          <w:color w:val="auto"/>
          <w:highlight w:val="none"/>
        </w:rPr>
      </w:pPr>
      <w:r>
        <w:rPr>
          <w:rFonts w:hint="eastAsia" w:hAnsi="宋体"/>
          <w:b/>
          <w:bCs/>
          <w:color w:val="auto"/>
          <w:highlight w:val="none"/>
        </w:rPr>
        <w:t>38.2.3</w:t>
      </w:r>
      <w:r>
        <w:rPr>
          <w:rFonts w:hint="eastAsia" w:hAnsi="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hAnsi="宋体"/>
          <w:color w:val="auto"/>
          <w:highlight w:val="none"/>
        </w:rPr>
        <w:t>。</w:t>
      </w:r>
    </w:p>
    <w:p w14:paraId="575FA562">
      <w:pPr>
        <w:spacing w:line="360" w:lineRule="auto"/>
        <w:ind w:firstLine="422" w:firstLineChars="200"/>
        <w:rPr>
          <w:rFonts w:hAnsi="宋体"/>
          <w:b/>
          <w:bCs/>
          <w:color w:val="auto"/>
          <w:highlight w:val="none"/>
        </w:rPr>
      </w:pPr>
      <w:r>
        <w:rPr>
          <w:rFonts w:hint="eastAsia" w:hAnsi="宋体"/>
          <w:b/>
          <w:bCs/>
          <w:color w:val="auto"/>
          <w:highlight w:val="none"/>
        </w:rPr>
        <w:t>38.2.4 质疑供应商提起质疑应当符合下列条件：</w:t>
      </w:r>
    </w:p>
    <w:p w14:paraId="6B252899">
      <w:pPr>
        <w:spacing w:line="360" w:lineRule="auto"/>
        <w:ind w:firstLine="420" w:firstLineChars="200"/>
        <w:rPr>
          <w:rFonts w:hAnsi="宋体"/>
          <w:bCs/>
          <w:color w:val="auto"/>
          <w:highlight w:val="none"/>
        </w:rPr>
      </w:pPr>
      <w:r>
        <w:rPr>
          <w:rFonts w:hint="eastAsia" w:hAnsi="宋体"/>
          <w:bCs/>
          <w:color w:val="auto"/>
          <w:highlight w:val="none"/>
        </w:rPr>
        <w:t>（1）质疑供应商是参与所质疑</w:t>
      </w:r>
      <w:r>
        <w:rPr>
          <w:rFonts w:hint="eastAsia" w:hAnsi="宋体"/>
          <w:bCs/>
          <w:color w:val="auto"/>
          <w:szCs w:val="21"/>
          <w:highlight w:val="none"/>
        </w:rPr>
        <w:t>项目</w:t>
      </w:r>
      <w:r>
        <w:rPr>
          <w:rFonts w:hint="eastAsia" w:hAnsi="宋体"/>
          <w:bCs/>
          <w:color w:val="auto"/>
          <w:highlight w:val="none"/>
        </w:rPr>
        <w:t>采购活动的供应商（潜在供应商已依法获取可之一的采购文件的，可以对该采购文件质疑）；</w:t>
      </w:r>
    </w:p>
    <w:p w14:paraId="1F09B07E">
      <w:pPr>
        <w:spacing w:line="360" w:lineRule="auto"/>
        <w:ind w:firstLine="420" w:firstLineChars="200"/>
        <w:rPr>
          <w:rFonts w:hAnsi="宋体"/>
          <w:bCs/>
          <w:color w:val="auto"/>
          <w:highlight w:val="none"/>
        </w:rPr>
      </w:pPr>
      <w:r>
        <w:rPr>
          <w:rFonts w:hint="eastAsia" w:hAnsi="宋体"/>
          <w:bCs/>
          <w:color w:val="auto"/>
          <w:highlight w:val="none"/>
        </w:rPr>
        <w:t>（2）质疑函内容符合本章第38.2.5项的规定；</w:t>
      </w:r>
    </w:p>
    <w:p w14:paraId="2430987C">
      <w:pPr>
        <w:spacing w:line="360" w:lineRule="auto"/>
        <w:ind w:firstLine="420" w:firstLineChars="200"/>
        <w:rPr>
          <w:rFonts w:hAnsi="宋体"/>
          <w:bCs/>
          <w:color w:val="auto"/>
          <w:highlight w:val="none"/>
        </w:rPr>
      </w:pPr>
      <w:r>
        <w:rPr>
          <w:rFonts w:hint="eastAsia" w:hAnsi="宋体"/>
          <w:bCs/>
          <w:color w:val="auto"/>
          <w:highlight w:val="none"/>
        </w:rPr>
        <w:t>（3）在质疑有效期限内提起质疑；</w:t>
      </w:r>
    </w:p>
    <w:p w14:paraId="30E7C4AA">
      <w:pPr>
        <w:spacing w:line="360" w:lineRule="auto"/>
        <w:ind w:firstLine="420" w:firstLineChars="200"/>
        <w:rPr>
          <w:rFonts w:hAnsi="宋体"/>
          <w:bCs/>
          <w:color w:val="auto"/>
          <w:highlight w:val="none"/>
        </w:rPr>
      </w:pPr>
      <w:r>
        <w:rPr>
          <w:rFonts w:hint="eastAsia" w:hAnsi="宋体"/>
          <w:bCs/>
          <w:color w:val="auto"/>
          <w:highlight w:val="none"/>
        </w:rPr>
        <w:t>（4）属于所质疑的采购人或采购人委托的采购代理机构组织的采购活动；</w:t>
      </w:r>
    </w:p>
    <w:p w14:paraId="3473B821">
      <w:pPr>
        <w:spacing w:line="360" w:lineRule="auto"/>
        <w:ind w:firstLine="420" w:firstLineChars="200"/>
        <w:rPr>
          <w:rFonts w:hAnsi="宋体"/>
          <w:bCs/>
          <w:color w:val="auto"/>
          <w:highlight w:val="none"/>
        </w:rPr>
      </w:pPr>
      <w:r>
        <w:rPr>
          <w:rFonts w:hint="eastAsia" w:hAnsi="宋体"/>
          <w:bCs/>
          <w:color w:val="auto"/>
          <w:highlight w:val="none"/>
        </w:rPr>
        <w:t xml:space="preserve">（5）同一质疑事项未经采购人或采购人委托的采购代理机构质疑处理； </w:t>
      </w:r>
    </w:p>
    <w:p w14:paraId="56CB4BC4">
      <w:pPr>
        <w:spacing w:line="360" w:lineRule="auto"/>
        <w:ind w:firstLine="420" w:firstLineChars="200"/>
        <w:rPr>
          <w:rFonts w:hAnsi="宋体"/>
          <w:bCs/>
          <w:color w:val="auto"/>
          <w:highlight w:val="none"/>
        </w:rPr>
      </w:pPr>
      <w:r>
        <w:rPr>
          <w:rFonts w:hint="eastAsia" w:hAnsi="宋体"/>
          <w:bCs/>
          <w:color w:val="auto"/>
          <w:highlight w:val="none"/>
        </w:rPr>
        <w:t>（6）供应商对同一采购程序环节的质疑应当在质疑有效期内一次性提出；</w:t>
      </w:r>
    </w:p>
    <w:p w14:paraId="43185BBA">
      <w:pPr>
        <w:spacing w:line="360" w:lineRule="auto"/>
        <w:ind w:firstLine="420" w:firstLineChars="200"/>
        <w:rPr>
          <w:rFonts w:hAnsi="宋体"/>
          <w:bCs/>
          <w:color w:val="auto"/>
          <w:highlight w:val="none"/>
        </w:rPr>
      </w:pPr>
      <w:r>
        <w:rPr>
          <w:rFonts w:hint="eastAsia" w:hAnsi="宋体"/>
          <w:bCs/>
          <w:color w:val="auto"/>
          <w:highlight w:val="none"/>
        </w:rPr>
        <w:t>（7）供应商提交质疑应当提交必要的证明材料，证明材料应以合法手段取得；</w:t>
      </w:r>
    </w:p>
    <w:p w14:paraId="2AA811D0">
      <w:pPr>
        <w:spacing w:line="360" w:lineRule="auto"/>
        <w:ind w:firstLine="420" w:firstLineChars="200"/>
        <w:rPr>
          <w:color w:val="auto"/>
          <w:highlight w:val="none"/>
        </w:rPr>
      </w:pPr>
      <w:r>
        <w:rPr>
          <w:rFonts w:hint="eastAsia" w:hAnsi="宋体"/>
          <w:bCs/>
          <w:color w:val="auto"/>
          <w:highlight w:val="none"/>
        </w:rPr>
        <w:t>（8）财政部门规定的其他条件。</w:t>
      </w:r>
    </w:p>
    <w:p w14:paraId="484B9AE2">
      <w:pPr>
        <w:spacing w:line="360" w:lineRule="auto"/>
        <w:ind w:firstLine="420" w:firstLineChars="200"/>
        <w:rPr>
          <w:rFonts w:ascii="宋体" w:hAnsi="宋体"/>
          <w:b/>
          <w:color w:val="auto"/>
          <w:szCs w:val="21"/>
          <w:highlight w:val="none"/>
        </w:rPr>
      </w:pPr>
      <w:bookmarkStart w:id="135" w:name="_9.2质疑、投诉应当采用书面形式，质疑函、投诉书均应明确阐述招标文件、"/>
      <w:bookmarkEnd w:id="135"/>
      <w:r>
        <w:rPr>
          <w:rFonts w:ascii="宋体" w:hAnsi="宋体"/>
          <w:color w:val="auto"/>
          <w:szCs w:val="21"/>
          <w:highlight w:val="none"/>
        </w:rPr>
        <w:t>38</w:t>
      </w:r>
      <w:r>
        <w:rPr>
          <w:rFonts w:hint="eastAsia" w:ascii="宋体" w:hAnsi="宋体"/>
          <w:color w:val="auto"/>
          <w:szCs w:val="21"/>
          <w:highlight w:val="none"/>
        </w:rPr>
        <w:t xml:space="preserve">.2.5 </w:t>
      </w:r>
      <w:r>
        <w:rPr>
          <w:rFonts w:hAnsi="宋体"/>
          <w:bCs/>
          <w:color w:val="auto"/>
          <w:highlight w:val="none"/>
        </w:rPr>
        <w:t>供应商提出质疑应当提交质疑函和必要的证明材料</w:t>
      </w:r>
      <w:r>
        <w:rPr>
          <w:rFonts w:hint="eastAsia" w:hAnsi="宋体"/>
          <w:bCs/>
          <w:color w:val="auto"/>
          <w:highlight w:val="none"/>
        </w:rPr>
        <w:t>，</w:t>
      </w:r>
      <w:r>
        <w:rPr>
          <w:rFonts w:hAnsi="宋体"/>
          <w:bCs/>
          <w:color w:val="auto"/>
          <w:highlight w:val="none"/>
        </w:rPr>
        <w:t>针对同一采购程序环节的质疑</w:t>
      </w:r>
      <w:r>
        <w:rPr>
          <w:rFonts w:hint="eastAsia" w:hAnsi="宋体"/>
          <w:bCs/>
          <w:color w:val="auto"/>
          <w:highlight w:val="none"/>
        </w:rPr>
        <w:t>必须</w:t>
      </w:r>
      <w:r>
        <w:rPr>
          <w:rFonts w:hAnsi="宋体"/>
          <w:bCs/>
          <w:color w:val="auto"/>
          <w:highlight w:val="none"/>
        </w:rPr>
        <w:t>在法定质疑期内一次性提出。质疑函应当包括下列内容</w:t>
      </w:r>
      <w:r>
        <w:rPr>
          <w:rFonts w:hint="eastAsia" w:hAnsi="宋体"/>
          <w:bCs/>
          <w:color w:val="auto"/>
          <w:highlight w:val="none"/>
        </w:rPr>
        <w:t>（质疑函格式后附）</w:t>
      </w:r>
      <w:r>
        <w:rPr>
          <w:rFonts w:hAnsi="宋体"/>
          <w:bCs/>
          <w:color w:val="auto"/>
          <w:highlight w:val="none"/>
        </w:rPr>
        <w:t>：</w:t>
      </w:r>
    </w:p>
    <w:p w14:paraId="4091907B">
      <w:pPr>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1</w:t>
      </w:r>
      <w:r>
        <w:rPr>
          <w:rFonts w:hAnsi="宋体"/>
          <w:bCs/>
          <w:color w:val="auto"/>
          <w:highlight w:val="none"/>
        </w:rPr>
        <w:t>）供应商的姓名或者名称、地址、邮编、联系人及联系电话；</w:t>
      </w:r>
    </w:p>
    <w:p w14:paraId="012189FE">
      <w:pPr>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2</w:t>
      </w:r>
      <w:r>
        <w:rPr>
          <w:rFonts w:hAnsi="宋体"/>
          <w:bCs/>
          <w:color w:val="auto"/>
          <w:highlight w:val="none"/>
        </w:rPr>
        <w:t>）质疑项目的名称、编号；</w:t>
      </w:r>
    </w:p>
    <w:p w14:paraId="0DA941FA">
      <w:pPr>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3</w:t>
      </w:r>
      <w:r>
        <w:rPr>
          <w:rFonts w:hAnsi="宋体"/>
          <w:bCs/>
          <w:color w:val="auto"/>
          <w:highlight w:val="none"/>
        </w:rPr>
        <w:t>）具体、明确的质疑事项和与质疑事项相关的请求；</w:t>
      </w:r>
    </w:p>
    <w:p w14:paraId="77CEE40C">
      <w:pPr>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4</w:t>
      </w:r>
      <w:r>
        <w:rPr>
          <w:rFonts w:hAnsi="宋体"/>
          <w:bCs/>
          <w:color w:val="auto"/>
          <w:highlight w:val="none"/>
        </w:rPr>
        <w:t>）事实依据</w:t>
      </w:r>
      <w:r>
        <w:rPr>
          <w:rFonts w:hint="eastAsia" w:hAnsi="宋体"/>
          <w:bCs/>
          <w:color w:val="auto"/>
          <w:highlight w:val="none"/>
        </w:rPr>
        <w:t>（列明权益受到损害的事实和理由）</w:t>
      </w:r>
      <w:r>
        <w:rPr>
          <w:rFonts w:hAnsi="宋体"/>
          <w:bCs/>
          <w:color w:val="auto"/>
          <w:highlight w:val="none"/>
        </w:rPr>
        <w:t>；</w:t>
      </w:r>
    </w:p>
    <w:p w14:paraId="0268259A">
      <w:pPr>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5</w:t>
      </w:r>
      <w:r>
        <w:rPr>
          <w:rFonts w:hAnsi="宋体"/>
          <w:bCs/>
          <w:color w:val="auto"/>
          <w:highlight w:val="none"/>
        </w:rPr>
        <w:t>）必要的法律依据；</w:t>
      </w:r>
    </w:p>
    <w:p w14:paraId="4F49559C">
      <w:pPr>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6</w:t>
      </w:r>
      <w:r>
        <w:rPr>
          <w:rFonts w:hAnsi="宋体"/>
          <w:bCs/>
          <w:color w:val="auto"/>
          <w:highlight w:val="none"/>
        </w:rPr>
        <w:t>）提出质疑的日期。</w:t>
      </w:r>
    </w:p>
    <w:p w14:paraId="42DEB426">
      <w:pPr>
        <w:spacing w:line="360" w:lineRule="auto"/>
        <w:ind w:firstLine="420" w:firstLineChars="200"/>
        <w:rPr>
          <w:rFonts w:hAnsi="宋体"/>
          <w:bCs/>
          <w:color w:val="auto"/>
          <w:highlight w:val="none"/>
        </w:rPr>
      </w:pPr>
      <w:r>
        <w:rPr>
          <w:rFonts w:hAnsi="宋体"/>
          <w:bCs/>
          <w:color w:val="auto"/>
          <w:highlight w:val="none"/>
        </w:rPr>
        <w:t>供应商为自然人的，应当由本人签字；供应商为法人或者其他组织的，应当由法定代表人、主要负责人，或者其委托代理人签字或者盖章，并加盖公章</w:t>
      </w:r>
      <w:r>
        <w:rPr>
          <w:rFonts w:hint="eastAsia" w:hAnsi="宋体"/>
          <w:bCs/>
          <w:color w:val="auto"/>
          <w:highlight w:val="none"/>
        </w:rPr>
        <w:t>。</w:t>
      </w:r>
    </w:p>
    <w:p w14:paraId="7A4AD16E">
      <w:pPr>
        <w:spacing w:line="360" w:lineRule="auto"/>
        <w:ind w:firstLine="422" w:firstLineChars="200"/>
        <w:rPr>
          <w:rFonts w:ascii="宋体" w:hAnsi="宋体"/>
          <w:b/>
          <w:color w:val="auto"/>
          <w:szCs w:val="20"/>
          <w:highlight w:val="none"/>
        </w:rPr>
      </w:pPr>
      <w:r>
        <w:rPr>
          <w:rFonts w:hint="eastAsia" w:ascii="宋体" w:hAnsi="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4E651990">
      <w:pPr>
        <w:spacing w:line="360" w:lineRule="auto"/>
        <w:ind w:firstLine="420" w:firstLineChars="200"/>
        <w:rPr>
          <w:rFonts w:ascii="宋体" w:hAnsi="宋体"/>
          <w:bCs/>
          <w:color w:val="auto"/>
          <w:szCs w:val="21"/>
          <w:highlight w:val="none"/>
        </w:rPr>
      </w:pPr>
      <w:r>
        <w:rPr>
          <w:rFonts w:ascii="宋体" w:hAnsi="宋体"/>
          <w:color w:val="auto"/>
          <w:szCs w:val="21"/>
          <w:highlight w:val="none"/>
        </w:rPr>
        <w:t>3</w:t>
      </w:r>
      <w:r>
        <w:rPr>
          <w:rFonts w:ascii="宋体" w:hAnsi="宋体"/>
          <w:bCs/>
          <w:color w:val="auto"/>
          <w:szCs w:val="21"/>
          <w:highlight w:val="none"/>
        </w:rPr>
        <w:t>8.</w:t>
      </w:r>
      <w:r>
        <w:rPr>
          <w:rFonts w:hint="eastAsia" w:ascii="宋体" w:hAnsi="宋体"/>
          <w:bCs/>
          <w:color w:val="auto"/>
          <w:szCs w:val="21"/>
          <w:highlight w:val="none"/>
        </w:rPr>
        <w:t>2.7采购人、采购代理机构认为供应商质疑不成立，或者成立但未对中标结果构成影响的，继续开展采购活动；认为供应商质疑成立且影响或者可能影响中标结果的，按照下列情况处理：</w:t>
      </w:r>
    </w:p>
    <w:p w14:paraId="317B5424">
      <w:pPr>
        <w:spacing w:line="360" w:lineRule="auto"/>
        <w:ind w:firstLine="420" w:firstLineChars="200"/>
        <w:rPr>
          <w:rFonts w:hAnsi="宋体"/>
          <w:bCs/>
          <w:color w:val="auto"/>
          <w:highlight w:val="none"/>
        </w:rPr>
      </w:pPr>
      <w:r>
        <w:rPr>
          <w:rFonts w:hint="eastAsia" w:hAnsi="宋体"/>
          <w:bCs/>
          <w:color w:val="auto"/>
          <w:highlight w:val="none"/>
        </w:rPr>
        <w:t>　　（一）对招标文件提出的质疑，依法通过澄清或者修改可以继续开展采购活动的，澄清或者修改招标文件后继续开展采购活动；否则应当修改招标文件后重新开展采购活动。</w:t>
      </w:r>
    </w:p>
    <w:p w14:paraId="758C090A">
      <w:pPr>
        <w:spacing w:line="360" w:lineRule="auto"/>
        <w:ind w:firstLine="420" w:firstLineChars="200"/>
        <w:rPr>
          <w:rFonts w:hAnsi="宋体"/>
          <w:bCs/>
          <w:color w:val="auto"/>
          <w:highlight w:val="none"/>
        </w:rPr>
      </w:pPr>
      <w:r>
        <w:rPr>
          <w:rFonts w:hint="eastAsia" w:hAnsi="宋体"/>
          <w:bCs/>
          <w:color w:val="auto"/>
          <w:highlight w:val="none"/>
        </w:rPr>
        <w:t>　　（二）对采购过程、中标结果提出的质疑，合格供应商符合法定数量时，可以从合格的中标候选人中另行确定中标供应商的，应当依法另行确定中标供应商；否则应当重新开展采购活动。</w:t>
      </w:r>
    </w:p>
    <w:p w14:paraId="6D76FED4">
      <w:pPr>
        <w:spacing w:line="360" w:lineRule="auto"/>
        <w:ind w:firstLine="420" w:firstLineChars="200"/>
        <w:rPr>
          <w:rFonts w:hAnsi="宋体"/>
          <w:bCs/>
          <w:color w:val="auto"/>
          <w:highlight w:val="none"/>
        </w:rPr>
      </w:pPr>
      <w:r>
        <w:rPr>
          <w:rFonts w:hint="eastAsia" w:hAnsi="宋体"/>
          <w:bCs/>
          <w:color w:val="auto"/>
          <w:highlight w:val="none"/>
        </w:rPr>
        <w:t>质疑答复导致中标结果改变的，采购人或者采购代理机构应当将有关情况书面报告本级财政部门。</w:t>
      </w:r>
    </w:p>
    <w:p w14:paraId="30FE7634">
      <w:pPr>
        <w:spacing w:line="360" w:lineRule="auto"/>
        <w:ind w:firstLine="422" w:firstLineChars="200"/>
        <w:rPr>
          <w:rFonts w:hAnsi="宋体"/>
          <w:b/>
          <w:color w:val="auto"/>
          <w:highlight w:val="none"/>
        </w:rPr>
      </w:pPr>
      <w:r>
        <w:rPr>
          <w:rFonts w:hAnsi="宋体"/>
          <w:b/>
          <w:color w:val="auto"/>
          <w:highlight w:val="none"/>
        </w:rPr>
        <w:t>38</w:t>
      </w:r>
      <w:r>
        <w:rPr>
          <w:rFonts w:hint="eastAsia" w:hAnsi="宋体"/>
          <w:b/>
          <w:color w:val="auto"/>
          <w:highlight w:val="none"/>
        </w:rPr>
        <w:t>.3投诉</w:t>
      </w:r>
    </w:p>
    <w:p w14:paraId="0E1A3A22">
      <w:pPr>
        <w:spacing w:line="360" w:lineRule="auto"/>
        <w:ind w:firstLine="422" w:firstLineChars="200"/>
        <w:rPr>
          <w:rFonts w:hAnsi="宋体"/>
          <w:bCs/>
          <w:color w:val="auto"/>
          <w:highlight w:val="none"/>
        </w:rPr>
      </w:pPr>
      <w:r>
        <w:rPr>
          <w:rFonts w:hAnsi="宋体"/>
          <w:b/>
          <w:color w:val="auto"/>
          <w:highlight w:val="none"/>
        </w:rPr>
        <w:t>38</w:t>
      </w:r>
      <w:r>
        <w:rPr>
          <w:rFonts w:hint="eastAsia" w:hAnsi="宋体"/>
          <w:b/>
          <w:color w:val="auto"/>
          <w:highlight w:val="none"/>
        </w:rPr>
        <w:t>.3</w:t>
      </w:r>
      <w:r>
        <w:rPr>
          <w:rFonts w:hint="eastAsia" w:hAnsi="宋体"/>
          <w:bCs/>
          <w:color w:val="auto"/>
          <w:highlight w:val="none"/>
        </w:rPr>
        <w:t>.</w:t>
      </w:r>
      <w:r>
        <w:rPr>
          <w:rFonts w:hint="eastAsia" w:hAnsi="宋体"/>
          <w:b/>
          <w:bCs/>
          <w:color w:val="auto"/>
          <w:highlight w:val="none"/>
        </w:rPr>
        <w:t xml:space="preserve">1 </w:t>
      </w:r>
      <w:r>
        <w:rPr>
          <w:rFonts w:hint="eastAsia" w:hAnsi="宋体"/>
          <w:bCs/>
          <w:color w:val="auto"/>
          <w:highlight w:val="none"/>
        </w:rPr>
        <w:t xml:space="preserve"> 供应商认为采购文件、采购过程、中标和成交结果使自己的合法权益受到损害的，应当首先依法向采购人或采购人委托的</w:t>
      </w:r>
      <w:r>
        <w:rPr>
          <w:rFonts w:hint="eastAsia" w:hAnsi="宋体"/>
          <w:color w:val="auto"/>
          <w:highlight w:val="none"/>
        </w:rPr>
        <w:t>采购代理机构</w:t>
      </w:r>
      <w:r>
        <w:rPr>
          <w:rFonts w:hint="eastAsia" w:hAnsi="宋体"/>
          <w:bCs/>
          <w:color w:val="auto"/>
          <w:highlight w:val="none"/>
        </w:rPr>
        <w:t>提出质疑。对采购人、</w:t>
      </w:r>
      <w:r>
        <w:rPr>
          <w:rFonts w:hint="eastAsia" w:hAnsi="宋体"/>
          <w:color w:val="auto"/>
          <w:highlight w:val="none"/>
        </w:rPr>
        <w:t>采购代理机构</w:t>
      </w:r>
      <w:r>
        <w:rPr>
          <w:rFonts w:hint="eastAsia" w:hAnsi="宋体"/>
          <w:bCs/>
          <w:color w:val="auto"/>
          <w:highlight w:val="none"/>
        </w:rPr>
        <w:t>的答复不满意，或者采购人、</w:t>
      </w:r>
      <w:r>
        <w:rPr>
          <w:rFonts w:hint="eastAsia" w:hAnsi="宋体"/>
          <w:color w:val="auto"/>
          <w:highlight w:val="none"/>
        </w:rPr>
        <w:t>采购代理机构</w:t>
      </w:r>
      <w:r>
        <w:rPr>
          <w:rFonts w:hint="eastAsia" w:hAnsi="宋体"/>
          <w:bCs/>
          <w:color w:val="auto"/>
          <w:highlight w:val="none"/>
        </w:rPr>
        <w:t>未在规定期限内做出答复的，供应商可以在答复期满后15个工作日内向</w:t>
      </w:r>
      <w:r>
        <w:rPr>
          <w:rFonts w:hint="eastAsia" w:ascii="宋体"/>
          <w:color w:val="auto"/>
          <w:highlight w:val="none"/>
        </w:rPr>
        <w:t>陆川县</w:t>
      </w:r>
      <w:r>
        <w:rPr>
          <w:rFonts w:hint="eastAsia" w:hAnsi="宋体"/>
          <w:bCs/>
          <w:color w:val="auto"/>
          <w:highlight w:val="none"/>
        </w:rPr>
        <w:t>政府采购监督管理部门提起投诉，投诉联系方式见“投标人须知前附表”。</w:t>
      </w:r>
    </w:p>
    <w:p w14:paraId="4EF58C6F">
      <w:pPr>
        <w:spacing w:line="360" w:lineRule="auto"/>
        <w:ind w:firstLine="422" w:firstLineChars="200"/>
        <w:rPr>
          <w:rFonts w:hAnsi="宋体"/>
          <w:bCs/>
          <w:color w:val="auto"/>
          <w:highlight w:val="none"/>
        </w:rPr>
      </w:pPr>
      <w:r>
        <w:rPr>
          <w:rFonts w:hAnsi="宋体"/>
          <w:b/>
          <w:color w:val="auto"/>
          <w:highlight w:val="none"/>
        </w:rPr>
        <w:t>38</w:t>
      </w:r>
      <w:r>
        <w:rPr>
          <w:rFonts w:hint="eastAsia" w:hAnsi="宋体"/>
          <w:b/>
          <w:color w:val="auto"/>
          <w:highlight w:val="none"/>
        </w:rPr>
        <w:t>.3</w:t>
      </w:r>
      <w:r>
        <w:rPr>
          <w:rFonts w:hint="eastAsia"/>
          <w:b/>
          <w:color w:val="auto"/>
          <w:highlight w:val="none"/>
        </w:rPr>
        <w:t xml:space="preserve">.2 </w:t>
      </w:r>
      <w:r>
        <w:rPr>
          <w:rFonts w:hint="eastAsia"/>
          <w:color w:val="auto"/>
          <w:highlight w:val="none"/>
        </w:rPr>
        <w:t xml:space="preserve"> 投诉人投诉时，应当提交投诉书，并按照被投诉采购人、</w:t>
      </w:r>
      <w:r>
        <w:rPr>
          <w:rFonts w:hint="eastAsia" w:hAnsi="宋体"/>
          <w:color w:val="auto"/>
          <w:highlight w:val="none"/>
        </w:rPr>
        <w:t>采购代理机构</w:t>
      </w:r>
      <w:r>
        <w:rPr>
          <w:rFonts w:hint="eastAsia"/>
          <w:color w:val="auto"/>
          <w:highlight w:val="none"/>
        </w:rPr>
        <w:t>和与投诉事项有关的供应商数量提供投诉书的副本。投诉书</w:t>
      </w:r>
      <w:r>
        <w:rPr>
          <w:rFonts w:hint="eastAsia"/>
          <w:color w:val="auto"/>
          <w:szCs w:val="21"/>
          <w:highlight w:val="none"/>
        </w:rPr>
        <w:t>应当包括下列主要内容</w:t>
      </w:r>
      <w:r>
        <w:rPr>
          <w:rFonts w:hint="eastAsia"/>
          <w:color w:val="auto"/>
          <w:highlight w:val="none"/>
        </w:rPr>
        <w:t>（如材料中有外文资料应同时附上对应的中文译本）</w:t>
      </w:r>
      <w:r>
        <w:rPr>
          <w:rFonts w:hint="eastAsia" w:hAnsi="宋体"/>
          <w:bCs/>
          <w:color w:val="auto"/>
          <w:highlight w:val="none"/>
        </w:rPr>
        <w:t>（投诉书格式后附）</w:t>
      </w:r>
      <w:r>
        <w:rPr>
          <w:rFonts w:hint="eastAsia"/>
          <w:color w:val="auto"/>
          <w:szCs w:val="21"/>
          <w:highlight w:val="none"/>
        </w:rPr>
        <w:t>：</w:t>
      </w:r>
    </w:p>
    <w:p w14:paraId="77E4351B">
      <w:pPr>
        <w:spacing w:line="360" w:lineRule="auto"/>
        <w:ind w:firstLine="420" w:firstLineChars="200"/>
        <w:rPr>
          <w:color w:val="auto"/>
          <w:highlight w:val="none"/>
        </w:rPr>
      </w:pPr>
      <w:r>
        <w:rPr>
          <w:rFonts w:hint="eastAsia" w:hAnsi="宋体"/>
          <w:color w:val="auto"/>
          <w:highlight w:val="none"/>
        </w:rPr>
        <w:t xml:space="preserve">（1）投诉人和被投诉人的名称、地址、邮编、联系人及联系电话等； </w:t>
      </w:r>
    </w:p>
    <w:p w14:paraId="40B54568">
      <w:pPr>
        <w:spacing w:line="360" w:lineRule="auto"/>
        <w:ind w:firstLine="420" w:firstLineChars="200"/>
        <w:rPr>
          <w:color w:val="auto"/>
          <w:highlight w:val="none"/>
        </w:rPr>
      </w:pPr>
      <w:r>
        <w:rPr>
          <w:rFonts w:hint="eastAsia" w:hAnsi="宋体"/>
          <w:color w:val="auto"/>
          <w:highlight w:val="none"/>
        </w:rPr>
        <w:t>（2）质疑和质疑答复情况及相关证明材料；</w:t>
      </w:r>
    </w:p>
    <w:p w14:paraId="311A6B5E">
      <w:pPr>
        <w:spacing w:line="360" w:lineRule="auto"/>
        <w:ind w:firstLine="420" w:firstLineChars="200"/>
        <w:rPr>
          <w:rFonts w:hAnsi="宋体"/>
          <w:color w:val="auto"/>
          <w:highlight w:val="none"/>
        </w:rPr>
      </w:pPr>
      <w:r>
        <w:rPr>
          <w:rFonts w:hint="eastAsia" w:hAnsi="宋体"/>
          <w:color w:val="auto"/>
          <w:highlight w:val="none"/>
        </w:rPr>
        <w:t>（3）具体、明确的投诉事项和与投诉事项相关的投诉请求；</w:t>
      </w:r>
    </w:p>
    <w:p w14:paraId="66EEA538">
      <w:pPr>
        <w:spacing w:line="360" w:lineRule="auto"/>
        <w:ind w:firstLine="420" w:firstLineChars="200"/>
        <w:rPr>
          <w:rFonts w:hAnsi="宋体"/>
          <w:color w:val="auto"/>
          <w:highlight w:val="none"/>
        </w:rPr>
      </w:pPr>
      <w:r>
        <w:rPr>
          <w:rFonts w:hint="eastAsia" w:hAnsi="宋体"/>
          <w:color w:val="auto"/>
          <w:highlight w:val="none"/>
        </w:rPr>
        <w:t>（4）事实依据；</w:t>
      </w:r>
    </w:p>
    <w:p w14:paraId="3ED29F9D">
      <w:pPr>
        <w:spacing w:line="360" w:lineRule="auto"/>
        <w:ind w:firstLine="420" w:firstLineChars="200"/>
        <w:rPr>
          <w:color w:val="auto"/>
          <w:highlight w:val="none"/>
        </w:rPr>
      </w:pPr>
      <w:r>
        <w:rPr>
          <w:rFonts w:hint="eastAsia" w:hAnsi="宋体"/>
          <w:color w:val="auto"/>
          <w:highlight w:val="none"/>
        </w:rPr>
        <w:t>（5）法律依据；</w:t>
      </w:r>
    </w:p>
    <w:p w14:paraId="48681522">
      <w:pPr>
        <w:spacing w:line="360" w:lineRule="auto"/>
        <w:ind w:firstLine="420" w:firstLineChars="200"/>
        <w:rPr>
          <w:rFonts w:hAnsi="宋体"/>
          <w:color w:val="auto"/>
          <w:highlight w:val="none"/>
        </w:rPr>
      </w:pPr>
      <w:r>
        <w:rPr>
          <w:rFonts w:hint="eastAsia" w:hAnsi="宋体"/>
          <w:color w:val="auto"/>
          <w:highlight w:val="none"/>
        </w:rPr>
        <w:t>（6）提起投诉的日期。</w:t>
      </w:r>
    </w:p>
    <w:p w14:paraId="6C2FC008">
      <w:pPr>
        <w:spacing w:line="360" w:lineRule="auto"/>
        <w:ind w:firstLine="420" w:firstLineChars="200"/>
        <w:rPr>
          <w:rFonts w:hAnsi="宋体"/>
          <w:color w:val="auto"/>
          <w:highlight w:val="none"/>
        </w:rPr>
      </w:pPr>
      <w:r>
        <w:rPr>
          <w:rFonts w:hint="eastAsia" w:hAnsi="宋体"/>
          <w:color w:val="auto"/>
          <w:highlight w:val="none"/>
        </w:rPr>
        <w:t>（7）附件材料：营业执照副本内页复印件（要求证件有效并清晰反映企业法人经营范围；近期连续三个月依法缴纳税收和在职职工社会保障资金证明材料（复印件）。</w:t>
      </w:r>
      <w:r>
        <w:rPr>
          <w:rFonts w:hint="eastAsia" w:hAnsi="宋体"/>
          <w:color w:val="auto"/>
          <w:highlight w:val="none"/>
        </w:rPr>
        <w:tab/>
      </w:r>
    </w:p>
    <w:p w14:paraId="10C81F58">
      <w:pPr>
        <w:spacing w:line="360" w:lineRule="auto"/>
        <w:ind w:firstLine="422" w:firstLineChars="200"/>
        <w:rPr>
          <w:rFonts w:hAnsi="宋体"/>
          <w:bCs/>
          <w:color w:val="auto"/>
          <w:highlight w:val="none"/>
        </w:rPr>
      </w:pPr>
      <w:r>
        <w:rPr>
          <w:rFonts w:hAnsi="宋体"/>
          <w:b/>
          <w:color w:val="auto"/>
          <w:highlight w:val="none"/>
        </w:rPr>
        <w:t>38</w:t>
      </w:r>
      <w:r>
        <w:rPr>
          <w:rFonts w:hint="eastAsia" w:hAnsi="宋体"/>
          <w:b/>
          <w:color w:val="auto"/>
          <w:highlight w:val="none"/>
        </w:rPr>
        <w:t>.3</w:t>
      </w:r>
      <w:r>
        <w:rPr>
          <w:rFonts w:hint="eastAsia"/>
          <w:b/>
          <w:color w:val="auto"/>
          <w:highlight w:val="none"/>
        </w:rPr>
        <w:t xml:space="preserve">.3  </w:t>
      </w:r>
      <w:r>
        <w:rPr>
          <w:rFonts w:hint="eastAsia"/>
          <w:color w:val="auto"/>
          <w:highlight w:val="none"/>
        </w:rPr>
        <w:t>投诉人可以委托代理人办理投诉事务。</w:t>
      </w:r>
      <w:r>
        <w:rPr>
          <w:rFonts w:hint="eastAsia" w:hAnsi="宋体"/>
          <w:bCs/>
          <w:color w:val="auto"/>
          <w:highlight w:val="none"/>
        </w:rPr>
        <w:t>委托代理人应熟悉相关业务情况。</w:t>
      </w:r>
      <w:r>
        <w:rPr>
          <w:rFonts w:hint="eastAsia"/>
          <w:color w:val="auto"/>
          <w:highlight w:val="none"/>
        </w:rPr>
        <w:t>代理人办理投诉事务时，除提交投诉书外，还应当提交投诉人的授权委托书和</w:t>
      </w:r>
      <w:r>
        <w:rPr>
          <w:rFonts w:hint="eastAsia" w:hAnsi="宋体"/>
          <w:color w:val="auto"/>
          <w:highlight w:val="none"/>
        </w:rPr>
        <w:t>委托代理人身份证明复印件。</w:t>
      </w:r>
    </w:p>
    <w:p w14:paraId="474CCE1A">
      <w:pPr>
        <w:spacing w:line="360" w:lineRule="auto"/>
        <w:ind w:firstLine="422" w:firstLineChars="200"/>
        <w:rPr>
          <w:rFonts w:hAnsi="宋体"/>
          <w:color w:val="auto"/>
          <w:highlight w:val="none"/>
        </w:rPr>
      </w:pPr>
      <w:r>
        <w:rPr>
          <w:rFonts w:hAnsi="宋体"/>
          <w:b/>
          <w:color w:val="auto"/>
          <w:highlight w:val="none"/>
        </w:rPr>
        <w:t>38</w:t>
      </w:r>
      <w:r>
        <w:rPr>
          <w:rFonts w:hint="eastAsia" w:hAnsi="宋体"/>
          <w:b/>
          <w:color w:val="auto"/>
          <w:highlight w:val="none"/>
        </w:rPr>
        <w:t>.3</w:t>
      </w:r>
      <w:r>
        <w:rPr>
          <w:rFonts w:hint="eastAsia"/>
          <w:b/>
          <w:color w:val="auto"/>
          <w:highlight w:val="none"/>
        </w:rPr>
        <w:t>.4</w:t>
      </w:r>
      <w:r>
        <w:rPr>
          <w:rFonts w:hint="eastAsia"/>
          <w:color w:val="auto"/>
          <w:highlight w:val="none"/>
        </w:rPr>
        <w:t xml:space="preserve">  投诉人提起投诉应当符合下列条件：</w:t>
      </w:r>
    </w:p>
    <w:p w14:paraId="2CAB0B56">
      <w:pPr>
        <w:spacing w:line="360" w:lineRule="auto"/>
        <w:ind w:firstLine="420" w:firstLineChars="200"/>
        <w:rPr>
          <w:rFonts w:ascii="宋体" w:hAnsi="宋体"/>
          <w:color w:val="auto"/>
          <w:highlight w:val="none"/>
        </w:rPr>
      </w:pPr>
      <w:r>
        <w:rPr>
          <w:rFonts w:hint="eastAsia" w:ascii="宋体" w:hAnsi="宋体"/>
          <w:color w:val="auto"/>
          <w:highlight w:val="none"/>
        </w:rPr>
        <w:t>（1）投诉人是参与所投诉政府采购活动的供应商；</w:t>
      </w:r>
    </w:p>
    <w:p w14:paraId="0F08EA34">
      <w:pPr>
        <w:spacing w:line="360" w:lineRule="auto"/>
        <w:ind w:firstLine="420" w:firstLineChars="200"/>
        <w:rPr>
          <w:rFonts w:ascii="宋体" w:hAnsi="宋体"/>
          <w:color w:val="auto"/>
          <w:highlight w:val="none"/>
        </w:rPr>
      </w:pPr>
      <w:r>
        <w:rPr>
          <w:rFonts w:hint="eastAsia" w:ascii="宋体" w:hAnsi="宋体"/>
          <w:color w:val="auto"/>
          <w:highlight w:val="none"/>
        </w:rPr>
        <w:t>（2）提起投诉前已依法进行质疑；</w:t>
      </w:r>
    </w:p>
    <w:p w14:paraId="0B41FB92">
      <w:pPr>
        <w:spacing w:line="360" w:lineRule="auto"/>
        <w:ind w:firstLine="420" w:firstLineChars="200"/>
        <w:rPr>
          <w:rFonts w:ascii="宋体" w:hAnsi="宋体"/>
          <w:color w:val="auto"/>
          <w:highlight w:val="none"/>
        </w:rPr>
      </w:pPr>
      <w:r>
        <w:rPr>
          <w:rFonts w:hint="eastAsia" w:ascii="宋体" w:hAnsi="宋体"/>
          <w:color w:val="auto"/>
          <w:highlight w:val="none"/>
        </w:rPr>
        <w:t>（3）投诉书内容符合本章第38.3.2项的规定；</w:t>
      </w:r>
    </w:p>
    <w:p w14:paraId="7339B85A">
      <w:pPr>
        <w:spacing w:line="360" w:lineRule="auto"/>
        <w:ind w:firstLine="420" w:firstLineChars="200"/>
        <w:rPr>
          <w:rFonts w:ascii="宋体" w:hAnsi="宋体"/>
          <w:color w:val="auto"/>
          <w:highlight w:val="none"/>
        </w:rPr>
      </w:pPr>
      <w:r>
        <w:rPr>
          <w:rFonts w:hint="eastAsia" w:ascii="宋体" w:hAnsi="宋体"/>
          <w:color w:val="auto"/>
          <w:highlight w:val="none"/>
        </w:rPr>
        <w:t>（4）在投诉有效期限内提起投诉；</w:t>
      </w:r>
    </w:p>
    <w:p w14:paraId="001F43D4">
      <w:pPr>
        <w:spacing w:line="360" w:lineRule="auto"/>
        <w:ind w:firstLine="420" w:firstLineChars="200"/>
        <w:rPr>
          <w:rFonts w:ascii="宋体" w:hAnsi="宋体"/>
          <w:color w:val="auto"/>
          <w:highlight w:val="none"/>
        </w:rPr>
      </w:pPr>
      <w:r>
        <w:rPr>
          <w:rFonts w:hint="eastAsia" w:ascii="宋体" w:hAnsi="宋体"/>
          <w:color w:val="auto"/>
          <w:highlight w:val="none"/>
        </w:rPr>
        <w:t>（5）属于</w:t>
      </w:r>
      <w:r>
        <w:rPr>
          <w:rFonts w:hint="eastAsia" w:ascii="宋体"/>
          <w:color w:val="auto"/>
          <w:highlight w:val="none"/>
        </w:rPr>
        <w:t>陆川县</w:t>
      </w:r>
      <w:r>
        <w:rPr>
          <w:rFonts w:hint="eastAsia" w:ascii="宋体" w:hAnsi="宋体"/>
          <w:color w:val="auto"/>
          <w:highlight w:val="none"/>
        </w:rPr>
        <w:t>政府采购监督管理部门管辖；</w:t>
      </w:r>
    </w:p>
    <w:p w14:paraId="7320429E">
      <w:pPr>
        <w:spacing w:line="360" w:lineRule="auto"/>
        <w:ind w:firstLine="420" w:firstLineChars="200"/>
        <w:rPr>
          <w:rFonts w:ascii="宋体" w:hAnsi="宋体"/>
          <w:color w:val="auto"/>
          <w:highlight w:val="none"/>
        </w:rPr>
      </w:pPr>
      <w:r>
        <w:rPr>
          <w:rFonts w:hint="eastAsia" w:ascii="宋体" w:hAnsi="宋体"/>
          <w:color w:val="auto"/>
          <w:highlight w:val="none"/>
        </w:rPr>
        <w:t>（6）同一投诉事项未经</w:t>
      </w:r>
      <w:r>
        <w:rPr>
          <w:rFonts w:hint="eastAsia" w:ascii="宋体"/>
          <w:color w:val="auto"/>
          <w:highlight w:val="none"/>
        </w:rPr>
        <w:t>陆川县</w:t>
      </w:r>
      <w:r>
        <w:rPr>
          <w:rFonts w:hint="eastAsia" w:ascii="宋体" w:hAnsi="宋体"/>
          <w:bCs/>
          <w:color w:val="auto"/>
          <w:highlight w:val="none"/>
        </w:rPr>
        <w:t>政府采购监督管理部门</w:t>
      </w:r>
      <w:r>
        <w:rPr>
          <w:rFonts w:hint="eastAsia" w:ascii="宋体" w:hAnsi="宋体"/>
          <w:color w:val="auto"/>
          <w:highlight w:val="none"/>
        </w:rPr>
        <w:t>投诉处理；</w:t>
      </w:r>
    </w:p>
    <w:p w14:paraId="092A2918">
      <w:pPr>
        <w:spacing w:line="360" w:lineRule="auto"/>
        <w:ind w:firstLine="420" w:firstLineChars="200"/>
        <w:rPr>
          <w:rFonts w:ascii="宋体"/>
          <w:color w:val="auto"/>
          <w:highlight w:val="none"/>
        </w:rPr>
      </w:pPr>
      <w:r>
        <w:rPr>
          <w:rFonts w:hint="eastAsia" w:ascii="宋体"/>
          <w:color w:val="auto"/>
          <w:highlight w:val="none"/>
        </w:rPr>
        <w:t>（7）国务院财政部门规定的其他条件。</w:t>
      </w:r>
    </w:p>
    <w:p w14:paraId="2BC285B2">
      <w:pPr>
        <w:spacing w:line="360" w:lineRule="auto"/>
        <w:ind w:firstLine="422" w:firstLineChars="200"/>
        <w:rPr>
          <w:color w:val="auto"/>
          <w:highlight w:val="none"/>
        </w:rPr>
      </w:pPr>
      <w:r>
        <w:rPr>
          <w:rFonts w:hAnsi="宋体"/>
          <w:b/>
          <w:color w:val="auto"/>
          <w:highlight w:val="none"/>
        </w:rPr>
        <w:t>38</w:t>
      </w:r>
      <w:r>
        <w:rPr>
          <w:rFonts w:hint="eastAsia" w:hAnsi="宋体"/>
          <w:b/>
          <w:color w:val="auto"/>
          <w:highlight w:val="none"/>
        </w:rPr>
        <w:t>.3</w:t>
      </w:r>
      <w:r>
        <w:rPr>
          <w:rFonts w:hint="eastAsia" w:ascii="宋体"/>
          <w:b/>
          <w:color w:val="auto"/>
          <w:highlight w:val="none"/>
        </w:rPr>
        <w:t>.5</w:t>
      </w:r>
      <w:r>
        <w:rPr>
          <w:rFonts w:hint="eastAsia" w:ascii="宋体"/>
          <w:color w:val="auto"/>
          <w:highlight w:val="none"/>
        </w:rPr>
        <w:t>陆川县政府采购监督管理部门</w:t>
      </w:r>
      <w:r>
        <w:rPr>
          <w:rFonts w:hint="eastAsia"/>
          <w:color w:val="auto"/>
          <w:highlight w:val="none"/>
        </w:rPr>
        <w:t>自受理投诉之日起</w:t>
      </w:r>
      <w:r>
        <w:rPr>
          <w:color w:val="auto"/>
          <w:highlight w:val="none"/>
        </w:rPr>
        <w:t>30</w:t>
      </w:r>
      <w:r>
        <w:rPr>
          <w:rFonts w:hint="eastAsia"/>
          <w:color w:val="auto"/>
          <w:highlight w:val="none"/>
        </w:rPr>
        <w:t>个工作日内，对投诉事项作出处理决定，并以书面形式通知投诉人、被投诉人及其他与投诉处理结果有利害关系的政府采购当</w:t>
      </w:r>
      <w:r>
        <w:rPr>
          <w:rFonts w:hint="eastAsia" w:ascii="宋体"/>
          <w:color w:val="auto"/>
          <w:highlight w:val="none"/>
        </w:rPr>
        <w:t>事人</w:t>
      </w:r>
      <w:r>
        <w:rPr>
          <w:rFonts w:hint="eastAsia"/>
          <w:color w:val="auto"/>
          <w:highlight w:val="none"/>
        </w:rPr>
        <w:t>。并将投诉结果在http://zfcg.gxzf.gov.cn (广西壮族自治区政府采购网)发布。</w:t>
      </w:r>
    </w:p>
    <w:p w14:paraId="53021D2E">
      <w:pPr>
        <w:spacing w:line="360" w:lineRule="auto"/>
        <w:ind w:firstLine="422" w:firstLineChars="200"/>
        <w:rPr>
          <w:rFonts w:ascii="宋体"/>
          <w:color w:val="auto"/>
          <w:highlight w:val="none"/>
        </w:rPr>
      </w:pPr>
      <w:r>
        <w:rPr>
          <w:rFonts w:hAnsi="宋体"/>
          <w:b/>
          <w:color w:val="auto"/>
          <w:highlight w:val="none"/>
        </w:rPr>
        <w:t>38</w:t>
      </w:r>
      <w:r>
        <w:rPr>
          <w:rFonts w:hint="eastAsia" w:hAnsi="宋体"/>
          <w:b/>
          <w:color w:val="auto"/>
          <w:highlight w:val="none"/>
        </w:rPr>
        <w:t>.3</w:t>
      </w:r>
      <w:r>
        <w:rPr>
          <w:rFonts w:hint="eastAsia" w:ascii="宋体"/>
          <w:b/>
          <w:color w:val="auto"/>
          <w:highlight w:val="none"/>
        </w:rPr>
        <w:t>.6</w:t>
      </w:r>
      <w:r>
        <w:rPr>
          <w:rFonts w:hint="eastAsia" w:ascii="宋体"/>
          <w:color w:val="auto"/>
          <w:highlight w:val="none"/>
        </w:rPr>
        <w:t>陆川县政府采购监督管理部门在处理投诉事项期间，可以视具体情况暂停采购活动。</w:t>
      </w:r>
    </w:p>
    <w:p w14:paraId="73D62A96">
      <w:pPr>
        <w:snapToGrid w:val="0"/>
        <w:spacing w:line="360" w:lineRule="auto"/>
        <w:ind w:left="120" w:leftChars="57" w:firstLine="482" w:firstLineChars="150"/>
        <w:jc w:val="center"/>
        <w:rPr>
          <w:b/>
          <w:bCs/>
          <w:color w:val="auto"/>
          <w:sz w:val="32"/>
          <w:szCs w:val="32"/>
          <w:highlight w:val="none"/>
        </w:rPr>
      </w:pPr>
      <w:r>
        <w:rPr>
          <w:rFonts w:hint="eastAsia"/>
          <w:b/>
          <w:bCs/>
          <w:color w:val="auto"/>
          <w:sz w:val="32"/>
          <w:szCs w:val="32"/>
          <w:highlight w:val="none"/>
        </w:rPr>
        <w:t>八、验收</w:t>
      </w:r>
    </w:p>
    <w:p w14:paraId="623A561B">
      <w:pPr>
        <w:spacing w:line="360" w:lineRule="auto"/>
        <w:ind w:firstLine="422" w:firstLineChars="200"/>
        <w:rPr>
          <w:rFonts w:hAnsi="宋体"/>
          <w:b/>
          <w:color w:val="auto"/>
          <w:highlight w:val="none"/>
        </w:rPr>
      </w:pPr>
      <w:r>
        <w:rPr>
          <w:rFonts w:hint="eastAsia" w:hAnsi="宋体"/>
          <w:b/>
          <w:color w:val="auto"/>
          <w:highlight w:val="none"/>
        </w:rPr>
        <w:t>39.验收</w:t>
      </w:r>
    </w:p>
    <w:p w14:paraId="3793CD61">
      <w:pPr>
        <w:tabs>
          <w:tab w:val="left" w:pos="0"/>
        </w:tabs>
        <w:spacing w:line="360" w:lineRule="auto"/>
        <w:ind w:firstLine="480"/>
        <w:rPr>
          <w:rFonts w:hAnsi="宋体"/>
          <w:color w:val="auto"/>
          <w:highlight w:val="none"/>
        </w:rPr>
      </w:pPr>
      <w:r>
        <w:rPr>
          <w:rFonts w:hint="eastAsia" w:hAnsi="宋体"/>
          <w:color w:val="auto"/>
          <w:highlight w:val="none"/>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735527B">
      <w:pPr>
        <w:tabs>
          <w:tab w:val="left" w:pos="0"/>
        </w:tabs>
        <w:spacing w:line="360" w:lineRule="auto"/>
        <w:ind w:firstLine="480"/>
        <w:rPr>
          <w:rFonts w:hAnsi="宋体"/>
          <w:color w:val="auto"/>
          <w:highlight w:val="none"/>
        </w:rPr>
      </w:pPr>
      <w:r>
        <w:rPr>
          <w:rFonts w:hint="eastAsia" w:hAnsi="宋体"/>
          <w:color w:val="auto"/>
          <w:highlight w:val="none"/>
        </w:rPr>
        <w:t>39.2采购人可以邀请参加本项目的其他投标人或者第三方机构参与验收。参与验收的投标人或者第三方机构的意见作为验收书的参考资料一并存档。</w:t>
      </w:r>
    </w:p>
    <w:p w14:paraId="40AC4A99">
      <w:pPr>
        <w:tabs>
          <w:tab w:val="left" w:pos="0"/>
        </w:tabs>
        <w:spacing w:line="360" w:lineRule="auto"/>
        <w:ind w:firstLine="480"/>
        <w:rPr>
          <w:rFonts w:hAnsi="宋体"/>
          <w:color w:val="auto"/>
          <w:highlight w:val="none"/>
        </w:rPr>
      </w:pPr>
      <w:r>
        <w:rPr>
          <w:rFonts w:hint="eastAsia" w:hAnsi="宋体"/>
          <w:color w:val="auto"/>
          <w:highlight w:val="none"/>
        </w:rPr>
        <w:t>39.3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5F56441">
      <w:pPr>
        <w:tabs>
          <w:tab w:val="left" w:pos="0"/>
        </w:tabs>
        <w:spacing w:line="360" w:lineRule="auto"/>
        <w:ind w:firstLine="480"/>
        <w:rPr>
          <w:rFonts w:hAnsi="宋体"/>
          <w:color w:val="auto"/>
          <w:highlight w:val="none"/>
        </w:rPr>
      </w:pPr>
      <w:r>
        <w:rPr>
          <w:rFonts w:hint="eastAsia" w:hAnsi="宋体"/>
          <w:color w:val="auto"/>
          <w:highlight w:val="none"/>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0024EA7">
      <w:pPr>
        <w:pStyle w:val="4"/>
        <w:keepNext w:val="0"/>
        <w:keepLines w:val="0"/>
        <w:spacing w:line="360" w:lineRule="auto"/>
        <w:jc w:val="center"/>
        <w:rPr>
          <w:color w:val="auto"/>
          <w:highlight w:val="none"/>
        </w:rPr>
      </w:pPr>
      <w:bookmarkStart w:id="136" w:name="_八、其他事项"/>
      <w:bookmarkEnd w:id="136"/>
      <w:bookmarkStart w:id="137" w:name="_Toc89076001"/>
      <w:r>
        <w:rPr>
          <w:rFonts w:hint="eastAsia"/>
          <w:color w:val="auto"/>
          <w:highlight w:val="none"/>
        </w:rPr>
        <w:t>九、其他事项</w:t>
      </w:r>
      <w:bookmarkEnd w:id="137"/>
    </w:p>
    <w:p w14:paraId="6B6D618D">
      <w:pPr>
        <w:spacing w:line="360" w:lineRule="auto"/>
        <w:ind w:firstLine="480" w:firstLineChars="200"/>
        <w:rPr>
          <w:rFonts w:ascii="黑体" w:hAnsi="黑体" w:eastAsia="黑体"/>
          <w:color w:val="auto"/>
          <w:sz w:val="24"/>
          <w:highlight w:val="none"/>
        </w:rPr>
      </w:pPr>
      <w:bookmarkStart w:id="138" w:name="_42.代理服务费"/>
      <w:bookmarkEnd w:id="138"/>
      <w:r>
        <w:rPr>
          <w:rFonts w:hint="eastAsia" w:ascii="黑体" w:hAnsi="黑体" w:eastAsia="黑体"/>
          <w:color w:val="auto"/>
          <w:sz w:val="24"/>
          <w:highlight w:val="none"/>
        </w:rPr>
        <w:t>40.</w:t>
      </w:r>
      <w:r>
        <w:rPr>
          <w:rFonts w:hint="eastAsia" w:ascii="黑体" w:hAnsi="黑体" w:eastAsia="黑体"/>
          <w:color w:val="auto"/>
          <w:sz w:val="24"/>
          <w:highlight w:val="none"/>
          <w:lang w:val="en-US" w:eastAsia="zh-CN"/>
        </w:rPr>
        <w:t>采购</w:t>
      </w:r>
      <w:r>
        <w:rPr>
          <w:rFonts w:hint="eastAsia" w:ascii="黑体" w:hAnsi="黑体" w:eastAsia="黑体"/>
          <w:color w:val="auto"/>
          <w:sz w:val="24"/>
          <w:highlight w:val="none"/>
        </w:rPr>
        <w:t>代理服务费</w:t>
      </w:r>
    </w:p>
    <w:p w14:paraId="007E4F3C">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采购</w:t>
      </w:r>
      <w:r>
        <w:rPr>
          <w:rFonts w:hint="eastAsia" w:ascii="宋体" w:hAnsi="宋体"/>
          <w:b/>
          <w:color w:val="auto"/>
          <w:szCs w:val="21"/>
          <w:highlight w:val="none"/>
        </w:rPr>
        <w:t>代理服务收费标准详见“投标人须知前附表”，投标人为联合体的，可以由联合体中的一方或者多方共同交纳</w:t>
      </w:r>
      <w:r>
        <w:rPr>
          <w:rFonts w:hint="eastAsia" w:ascii="宋体" w:hAnsi="宋体"/>
          <w:b/>
          <w:color w:val="auto"/>
          <w:szCs w:val="21"/>
          <w:highlight w:val="none"/>
          <w:lang w:val="en-US" w:eastAsia="zh-CN"/>
        </w:rPr>
        <w:t>采购</w:t>
      </w:r>
      <w:r>
        <w:rPr>
          <w:rFonts w:hint="eastAsia" w:ascii="宋体" w:hAnsi="宋体"/>
          <w:b/>
          <w:color w:val="auto"/>
          <w:szCs w:val="21"/>
          <w:highlight w:val="none"/>
        </w:rPr>
        <w:t>代理服务费。</w:t>
      </w:r>
    </w:p>
    <w:p w14:paraId="4CEB019D">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41</w:t>
      </w:r>
      <w:r>
        <w:rPr>
          <w:rFonts w:ascii="黑体" w:hAnsi="黑体" w:eastAsia="黑体"/>
          <w:color w:val="auto"/>
          <w:sz w:val="24"/>
          <w:highlight w:val="none"/>
        </w:rPr>
        <w:t>. 需要补充的其他内容</w:t>
      </w:r>
    </w:p>
    <w:p w14:paraId="32B09BEB">
      <w:pPr>
        <w:spacing w:line="360" w:lineRule="auto"/>
        <w:ind w:firstLine="420" w:firstLineChars="200"/>
        <w:rPr>
          <w:rFonts w:hAnsi="宋体"/>
          <w:color w:val="auto"/>
          <w:highlight w:val="none"/>
        </w:rPr>
      </w:pPr>
      <w:r>
        <w:rPr>
          <w:rFonts w:hAnsi="宋体"/>
          <w:color w:val="auto"/>
          <w:highlight w:val="none"/>
        </w:rPr>
        <w:t>4</w:t>
      </w:r>
      <w:r>
        <w:rPr>
          <w:rFonts w:hint="eastAsia" w:hAnsi="宋体"/>
          <w:color w:val="auto"/>
          <w:highlight w:val="none"/>
        </w:rPr>
        <w:t>1</w:t>
      </w:r>
      <w:r>
        <w:rPr>
          <w:rFonts w:hAnsi="宋体"/>
          <w:color w:val="auto"/>
          <w:highlight w:val="none"/>
        </w:rPr>
        <w:t>.1</w:t>
      </w:r>
      <w:r>
        <w:rPr>
          <w:rFonts w:hint="eastAsia" w:hAnsi="宋体" w:cs="宋体"/>
          <w:color w:val="auto"/>
          <w:highlight w:val="none"/>
        </w:rPr>
        <w:t>本招标文件解释规则详见</w:t>
      </w:r>
      <w:r>
        <w:rPr>
          <w:rFonts w:hint="eastAsia" w:hAnsi="宋体"/>
          <w:color w:val="auto"/>
          <w:highlight w:val="none"/>
        </w:rPr>
        <w:t>“投标人须知前附表”。</w:t>
      </w:r>
    </w:p>
    <w:p w14:paraId="5C895D6B">
      <w:pPr>
        <w:spacing w:line="360" w:lineRule="auto"/>
        <w:ind w:firstLine="420" w:firstLineChars="200"/>
        <w:rPr>
          <w:rFonts w:hAnsi="宋体"/>
          <w:color w:val="auto"/>
          <w:highlight w:val="none"/>
        </w:rPr>
      </w:pPr>
      <w:r>
        <w:rPr>
          <w:rFonts w:hAnsi="宋体" w:cs="宋体"/>
          <w:color w:val="auto"/>
          <w:highlight w:val="none"/>
        </w:rPr>
        <w:t>4</w:t>
      </w:r>
      <w:r>
        <w:rPr>
          <w:rFonts w:hint="eastAsia" w:hAnsi="宋体" w:cs="宋体"/>
          <w:color w:val="auto"/>
          <w:highlight w:val="none"/>
        </w:rPr>
        <w:t>1</w:t>
      </w:r>
      <w:r>
        <w:rPr>
          <w:rFonts w:hAnsi="宋体" w:cs="宋体"/>
          <w:color w:val="auto"/>
          <w:highlight w:val="none"/>
        </w:rPr>
        <w:t>.2</w:t>
      </w:r>
      <w:r>
        <w:rPr>
          <w:rFonts w:hint="eastAsia" w:hAnsi="宋体"/>
          <w:color w:val="auto"/>
          <w:highlight w:val="none"/>
        </w:rPr>
        <w:t>其他事项详见“投标人须知前附表”。</w:t>
      </w:r>
    </w:p>
    <w:p w14:paraId="166C62E8">
      <w:pPr>
        <w:pStyle w:val="13"/>
        <w:spacing w:line="360" w:lineRule="auto"/>
        <w:ind w:firstLine="420" w:firstLineChars="200"/>
        <w:contextualSpacing/>
        <w:rPr>
          <w:rFonts w:hAnsi="宋体"/>
          <w:color w:val="auto"/>
          <w:highlight w:val="none"/>
        </w:rPr>
      </w:pPr>
      <w:r>
        <w:rPr>
          <w:rFonts w:hAnsi="宋体"/>
          <w:color w:val="auto"/>
          <w:highlight w:val="none"/>
        </w:rPr>
        <w:t>4</w:t>
      </w:r>
      <w:r>
        <w:rPr>
          <w:rFonts w:hint="eastAsia" w:hAnsi="宋体"/>
          <w:color w:val="auto"/>
          <w:highlight w:val="none"/>
        </w:rPr>
        <w:t>1</w:t>
      </w:r>
      <w:r>
        <w:rPr>
          <w:rFonts w:hAnsi="宋体"/>
          <w:color w:val="auto"/>
          <w:highlight w:val="none"/>
        </w:rPr>
        <w:t>.3</w:t>
      </w:r>
      <w:bookmarkStart w:id="139" w:name="_Hlk65857140"/>
      <w:r>
        <w:rPr>
          <w:rFonts w:hint="eastAsia" w:hAnsi="宋体"/>
          <w:color w:val="auto"/>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w:t>
      </w:r>
      <w:r>
        <w:rPr>
          <w:rFonts w:hint="eastAsia"/>
          <w:color w:val="auto"/>
          <w:highlight w:val="none"/>
        </w:rPr>
        <w:t>不对其中涉及的工程承建商和服务的承接商作出要求</w:t>
      </w:r>
      <w:r>
        <w:rPr>
          <w:rFonts w:hint="eastAsia" w:hAnsi="宋体"/>
          <w:color w:val="auto"/>
          <w:highlight w:val="none"/>
        </w:rPr>
        <w:t>的，享受本文件规定的中小企业扶持政策。</w:t>
      </w:r>
    </w:p>
    <w:p w14:paraId="73C4046B">
      <w:pPr>
        <w:pStyle w:val="13"/>
        <w:spacing w:before="120" w:after="120" w:line="360" w:lineRule="auto"/>
        <w:ind w:firstLine="420" w:firstLineChars="200"/>
        <w:contextualSpacing/>
        <w:rPr>
          <w:rFonts w:hAnsi="宋体"/>
          <w:color w:val="auto"/>
          <w:highlight w:val="none"/>
        </w:rPr>
      </w:pPr>
      <w:r>
        <w:rPr>
          <w:rFonts w:hint="eastAsia" w:hAnsi="宋体"/>
          <w:color w:val="auto"/>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73AD52D8">
      <w:pPr>
        <w:pStyle w:val="13"/>
        <w:spacing w:before="120" w:after="120" w:line="360" w:lineRule="auto"/>
        <w:ind w:firstLine="420" w:firstLineChars="200"/>
        <w:contextualSpacing/>
        <w:rPr>
          <w:rFonts w:hAnsi="宋体"/>
          <w:color w:val="auto"/>
          <w:highlight w:val="none"/>
        </w:rPr>
      </w:pPr>
      <w:r>
        <w:rPr>
          <w:rFonts w:hint="eastAsia" w:hAnsi="宋体"/>
          <w:color w:val="auto"/>
          <w:highlight w:val="none"/>
        </w:rPr>
        <w:t>依据本文件规定享受扶持政策获得政府采购合同的，小微企业不得将合同分包给大中型企业，中型企业不得将合同分包给大型企业。</w:t>
      </w:r>
      <w:bookmarkEnd w:id="139"/>
    </w:p>
    <w:p w14:paraId="27C3AA99">
      <w:pPr>
        <w:pStyle w:val="10"/>
        <w:ind w:left="449" w:leftChars="114" w:hanging="210" w:hangingChars="100"/>
        <w:rPr>
          <w:rFonts w:ascii="宋体"/>
          <w:b/>
          <w:bCs/>
          <w:color w:val="auto"/>
          <w:sz w:val="18"/>
          <w:highlight w:val="none"/>
        </w:rPr>
      </w:pPr>
      <w:r>
        <w:rPr>
          <w:rFonts w:hint="eastAsia" w:hAnsi="宋体"/>
          <w:color w:val="auto"/>
          <w:highlight w:val="none"/>
        </w:rPr>
        <w:br w:type="page"/>
      </w:r>
    </w:p>
    <w:p w14:paraId="5C306CA1">
      <w:pPr>
        <w:pStyle w:val="10"/>
        <w:jc w:val="both"/>
        <w:rPr>
          <w:rFonts w:ascii="宋体" w:hAnsi="宋体" w:cs="宋体"/>
          <w:b/>
          <w:color w:val="auto"/>
          <w:sz w:val="36"/>
          <w:szCs w:val="36"/>
          <w:highlight w:val="none"/>
        </w:rPr>
      </w:pPr>
    </w:p>
    <w:p w14:paraId="1302E759">
      <w:pPr>
        <w:pStyle w:val="10"/>
        <w:jc w:val="both"/>
        <w:rPr>
          <w:rFonts w:ascii="宋体" w:hAnsi="宋体" w:cs="宋体"/>
          <w:b/>
          <w:color w:val="auto"/>
          <w:sz w:val="36"/>
          <w:szCs w:val="36"/>
          <w:highlight w:val="none"/>
        </w:rPr>
      </w:pPr>
    </w:p>
    <w:p w14:paraId="7425CF27">
      <w:pPr>
        <w:pStyle w:val="3"/>
        <w:keepNext w:val="0"/>
        <w:keepLines w:val="0"/>
        <w:rPr>
          <w:color w:val="auto"/>
          <w:highlight w:val="none"/>
        </w:rPr>
      </w:pPr>
      <w:bookmarkStart w:id="140" w:name="_Toc254970689"/>
      <w:bookmarkStart w:id="141" w:name="_Toc13851"/>
      <w:bookmarkStart w:id="142" w:name="_Toc254970548"/>
      <w:bookmarkStart w:id="143" w:name="_Toc330456896"/>
      <w:bookmarkStart w:id="144" w:name="_Toc29263"/>
    </w:p>
    <w:p w14:paraId="56DFFA3C">
      <w:pPr>
        <w:pStyle w:val="3"/>
        <w:keepNext w:val="0"/>
        <w:keepLines w:val="0"/>
        <w:jc w:val="center"/>
        <w:rPr>
          <w:color w:val="auto"/>
          <w:highlight w:val="none"/>
        </w:rPr>
      </w:pPr>
    </w:p>
    <w:p w14:paraId="474143E1">
      <w:pPr>
        <w:pStyle w:val="3"/>
        <w:keepNext w:val="0"/>
        <w:keepLines w:val="0"/>
        <w:jc w:val="center"/>
        <w:rPr>
          <w:color w:val="auto"/>
          <w:highlight w:val="none"/>
        </w:rPr>
      </w:pPr>
    </w:p>
    <w:p w14:paraId="2B805276">
      <w:pPr>
        <w:pStyle w:val="3"/>
        <w:keepNext w:val="0"/>
        <w:keepLines w:val="0"/>
        <w:jc w:val="center"/>
        <w:rPr>
          <w:color w:val="auto"/>
          <w:highlight w:val="none"/>
        </w:rPr>
      </w:pPr>
      <w:r>
        <w:rPr>
          <w:rFonts w:hint="eastAsia"/>
          <w:color w:val="auto"/>
          <w:highlight w:val="none"/>
        </w:rPr>
        <w:t>第四章  评标方法及评标标准</w:t>
      </w:r>
      <w:bookmarkEnd w:id="140"/>
      <w:bookmarkEnd w:id="141"/>
      <w:bookmarkEnd w:id="142"/>
      <w:bookmarkEnd w:id="143"/>
      <w:bookmarkEnd w:id="144"/>
    </w:p>
    <w:p w14:paraId="676D8EAA">
      <w:pPr>
        <w:pStyle w:val="13"/>
        <w:spacing w:before="120" w:after="120"/>
        <w:outlineLvl w:val="0"/>
        <w:rPr>
          <w:rFonts w:hAnsi="宋体"/>
          <w:b/>
          <w:color w:val="auto"/>
          <w:highlight w:val="none"/>
        </w:rPr>
      </w:pPr>
      <w:bookmarkStart w:id="145" w:name="_Toc254970690"/>
      <w:bookmarkStart w:id="146" w:name="_Toc254970549"/>
    </w:p>
    <w:bookmarkEnd w:id="145"/>
    <w:bookmarkEnd w:id="146"/>
    <w:p w14:paraId="05295041">
      <w:pPr>
        <w:pStyle w:val="13"/>
        <w:spacing w:before="120" w:after="120"/>
        <w:outlineLvl w:val="0"/>
        <w:rPr>
          <w:rFonts w:hAnsi="宋体"/>
          <w:bCs/>
          <w:color w:val="auto"/>
          <w:sz w:val="32"/>
          <w:szCs w:val="32"/>
          <w:highlight w:val="none"/>
        </w:rPr>
      </w:pPr>
    </w:p>
    <w:p w14:paraId="0574105D">
      <w:pPr>
        <w:pStyle w:val="13"/>
        <w:spacing w:before="120" w:after="120"/>
        <w:outlineLvl w:val="0"/>
        <w:rPr>
          <w:rFonts w:hAnsi="宋体"/>
          <w:bCs/>
          <w:color w:val="auto"/>
          <w:sz w:val="32"/>
          <w:szCs w:val="32"/>
          <w:highlight w:val="none"/>
        </w:rPr>
      </w:pPr>
    </w:p>
    <w:p w14:paraId="513822F9">
      <w:pPr>
        <w:pStyle w:val="13"/>
        <w:spacing w:before="120" w:after="120"/>
        <w:outlineLvl w:val="0"/>
        <w:rPr>
          <w:rFonts w:hAnsi="宋体"/>
          <w:bCs/>
          <w:color w:val="auto"/>
          <w:sz w:val="32"/>
          <w:szCs w:val="32"/>
          <w:highlight w:val="none"/>
        </w:rPr>
      </w:pPr>
    </w:p>
    <w:p w14:paraId="6315ED95">
      <w:pPr>
        <w:spacing w:beforeLines="50" w:afterLines="50" w:line="400" w:lineRule="exact"/>
        <w:rPr>
          <w:rFonts w:ascii="宋体" w:hAnsi="宋体"/>
          <w:b/>
          <w:color w:val="auto"/>
          <w:sz w:val="24"/>
          <w:highlight w:val="none"/>
        </w:rPr>
      </w:pPr>
    </w:p>
    <w:p w14:paraId="050C1D0B">
      <w:pPr>
        <w:spacing w:beforeLines="50" w:afterLines="50" w:line="400" w:lineRule="exact"/>
        <w:rPr>
          <w:rFonts w:ascii="宋体" w:hAnsi="宋体"/>
          <w:b/>
          <w:color w:val="auto"/>
          <w:sz w:val="24"/>
          <w:highlight w:val="none"/>
        </w:rPr>
      </w:pPr>
    </w:p>
    <w:p w14:paraId="5F773FC8">
      <w:pPr>
        <w:spacing w:beforeLines="50" w:afterLines="50" w:line="400" w:lineRule="exact"/>
        <w:rPr>
          <w:rFonts w:ascii="宋体" w:hAnsi="宋体"/>
          <w:b/>
          <w:color w:val="auto"/>
          <w:sz w:val="24"/>
          <w:highlight w:val="none"/>
        </w:rPr>
      </w:pPr>
    </w:p>
    <w:p w14:paraId="6AD37FED">
      <w:pPr>
        <w:spacing w:beforeLines="50" w:afterLines="50" w:line="400" w:lineRule="exact"/>
        <w:rPr>
          <w:rFonts w:ascii="宋体" w:hAnsi="宋体"/>
          <w:b/>
          <w:color w:val="auto"/>
          <w:sz w:val="24"/>
          <w:highlight w:val="none"/>
        </w:rPr>
      </w:pPr>
    </w:p>
    <w:p w14:paraId="6C7E34B9">
      <w:pPr>
        <w:spacing w:beforeLines="50" w:afterLines="50" w:line="400" w:lineRule="exact"/>
        <w:rPr>
          <w:rFonts w:ascii="宋体" w:hAnsi="宋体"/>
          <w:b/>
          <w:color w:val="auto"/>
          <w:sz w:val="24"/>
          <w:highlight w:val="none"/>
        </w:rPr>
      </w:pPr>
    </w:p>
    <w:p w14:paraId="586D19D4">
      <w:pPr>
        <w:spacing w:beforeLines="50" w:afterLines="50" w:line="400" w:lineRule="exact"/>
        <w:rPr>
          <w:rFonts w:ascii="宋体" w:hAnsi="宋体"/>
          <w:b/>
          <w:color w:val="auto"/>
          <w:sz w:val="24"/>
          <w:highlight w:val="none"/>
        </w:rPr>
      </w:pPr>
    </w:p>
    <w:p w14:paraId="4D89C110">
      <w:pPr>
        <w:spacing w:beforeLines="50" w:afterLines="50" w:line="400" w:lineRule="exact"/>
        <w:rPr>
          <w:rFonts w:ascii="宋体" w:hAnsi="宋体"/>
          <w:b/>
          <w:color w:val="auto"/>
          <w:sz w:val="24"/>
          <w:highlight w:val="none"/>
        </w:rPr>
      </w:pPr>
    </w:p>
    <w:p w14:paraId="3F5684C3">
      <w:pPr>
        <w:pStyle w:val="13"/>
        <w:spacing w:line="360" w:lineRule="exact"/>
        <w:rPr>
          <w:rFonts w:hAnsi="宋体"/>
          <w:b/>
          <w:color w:val="auto"/>
          <w:sz w:val="24"/>
          <w:highlight w:val="none"/>
        </w:rPr>
      </w:pPr>
    </w:p>
    <w:p w14:paraId="17BD4D09">
      <w:pPr>
        <w:pStyle w:val="13"/>
        <w:spacing w:line="360" w:lineRule="exact"/>
        <w:rPr>
          <w:rFonts w:hAnsi="宋体"/>
          <w:b/>
          <w:color w:val="auto"/>
          <w:sz w:val="24"/>
          <w:highlight w:val="none"/>
        </w:rPr>
      </w:pPr>
    </w:p>
    <w:p w14:paraId="0EDDCC57">
      <w:pPr>
        <w:pStyle w:val="13"/>
        <w:spacing w:line="360" w:lineRule="exact"/>
        <w:rPr>
          <w:rFonts w:hAnsi="宋体"/>
          <w:b/>
          <w:color w:val="auto"/>
          <w:sz w:val="24"/>
          <w:highlight w:val="none"/>
        </w:rPr>
      </w:pPr>
    </w:p>
    <w:p w14:paraId="565372AC">
      <w:pPr>
        <w:pStyle w:val="13"/>
        <w:spacing w:line="360" w:lineRule="exact"/>
        <w:rPr>
          <w:rFonts w:hAnsi="宋体"/>
          <w:b/>
          <w:color w:val="auto"/>
          <w:sz w:val="24"/>
          <w:highlight w:val="none"/>
        </w:rPr>
      </w:pPr>
    </w:p>
    <w:p w14:paraId="2394CC52">
      <w:pPr>
        <w:rPr>
          <w:rFonts w:hAnsi="宋体"/>
          <w:b/>
          <w:color w:val="auto"/>
          <w:sz w:val="24"/>
          <w:highlight w:val="none"/>
        </w:rPr>
      </w:pPr>
    </w:p>
    <w:p w14:paraId="3026E65F">
      <w:pPr>
        <w:pStyle w:val="26"/>
        <w:rPr>
          <w:rFonts w:hAnsi="宋体"/>
          <w:b/>
          <w:color w:val="auto"/>
          <w:sz w:val="24"/>
          <w:highlight w:val="none"/>
        </w:rPr>
      </w:pPr>
    </w:p>
    <w:p w14:paraId="5BAA63C5">
      <w:pPr>
        <w:pStyle w:val="26"/>
        <w:rPr>
          <w:rFonts w:hAnsi="宋体"/>
          <w:b/>
          <w:color w:val="auto"/>
          <w:sz w:val="24"/>
          <w:highlight w:val="none"/>
        </w:rPr>
      </w:pPr>
    </w:p>
    <w:p w14:paraId="10CD3B72">
      <w:pPr>
        <w:pStyle w:val="26"/>
        <w:rPr>
          <w:rFonts w:hAnsi="宋体"/>
          <w:b/>
          <w:color w:val="auto"/>
          <w:sz w:val="24"/>
          <w:highlight w:val="none"/>
        </w:rPr>
      </w:pPr>
    </w:p>
    <w:p w14:paraId="27BD8296">
      <w:pPr>
        <w:pStyle w:val="26"/>
        <w:rPr>
          <w:rFonts w:hAnsi="宋体"/>
          <w:b/>
          <w:color w:val="auto"/>
          <w:sz w:val="24"/>
          <w:highlight w:val="none"/>
        </w:rPr>
      </w:pPr>
    </w:p>
    <w:p w14:paraId="5D7FC014">
      <w:pPr>
        <w:pStyle w:val="13"/>
        <w:spacing w:line="360" w:lineRule="exact"/>
        <w:rPr>
          <w:rFonts w:hAnsi="宋体"/>
          <w:bCs/>
          <w:color w:val="auto"/>
          <w:highlight w:val="none"/>
        </w:rPr>
      </w:pPr>
    </w:p>
    <w:p w14:paraId="591C3F8F">
      <w:pPr>
        <w:pStyle w:val="4"/>
        <w:keepNext w:val="0"/>
        <w:keepLines w:val="0"/>
        <w:jc w:val="center"/>
        <w:rPr>
          <w:color w:val="auto"/>
          <w:sz w:val="30"/>
          <w:szCs w:val="30"/>
          <w:highlight w:val="none"/>
        </w:rPr>
      </w:pPr>
      <w:bookmarkStart w:id="147" w:name="_Toc29765"/>
      <w:bookmarkStart w:id="148" w:name="_Toc7988"/>
      <w:r>
        <w:rPr>
          <w:rFonts w:hint="eastAsia"/>
          <w:color w:val="auto"/>
          <w:sz w:val="30"/>
          <w:szCs w:val="30"/>
          <w:highlight w:val="none"/>
        </w:rPr>
        <w:t>一、评标方法</w:t>
      </w:r>
      <w:bookmarkEnd w:id="147"/>
      <w:bookmarkEnd w:id="148"/>
    </w:p>
    <w:p w14:paraId="18D9CEFF">
      <w:pPr>
        <w:pStyle w:val="13"/>
        <w:tabs>
          <w:tab w:val="left" w:pos="2472"/>
        </w:tabs>
        <w:spacing w:line="360" w:lineRule="auto"/>
        <w:ind w:firstLine="420" w:firstLineChars="200"/>
        <w:rPr>
          <w:rFonts w:hAnsi="宋体" w:cs="宋体"/>
          <w:color w:val="auto"/>
          <w:highlight w:val="none"/>
        </w:rPr>
      </w:pPr>
      <w:r>
        <w:rPr>
          <w:rFonts w:hint="eastAsia" w:hAnsi="宋体" w:cs="宋体"/>
          <w:color w:val="auto"/>
          <w:highlight w:val="none"/>
        </w:rPr>
        <w:t>本项目采用</w:t>
      </w:r>
      <w:r>
        <w:rPr>
          <w:rFonts w:hint="eastAsia" w:hAnsi="宋体" w:cs="宋体"/>
          <w:color w:val="auto"/>
          <w:highlight w:val="none"/>
          <w:u w:val="single"/>
        </w:rPr>
        <w:t xml:space="preserve"> 综合评分法</w:t>
      </w:r>
      <w:r>
        <w:rPr>
          <w:rFonts w:hint="eastAsia" w:hAnsi="宋体" w:cs="宋体"/>
          <w:color w:val="auto"/>
          <w:highlight w:val="none"/>
        </w:rPr>
        <w:t>进行评审。</w:t>
      </w:r>
    </w:p>
    <w:p w14:paraId="1E31F2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综合评分法，是指投标文件满足招标文件全部实质性要求，且按照评审因素的量化指标评审得分最高的投标人为中标候选人的评标方法。</w:t>
      </w:r>
    </w:p>
    <w:p w14:paraId="24112492">
      <w:pPr>
        <w:pStyle w:val="4"/>
        <w:keepNext w:val="0"/>
        <w:keepLines w:val="0"/>
        <w:jc w:val="center"/>
        <w:rPr>
          <w:color w:val="auto"/>
          <w:sz w:val="30"/>
          <w:szCs w:val="30"/>
          <w:highlight w:val="none"/>
        </w:rPr>
      </w:pPr>
      <w:bookmarkStart w:id="149" w:name="_Toc26502"/>
      <w:bookmarkStart w:id="150" w:name="_Toc19276"/>
      <w:r>
        <w:rPr>
          <w:rFonts w:hint="eastAsia"/>
          <w:color w:val="auto"/>
          <w:sz w:val="30"/>
          <w:szCs w:val="30"/>
          <w:highlight w:val="none"/>
        </w:rPr>
        <w:t>二、评标程序</w:t>
      </w:r>
      <w:bookmarkEnd w:id="149"/>
      <w:bookmarkEnd w:id="150"/>
    </w:p>
    <w:p w14:paraId="0F142368">
      <w:pPr>
        <w:pStyle w:val="6"/>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1.符合性审查</w:t>
      </w:r>
    </w:p>
    <w:p w14:paraId="3ADEB8A4">
      <w:pPr>
        <w:pStyle w:val="13"/>
        <w:snapToGrid w:val="0"/>
        <w:spacing w:line="360" w:lineRule="auto"/>
        <w:ind w:left="1" w:firstLine="420"/>
        <w:rPr>
          <w:rFonts w:hAnsi="宋体"/>
          <w:b/>
          <w:color w:val="auto"/>
          <w:highlight w:val="none"/>
        </w:rPr>
      </w:pPr>
      <w:r>
        <w:rPr>
          <w:rFonts w:hint="eastAsia" w:hAnsi="宋体"/>
          <w:b/>
          <w:color w:val="auto"/>
          <w:highlight w:val="none"/>
        </w:rPr>
        <w:t>评标委员会应当对符合资格的投标人的投标文件进行投标报价、商务、技术等实质性内容符合性审查，以确定其是否满足招标文件的实质性要求。</w:t>
      </w:r>
    </w:p>
    <w:p w14:paraId="365A3706">
      <w:pPr>
        <w:pStyle w:val="6"/>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符合性审查不通过而导致投标无效的情形</w:t>
      </w:r>
    </w:p>
    <w:p w14:paraId="073ABA7F">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投标人的投标文件中存在对招标文件的任何实质性要求和条件的负偏离，将被视为投标无效。</w:t>
      </w:r>
    </w:p>
    <w:p w14:paraId="128F05E6">
      <w:pPr>
        <w:pStyle w:val="6"/>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2.1在报价评审时，如发现下列情形之一的，将被视为投标无效：</w:t>
      </w:r>
    </w:p>
    <w:p w14:paraId="1D54A340">
      <w:pPr>
        <w:pStyle w:val="7"/>
        <w:numPr>
          <w:ilvl w:val="0"/>
          <w:numId w:val="3"/>
        </w:num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投标文件未提供“投标人须知前附表”第13.1条规定中“必须提供”的文件资料的;</w:t>
      </w:r>
    </w:p>
    <w:p w14:paraId="4391BDA6">
      <w:pPr>
        <w:pStyle w:val="7"/>
        <w:numPr>
          <w:ilvl w:val="0"/>
          <w:numId w:val="3"/>
        </w:num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未采用人民币报价或者未按照招标文件标明的币种报价的；</w:t>
      </w:r>
    </w:p>
    <w:p w14:paraId="4CF9822D">
      <w:pPr>
        <w:pStyle w:val="7"/>
        <w:numPr>
          <w:ilvl w:val="0"/>
          <w:numId w:val="3"/>
        </w:num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报价超出招标文件规定最高限价，或者超出采购预算金额的；</w:t>
      </w:r>
    </w:p>
    <w:p w14:paraId="399E2F03">
      <w:pPr>
        <w:pStyle w:val="7"/>
        <w:numPr>
          <w:ilvl w:val="0"/>
          <w:numId w:val="3"/>
        </w:num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029F0AE0">
      <w:pPr>
        <w:pStyle w:val="7"/>
        <w:numPr>
          <w:ilvl w:val="0"/>
          <w:numId w:val="3"/>
        </w:num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修正后的报价，投标人不确认的；</w:t>
      </w:r>
    </w:p>
    <w:p w14:paraId="4E0484FF">
      <w:pPr>
        <w:pStyle w:val="7"/>
        <w:numPr>
          <w:ilvl w:val="0"/>
          <w:numId w:val="3"/>
        </w:num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投标人属于本章第</w:t>
      </w:r>
      <w:r>
        <w:rPr>
          <w:rFonts w:ascii="宋体" w:hAnsi="宋体"/>
          <w:b/>
          <w:color w:val="auto"/>
          <w:szCs w:val="21"/>
          <w:highlight w:val="none"/>
        </w:rPr>
        <w:t>5</w:t>
      </w:r>
      <w:r>
        <w:rPr>
          <w:rFonts w:hint="eastAsia" w:ascii="宋体" w:hAnsi="宋体"/>
          <w:b/>
          <w:color w:val="auto"/>
          <w:szCs w:val="21"/>
          <w:highlight w:val="none"/>
        </w:rPr>
        <w:t>条第（2）项情形的；</w:t>
      </w:r>
    </w:p>
    <w:p w14:paraId="20442275">
      <w:pPr>
        <w:pStyle w:val="7"/>
        <w:numPr>
          <w:ilvl w:val="0"/>
          <w:numId w:val="3"/>
        </w:num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投标文件响应的标的数量及单位与招标文件要求实质性不一致的。</w:t>
      </w:r>
    </w:p>
    <w:p w14:paraId="44B60D5B">
      <w:pPr>
        <w:pStyle w:val="6"/>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2.2在商务评审时，如发现下列情形之一的，将被视为投标无效：</w:t>
      </w:r>
    </w:p>
    <w:p w14:paraId="49CF73E7">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投标文件未按招标文件要求签署、盖章的；</w:t>
      </w:r>
    </w:p>
    <w:p w14:paraId="7DB4674A">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 xml:space="preserve">委托代理人未能出具有效身份证明或者出具的身份证明与授权委托书中的信息不符的； </w:t>
      </w:r>
    </w:p>
    <w:p w14:paraId="023260E0">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为无效投标保证金的或者未按照招标文件的规定提交投标保证金的；</w:t>
      </w:r>
    </w:p>
    <w:p w14:paraId="7A35035E">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投标文件未提供“投标人须知前附表”第13.</w:t>
      </w:r>
      <w:r>
        <w:rPr>
          <w:rFonts w:ascii="宋体" w:hAnsi="宋体"/>
          <w:b/>
          <w:color w:val="auto"/>
          <w:szCs w:val="21"/>
          <w:highlight w:val="none"/>
        </w:rPr>
        <w:t>1</w:t>
      </w:r>
      <w:r>
        <w:rPr>
          <w:rFonts w:hint="eastAsia" w:ascii="宋体" w:hAnsi="宋体"/>
          <w:b/>
          <w:color w:val="auto"/>
          <w:szCs w:val="21"/>
          <w:highlight w:val="none"/>
        </w:rPr>
        <w:t>条规定中“必须提供”或者“委托时必须提供”的文件资料的;</w:t>
      </w:r>
    </w:p>
    <w:p w14:paraId="1E9E2494">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商务条款评审允许负偏离的条款数超过“投标人须知前附表”规定项数的。</w:t>
      </w:r>
    </w:p>
    <w:p w14:paraId="29A98F14">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投标文件的实质性内容未使用中文表述、使用计量单位不符合招标文件要求的；</w:t>
      </w:r>
    </w:p>
    <w:p w14:paraId="5486D23E">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投标文件中的文件资料因填写不齐全或者内容虚假或者出现其他情形而导致被评标委员会认定无效的；</w:t>
      </w:r>
    </w:p>
    <w:p w14:paraId="072CF2D7">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投标文件含有采购人不能接受的附加条件的；</w:t>
      </w:r>
    </w:p>
    <w:p w14:paraId="2CEE5D06">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属于投标人须知正文第</w:t>
      </w:r>
      <w:r>
        <w:rPr>
          <w:rFonts w:ascii="宋体" w:hAnsi="宋体"/>
          <w:b/>
          <w:color w:val="auto"/>
          <w:szCs w:val="21"/>
          <w:highlight w:val="none"/>
        </w:rPr>
        <w:t>9.2</w:t>
      </w:r>
      <w:r>
        <w:rPr>
          <w:rFonts w:hint="eastAsia" w:ascii="宋体" w:hAnsi="宋体"/>
          <w:b/>
          <w:color w:val="auto"/>
          <w:szCs w:val="21"/>
          <w:highlight w:val="none"/>
        </w:rPr>
        <w:t>条情形的；</w:t>
      </w:r>
    </w:p>
    <w:p w14:paraId="3DE81F47">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投标文件标注的项目名称或者项目编号与招标文件标注的项目名称或者项目编号不一致的；</w:t>
      </w:r>
    </w:p>
    <w:p w14:paraId="3BE3C66C">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未响应招标文件实质性要求的；</w:t>
      </w:r>
    </w:p>
    <w:p w14:paraId="663AE653">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法律、法规和招标文件规定的其他无效情形。</w:t>
      </w:r>
    </w:p>
    <w:p w14:paraId="1289328C">
      <w:pPr>
        <w:pStyle w:val="6"/>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2.3在技术评审时，如发现下列情形之一的，将被视为投标无效：</w:t>
      </w:r>
    </w:p>
    <w:p w14:paraId="603592B0">
      <w:pPr>
        <w:pStyle w:val="11"/>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（1）明显不满足招标文件要求的技术规格、安全、质量标准，或者与招标文件中标“▲”的技术需求发生负偏离的；</w:t>
      </w:r>
    </w:p>
    <w:p w14:paraId="74D354FA">
      <w:pPr>
        <w:pStyle w:val="11"/>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（2）技术需求评审允许负偏离的条款数超过“投标人须知前附表”规定项数的；</w:t>
      </w:r>
    </w:p>
    <w:p w14:paraId="0453B77E">
      <w:pPr>
        <w:pStyle w:val="11"/>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（3）投标文件未提供“投标人须知前附表”第13.</w:t>
      </w:r>
      <w:r>
        <w:rPr>
          <w:rFonts w:ascii="宋体" w:hAnsi="宋体" w:eastAsia="宋体"/>
          <w:b/>
          <w:color w:val="auto"/>
          <w:kern w:val="2"/>
          <w:sz w:val="21"/>
          <w:szCs w:val="21"/>
          <w:highlight w:val="none"/>
        </w:rPr>
        <w:t>1</w:t>
      </w:r>
      <w:r>
        <w:rPr>
          <w:rFonts w:hint="eastAsia" w:ascii="宋体" w:hAnsi="宋体" w:eastAsia="宋体"/>
          <w:b/>
          <w:color w:val="auto"/>
          <w:kern w:val="2"/>
          <w:sz w:val="21"/>
          <w:szCs w:val="21"/>
          <w:highlight w:val="none"/>
        </w:rPr>
        <w:t>条规定中“必须提供”的文件资料的；</w:t>
      </w:r>
    </w:p>
    <w:p w14:paraId="6585DBE1">
      <w:pPr>
        <w:pStyle w:val="11"/>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（4）虚假投标，或者出现其他情形而导致被评标委员会认定无效的；</w:t>
      </w:r>
    </w:p>
    <w:p w14:paraId="096C979B">
      <w:pPr>
        <w:pStyle w:val="11"/>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（5）投标技术方案不明确，招标文件未允许但存在一个或者一个以上备选（替代）投标方案的。</w:t>
      </w:r>
    </w:p>
    <w:p w14:paraId="35F93043">
      <w:pPr>
        <w:pStyle w:val="6"/>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澄清补正</w:t>
      </w:r>
    </w:p>
    <w:p w14:paraId="29626124">
      <w:pPr>
        <w:snapToGrid w:val="0"/>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以书面形式要求投标人在规定时间内作出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14:paraId="2C851127">
      <w:pPr>
        <w:pStyle w:val="6"/>
        <w:keepNext w:val="0"/>
        <w:keepLines w:val="0"/>
        <w:spacing w:before="0" w:after="0" w:line="360" w:lineRule="auto"/>
        <w:ind w:left="420" w:leftChars="200"/>
        <w:rPr>
          <w:rFonts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投标文件修正</w:t>
      </w:r>
    </w:p>
    <w:p w14:paraId="55F7CFE8">
      <w:pPr>
        <w:pStyle w:val="6"/>
        <w:keepNext w:val="0"/>
        <w:keepLines w:val="0"/>
        <w:spacing w:before="0" w:after="0" w:line="360" w:lineRule="auto"/>
        <w:ind w:left="420" w:leftChars="200"/>
        <w:rPr>
          <w:rFonts w:ascii="宋体" w:hAnsi="宋体"/>
          <w:b w:val="0"/>
          <w:color w:val="auto"/>
          <w:sz w:val="21"/>
          <w:szCs w:val="21"/>
          <w:highlight w:val="none"/>
        </w:rPr>
      </w:pPr>
      <w:r>
        <w:rPr>
          <w:rFonts w:ascii="宋体" w:hAnsi="宋体"/>
          <w:b w:val="0"/>
          <w:color w:val="auto"/>
          <w:sz w:val="21"/>
          <w:szCs w:val="21"/>
          <w:highlight w:val="none"/>
        </w:rPr>
        <w:t>4</w:t>
      </w:r>
      <w:r>
        <w:rPr>
          <w:rFonts w:hint="eastAsia" w:ascii="宋体" w:hAnsi="宋体"/>
          <w:b w:val="0"/>
          <w:color w:val="auto"/>
          <w:sz w:val="21"/>
          <w:szCs w:val="21"/>
          <w:highlight w:val="none"/>
        </w:rPr>
        <w:t xml:space="preserve">.1投标文件报价出现前后不一致的，按照下列规定修正： </w:t>
      </w:r>
    </w:p>
    <w:p w14:paraId="3BECBEAD">
      <w:pPr>
        <w:pStyle w:val="13"/>
        <w:snapToGrid w:val="0"/>
        <w:spacing w:line="360" w:lineRule="auto"/>
        <w:ind w:firstLine="420" w:firstLineChars="200"/>
        <w:rPr>
          <w:rFonts w:hAnsi="宋体"/>
          <w:color w:val="auto"/>
          <w:highlight w:val="none"/>
        </w:rPr>
      </w:pPr>
      <w:r>
        <w:rPr>
          <w:rFonts w:hint="eastAsia" w:hAnsi="宋体"/>
          <w:color w:val="auto"/>
          <w:highlight w:val="none"/>
        </w:rPr>
        <w:t>（1）投标文件中开标一览表（报价表）内容与投标文件中相应内容不一致的，以开标一览表（报价表）为准；</w:t>
      </w:r>
    </w:p>
    <w:p w14:paraId="0C856946">
      <w:pPr>
        <w:pStyle w:val="13"/>
        <w:snapToGrid w:val="0"/>
        <w:spacing w:line="360" w:lineRule="auto"/>
        <w:ind w:firstLine="420" w:firstLineChars="200"/>
        <w:rPr>
          <w:rFonts w:hAnsi="宋体"/>
          <w:color w:val="auto"/>
          <w:highlight w:val="none"/>
        </w:rPr>
      </w:pPr>
      <w:r>
        <w:rPr>
          <w:rFonts w:hint="eastAsia" w:hAnsi="宋体"/>
          <w:color w:val="auto"/>
          <w:highlight w:val="none"/>
        </w:rPr>
        <w:t>（2）大写金额和小写金额不一致的，以大写金额为准；</w:t>
      </w:r>
    </w:p>
    <w:p w14:paraId="78F50129">
      <w:pPr>
        <w:pStyle w:val="13"/>
        <w:snapToGrid w:val="0"/>
        <w:spacing w:line="360" w:lineRule="auto"/>
        <w:ind w:firstLine="420" w:firstLineChars="200"/>
        <w:rPr>
          <w:rFonts w:hAnsi="宋体"/>
          <w:color w:val="auto"/>
          <w:highlight w:val="none"/>
        </w:rPr>
      </w:pPr>
      <w:r>
        <w:rPr>
          <w:rFonts w:hint="eastAsia" w:hAnsi="宋体"/>
          <w:color w:val="auto"/>
          <w:highlight w:val="none"/>
        </w:rPr>
        <w:t>（3）单价金额小数点或者百分比有明显错位的，以开标一览表的总价为准，并修改单价；</w:t>
      </w:r>
    </w:p>
    <w:p w14:paraId="3FC82BEE">
      <w:pPr>
        <w:pStyle w:val="13"/>
        <w:snapToGrid w:val="0"/>
        <w:spacing w:line="360" w:lineRule="auto"/>
        <w:ind w:firstLine="420" w:firstLineChars="200"/>
        <w:rPr>
          <w:rFonts w:hAnsi="宋体"/>
          <w:color w:val="auto"/>
          <w:highlight w:val="none"/>
        </w:rPr>
      </w:pPr>
      <w:r>
        <w:rPr>
          <w:rFonts w:hint="eastAsia" w:hAnsi="宋体"/>
          <w:color w:val="auto"/>
          <w:highlight w:val="none"/>
        </w:rPr>
        <w:t>（4）总价金额与按单价汇总金额不一致的，以单价金额计算结果为准。</w:t>
      </w:r>
    </w:p>
    <w:p w14:paraId="12BAB513">
      <w:pPr>
        <w:pStyle w:val="13"/>
        <w:snapToGrid w:val="0"/>
        <w:spacing w:line="360" w:lineRule="auto"/>
        <w:ind w:firstLine="420" w:firstLineChars="200"/>
        <w:rPr>
          <w:rFonts w:hAnsi="宋体"/>
          <w:color w:val="auto"/>
          <w:highlight w:val="none"/>
        </w:rPr>
      </w:pPr>
      <w:r>
        <w:rPr>
          <w:rFonts w:hint="eastAsia" w:hAnsi="宋体"/>
          <w:color w:val="auto"/>
          <w:highlight w:val="none"/>
        </w:rPr>
        <w:t>同时出现两种以上不一致的，按照以上（1）-（4）规定的顺序修正。修正后的报价经投标人确认后产生约束力，投标人不确认的，</w:t>
      </w:r>
      <w:r>
        <w:rPr>
          <w:rFonts w:hint="eastAsia" w:hAnsi="宋体"/>
          <w:b/>
          <w:color w:val="auto"/>
          <w:highlight w:val="none"/>
        </w:rPr>
        <w:t>其投标无效</w:t>
      </w:r>
      <w:r>
        <w:rPr>
          <w:rFonts w:hint="eastAsia" w:hAnsi="宋体"/>
          <w:color w:val="auto"/>
          <w:highlight w:val="none"/>
        </w:rPr>
        <w:t>。</w:t>
      </w:r>
    </w:p>
    <w:p w14:paraId="2E4EEF58">
      <w:pPr>
        <w:pStyle w:val="6"/>
        <w:keepNext w:val="0"/>
        <w:keepLines w:val="0"/>
        <w:spacing w:before="0" w:after="0" w:line="360" w:lineRule="auto"/>
        <w:rPr>
          <w:rFonts w:ascii="宋体" w:hAnsi="宋体"/>
          <w:b w:val="0"/>
          <w:color w:val="auto"/>
          <w:sz w:val="21"/>
          <w:szCs w:val="21"/>
          <w:highlight w:val="none"/>
        </w:rPr>
      </w:pPr>
      <w:r>
        <w:rPr>
          <w:rFonts w:ascii="宋体" w:hAnsi="宋体"/>
          <w:b w:val="0"/>
          <w:color w:val="auto"/>
          <w:sz w:val="21"/>
          <w:szCs w:val="21"/>
          <w:highlight w:val="none"/>
        </w:rPr>
        <w:t xml:space="preserve">    4</w:t>
      </w:r>
      <w:r>
        <w:rPr>
          <w:rFonts w:hint="eastAsia" w:ascii="宋体" w:hAnsi="宋体"/>
          <w:b w:val="0"/>
          <w:color w:val="auto"/>
          <w:sz w:val="21"/>
          <w:szCs w:val="21"/>
          <w:highlight w:val="none"/>
        </w:rPr>
        <w:t>.2经投标人确认修正后的报价若超过采购预算金额或者最高限价，</w:t>
      </w:r>
      <w:r>
        <w:rPr>
          <w:rFonts w:hint="eastAsia" w:ascii="宋体" w:hAnsi="宋体"/>
          <w:color w:val="auto"/>
          <w:sz w:val="21"/>
          <w:szCs w:val="21"/>
          <w:highlight w:val="none"/>
        </w:rPr>
        <w:t>投标人的投标文件作无效投标处理</w:t>
      </w:r>
      <w:r>
        <w:rPr>
          <w:rFonts w:hint="eastAsia" w:ascii="宋体" w:hAnsi="宋体"/>
          <w:b w:val="0"/>
          <w:color w:val="auto"/>
          <w:sz w:val="21"/>
          <w:szCs w:val="21"/>
          <w:highlight w:val="none"/>
        </w:rPr>
        <w:t>。</w:t>
      </w:r>
    </w:p>
    <w:p w14:paraId="6E1A12AA">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.3经投标人确认修正后的报价作为签订合同的依据，并以此报价计算价格分。</w:t>
      </w:r>
    </w:p>
    <w:p w14:paraId="796C2B56">
      <w:pPr>
        <w:pStyle w:val="6"/>
        <w:keepNext w:val="0"/>
        <w:keepLines w:val="0"/>
        <w:spacing w:before="0" w:after="0" w:line="360" w:lineRule="auto"/>
        <w:ind w:left="420" w:leftChars="200"/>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比较与评价</w:t>
      </w:r>
    </w:p>
    <w:p w14:paraId="2D7A3531">
      <w:pPr>
        <w:pStyle w:val="13"/>
        <w:snapToGrid w:val="0"/>
        <w:spacing w:line="360" w:lineRule="auto"/>
        <w:ind w:firstLine="420" w:firstLineChars="200"/>
        <w:rPr>
          <w:rFonts w:hAnsi="宋体"/>
          <w:color w:val="auto"/>
          <w:highlight w:val="none"/>
        </w:rPr>
      </w:pPr>
      <w:r>
        <w:rPr>
          <w:rFonts w:hint="eastAsia" w:hAnsi="宋体"/>
          <w:color w:val="auto"/>
          <w:highlight w:val="none"/>
        </w:rPr>
        <w:t>（1）评标委员会按照招标文件中规定的评标方法及评标标准，对符合性审查合格的投标文件进行商务和技术评估，综合比较与评价。</w:t>
      </w:r>
    </w:p>
    <w:p w14:paraId="4387B663">
      <w:pPr>
        <w:pStyle w:val="13"/>
        <w:snapToGrid w:val="0"/>
        <w:spacing w:line="360" w:lineRule="auto"/>
        <w:ind w:firstLine="420" w:firstLineChars="200"/>
        <w:rPr>
          <w:rFonts w:hAnsi="宋体"/>
          <w:color w:val="auto"/>
          <w:highlight w:val="none"/>
        </w:rPr>
      </w:pPr>
      <w:r>
        <w:rPr>
          <w:rFonts w:hint="eastAsia" w:hAnsi="宋体"/>
          <w:color w:val="auto"/>
          <w:highlight w:val="none"/>
        </w:rPr>
        <w:t>（2）评标委员会独立对每个投标人的投标文件进行评价，并汇总每个投标人的得分。</w:t>
      </w:r>
    </w:p>
    <w:p w14:paraId="4A86632E">
      <w:pPr>
        <w:pStyle w:val="13"/>
        <w:snapToGrid w:val="0"/>
        <w:spacing w:line="360" w:lineRule="auto"/>
        <w:ind w:firstLine="420" w:firstLineChars="200"/>
        <w:rPr>
          <w:rFonts w:hAnsi="宋体"/>
          <w:color w:val="auto"/>
          <w:highlight w:val="none"/>
        </w:rPr>
      </w:pPr>
      <w:r>
        <w:rPr>
          <w:rFonts w:hint="eastAsia" w:hAnsi="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hAnsi="宋体"/>
          <w:b/>
          <w:color w:val="auto"/>
          <w:highlight w:val="none"/>
        </w:rPr>
        <w:t>评标委员会将其作为无效投标处理</w:t>
      </w:r>
      <w:r>
        <w:rPr>
          <w:rFonts w:hint="eastAsia" w:hAnsi="宋体"/>
          <w:color w:val="auto"/>
          <w:highlight w:val="none"/>
        </w:rPr>
        <w:t>。</w:t>
      </w:r>
    </w:p>
    <w:p w14:paraId="0431FE87">
      <w:pPr>
        <w:pStyle w:val="13"/>
        <w:snapToGrid w:val="0"/>
        <w:spacing w:line="360" w:lineRule="auto"/>
        <w:ind w:firstLine="420" w:firstLineChars="200"/>
        <w:rPr>
          <w:rFonts w:hAnsi="宋体"/>
          <w:color w:val="auto"/>
          <w:highlight w:val="none"/>
        </w:rPr>
      </w:pPr>
      <w:r>
        <w:rPr>
          <w:rFonts w:hint="eastAsia" w:hAnsi="宋体"/>
          <w:color w:val="auto"/>
          <w:highlight w:val="none"/>
        </w:rPr>
        <w:t>（3）评标委员会按照招标文件中规定的评标方法和标准计算各投标人的报价得分。在计算过程中，不得去掉最高报价或者最低报价。</w:t>
      </w:r>
    </w:p>
    <w:p w14:paraId="1DD09205">
      <w:pPr>
        <w:pStyle w:val="13"/>
        <w:snapToGrid w:val="0"/>
        <w:spacing w:line="360" w:lineRule="auto"/>
        <w:ind w:firstLine="420" w:firstLineChars="200"/>
        <w:rPr>
          <w:rFonts w:hAnsi="宋体"/>
          <w:color w:val="auto"/>
          <w:highlight w:val="none"/>
        </w:rPr>
      </w:pPr>
      <w:r>
        <w:rPr>
          <w:rFonts w:hint="eastAsia" w:hAnsi="宋体"/>
          <w:color w:val="auto"/>
          <w:highlight w:val="none"/>
        </w:rPr>
        <w:t>（4）各投标人的得分为所有评委的有效评分的算术平均数。</w:t>
      </w:r>
    </w:p>
    <w:p w14:paraId="4417B21B">
      <w:pPr>
        <w:pStyle w:val="13"/>
        <w:snapToGrid w:val="0"/>
        <w:spacing w:line="360" w:lineRule="auto"/>
        <w:ind w:firstLine="420" w:firstLineChars="200"/>
        <w:rPr>
          <w:rFonts w:hAnsi="宋体"/>
          <w:color w:val="auto"/>
          <w:highlight w:val="none"/>
        </w:rPr>
      </w:pPr>
      <w:r>
        <w:rPr>
          <w:rFonts w:hint="eastAsia" w:hAnsi="宋体"/>
          <w:color w:val="auto"/>
          <w:highlight w:val="none"/>
        </w:rPr>
        <w:t>（5）评标委员会按照招标文件中的规定推荐中标候选人。</w:t>
      </w:r>
    </w:p>
    <w:p w14:paraId="2CB08244">
      <w:pPr>
        <w:pStyle w:val="13"/>
        <w:snapToGrid w:val="0"/>
        <w:spacing w:line="360" w:lineRule="auto"/>
        <w:ind w:firstLine="420" w:firstLineChars="200"/>
        <w:rPr>
          <w:rFonts w:hAnsi="宋体"/>
          <w:color w:val="auto"/>
          <w:highlight w:val="none"/>
        </w:rPr>
      </w:pPr>
      <w:r>
        <w:rPr>
          <w:rFonts w:hint="eastAsia" w:hAnsi="宋体"/>
          <w:color w:val="auto"/>
          <w:highlight w:val="none"/>
        </w:rPr>
        <w:t>（6）起草并签署</w:t>
      </w:r>
      <w:r>
        <w:rPr>
          <w:rFonts w:hint="eastAsia" w:hAnsi="宋体"/>
          <w:color w:val="auto"/>
          <w:highlight w:val="none"/>
          <w:lang w:eastAsia="zh-CN"/>
        </w:rPr>
        <w:t>评审报告</w:t>
      </w:r>
      <w:r>
        <w:rPr>
          <w:rFonts w:hint="eastAsia" w:hAnsi="宋体"/>
          <w:color w:val="auto"/>
          <w:highlight w:val="none"/>
        </w:rPr>
        <w:t>。评标委员会根据评标委员会成员签字的原始评标记录和评标结果编写</w:t>
      </w:r>
      <w:r>
        <w:rPr>
          <w:rFonts w:hint="eastAsia" w:hAnsi="宋体"/>
          <w:color w:val="auto"/>
          <w:highlight w:val="none"/>
          <w:lang w:eastAsia="zh-CN"/>
        </w:rPr>
        <w:t>评审报告</w:t>
      </w:r>
      <w:r>
        <w:rPr>
          <w:rFonts w:hint="eastAsia" w:hAnsi="宋体"/>
          <w:color w:val="auto"/>
          <w:highlight w:val="none"/>
        </w:rPr>
        <w:t>。评标委员会成员均应当在</w:t>
      </w:r>
      <w:r>
        <w:rPr>
          <w:rFonts w:hint="eastAsia" w:hAnsi="宋体"/>
          <w:color w:val="auto"/>
          <w:highlight w:val="none"/>
          <w:lang w:eastAsia="zh-CN"/>
        </w:rPr>
        <w:t>评审报告</w:t>
      </w:r>
      <w:r>
        <w:rPr>
          <w:rFonts w:hint="eastAsia" w:hAnsi="宋体"/>
          <w:color w:val="auto"/>
          <w:highlight w:val="none"/>
        </w:rPr>
        <w:t>上签字，对自己的评标意见承担法律责任。对评标过程中需要共同认定的事项存在争议的，应当按照少数服从多数的原则做出结论。持不同意见的</w:t>
      </w:r>
      <w:r>
        <w:rPr>
          <w:rFonts w:hint="eastAsia"/>
          <w:color w:val="auto"/>
          <w:highlight w:val="none"/>
        </w:rPr>
        <w:t>评标委员会成员</w:t>
      </w:r>
      <w:r>
        <w:rPr>
          <w:rFonts w:hint="eastAsia" w:hAnsi="宋体"/>
          <w:color w:val="auto"/>
          <w:highlight w:val="none"/>
        </w:rPr>
        <w:t>应当在</w:t>
      </w:r>
      <w:r>
        <w:rPr>
          <w:rFonts w:hint="eastAsia" w:hAnsi="宋体"/>
          <w:color w:val="auto"/>
          <w:highlight w:val="none"/>
          <w:lang w:eastAsia="zh-CN"/>
        </w:rPr>
        <w:t>评审报告</w:t>
      </w:r>
      <w:r>
        <w:rPr>
          <w:rFonts w:hint="eastAsia" w:hAnsi="宋体"/>
          <w:color w:val="auto"/>
          <w:highlight w:val="none"/>
        </w:rPr>
        <w:t>上签署不同意见及理由，否则视为同意</w:t>
      </w:r>
      <w:r>
        <w:rPr>
          <w:rFonts w:hint="eastAsia" w:hAnsi="宋体"/>
          <w:color w:val="auto"/>
          <w:highlight w:val="none"/>
          <w:lang w:eastAsia="zh-CN"/>
        </w:rPr>
        <w:t>评审报告</w:t>
      </w:r>
      <w:r>
        <w:rPr>
          <w:rFonts w:hint="eastAsia" w:hAnsi="宋体"/>
          <w:color w:val="auto"/>
          <w:highlight w:val="none"/>
        </w:rPr>
        <w:t>。</w:t>
      </w:r>
    </w:p>
    <w:p w14:paraId="4DBF7B15">
      <w:pPr>
        <w:pStyle w:val="6"/>
        <w:keepNext w:val="0"/>
        <w:keepLines w:val="0"/>
        <w:spacing w:before="0" w:after="0" w:line="240" w:lineRule="auto"/>
        <w:ind w:left="420" w:leftChars="200"/>
        <w:rPr>
          <w:rFonts w:ascii="宋体" w:hAnsi="宋体"/>
          <w:b w:val="0"/>
          <w:color w:val="auto"/>
          <w:sz w:val="21"/>
          <w:szCs w:val="21"/>
          <w:highlight w:val="none"/>
        </w:rPr>
      </w:pPr>
    </w:p>
    <w:p w14:paraId="32B0F168">
      <w:pPr>
        <w:pStyle w:val="4"/>
        <w:keepNext w:val="0"/>
        <w:keepLines w:val="0"/>
        <w:jc w:val="center"/>
        <w:rPr>
          <w:color w:val="auto"/>
          <w:highlight w:val="none"/>
        </w:rPr>
      </w:pPr>
      <w:r>
        <w:rPr>
          <w:rFonts w:hAnsi="宋体"/>
          <w:color w:val="auto"/>
          <w:highlight w:val="none"/>
        </w:rPr>
        <w:br w:type="page"/>
      </w:r>
      <w:bookmarkStart w:id="151" w:name="_Toc32106"/>
      <w:bookmarkStart w:id="152" w:name="_Toc335"/>
      <w:r>
        <w:rPr>
          <w:rFonts w:hint="eastAsia"/>
          <w:color w:val="auto"/>
          <w:sz w:val="30"/>
          <w:szCs w:val="30"/>
          <w:highlight w:val="none"/>
        </w:rPr>
        <w:t>三、评标标准（综合评分法，计分方法按四舍五入取至百分位）</w:t>
      </w:r>
      <w:bookmarkEnd w:id="151"/>
      <w:bookmarkEnd w:id="152"/>
    </w:p>
    <w:tbl>
      <w:tblPr>
        <w:tblStyle w:val="29"/>
        <w:tblW w:w="0" w:type="auto"/>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734"/>
        <w:gridCol w:w="1015"/>
        <w:gridCol w:w="6722"/>
      </w:tblGrid>
      <w:tr w14:paraId="6798D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453" w:type="dxa"/>
            <w:gridSpan w:val="2"/>
            <w:noWrap w:val="0"/>
            <w:vAlign w:val="center"/>
          </w:tcPr>
          <w:p w14:paraId="14463910">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新宋体" w:hAnsi="新宋体" w:eastAsia="新宋体" w:cs="新宋体"/>
                <w:color w:val="auto"/>
                <w:sz w:val="21"/>
                <w:szCs w:val="21"/>
                <w:vertAlign w:val="baseline"/>
                <w:lang w:eastAsia="zh-CN"/>
              </w:rPr>
            </w:pPr>
            <w:r>
              <w:rPr>
                <w:rFonts w:hint="eastAsia" w:ascii="新宋体" w:hAnsi="新宋体" w:eastAsia="新宋体" w:cs="新宋体"/>
                <w:color w:val="auto"/>
                <w:sz w:val="21"/>
                <w:szCs w:val="21"/>
                <w:vertAlign w:val="baseline"/>
                <w:lang w:eastAsia="zh-CN"/>
              </w:rPr>
              <w:t>评标项目</w:t>
            </w:r>
          </w:p>
        </w:tc>
        <w:tc>
          <w:tcPr>
            <w:tcW w:w="1043" w:type="dxa"/>
            <w:noWrap w:val="0"/>
            <w:vAlign w:val="center"/>
          </w:tcPr>
          <w:p w14:paraId="0F18A6CB">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新宋体" w:hAnsi="新宋体" w:eastAsia="新宋体" w:cs="新宋体"/>
                <w:color w:val="auto"/>
                <w:sz w:val="21"/>
                <w:szCs w:val="21"/>
                <w:vertAlign w:val="baseline"/>
                <w:lang w:eastAsia="zh-CN"/>
              </w:rPr>
            </w:pPr>
            <w:r>
              <w:rPr>
                <w:rFonts w:hint="eastAsia" w:ascii="新宋体" w:hAnsi="新宋体" w:eastAsia="新宋体" w:cs="新宋体"/>
                <w:color w:val="auto"/>
                <w:sz w:val="21"/>
                <w:szCs w:val="21"/>
                <w:vertAlign w:val="baseline"/>
                <w:lang w:eastAsia="zh-CN"/>
              </w:rPr>
              <w:t>评标</w:t>
            </w:r>
          </w:p>
          <w:p w14:paraId="7771CCD7">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新宋体" w:hAnsi="新宋体" w:eastAsia="新宋体" w:cs="新宋体"/>
                <w:color w:val="auto"/>
                <w:sz w:val="21"/>
                <w:szCs w:val="21"/>
                <w:vertAlign w:val="baseline"/>
                <w:lang w:eastAsia="zh-CN"/>
              </w:rPr>
            </w:pPr>
            <w:r>
              <w:rPr>
                <w:rFonts w:hint="eastAsia" w:ascii="新宋体" w:hAnsi="新宋体" w:eastAsia="新宋体" w:cs="新宋体"/>
                <w:color w:val="auto"/>
                <w:sz w:val="21"/>
                <w:szCs w:val="21"/>
                <w:vertAlign w:val="baseline"/>
                <w:lang w:eastAsia="zh-CN"/>
              </w:rPr>
              <w:t>分值</w:t>
            </w:r>
          </w:p>
        </w:tc>
        <w:tc>
          <w:tcPr>
            <w:tcW w:w="7122" w:type="dxa"/>
            <w:noWrap w:val="0"/>
            <w:vAlign w:val="center"/>
          </w:tcPr>
          <w:p w14:paraId="6F9016AB">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新宋体" w:hAnsi="新宋体" w:eastAsia="新宋体" w:cs="新宋体"/>
                <w:color w:val="auto"/>
                <w:sz w:val="21"/>
                <w:szCs w:val="21"/>
                <w:vertAlign w:val="baseline"/>
                <w:lang w:eastAsia="zh-CN"/>
              </w:rPr>
            </w:pPr>
            <w:r>
              <w:rPr>
                <w:rFonts w:hint="eastAsia" w:ascii="新宋体" w:hAnsi="新宋体" w:eastAsia="新宋体" w:cs="新宋体"/>
                <w:color w:val="auto"/>
                <w:sz w:val="21"/>
                <w:szCs w:val="21"/>
                <w:vertAlign w:val="baseline"/>
                <w:lang w:eastAsia="zh-CN"/>
              </w:rPr>
              <w:t>评标办法描述</w:t>
            </w:r>
          </w:p>
        </w:tc>
      </w:tr>
      <w:tr w14:paraId="68CCF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3" w:type="dxa"/>
            <w:gridSpan w:val="2"/>
            <w:noWrap w:val="0"/>
            <w:vAlign w:val="center"/>
          </w:tcPr>
          <w:p w14:paraId="153AE19A">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vertAlign w:val="baseline"/>
                <w:lang w:eastAsia="zh-CN"/>
              </w:rPr>
            </w:pPr>
            <w:r>
              <w:rPr>
                <w:rFonts w:hint="eastAsia" w:ascii="新宋体" w:hAnsi="新宋体" w:eastAsia="新宋体" w:cs="新宋体"/>
                <w:color w:val="auto"/>
                <w:sz w:val="21"/>
                <w:szCs w:val="21"/>
                <w:vertAlign w:val="baseline"/>
                <w:lang w:eastAsia="zh-CN"/>
              </w:rPr>
              <w:t>价格分</w:t>
            </w:r>
          </w:p>
        </w:tc>
        <w:tc>
          <w:tcPr>
            <w:tcW w:w="1043" w:type="dxa"/>
            <w:noWrap w:val="0"/>
            <w:vAlign w:val="center"/>
          </w:tcPr>
          <w:p w14:paraId="50175CAD">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vertAlign w:val="baseline"/>
                <w:lang w:val="en-US" w:eastAsia="zh-CN"/>
              </w:rPr>
            </w:pPr>
            <w:r>
              <w:rPr>
                <w:rFonts w:hint="eastAsia" w:ascii="新宋体" w:hAnsi="新宋体" w:eastAsia="新宋体" w:cs="新宋体"/>
                <w:color w:val="auto"/>
                <w:sz w:val="21"/>
                <w:szCs w:val="21"/>
                <w:vertAlign w:val="baseline"/>
                <w:lang w:val="en-US" w:eastAsia="zh-CN"/>
              </w:rPr>
              <w:t>40分</w:t>
            </w:r>
          </w:p>
        </w:tc>
        <w:tc>
          <w:tcPr>
            <w:tcW w:w="7122" w:type="dxa"/>
            <w:noWrap w:val="0"/>
            <w:vAlign w:val="top"/>
          </w:tcPr>
          <w:p w14:paraId="358A7877">
            <w:pPr>
              <w:keepNext w:val="0"/>
              <w:keepLines w:val="0"/>
              <w:pageBreakBefore w:val="0"/>
              <w:widowControl w:val="0"/>
              <w:kinsoku/>
              <w:wordWrap/>
              <w:overflowPunct/>
              <w:topLinePunct w:val="0"/>
              <w:autoSpaceDE/>
              <w:autoSpaceDN/>
              <w:bidi w:val="0"/>
              <w:adjustRightInd/>
              <w:snapToGrid/>
              <w:spacing w:line="460" w:lineRule="exact"/>
              <w:ind w:firstLine="233" w:firstLineChars="111"/>
              <w:jc w:val="left"/>
              <w:textAlignment w:val="auto"/>
              <w:rPr>
                <w:rFonts w:hint="eastAsia" w:ascii="新宋体" w:hAnsi="新宋体" w:eastAsia="新宋体" w:cs="新宋体"/>
                <w:bCs/>
                <w:color w:val="auto"/>
                <w:sz w:val="21"/>
                <w:szCs w:val="21"/>
              </w:rPr>
            </w:pPr>
            <w:r>
              <w:rPr>
                <w:rFonts w:hint="eastAsia" w:ascii="新宋体" w:hAnsi="新宋体" w:eastAsia="新宋体" w:cs="新宋体"/>
                <w:bCs/>
                <w:color w:val="auto"/>
                <w:sz w:val="21"/>
                <w:szCs w:val="21"/>
              </w:rPr>
              <w:t>（1）评标报价为投标人的投标报价进行政策性扣除后的价格，评标报价只是作为评标时使用。最终中标人的中标金额等于投标报价。</w:t>
            </w:r>
          </w:p>
          <w:p w14:paraId="2F54F1A6">
            <w:pPr>
              <w:keepNext w:val="0"/>
              <w:keepLines w:val="0"/>
              <w:pageBreakBefore w:val="0"/>
              <w:widowControl w:val="0"/>
              <w:kinsoku/>
              <w:wordWrap/>
              <w:overflowPunct/>
              <w:topLinePunct w:val="0"/>
              <w:autoSpaceDE/>
              <w:autoSpaceDN/>
              <w:bidi w:val="0"/>
              <w:adjustRightInd/>
              <w:snapToGrid/>
              <w:spacing w:line="460" w:lineRule="exact"/>
              <w:ind w:firstLine="233" w:firstLineChars="111"/>
              <w:jc w:val="left"/>
              <w:textAlignment w:val="auto"/>
              <w:rPr>
                <w:rFonts w:hint="eastAsia" w:ascii="新宋体" w:hAnsi="新宋体" w:eastAsia="新宋体" w:cs="新宋体"/>
                <w:bCs/>
                <w:color w:val="auto"/>
                <w:sz w:val="21"/>
                <w:szCs w:val="21"/>
              </w:rPr>
            </w:pPr>
            <w:r>
              <w:rPr>
                <w:rFonts w:hint="eastAsia" w:ascii="新宋体" w:hAnsi="新宋体" w:eastAsia="新宋体" w:cs="新宋体"/>
                <w:bCs/>
                <w:color w:val="auto"/>
                <w:sz w:val="21"/>
                <w:szCs w:val="21"/>
                <w:lang w:eastAsia="zh-CN"/>
              </w:rPr>
              <w:t>（</w:t>
            </w:r>
            <w:r>
              <w:rPr>
                <w:rFonts w:hint="eastAsia" w:ascii="新宋体" w:hAnsi="新宋体" w:eastAsia="新宋体" w:cs="新宋体"/>
                <w:bCs/>
                <w:color w:val="auto"/>
                <w:sz w:val="21"/>
                <w:szCs w:val="21"/>
                <w:lang w:val="en-US" w:eastAsia="zh-CN"/>
              </w:rPr>
              <w:t>2</w:t>
            </w:r>
            <w:r>
              <w:rPr>
                <w:rFonts w:hint="eastAsia" w:ascii="新宋体" w:hAnsi="新宋体" w:eastAsia="新宋体" w:cs="新宋体"/>
                <w:bCs/>
                <w:color w:val="auto"/>
                <w:sz w:val="21"/>
                <w:szCs w:val="21"/>
                <w:lang w:eastAsia="zh-CN"/>
              </w:rPr>
              <w:t>）</w:t>
            </w:r>
            <w:r>
              <w:rPr>
                <w:rFonts w:hint="eastAsia" w:ascii="新宋体" w:hAnsi="新宋体" w:eastAsia="新宋体" w:cs="新宋体"/>
                <w:bCs/>
                <w:color w:val="auto"/>
                <w:sz w:val="21"/>
                <w:szCs w:val="21"/>
              </w:rPr>
              <w:t>根据《政府采购促进中小企业发展管理办法》（财库〔2020〕46号）及《广西壮族自治区财政厅关于持续优化政府采购营商环境推动高质量发展的通知》（桂财采〔2024〕55号）的规定，投标人在其投标文件中提供《中小企业声明函》，</w:t>
            </w:r>
            <w:r>
              <w:rPr>
                <w:rFonts w:hint="eastAsia" w:ascii="新宋体" w:hAnsi="新宋体" w:eastAsia="新宋体" w:cs="新宋体"/>
                <w:b w:val="0"/>
                <w:bCs/>
                <w:color w:val="auto"/>
                <w:sz w:val="21"/>
                <w:szCs w:val="21"/>
              </w:rPr>
              <w:t>且其投标全部货物由小微企业制造的，对其投标报价给予10%的扣除，扣除后的价格为评标报价，即评标报价=投标报价×（1-10%）。接受大中型企业与小微企业组成联合体或者允许大中型企业向一家或者多家小微企业分包的采购项目，联合协议或者分包意向</w:t>
            </w:r>
            <w:r>
              <w:rPr>
                <w:rFonts w:hint="eastAsia" w:ascii="新宋体" w:hAnsi="新宋体" w:eastAsia="新宋体" w:cs="新宋体"/>
                <w:bCs/>
                <w:color w:val="auto"/>
                <w:sz w:val="21"/>
                <w:szCs w:val="21"/>
              </w:rPr>
              <w:t>协议约定小微企业的合同份额占到合同总金额30%</w:t>
            </w:r>
            <w:r>
              <w:rPr>
                <w:rFonts w:hint="eastAsia" w:ascii="新宋体" w:hAnsi="新宋体" w:eastAsia="新宋体" w:cs="新宋体"/>
                <w:b w:val="0"/>
                <w:bCs/>
                <w:color w:val="auto"/>
                <w:sz w:val="21"/>
                <w:szCs w:val="21"/>
              </w:rPr>
              <w:t>以上</w:t>
            </w:r>
            <w:r>
              <w:rPr>
                <w:rFonts w:hint="eastAsia" w:ascii="新宋体" w:hAnsi="新宋体" w:eastAsia="新宋体" w:cs="新宋体"/>
                <w:bCs/>
                <w:color w:val="auto"/>
                <w:sz w:val="21"/>
                <w:szCs w:val="21"/>
              </w:rPr>
              <w:t>的，采购人、采购代理机构应当对联合体或者大中型企业的报价给予4%的扣除，用扣除后的价格参加评审，扣除后的价格为评标报价，即评标报价=投标报价×（1-4%）。除上述情况外，评标报价=投标报价。</w:t>
            </w:r>
          </w:p>
          <w:p w14:paraId="6CC81FFA">
            <w:pPr>
              <w:keepNext w:val="0"/>
              <w:keepLines w:val="0"/>
              <w:pageBreakBefore w:val="0"/>
              <w:widowControl w:val="0"/>
              <w:kinsoku/>
              <w:wordWrap/>
              <w:overflowPunct/>
              <w:topLinePunct w:val="0"/>
              <w:autoSpaceDE/>
              <w:autoSpaceDN/>
              <w:bidi w:val="0"/>
              <w:adjustRightInd/>
              <w:snapToGrid/>
              <w:spacing w:line="460" w:lineRule="exact"/>
              <w:ind w:firstLine="233" w:firstLineChars="111"/>
              <w:jc w:val="left"/>
              <w:textAlignment w:val="auto"/>
              <w:rPr>
                <w:rFonts w:hint="eastAsia" w:ascii="新宋体" w:hAnsi="新宋体" w:eastAsia="新宋体" w:cs="新宋体"/>
                <w:bCs/>
                <w:color w:val="auto"/>
                <w:sz w:val="21"/>
                <w:szCs w:val="21"/>
              </w:rPr>
            </w:pPr>
            <w:r>
              <w:rPr>
                <w:rFonts w:hint="eastAsia" w:ascii="新宋体" w:hAnsi="新宋体" w:eastAsia="新宋体" w:cs="新宋体"/>
                <w:bCs/>
                <w:color w:val="auto"/>
                <w:sz w:val="21"/>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54991D00">
            <w:pPr>
              <w:keepNext w:val="0"/>
              <w:keepLines w:val="0"/>
              <w:pageBreakBefore w:val="0"/>
              <w:widowControl w:val="0"/>
              <w:kinsoku/>
              <w:wordWrap/>
              <w:overflowPunct/>
              <w:topLinePunct w:val="0"/>
              <w:autoSpaceDE/>
              <w:autoSpaceDN/>
              <w:bidi w:val="0"/>
              <w:adjustRightInd/>
              <w:snapToGrid/>
              <w:spacing w:line="460" w:lineRule="exact"/>
              <w:ind w:firstLine="233" w:firstLineChars="111"/>
              <w:jc w:val="left"/>
              <w:textAlignment w:val="auto"/>
              <w:rPr>
                <w:rFonts w:hint="eastAsia" w:ascii="新宋体" w:hAnsi="新宋体" w:eastAsia="新宋体" w:cs="新宋体"/>
                <w:bCs/>
                <w:color w:val="auto"/>
                <w:sz w:val="21"/>
                <w:szCs w:val="21"/>
              </w:rPr>
            </w:pPr>
            <w:r>
              <w:rPr>
                <w:rFonts w:hint="eastAsia" w:ascii="新宋体" w:hAnsi="新宋体" w:eastAsia="新宋体" w:cs="新宋体"/>
                <w:bCs/>
                <w:color w:val="auto"/>
                <w:sz w:val="21"/>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70B663C">
            <w:pPr>
              <w:keepNext w:val="0"/>
              <w:keepLines w:val="0"/>
              <w:pageBreakBefore w:val="0"/>
              <w:widowControl w:val="0"/>
              <w:kinsoku/>
              <w:wordWrap/>
              <w:overflowPunct/>
              <w:topLinePunct w:val="0"/>
              <w:autoSpaceDE/>
              <w:autoSpaceDN/>
              <w:bidi w:val="0"/>
              <w:adjustRightInd/>
              <w:snapToGrid/>
              <w:spacing w:line="460" w:lineRule="exact"/>
              <w:ind w:firstLine="233" w:firstLineChars="111"/>
              <w:jc w:val="left"/>
              <w:textAlignment w:val="auto"/>
              <w:rPr>
                <w:rFonts w:hint="eastAsia" w:ascii="新宋体" w:hAnsi="新宋体" w:eastAsia="新宋体" w:cs="新宋体"/>
                <w:bCs/>
                <w:color w:val="auto"/>
                <w:sz w:val="21"/>
                <w:szCs w:val="21"/>
              </w:rPr>
            </w:pPr>
            <w:r>
              <w:rPr>
                <w:rFonts w:hint="eastAsia" w:ascii="新宋体" w:hAnsi="新宋体" w:eastAsia="新宋体" w:cs="新宋体"/>
                <w:bCs/>
                <w:color w:val="auto"/>
                <w:sz w:val="21"/>
                <w:szCs w:val="21"/>
              </w:rPr>
              <w:t>（5）满足招标文件要求且评标报价最低的评标报价为评标基准价，其价格分为满分。</w:t>
            </w:r>
          </w:p>
          <w:p w14:paraId="63EB9A42">
            <w:pPr>
              <w:keepNext w:val="0"/>
              <w:keepLines w:val="0"/>
              <w:pageBreakBefore w:val="0"/>
              <w:widowControl w:val="0"/>
              <w:kinsoku/>
              <w:wordWrap/>
              <w:overflowPunct/>
              <w:topLinePunct w:val="0"/>
              <w:autoSpaceDE/>
              <w:autoSpaceDN/>
              <w:bidi w:val="0"/>
              <w:adjustRightInd/>
              <w:snapToGrid/>
              <w:spacing w:line="460" w:lineRule="exact"/>
              <w:ind w:firstLine="233" w:firstLineChars="111"/>
              <w:jc w:val="left"/>
              <w:textAlignment w:val="auto"/>
              <w:rPr>
                <w:rFonts w:hint="eastAsia" w:ascii="新宋体" w:hAnsi="新宋体" w:eastAsia="新宋体" w:cs="新宋体"/>
                <w:bCs/>
                <w:color w:val="auto"/>
                <w:sz w:val="21"/>
                <w:szCs w:val="21"/>
              </w:rPr>
            </w:pPr>
            <w:r>
              <w:rPr>
                <w:rFonts w:hint="eastAsia" w:ascii="新宋体" w:hAnsi="新宋体" w:eastAsia="新宋体" w:cs="新宋体"/>
                <w:bCs/>
                <w:color w:val="auto"/>
                <w:sz w:val="21"/>
                <w:szCs w:val="21"/>
              </w:rPr>
              <w:t>（</w:t>
            </w:r>
            <w:r>
              <w:rPr>
                <w:rFonts w:hint="eastAsia" w:ascii="新宋体" w:hAnsi="新宋体" w:eastAsia="新宋体" w:cs="新宋体"/>
                <w:bCs/>
                <w:color w:val="auto"/>
                <w:sz w:val="21"/>
                <w:szCs w:val="21"/>
                <w:lang w:val="en-US" w:eastAsia="zh-CN"/>
              </w:rPr>
              <w:t>6</w:t>
            </w:r>
            <w:r>
              <w:rPr>
                <w:rFonts w:hint="eastAsia" w:ascii="新宋体" w:hAnsi="新宋体" w:eastAsia="新宋体" w:cs="新宋体"/>
                <w:bCs/>
                <w:color w:val="auto"/>
                <w:sz w:val="21"/>
                <w:szCs w:val="21"/>
              </w:rPr>
              <w:t xml:space="preserve">）价格分计算公式：        </w:t>
            </w:r>
          </w:p>
          <w:p w14:paraId="02607BC4">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200"/>
              <w:jc w:val="left"/>
              <w:textAlignment w:val="auto"/>
              <w:rPr>
                <w:rFonts w:hint="eastAsia" w:ascii="新宋体" w:hAnsi="新宋体" w:eastAsia="新宋体" w:cs="新宋体"/>
                <w:color w:val="auto"/>
                <w:sz w:val="21"/>
                <w:szCs w:val="21"/>
                <w:vertAlign w:val="baseline"/>
                <w:lang w:val="en-US" w:eastAsia="zh-CN"/>
              </w:rPr>
            </w:pPr>
            <w:r>
              <w:rPr>
                <w:rFonts w:hint="eastAsia" w:ascii="新宋体" w:hAnsi="新宋体" w:eastAsia="新宋体" w:cs="新宋体"/>
                <w:bCs/>
                <w:color w:val="auto"/>
                <w:sz w:val="21"/>
                <w:szCs w:val="21"/>
                <w:lang w:val="en-US" w:eastAsia="zh-CN"/>
              </w:rPr>
              <w:t>价格分</w:t>
            </w:r>
            <w:r>
              <w:rPr>
                <w:rFonts w:hint="eastAsia" w:ascii="新宋体" w:hAnsi="新宋体" w:eastAsia="新宋体" w:cs="新宋体"/>
                <w:bCs/>
                <w:color w:val="auto"/>
                <w:kern w:val="2"/>
                <w:sz w:val="21"/>
                <w:szCs w:val="21"/>
                <w:lang w:val="en-US" w:eastAsia="zh-CN"/>
              </w:rPr>
              <w:t>=(评标基准价／评标报价)×</w:t>
            </w:r>
            <w:r>
              <w:rPr>
                <w:rFonts w:hint="eastAsia" w:ascii="新宋体" w:hAnsi="新宋体" w:eastAsia="新宋体" w:cs="新宋体"/>
                <w:bCs/>
                <w:color w:val="auto"/>
                <w:sz w:val="21"/>
                <w:szCs w:val="21"/>
                <w:u w:val="single"/>
                <w:lang w:val="en-US" w:eastAsia="zh-CN"/>
              </w:rPr>
              <w:t xml:space="preserve"> 40 </w:t>
            </w:r>
            <w:r>
              <w:rPr>
                <w:rFonts w:hint="eastAsia" w:ascii="新宋体" w:hAnsi="新宋体" w:eastAsia="新宋体" w:cs="新宋体"/>
                <w:bCs/>
                <w:color w:val="auto"/>
                <w:kern w:val="2"/>
                <w:sz w:val="21"/>
                <w:szCs w:val="21"/>
                <w:lang w:val="en-US" w:eastAsia="zh-CN"/>
              </w:rPr>
              <w:t>分</w:t>
            </w:r>
          </w:p>
        </w:tc>
      </w:tr>
      <w:tr w14:paraId="330F1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Merge w:val="restart"/>
            <w:noWrap w:val="0"/>
            <w:vAlign w:val="center"/>
          </w:tcPr>
          <w:p w14:paraId="501C4AB7">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vertAlign w:val="baseline"/>
                <w:lang w:eastAsia="zh-CN"/>
              </w:rPr>
            </w:pPr>
          </w:p>
          <w:p w14:paraId="0522943B">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vertAlign w:val="baseline"/>
                <w:lang w:eastAsia="zh-CN"/>
              </w:rPr>
            </w:pPr>
          </w:p>
          <w:p w14:paraId="19C4FD2B">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vertAlign w:val="baseline"/>
                <w:lang w:eastAsia="zh-CN"/>
              </w:rPr>
            </w:pPr>
          </w:p>
          <w:p w14:paraId="76AD9237">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vertAlign w:val="baseline"/>
                <w:lang w:eastAsia="zh-CN"/>
              </w:rPr>
            </w:pPr>
          </w:p>
          <w:p w14:paraId="02039B5C">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vertAlign w:val="baseline"/>
                <w:lang w:eastAsia="zh-CN"/>
              </w:rPr>
            </w:pPr>
          </w:p>
          <w:p w14:paraId="21268688">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vertAlign w:val="baseline"/>
                <w:lang w:eastAsia="zh-CN"/>
              </w:rPr>
            </w:pPr>
          </w:p>
          <w:p w14:paraId="70237958">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vertAlign w:val="baseline"/>
                <w:lang w:eastAsia="zh-CN"/>
              </w:rPr>
            </w:pPr>
          </w:p>
          <w:p w14:paraId="1AB2E511">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vertAlign w:val="baseline"/>
                <w:lang w:eastAsia="zh-CN"/>
              </w:rPr>
            </w:pPr>
            <w:r>
              <w:rPr>
                <w:rFonts w:hint="eastAsia" w:ascii="新宋体" w:hAnsi="新宋体" w:eastAsia="新宋体" w:cs="新宋体"/>
                <w:color w:val="auto"/>
                <w:sz w:val="21"/>
                <w:szCs w:val="21"/>
                <w:vertAlign w:val="baseline"/>
                <w:lang w:eastAsia="zh-CN"/>
              </w:rPr>
              <w:t>技术分</w:t>
            </w:r>
          </w:p>
        </w:tc>
        <w:tc>
          <w:tcPr>
            <w:tcW w:w="757" w:type="dxa"/>
            <w:noWrap w:val="0"/>
            <w:vAlign w:val="center"/>
          </w:tcPr>
          <w:p w14:paraId="0092EB5A">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vertAlign w:val="baseline"/>
                <w:lang w:eastAsia="zh-CN"/>
              </w:rPr>
            </w:pPr>
            <w:r>
              <w:rPr>
                <w:rFonts w:hint="eastAsia" w:ascii="新宋体" w:hAnsi="新宋体" w:eastAsia="新宋体" w:cs="新宋体"/>
                <w:color w:val="auto"/>
                <w:sz w:val="21"/>
                <w:szCs w:val="21"/>
                <w:vertAlign w:val="baseline"/>
                <w:lang w:eastAsia="zh-CN"/>
              </w:rPr>
              <w:t>技术性能分</w:t>
            </w:r>
          </w:p>
        </w:tc>
        <w:tc>
          <w:tcPr>
            <w:tcW w:w="1043" w:type="dxa"/>
            <w:noWrap w:val="0"/>
            <w:vAlign w:val="center"/>
          </w:tcPr>
          <w:p w14:paraId="2620CA19">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210" w:firstLineChars="100"/>
              <w:jc w:val="left"/>
              <w:textAlignment w:val="auto"/>
              <w:rPr>
                <w:rFonts w:hint="eastAsia" w:ascii="新宋体" w:hAnsi="新宋体" w:eastAsia="新宋体" w:cs="新宋体"/>
                <w:color w:val="auto"/>
                <w:sz w:val="21"/>
                <w:szCs w:val="21"/>
                <w:vertAlign w:val="baseline"/>
                <w:lang w:eastAsia="zh-CN"/>
              </w:rPr>
            </w:pPr>
            <w:r>
              <w:rPr>
                <w:rFonts w:hint="eastAsia" w:ascii="新宋体" w:hAnsi="新宋体" w:eastAsia="新宋体" w:cs="新宋体"/>
                <w:bCs/>
                <w:color w:val="auto"/>
                <w:sz w:val="21"/>
                <w:szCs w:val="21"/>
                <w:highlight w:val="none"/>
                <w:lang w:val="en-US" w:eastAsia="zh-CN"/>
              </w:rPr>
              <w:t>24分</w:t>
            </w:r>
          </w:p>
        </w:tc>
        <w:tc>
          <w:tcPr>
            <w:tcW w:w="7122" w:type="dxa"/>
            <w:noWrap w:val="0"/>
            <w:vAlign w:val="center"/>
          </w:tcPr>
          <w:p w14:paraId="5D05839C">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vertAlign w:val="baseline"/>
                <w:lang w:eastAsia="zh-CN"/>
              </w:rPr>
            </w:pPr>
            <w:r>
              <w:rPr>
                <w:rFonts w:hint="eastAsia" w:ascii="新宋体" w:hAnsi="新宋体" w:eastAsia="新宋体" w:cs="新宋体"/>
                <w:color w:val="auto"/>
                <w:sz w:val="21"/>
                <w:szCs w:val="21"/>
                <w:vertAlign w:val="baseline"/>
                <w:lang w:val="en-US" w:eastAsia="zh-CN"/>
              </w:rPr>
              <w:t>1.</w:t>
            </w:r>
            <w:r>
              <w:rPr>
                <w:rFonts w:hint="eastAsia" w:ascii="新宋体" w:hAnsi="新宋体" w:eastAsia="新宋体" w:cs="新宋体"/>
                <w:color w:val="auto"/>
                <w:sz w:val="21"/>
                <w:szCs w:val="21"/>
                <w:vertAlign w:val="baseline"/>
                <w:lang w:eastAsia="zh-CN"/>
              </w:rPr>
              <w:t>投标文件的技术需求中无负偏离的得</w:t>
            </w:r>
            <w:r>
              <w:rPr>
                <w:rFonts w:hint="eastAsia" w:ascii="新宋体" w:hAnsi="新宋体" w:eastAsia="新宋体" w:cs="新宋体"/>
                <w:color w:val="auto"/>
                <w:sz w:val="21"/>
                <w:szCs w:val="21"/>
                <w:vertAlign w:val="baseline"/>
                <w:lang w:val="en-US" w:eastAsia="zh-CN"/>
              </w:rPr>
              <w:t>24</w:t>
            </w:r>
            <w:r>
              <w:rPr>
                <w:rFonts w:hint="eastAsia" w:ascii="新宋体" w:hAnsi="新宋体" w:eastAsia="新宋体" w:cs="新宋体"/>
                <w:color w:val="auto"/>
                <w:sz w:val="21"/>
                <w:szCs w:val="21"/>
                <w:vertAlign w:val="baseline"/>
                <w:lang w:eastAsia="zh-CN"/>
              </w:rPr>
              <w:t>分，满分</w:t>
            </w:r>
            <w:r>
              <w:rPr>
                <w:rFonts w:hint="eastAsia" w:ascii="新宋体" w:hAnsi="新宋体" w:eastAsia="新宋体" w:cs="新宋体"/>
                <w:color w:val="auto"/>
                <w:sz w:val="21"/>
                <w:szCs w:val="21"/>
                <w:vertAlign w:val="baseline"/>
                <w:lang w:val="en-US" w:eastAsia="zh-CN"/>
              </w:rPr>
              <w:t>24</w:t>
            </w:r>
            <w:r>
              <w:rPr>
                <w:rFonts w:hint="eastAsia" w:ascii="新宋体" w:hAnsi="新宋体" w:eastAsia="新宋体" w:cs="新宋体"/>
                <w:color w:val="auto"/>
                <w:sz w:val="21"/>
                <w:szCs w:val="21"/>
                <w:vertAlign w:val="baseline"/>
                <w:lang w:eastAsia="zh-CN"/>
              </w:rPr>
              <w:t>分。</w:t>
            </w:r>
          </w:p>
          <w:p w14:paraId="00D83637">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vertAlign w:val="baseline"/>
                <w:lang w:eastAsia="zh-CN"/>
              </w:rPr>
            </w:pPr>
            <w:r>
              <w:rPr>
                <w:rFonts w:hint="eastAsia" w:ascii="新宋体" w:hAnsi="新宋体" w:eastAsia="新宋体" w:cs="新宋体"/>
                <w:color w:val="auto"/>
                <w:sz w:val="21"/>
                <w:szCs w:val="21"/>
                <w:vertAlign w:val="baseline"/>
                <w:lang w:eastAsia="zh-CN"/>
              </w:rPr>
              <w:t>非实质性要求的技术要求负偏离的，得分=该项满分分值-累计扣分分值（每有一项非实质性要求的技术要求负偏离的扣</w:t>
            </w:r>
            <w:r>
              <w:rPr>
                <w:rFonts w:hint="eastAsia" w:ascii="新宋体" w:hAnsi="新宋体" w:eastAsia="新宋体" w:cs="新宋体"/>
                <w:color w:val="auto"/>
                <w:sz w:val="21"/>
                <w:szCs w:val="21"/>
                <w:vertAlign w:val="baseline"/>
                <w:lang w:val="en-US" w:eastAsia="zh-CN"/>
              </w:rPr>
              <w:t>3</w:t>
            </w:r>
            <w:r>
              <w:rPr>
                <w:rFonts w:hint="eastAsia" w:ascii="新宋体" w:hAnsi="新宋体" w:eastAsia="新宋体" w:cs="新宋体"/>
                <w:color w:val="auto"/>
                <w:sz w:val="21"/>
                <w:szCs w:val="21"/>
                <w:vertAlign w:val="baseline"/>
                <w:lang w:eastAsia="zh-CN"/>
              </w:rPr>
              <w:t>分，扣分不能超过满分分值，允许负偏离的项数不超过招标文件允许负偏离的项数）</w:t>
            </w:r>
          </w:p>
          <w:p w14:paraId="312EA163">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vertAlign w:val="baseline"/>
                <w:lang w:val="en-US" w:eastAsia="zh-CN"/>
              </w:rPr>
            </w:pPr>
            <w:r>
              <w:rPr>
                <w:rFonts w:hint="eastAsia" w:ascii="新宋体" w:hAnsi="新宋体" w:eastAsia="新宋体" w:cs="新宋体"/>
                <w:color w:val="auto"/>
                <w:sz w:val="21"/>
                <w:szCs w:val="21"/>
                <w:vertAlign w:val="baseline"/>
                <w:lang w:eastAsia="zh-CN"/>
              </w:rPr>
              <w:t>2.实质性要求（带“▲”符号）的技术需求：不满足则投标无效。</w:t>
            </w:r>
          </w:p>
        </w:tc>
      </w:tr>
      <w:tr w14:paraId="3BDF4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Merge w:val="continue"/>
            <w:noWrap w:val="0"/>
            <w:vAlign w:val="center"/>
          </w:tcPr>
          <w:p w14:paraId="2EE6CDEE">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vertAlign w:val="baseline"/>
                <w:lang w:eastAsia="zh-CN"/>
              </w:rPr>
            </w:pPr>
          </w:p>
        </w:tc>
        <w:tc>
          <w:tcPr>
            <w:tcW w:w="757" w:type="dxa"/>
            <w:noWrap w:val="0"/>
            <w:vAlign w:val="center"/>
          </w:tcPr>
          <w:p w14:paraId="086E90C6">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vertAlign w:val="baseline"/>
                <w:lang w:eastAsia="zh-CN"/>
              </w:rPr>
            </w:pPr>
            <w:r>
              <w:rPr>
                <w:rFonts w:hint="eastAsia" w:ascii="新宋体" w:hAnsi="新宋体" w:eastAsia="新宋体" w:cs="新宋体"/>
                <w:color w:val="auto"/>
                <w:sz w:val="21"/>
                <w:szCs w:val="21"/>
                <w:vertAlign w:val="baseline"/>
                <w:lang w:eastAsia="zh-CN"/>
              </w:rPr>
              <w:t>实施方案分</w:t>
            </w:r>
          </w:p>
        </w:tc>
        <w:tc>
          <w:tcPr>
            <w:tcW w:w="1043" w:type="dxa"/>
            <w:noWrap w:val="0"/>
            <w:vAlign w:val="center"/>
          </w:tcPr>
          <w:p w14:paraId="227EC522">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210" w:firstLineChars="100"/>
              <w:jc w:val="left"/>
              <w:textAlignment w:val="auto"/>
              <w:rPr>
                <w:rFonts w:hint="eastAsia" w:ascii="新宋体" w:hAnsi="新宋体" w:eastAsia="新宋体" w:cs="新宋体"/>
                <w:color w:val="auto"/>
                <w:sz w:val="21"/>
                <w:szCs w:val="21"/>
                <w:vertAlign w:val="baseline"/>
                <w:lang w:val="en-US" w:eastAsia="zh-CN"/>
              </w:rPr>
            </w:pPr>
            <w:r>
              <w:rPr>
                <w:rFonts w:hint="eastAsia" w:ascii="新宋体" w:hAnsi="新宋体" w:eastAsia="新宋体" w:cs="新宋体"/>
                <w:color w:val="auto"/>
                <w:sz w:val="21"/>
                <w:szCs w:val="21"/>
                <w:vertAlign w:val="baseline"/>
                <w:lang w:val="en-US" w:eastAsia="zh-CN"/>
              </w:rPr>
              <w:t>12分</w:t>
            </w:r>
          </w:p>
        </w:tc>
        <w:tc>
          <w:tcPr>
            <w:tcW w:w="7122" w:type="dxa"/>
            <w:noWrap w:val="0"/>
            <w:vAlign w:val="center"/>
          </w:tcPr>
          <w:p w14:paraId="7DE773A6">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vertAlign w:val="baseline"/>
                <w:lang w:eastAsia="zh-CN"/>
              </w:rPr>
            </w:pPr>
            <w:r>
              <w:rPr>
                <w:rFonts w:hint="eastAsia" w:ascii="新宋体" w:hAnsi="新宋体" w:eastAsia="新宋体" w:cs="新宋体"/>
                <w:color w:val="auto"/>
                <w:sz w:val="21"/>
                <w:szCs w:val="21"/>
                <w:vertAlign w:val="baseline"/>
                <w:lang w:val="en-US" w:eastAsia="zh-CN"/>
              </w:rPr>
              <w:t>一档（3分）：</w:t>
            </w:r>
            <w:r>
              <w:rPr>
                <w:rFonts w:hint="eastAsia" w:ascii="新宋体" w:hAnsi="新宋体" w:eastAsia="新宋体" w:cs="新宋体"/>
                <w:color w:val="auto"/>
                <w:sz w:val="21"/>
                <w:szCs w:val="21"/>
                <w:vertAlign w:val="baseline"/>
                <w:lang w:eastAsia="zh-CN"/>
              </w:rPr>
              <w:t>项目实施方案一般，组织机构安排及分工与职责，内容简单。</w:t>
            </w:r>
          </w:p>
          <w:p w14:paraId="1303BBC5">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vertAlign w:val="baseline"/>
                <w:lang w:eastAsia="zh-CN"/>
              </w:rPr>
            </w:pPr>
            <w:r>
              <w:rPr>
                <w:rFonts w:hint="eastAsia" w:ascii="新宋体" w:hAnsi="新宋体" w:eastAsia="新宋体" w:cs="新宋体"/>
                <w:color w:val="auto"/>
                <w:sz w:val="21"/>
                <w:szCs w:val="21"/>
                <w:vertAlign w:val="baseline"/>
                <w:lang w:val="en-US" w:eastAsia="zh-CN"/>
              </w:rPr>
              <w:t>二档（6分）：</w:t>
            </w:r>
            <w:r>
              <w:rPr>
                <w:rFonts w:hint="eastAsia" w:ascii="新宋体" w:hAnsi="新宋体" w:eastAsia="新宋体" w:cs="新宋体"/>
                <w:color w:val="auto"/>
                <w:sz w:val="21"/>
                <w:szCs w:val="21"/>
                <w:vertAlign w:val="baseline"/>
                <w:lang w:eastAsia="zh-CN"/>
              </w:rPr>
              <w:t>项目实施方案完整，理解客户需求，项目技术服务内容和措施完善,具备较强的操作性，对组织机构安排及分工与职责安排等比较合理，能较好满足</w:t>
            </w:r>
            <w:r>
              <w:rPr>
                <w:rFonts w:hint="eastAsia" w:ascii="新宋体" w:hAnsi="新宋体" w:eastAsia="新宋体" w:cs="新宋体"/>
                <w:color w:val="auto"/>
                <w:sz w:val="21"/>
                <w:szCs w:val="21"/>
                <w:vertAlign w:val="baseline"/>
                <w:lang w:val="en-US" w:eastAsia="zh-CN"/>
              </w:rPr>
              <w:t>本</w:t>
            </w:r>
            <w:r>
              <w:rPr>
                <w:rFonts w:hint="eastAsia" w:ascii="新宋体" w:hAnsi="新宋体" w:eastAsia="新宋体" w:cs="新宋体"/>
                <w:color w:val="auto"/>
                <w:sz w:val="21"/>
                <w:szCs w:val="21"/>
                <w:vertAlign w:val="baseline"/>
                <w:lang w:eastAsia="zh-CN"/>
              </w:rPr>
              <w:t>次采购需。</w:t>
            </w:r>
          </w:p>
          <w:p w14:paraId="6F246EE9">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vertAlign w:val="baseline"/>
                <w:lang w:val="en-US" w:eastAsia="zh-CN"/>
              </w:rPr>
            </w:pPr>
            <w:r>
              <w:rPr>
                <w:rFonts w:hint="eastAsia" w:ascii="新宋体" w:hAnsi="新宋体" w:eastAsia="新宋体" w:cs="新宋体"/>
                <w:color w:val="auto"/>
                <w:sz w:val="21"/>
                <w:szCs w:val="21"/>
                <w:vertAlign w:val="baseline"/>
                <w:lang w:val="en-US" w:eastAsia="zh-CN"/>
              </w:rPr>
              <w:t>三档（9分）：</w:t>
            </w:r>
            <w:r>
              <w:rPr>
                <w:rFonts w:hint="eastAsia" w:ascii="新宋体" w:hAnsi="新宋体" w:eastAsia="新宋体" w:cs="新宋体"/>
                <w:color w:val="auto"/>
                <w:sz w:val="21"/>
                <w:szCs w:val="21"/>
                <w:vertAlign w:val="baseline"/>
                <w:lang w:eastAsia="zh-CN"/>
              </w:rPr>
              <w:t>项目实施方案详细完整，充分理解客户需求，项目技术服务内容和措施完善,具备较强的操作性，对组织机构安排及分工与职责安排等比较详细合理，</w:t>
            </w:r>
            <w:r>
              <w:rPr>
                <w:rFonts w:hint="eastAsia" w:ascii="新宋体" w:hAnsi="新宋体" w:eastAsia="新宋体" w:cs="新宋体"/>
                <w:color w:val="auto"/>
                <w:sz w:val="21"/>
                <w:szCs w:val="21"/>
                <w:vertAlign w:val="baseline"/>
                <w:lang w:val="en-US" w:eastAsia="zh-CN"/>
              </w:rPr>
              <w:t>完全</w:t>
            </w:r>
            <w:r>
              <w:rPr>
                <w:rFonts w:hint="eastAsia" w:ascii="新宋体" w:hAnsi="新宋体" w:eastAsia="新宋体" w:cs="新宋体"/>
                <w:color w:val="auto"/>
                <w:sz w:val="21"/>
                <w:szCs w:val="21"/>
                <w:vertAlign w:val="baseline"/>
                <w:lang w:eastAsia="zh-CN"/>
              </w:rPr>
              <w:t>满足</w:t>
            </w:r>
            <w:r>
              <w:rPr>
                <w:rFonts w:hint="eastAsia" w:ascii="新宋体" w:hAnsi="新宋体" w:eastAsia="新宋体" w:cs="新宋体"/>
                <w:color w:val="auto"/>
                <w:sz w:val="21"/>
                <w:szCs w:val="21"/>
                <w:vertAlign w:val="baseline"/>
                <w:lang w:val="en-US" w:eastAsia="zh-CN"/>
              </w:rPr>
              <w:t>本</w:t>
            </w:r>
            <w:r>
              <w:rPr>
                <w:rFonts w:hint="eastAsia" w:ascii="新宋体" w:hAnsi="新宋体" w:eastAsia="新宋体" w:cs="新宋体"/>
                <w:color w:val="auto"/>
                <w:sz w:val="21"/>
                <w:szCs w:val="21"/>
                <w:vertAlign w:val="baseline"/>
                <w:lang w:eastAsia="zh-CN"/>
              </w:rPr>
              <w:t>次采购需。对各项关键工作安排、对本项目的风险预见、应急事件处理应对措施、项目解决方案、项目管理方案、组织机构安排及分工与职责安排等方案</w:t>
            </w:r>
            <w:r>
              <w:rPr>
                <w:rFonts w:hint="eastAsia" w:ascii="新宋体" w:hAnsi="新宋体" w:eastAsia="新宋体" w:cs="新宋体"/>
                <w:color w:val="auto"/>
                <w:sz w:val="21"/>
                <w:szCs w:val="21"/>
                <w:vertAlign w:val="baseline"/>
                <w:lang w:val="en-US" w:eastAsia="zh-CN"/>
              </w:rPr>
              <w:t>内容比较详细合理。</w:t>
            </w:r>
          </w:p>
          <w:p w14:paraId="3D30302A">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vertAlign w:val="baseline"/>
                <w:lang w:eastAsia="zh-CN"/>
              </w:rPr>
            </w:pPr>
            <w:r>
              <w:rPr>
                <w:rFonts w:hint="eastAsia" w:ascii="新宋体" w:hAnsi="新宋体" w:eastAsia="新宋体" w:cs="新宋体"/>
                <w:color w:val="auto"/>
                <w:sz w:val="21"/>
                <w:szCs w:val="21"/>
                <w:vertAlign w:val="baseline"/>
                <w:lang w:val="en-US" w:eastAsia="zh-CN"/>
              </w:rPr>
              <w:t>四档（12分）：</w:t>
            </w:r>
            <w:r>
              <w:rPr>
                <w:rFonts w:hint="eastAsia" w:ascii="新宋体" w:hAnsi="新宋体" w:eastAsia="新宋体" w:cs="新宋体"/>
                <w:color w:val="auto"/>
                <w:sz w:val="21"/>
                <w:szCs w:val="21"/>
                <w:vertAlign w:val="baseline"/>
                <w:lang w:eastAsia="zh-CN"/>
              </w:rPr>
              <w:t>项目实施方案的安装质量保证措施阐述清晰合理、明确且符合本次采购需求</w:t>
            </w:r>
            <w:r>
              <w:rPr>
                <w:rFonts w:hint="eastAsia" w:ascii="新宋体" w:hAnsi="新宋体" w:eastAsia="新宋体" w:cs="新宋体"/>
                <w:sz w:val="21"/>
                <w:szCs w:val="21"/>
                <w:lang w:eastAsia="zh-CN"/>
              </w:rPr>
              <w:t>，</w:t>
            </w:r>
            <w:r>
              <w:rPr>
                <w:rFonts w:hint="eastAsia" w:ascii="新宋体" w:hAnsi="新宋体" w:eastAsia="新宋体" w:cs="新宋体"/>
                <w:color w:val="auto"/>
                <w:sz w:val="21"/>
                <w:szCs w:val="21"/>
                <w:vertAlign w:val="baseline"/>
                <w:lang w:eastAsia="zh-CN"/>
              </w:rPr>
              <w:t>对各项关键工作安排、对本项目的风险预见、</w:t>
            </w:r>
            <w:r>
              <w:rPr>
                <w:rFonts w:hint="eastAsia" w:ascii="新宋体" w:hAnsi="新宋体" w:eastAsia="新宋体" w:cs="新宋体"/>
                <w:sz w:val="21"/>
                <w:szCs w:val="21"/>
              </w:rPr>
              <w:t>应急事件处理</w:t>
            </w:r>
            <w:r>
              <w:rPr>
                <w:rFonts w:hint="eastAsia" w:ascii="新宋体" w:hAnsi="新宋体" w:eastAsia="新宋体" w:cs="新宋体"/>
                <w:color w:val="auto"/>
                <w:sz w:val="21"/>
                <w:szCs w:val="21"/>
                <w:vertAlign w:val="baseline"/>
                <w:lang w:eastAsia="zh-CN"/>
              </w:rPr>
              <w:t>应对措施、项目解决方案、项目管理方案、组织机构安排及分工与职责安排等方案详细</w:t>
            </w:r>
            <w:r>
              <w:rPr>
                <w:rFonts w:hint="eastAsia" w:ascii="新宋体" w:hAnsi="新宋体" w:eastAsia="新宋体" w:cs="新宋体"/>
                <w:color w:val="auto"/>
                <w:sz w:val="21"/>
                <w:szCs w:val="21"/>
                <w:vertAlign w:val="baseline"/>
                <w:lang w:val="en-US" w:eastAsia="zh-CN"/>
              </w:rPr>
              <w:t>具体</w:t>
            </w:r>
            <w:r>
              <w:rPr>
                <w:rFonts w:hint="eastAsia" w:ascii="新宋体" w:hAnsi="新宋体" w:eastAsia="新宋体" w:cs="新宋体"/>
                <w:color w:val="auto"/>
                <w:sz w:val="21"/>
                <w:szCs w:val="21"/>
                <w:vertAlign w:val="baseline"/>
                <w:lang w:eastAsia="zh-CN"/>
              </w:rPr>
              <w:t>，实施流程合理、考虑周全、进度有保障，有详细的</w:t>
            </w:r>
            <w:r>
              <w:rPr>
                <w:rFonts w:hint="eastAsia" w:ascii="新宋体" w:hAnsi="新宋体" w:eastAsia="新宋体" w:cs="新宋体"/>
                <w:color w:val="auto"/>
                <w:sz w:val="21"/>
                <w:szCs w:val="21"/>
                <w:vertAlign w:val="baseline"/>
                <w:lang w:val="en-US" w:eastAsia="zh-CN"/>
              </w:rPr>
              <w:t>针对本项目的</w:t>
            </w:r>
            <w:r>
              <w:rPr>
                <w:rFonts w:hint="eastAsia" w:ascii="新宋体" w:hAnsi="新宋体" w:eastAsia="新宋体" w:cs="新宋体"/>
                <w:color w:val="auto"/>
                <w:sz w:val="21"/>
                <w:szCs w:val="21"/>
                <w:vertAlign w:val="baseline"/>
                <w:lang w:eastAsia="zh-CN"/>
              </w:rPr>
              <w:t>监控系统及网络系统的系统拓扑图、点位统计表、分布图，提出具有建设性的方案优化建议。</w:t>
            </w:r>
          </w:p>
          <w:p w14:paraId="60E6E231">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sz w:val="21"/>
                <w:szCs w:val="21"/>
                <w:lang w:val="en-US" w:eastAsia="zh-CN"/>
              </w:rPr>
            </w:pPr>
            <w:r>
              <w:rPr>
                <w:rFonts w:hint="eastAsia" w:ascii="新宋体" w:hAnsi="新宋体" w:eastAsia="新宋体" w:cs="新宋体"/>
                <w:color w:val="auto"/>
                <w:kern w:val="2"/>
                <w:sz w:val="21"/>
                <w:szCs w:val="21"/>
                <w:vertAlign w:val="baseline"/>
                <w:lang w:val="en-US" w:eastAsia="zh-CN" w:bidi="ar-SA"/>
              </w:rPr>
              <w:t>未提供方案或提供的内容与本项目无关的得0分</w:t>
            </w:r>
          </w:p>
        </w:tc>
      </w:tr>
      <w:tr w14:paraId="437E2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696" w:type="dxa"/>
            <w:vMerge w:val="continue"/>
            <w:noWrap w:val="0"/>
            <w:vAlign w:val="center"/>
          </w:tcPr>
          <w:p w14:paraId="161C38EC">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vertAlign w:val="baseline"/>
                <w:lang w:eastAsia="zh-CN"/>
              </w:rPr>
            </w:pPr>
          </w:p>
        </w:tc>
        <w:tc>
          <w:tcPr>
            <w:tcW w:w="757" w:type="dxa"/>
            <w:noWrap w:val="0"/>
            <w:vAlign w:val="center"/>
          </w:tcPr>
          <w:p w14:paraId="68AE0F5D">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新宋体" w:hAnsi="新宋体" w:eastAsia="新宋体" w:cs="新宋体"/>
                <w:color w:val="auto"/>
                <w:sz w:val="21"/>
                <w:szCs w:val="21"/>
                <w:vertAlign w:val="baseline"/>
                <w:lang w:eastAsia="zh-CN"/>
              </w:rPr>
            </w:pPr>
            <w:r>
              <w:rPr>
                <w:rFonts w:hint="eastAsia" w:ascii="新宋体" w:hAnsi="新宋体" w:eastAsia="新宋体" w:cs="新宋体"/>
                <w:color w:val="auto"/>
                <w:sz w:val="21"/>
                <w:szCs w:val="21"/>
                <w:vertAlign w:val="baseline"/>
                <w:lang w:eastAsia="zh-CN"/>
              </w:rPr>
              <w:t>安装进度计划和工期保证</w:t>
            </w:r>
          </w:p>
        </w:tc>
        <w:tc>
          <w:tcPr>
            <w:tcW w:w="1043" w:type="dxa"/>
            <w:noWrap w:val="0"/>
            <w:vAlign w:val="center"/>
          </w:tcPr>
          <w:p w14:paraId="3881E782">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b w:val="0"/>
                <w:bCs w:val="0"/>
                <w:color w:val="auto"/>
                <w:sz w:val="21"/>
                <w:szCs w:val="21"/>
                <w:vertAlign w:val="baseline"/>
                <w:lang w:val="en-US" w:eastAsia="zh-CN"/>
              </w:rPr>
            </w:pPr>
            <w:r>
              <w:rPr>
                <w:rFonts w:hint="eastAsia" w:ascii="新宋体" w:hAnsi="新宋体" w:eastAsia="新宋体" w:cs="新宋体"/>
                <w:b w:val="0"/>
                <w:bCs w:val="0"/>
                <w:color w:val="auto"/>
                <w:sz w:val="21"/>
                <w:szCs w:val="21"/>
                <w:vertAlign w:val="baseline"/>
                <w:lang w:val="en-US" w:eastAsia="zh-CN"/>
              </w:rPr>
              <w:t>6分</w:t>
            </w:r>
          </w:p>
        </w:tc>
        <w:tc>
          <w:tcPr>
            <w:tcW w:w="7122" w:type="dxa"/>
            <w:noWrap w:val="0"/>
            <w:vAlign w:val="center"/>
          </w:tcPr>
          <w:p w14:paraId="0F93027E">
            <w:pPr>
              <w:pStyle w:val="74"/>
              <w:keepNext w:val="0"/>
              <w:keepLines w:val="0"/>
              <w:pageBreakBefore w:val="0"/>
              <w:kinsoku/>
              <w:wordWrap/>
              <w:overflowPunct/>
              <w:topLinePunct w:val="0"/>
              <w:autoSpaceDE/>
              <w:autoSpaceDN/>
              <w:bidi w:val="0"/>
              <w:adjustRightInd/>
              <w:snapToGrid/>
              <w:spacing w:before="0" w:after="0" w:line="460" w:lineRule="exact"/>
              <w:textAlignment w:val="auto"/>
              <w:rPr>
                <w:rFonts w:hint="eastAsia" w:ascii="新宋体" w:hAnsi="新宋体" w:eastAsia="新宋体" w:cs="新宋体"/>
                <w:bCs w:val="0"/>
                <w:color w:val="auto"/>
                <w:spacing w:val="0"/>
                <w:kern w:val="2"/>
                <w:sz w:val="21"/>
                <w:szCs w:val="21"/>
                <w:vertAlign w:val="baseline"/>
                <w:lang w:val="en-US" w:eastAsia="zh-CN" w:bidi="ar-SA"/>
              </w:rPr>
            </w:pPr>
            <w:r>
              <w:rPr>
                <w:rFonts w:hint="eastAsia" w:ascii="新宋体" w:hAnsi="新宋体" w:eastAsia="新宋体" w:cs="新宋体"/>
                <w:bCs w:val="0"/>
                <w:color w:val="auto"/>
                <w:spacing w:val="0"/>
                <w:kern w:val="2"/>
                <w:sz w:val="21"/>
                <w:szCs w:val="21"/>
                <w:vertAlign w:val="baseline"/>
                <w:lang w:val="en-US" w:eastAsia="zh-CN" w:bidi="ar-SA"/>
              </w:rPr>
              <w:t>一档（2分）：项目安装进度（包装运输、到货查验、安装、测试和试运行、验收等）</w:t>
            </w:r>
            <w:r>
              <w:rPr>
                <w:rFonts w:hint="eastAsia" w:ascii="新宋体" w:hAnsi="新宋体" w:eastAsia="新宋体" w:cs="新宋体"/>
                <w:sz w:val="21"/>
                <w:szCs w:val="21"/>
              </w:rPr>
              <w:t>描述不清，实施性差</w:t>
            </w:r>
            <w:r>
              <w:rPr>
                <w:rFonts w:hint="eastAsia" w:ascii="新宋体" w:hAnsi="新宋体" w:eastAsia="新宋体" w:cs="新宋体"/>
                <w:bCs w:val="0"/>
                <w:color w:val="auto"/>
                <w:spacing w:val="0"/>
                <w:kern w:val="2"/>
                <w:sz w:val="21"/>
                <w:szCs w:val="21"/>
                <w:vertAlign w:val="baseline"/>
                <w:lang w:val="en-US" w:eastAsia="zh-CN" w:bidi="ar-SA"/>
              </w:rPr>
              <w:t>，工期保证措施基本可行。</w:t>
            </w:r>
          </w:p>
          <w:p w14:paraId="66545F39">
            <w:pPr>
              <w:pStyle w:val="74"/>
              <w:keepNext w:val="0"/>
              <w:keepLines w:val="0"/>
              <w:pageBreakBefore w:val="0"/>
              <w:kinsoku/>
              <w:wordWrap/>
              <w:overflowPunct/>
              <w:topLinePunct w:val="0"/>
              <w:autoSpaceDE/>
              <w:autoSpaceDN/>
              <w:bidi w:val="0"/>
              <w:adjustRightInd/>
              <w:snapToGrid/>
              <w:spacing w:before="0" w:after="0" w:line="460" w:lineRule="exact"/>
              <w:textAlignment w:val="auto"/>
              <w:rPr>
                <w:rFonts w:hint="eastAsia" w:ascii="新宋体" w:hAnsi="新宋体" w:eastAsia="新宋体" w:cs="新宋体"/>
                <w:bCs w:val="0"/>
                <w:color w:val="auto"/>
                <w:spacing w:val="0"/>
                <w:kern w:val="2"/>
                <w:sz w:val="21"/>
                <w:szCs w:val="21"/>
                <w:vertAlign w:val="baseline"/>
                <w:lang w:val="en-US" w:eastAsia="zh-CN" w:bidi="ar-SA"/>
              </w:rPr>
            </w:pPr>
            <w:r>
              <w:rPr>
                <w:rFonts w:hint="eastAsia" w:ascii="新宋体" w:hAnsi="新宋体" w:eastAsia="新宋体" w:cs="新宋体"/>
                <w:bCs w:val="0"/>
                <w:color w:val="auto"/>
                <w:spacing w:val="0"/>
                <w:kern w:val="2"/>
                <w:sz w:val="21"/>
                <w:szCs w:val="21"/>
                <w:vertAlign w:val="baseline"/>
                <w:lang w:val="en-US" w:eastAsia="zh-CN" w:bidi="ar-SA"/>
              </w:rPr>
              <w:t>二档（4分）:项目安装进度（包装运输、到货查验、安装、测试和试运行、验收等）较贴合项目需求，工期推进保证具体措施到位，步骤和要点描述较详细可行；</w:t>
            </w:r>
          </w:p>
          <w:p w14:paraId="1FB8E556">
            <w:pPr>
              <w:pStyle w:val="74"/>
              <w:keepNext w:val="0"/>
              <w:keepLines w:val="0"/>
              <w:pageBreakBefore w:val="0"/>
              <w:kinsoku/>
              <w:wordWrap/>
              <w:overflowPunct/>
              <w:topLinePunct w:val="0"/>
              <w:autoSpaceDE/>
              <w:autoSpaceDN/>
              <w:bidi w:val="0"/>
              <w:adjustRightInd/>
              <w:snapToGrid/>
              <w:spacing w:before="0" w:after="0" w:line="460" w:lineRule="exact"/>
              <w:textAlignment w:val="auto"/>
              <w:rPr>
                <w:rFonts w:hint="eastAsia" w:ascii="新宋体" w:hAnsi="新宋体" w:eastAsia="新宋体" w:cs="新宋体"/>
                <w:bCs w:val="0"/>
                <w:color w:val="auto"/>
                <w:spacing w:val="0"/>
                <w:kern w:val="2"/>
                <w:sz w:val="21"/>
                <w:szCs w:val="21"/>
                <w:vertAlign w:val="baseline"/>
                <w:lang w:val="en-US" w:eastAsia="zh-CN" w:bidi="ar-SA"/>
              </w:rPr>
            </w:pPr>
            <w:r>
              <w:rPr>
                <w:rFonts w:hint="eastAsia" w:ascii="新宋体" w:hAnsi="新宋体" w:eastAsia="新宋体" w:cs="新宋体"/>
                <w:bCs w:val="0"/>
                <w:color w:val="auto"/>
                <w:spacing w:val="0"/>
                <w:kern w:val="2"/>
                <w:sz w:val="21"/>
                <w:szCs w:val="21"/>
                <w:vertAlign w:val="baseline"/>
                <w:lang w:val="en-US" w:eastAsia="zh-CN" w:bidi="ar-SA"/>
              </w:rPr>
              <w:t>三档（6分）:项目安装进度（包装运输、到货查验、安装、测试和试运行、验收等）合理紧凑、各节点衔接连贯，工期保证措施可行性强；关键工作安排详细，步骤和要点描述详细全面，切合实际，科学合理，方案先进，可行性强，对采购人有实际性帮助。</w:t>
            </w:r>
          </w:p>
          <w:p w14:paraId="76162AC2">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1"/>
                <w:szCs w:val="21"/>
                <w:vertAlign w:val="baseline"/>
                <w:lang w:val="en-US" w:eastAsia="zh-CN"/>
              </w:rPr>
            </w:pPr>
            <w:r>
              <w:rPr>
                <w:rFonts w:hint="eastAsia" w:ascii="新宋体" w:hAnsi="新宋体" w:eastAsia="新宋体" w:cs="新宋体"/>
                <w:color w:val="auto"/>
                <w:sz w:val="21"/>
                <w:szCs w:val="21"/>
                <w:vertAlign w:val="baseline"/>
                <w:lang w:val="en-US" w:eastAsia="zh-CN"/>
              </w:rPr>
              <w:t>未提供方案或提供的内容与本项目无关的得0分</w:t>
            </w:r>
          </w:p>
        </w:tc>
      </w:tr>
      <w:tr w14:paraId="6615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696" w:type="dxa"/>
            <w:vMerge w:val="continue"/>
            <w:noWrap w:val="0"/>
            <w:vAlign w:val="center"/>
          </w:tcPr>
          <w:p w14:paraId="034B4C41">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vertAlign w:val="baseline"/>
                <w:lang w:eastAsia="zh-CN"/>
              </w:rPr>
            </w:pPr>
          </w:p>
        </w:tc>
        <w:tc>
          <w:tcPr>
            <w:tcW w:w="757" w:type="dxa"/>
            <w:noWrap w:val="0"/>
            <w:vAlign w:val="center"/>
          </w:tcPr>
          <w:p w14:paraId="1379B2D1">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新宋体" w:hAnsi="新宋体" w:eastAsia="新宋体" w:cs="新宋体"/>
                <w:color w:val="auto"/>
                <w:sz w:val="21"/>
                <w:szCs w:val="21"/>
                <w:vertAlign w:val="baseline"/>
                <w:lang w:eastAsia="zh-CN"/>
              </w:rPr>
            </w:pPr>
            <w:r>
              <w:rPr>
                <w:rFonts w:hint="eastAsia" w:ascii="新宋体" w:hAnsi="新宋体" w:eastAsia="新宋体" w:cs="新宋体"/>
                <w:b w:val="0"/>
                <w:bCs w:val="0"/>
                <w:color w:val="auto"/>
                <w:sz w:val="21"/>
                <w:szCs w:val="21"/>
                <w:vertAlign w:val="baseline"/>
                <w:lang w:val="en-US" w:eastAsia="zh-CN"/>
              </w:rPr>
              <w:t>技术培训方案</w:t>
            </w:r>
          </w:p>
        </w:tc>
        <w:tc>
          <w:tcPr>
            <w:tcW w:w="1043" w:type="dxa"/>
            <w:noWrap w:val="0"/>
            <w:vAlign w:val="center"/>
          </w:tcPr>
          <w:p w14:paraId="44D3FEDB">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b w:val="0"/>
                <w:bCs w:val="0"/>
                <w:color w:val="auto"/>
                <w:sz w:val="21"/>
                <w:szCs w:val="21"/>
                <w:vertAlign w:val="baseline"/>
                <w:lang w:val="en-US" w:eastAsia="zh-CN"/>
              </w:rPr>
            </w:pPr>
            <w:r>
              <w:rPr>
                <w:rFonts w:hint="eastAsia" w:ascii="新宋体" w:hAnsi="新宋体" w:eastAsia="新宋体" w:cs="新宋体"/>
                <w:b w:val="0"/>
                <w:bCs w:val="0"/>
                <w:color w:val="auto"/>
                <w:sz w:val="21"/>
                <w:szCs w:val="21"/>
                <w:vertAlign w:val="baseline"/>
                <w:lang w:val="en-US" w:eastAsia="zh-CN"/>
              </w:rPr>
              <w:t xml:space="preserve">  6分</w:t>
            </w:r>
          </w:p>
        </w:tc>
        <w:tc>
          <w:tcPr>
            <w:tcW w:w="7122" w:type="dxa"/>
            <w:noWrap w:val="0"/>
            <w:vAlign w:val="center"/>
          </w:tcPr>
          <w:p w14:paraId="20B7D9E8">
            <w:pPr>
              <w:keepNext w:val="0"/>
              <w:keepLines w:val="0"/>
              <w:pageBreakBefore w:val="0"/>
              <w:widowControl/>
              <w:tabs>
                <w:tab w:val="left" w:pos="312"/>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1"/>
                <w:szCs w:val="21"/>
                <w:lang w:val="en-US" w:eastAsia="zh-CN" w:bidi="ar-SA"/>
              </w:rPr>
            </w:pPr>
            <w:r>
              <w:rPr>
                <w:rFonts w:hint="eastAsia" w:ascii="新宋体" w:hAnsi="新宋体" w:eastAsia="新宋体" w:cs="新宋体"/>
                <w:color w:val="auto"/>
                <w:kern w:val="2"/>
                <w:sz w:val="21"/>
                <w:szCs w:val="21"/>
                <w:lang w:val="en-US" w:eastAsia="zh-CN" w:bidi="ar-SA"/>
              </w:rPr>
              <w:t>一档（2分）：培训方案满足采购需求，内容简单；</w:t>
            </w:r>
          </w:p>
          <w:p w14:paraId="5718CAF6">
            <w:pPr>
              <w:keepNext w:val="0"/>
              <w:keepLines w:val="0"/>
              <w:pageBreakBefore w:val="0"/>
              <w:widowControl/>
              <w:tabs>
                <w:tab w:val="left" w:pos="312"/>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1"/>
                <w:szCs w:val="21"/>
                <w:lang w:val="en-US" w:eastAsia="zh-CN" w:bidi="ar-SA"/>
              </w:rPr>
            </w:pPr>
            <w:r>
              <w:rPr>
                <w:rFonts w:hint="eastAsia" w:ascii="新宋体" w:hAnsi="新宋体" w:eastAsia="新宋体" w:cs="新宋体"/>
                <w:color w:val="auto"/>
                <w:kern w:val="2"/>
                <w:sz w:val="21"/>
                <w:szCs w:val="21"/>
                <w:lang w:val="en-US" w:eastAsia="zh-CN" w:bidi="ar-SA"/>
              </w:rPr>
              <w:t>二档（4分）：培训方案较详细具体，包含课程安排、人员安排、培训课程内容等，方案较为完整，能较好满足培训需求；</w:t>
            </w:r>
          </w:p>
          <w:p w14:paraId="111D36C7">
            <w:pPr>
              <w:keepNext w:val="0"/>
              <w:keepLines w:val="0"/>
              <w:pageBreakBefore w:val="0"/>
              <w:widowControl/>
              <w:tabs>
                <w:tab w:val="left" w:pos="312"/>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1"/>
                <w:szCs w:val="21"/>
                <w:lang w:val="en-US" w:eastAsia="zh-CN" w:bidi="ar-SA"/>
              </w:rPr>
            </w:pPr>
            <w:r>
              <w:rPr>
                <w:rFonts w:hint="eastAsia" w:ascii="新宋体" w:hAnsi="新宋体" w:eastAsia="新宋体" w:cs="新宋体"/>
                <w:color w:val="auto"/>
                <w:kern w:val="2"/>
                <w:sz w:val="21"/>
                <w:szCs w:val="21"/>
                <w:lang w:val="en-US" w:eastAsia="zh-CN" w:bidi="ar-SA"/>
              </w:rPr>
              <w:t>三档（6分）：技术培训的内容和方案完善详尽，培训方式兼顾远程、现场等方式，承诺培训人员经验丰富、专业性强，课程安排合理，培训内容针对性强，培训课时充足，培训方案详尽。</w:t>
            </w:r>
          </w:p>
          <w:p w14:paraId="296225C5">
            <w:pPr>
              <w:pStyle w:val="20"/>
              <w:keepNext w:val="0"/>
              <w:keepLines w:val="0"/>
              <w:pageBreakBefore w:val="0"/>
              <w:kinsoku/>
              <w:wordWrap/>
              <w:overflowPunct/>
              <w:topLinePunct w:val="0"/>
              <w:autoSpaceDE/>
              <w:autoSpaceDN/>
              <w:bidi w:val="0"/>
              <w:adjustRightInd/>
              <w:snapToGrid/>
              <w:spacing w:after="0" w:line="460" w:lineRule="exact"/>
              <w:ind w:left="0" w:leftChars="0" w:firstLine="0" w:firstLineChars="0"/>
              <w:textAlignment w:val="auto"/>
              <w:rPr>
                <w:rFonts w:hint="eastAsia" w:ascii="新宋体" w:hAnsi="新宋体" w:eastAsia="新宋体" w:cs="新宋体"/>
                <w:sz w:val="21"/>
                <w:szCs w:val="21"/>
                <w:lang w:val="en-US" w:eastAsia="zh-CN"/>
              </w:rPr>
            </w:pPr>
            <w:r>
              <w:rPr>
                <w:rFonts w:hint="eastAsia" w:ascii="新宋体" w:hAnsi="新宋体" w:eastAsia="新宋体" w:cs="新宋体"/>
                <w:color w:val="auto"/>
                <w:sz w:val="21"/>
                <w:szCs w:val="21"/>
                <w:vertAlign w:val="baseline"/>
                <w:lang w:val="en-US" w:eastAsia="zh-CN"/>
              </w:rPr>
              <w:t>未提供方案或提供的内容与本项目无关的得0分</w:t>
            </w:r>
          </w:p>
        </w:tc>
      </w:tr>
      <w:tr w14:paraId="5F09E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5" w:hRule="atLeast"/>
        </w:trPr>
        <w:tc>
          <w:tcPr>
            <w:tcW w:w="696" w:type="dxa"/>
            <w:vMerge w:val="continue"/>
            <w:noWrap w:val="0"/>
            <w:vAlign w:val="center"/>
          </w:tcPr>
          <w:p w14:paraId="09AFFA05">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vertAlign w:val="baseline"/>
                <w:lang w:eastAsia="zh-CN"/>
              </w:rPr>
            </w:pPr>
          </w:p>
        </w:tc>
        <w:tc>
          <w:tcPr>
            <w:tcW w:w="757" w:type="dxa"/>
            <w:noWrap w:val="0"/>
            <w:vAlign w:val="center"/>
          </w:tcPr>
          <w:p w14:paraId="4C390E5E">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新宋体" w:hAnsi="新宋体" w:eastAsia="新宋体" w:cs="新宋体"/>
                <w:color w:val="auto"/>
                <w:sz w:val="21"/>
                <w:szCs w:val="21"/>
                <w:vertAlign w:val="baseline"/>
                <w:lang w:val="en-US" w:eastAsia="zh-CN"/>
              </w:rPr>
            </w:pPr>
            <w:r>
              <w:rPr>
                <w:rFonts w:hint="eastAsia" w:ascii="新宋体" w:hAnsi="新宋体" w:eastAsia="新宋体" w:cs="新宋体"/>
                <w:color w:val="auto"/>
                <w:sz w:val="21"/>
                <w:szCs w:val="21"/>
                <w:vertAlign w:val="baseline"/>
                <w:lang w:eastAsia="zh-CN"/>
              </w:rPr>
              <w:t>售后服务</w:t>
            </w:r>
            <w:r>
              <w:rPr>
                <w:rFonts w:hint="eastAsia" w:ascii="新宋体" w:hAnsi="新宋体" w:eastAsia="新宋体" w:cs="新宋体"/>
                <w:color w:val="auto"/>
                <w:sz w:val="21"/>
                <w:szCs w:val="21"/>
                <w:vertAlign w:val="baseline"/>
                <w:lang w:val="en-US" w:eastAsia="zh-CN"/>
              </w:rPr>
              <w:t>方案</w:t>
            </w:r>
          </w:p>
        </w:tc>
        <w:tc>
          <w:tcPr>
            <w:tcW w:w="1043" w:type="dxa"/>
            <w:noWrap w:val="0"/>
            <w:vAlign w:val="center"/>
          </w:tcPr>
          <w:p w14:paraId="5F16EC71">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210" w:firstLineChars="100"/>
              <w:jc w:val="left"/>
              <w:textAlignment w:val="auto"/>
              <w:rPr>
                <w:rFonts w:hint="eastAsia" w:ascii="新宋体" w:hAnsi="新宋体" w:eastAsia="新宋体" w:cs="新宋体"/>
                <w:color w:val="auto"/>
                <w:sz w:val="21"/>
                <w:szCs w:val="21"/>
                <w:vertAlign w:val="baseline"/>
                <w:lang w:val="en-US" w:eastAsia="zh-CN"/>
              </w:rPr>
            </w:pPr>
            <w:r>
              <w:rPr>
                <w:rFonts w:hint="eastAsia" w:ascii="新宋体" w:hAnsi="新宋体" w:eastAsia="新宋体" w:cs="新宋体"/>
                <w:b w:val="0"/>
                <w:bCs w:val="0"/>
                <w:color w:val="auto"/>
                <w:sz w:val="21"/>
                <w:szCs w:val="21"/>
                <w:vertAlign w:val="baseline"/>
                <w:lang w:val="en-US" w:eastAsia="zh-CN"/>
              </w:rPr>
              <w:t>8分</w:t>
            </w:r>
          </w:p>
        </w:tc>
        <w:tc>
          <w:tcPr>
            <w:tcW w:w="7122" w:type="dxa"/>
            <w:noWrap w:val="0"/>
            <w:vAlign w:val="center"/>
          </w:tcPr>
          <w:p w14:paraId="04E90055">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一档（2分）：投标人的售后服务方基本满足采购要求，售后服务保障或维修响应时间方案针对性、可行性一般。</w:t>
            </w:r>
          </w:p>
          <w:p w14:paraId="0AF9CBB3">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二档（5分）投标人的售后服务方案能较好满足采购要求，售后服务保障或维修响应时间等售后服务方案略优于采购需求，</w:t>
            </w:r>
            <w:r>
              <w:rPr>
                <w:rFonts w:hint="eastAsia" w:ascii="新宋体" w:hAnsi="新宋体" w:eastAsia="新宋体" w:cs="新宋体"/>
                <w:sz w:val="21"/>
                <w:szCs w:val="21"/>
              </w:rPr>
              <w:t>故障出现解决方案简单</w:t>
            </w:r>
            <w:r>
              <w:rPr>
                <w:rFonts w:hint="eastAsia" w:ascii="新宋体" w:hAnsi="新宋体" w:eastAsia="新宋体" w:cs="新宋体"/>
                <w:sz w:val="21"/>
                <w:szCs w:val="21"/>
                <w:lang w:eastAsia="zh-CN"/>
              </w:rPr>
              <w:t>，</w:t>
            </w:r>
            <w:r>
              <w:rPr>
                <w:rFonts w:hint="eastAsia" w:ascii="新宋体" w:hAnsi="新宋体" w:eastAsia="新宋体" w:cs="新宋体"/>
                <w:color w:val="auto"/>
                <w:sz w:val="21"/>
                <w:szCs w:val="21"/>
                <w:lang w:val="en-US" w:eastAsia="zh-CN"/>
              </w:rPr>
              <w:t>符合实际且有较强的针对性，具有本地化服务。</w:t>
            </w:r>
          </w:p>
          <w:p w14:paraId="5956F48F">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三档（8分）：投标人的售后服务技术、售后服务保障或维修响应时间等售后服务方案均优于采购需求，有优化服务方案，</w:t>
            </w:r>
            <w:r>
              <w:rPr>
                <w:rFonts w:hint="eastAsia" w:ascii="新宋体" w:hAnsi="新宋体" w:eastAsia="新宋体" w:cs="新宋体"/>
                <w:sz w:val="21"/>
                <w:szCs w:val="21"/>
              </w:rPr>
              <w:t>故障出现解决方案</w:t>
            </w:r>
            <w:r>
              <w:rPr>
                <w:rFonts w:hint="eastAsia" w:ascii="新宋体" w:hAnsi="新宋体" w:eastAsia="新宋体" w:cs="新宋体"/>
                <w:sz w:val="21"/>
                <w:szCs w:val="21"/>
                <w:lang w:val="en-US" w:eastAsia="zh-CN"/>
              </w:rPr>
              <w:t>详细具体，</w:t>
            </w:r>
            <w:r>
              <w:rPr>
                <w:rFonts w:hint="eastAsia" w:ascii="新宋体" w:hAnsi="新宋体" w:eastAsia="新宋体" w:cs="新宋体"/>
                <w:color w:val="auto"/>
                <w:sz w:val="21"/>
                <w:szCs w:val="21"/>
                <w:lang w:val="en-US" w:eastAsia="zh-CN"/>
              </w:rPr>
              <w:t>并能提供其他售后服务（如备品零部件的优惠、质保期后的服务优惠等）或其他实质性的优惠措施；有完善的定期巡检及保养计划，能够保证采购人在日常、重大活动、节假日期间的正常使用，且具有充足的售后资源及规范的管理制度，本地化响应程度高。</w:t>
            </w:r>
          </w:p>
          <w:p w14:paraId="444F7A84">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vertAlign w:val="baseline"/>
                <w:lang w:val="en-US" w:eastAsia="zh-CN"/>
              </w:rPr>
              <w:t>未提供方案或提供的内容与本项目无关的得0分</w:t>
            </w:r>
          </w:p>
        </w:tc>
      </w:tr>
      <w:tr w14:paraId="26B7B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696" w:type="dxa"/>
            <w:vMerge w:val="restart"/>
            <w:noWrap w:val="0"/>
            <w:vAlign w:val="center"/>
          </w:tcPr>
          <w:p w14:paraId="2C8A884B">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vertAlign w:val="baseline"/>
                <w:lang w:val="en-US" w:eastAsia="zh-CN"/>
              </w:rPr>
            </w:pPr>
          </w:p>
          <w:p w14:paraId="1FBB0D28">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vertAlign w:val="baseline"/>
                <w:lang w:val="en-US" w:eastAsia="zh-CN"/>
              </w:rPr>
            </w:pPr>
          </w:p>
          <w:p w14:paraId="39BA9682">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vertAlign w:val="baseline"/>
                <w:lang w:val="en-US" w:eastAsia="zh-CN"/>
              </w:rPr>
            </w:pPr>
          </w:p>
          <w:p w14:paraId="6F530F6E">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vertAlign w:val="baseline"/>
                <w:lang w:val="en-US" w:eastAsia="zh-CN"/>
              </w:rPr>
            </w:pPr>
          </w:p>
          <w:p w14:paraId="0E05908B">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vertAlign w:val="baseline"/>
                <w:lang w:val="en-US" w:eastAsia="zh-CN"/>
              </w:rPr>
            </w:pPr>
          </w:p>
          <w:p w14:paraId="7A2D44FB">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vertAlign w:val="baseline"/>
                <w:lang w:val="en-US" w:eastAsia="zh-CN"/>
              </w:rPr>
            </w:pPr>
          </w:p>
          <w:p w14:paraId="68AD4631">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vertAlign w:val="baseline"/>
                <w:lang w:val="en-US" w:eastAsia="zh-CN"/>
              </w:rPr>
            </w:pPr>
            <w:r>
              <w:rPr>
                <w:rFonts w:hint="eastAsia" w:ascii="新宋体" w:hAnsi="新宋体" w:eastAsia="新宋体" w:cs="新宋体"/>
                <w:color w:val="auto"/>
                <w:sz w:val="21"/>
                <w:szCs w:val="21"/>
                <w:vertAlign w:val="baseline"/>
                <w:lang w:val="en-US" w:eastAsia="zh-CN"/>
              </w:rPr>
              <w:t>商务分</w:t>
            </w:r>
          </w:p>
        </w:tc>
        <w:tc>
          <w:tcPr>
            <w:tcW w:w="757" w:type="dxa"/>
            <w:noWrap w:val="0"/>
            <w:vAlign w:val="center"/>
          </w:tcPr>
          <w:p w14:paraId="38070DCF">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sz w:val="21"/>
                <w:szCs w:val="21"/>
                <w:lang w:val="en-US" w:eastAsia="zh-CN"/>
              </w:rPr>
            </w:pPr>
            <w:r>
              <w:rPr>
                <w:rFonts w:hint="eastAsia" w:ascii="新宋体" w:hAnsi="新宋体" w:eastAsia="新宋体" w:cs="新宋体"/>
                <w:color w:val="auto"/>
                <w:sz w:val="21"/>
                <w:szCs w:val="21"/>
                <w:vertAlign w:val="baseline"/>
                <w:lang w:val="en-US" w:eastAsia="zh-CN"/>
              </w:rPr>
              <w:t>业绩分</w:t>
            </w:r>
          </w:p>
        </w:tc>
        <w:tc>
          <w:tcPr>
            <w:tcW w:w="1043" w:type="dxa"/>
            <w:noWrap w:val="0"/>
            <w:vAlign w:val="center"/>
          </w:tcPr>
          <w:p w14:paraId="1E6BD0C3">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210" w:firstLineChars="100"/>
              <w:jc w:val="left"/>
              <w:textAlignment w:val="auto"/>
              <w:rPr>
                <w:rFonts w:hint="eastAsia" w:ascii="新宋体" w:hAnsi="新宋体" w:eastAsia="新宋体" w:cs="新宋体"/>
                <w:color w:val="auto"/>
                <w:sz w:val="21"/>
                <w:szCs w:val="21"/>
                <w:vertAlign w:val="baseline"/>
                <w:lang w:val="en-US" w:eastAsia="zh-CN"/>
              </w:rPr>
            </w:pPr>
            <w:r>
              <w:rPr>
                <w:rFonts w:hint="eastAsia" w:ascii="新宋体" w:hAnsi="新宋体" w:eastAsia="新宋体" w:cs="新宋体"/>
                <w:color w:val="auto"/>
                <w:sz w:val="21"/>
                <w:szCs w:val="21"/>
                <w:vertAlign w:val="baseline"/>
                <w:lang w:val="en-US" w:eastAsia="zh-CN"/>
              </w:rPr>
              <w:t>2分</w:t>
            </w:r>
          </w:p>
        </w:tc>
        <w:tc>
          <w:tcPr>
            <w:tcW w:w="7122" w:type="dxa"/>
            <w:noWrap w:val="0"/>
            <w:vAlign w:val="center"/>
          </w:tcPr>
          <w:p w14:paraId="56BFCC2A">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vertAlign w:val="baseline"/>
                <w:lang w:val="en-US" w:eastAsia="zh-CN"/>
              </w:rPr>
            </w:pPr>
            <w:r>
              <w:rPr>
                <w:rFonts w:hint="eastAsia" w:ascii="新宋体" w:hAnsi="新宋体" w:eastAsia="新宋体" w:cs="新宋体"/>
                <w:color w:val="auto"/>
                <w:sz w:val="21"/>
                <w:szCs w:val="21"/>
                <w:vertAlign w:val="baseline"/>
                <w:lang w:val="en-US" w:eastAsia="zh-CN"/>
              </w:rPr>
              <w:t>投标人 2021 年 1 月 1 日至今承接过相关类似项目业绩的，每 1项得 1分，满分2分。【提供有效的合同/中标（成交）通知书扫描件并加盖投标人公章，否则不得分】</w:t>
            </w:r>
          </w:p>
        </w:tc>
      </w:tr>
      <w:tr w14:paraId="5A07E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0" w:hRule="atLeast"/>
        </w:trPr>
        <w:tc>
          <w:tcPr>
            <w:tcW w:w="696" w:type="dxa"/>
            <w:vMerge w:val="continue"/>
            <w:noWrap w:val="0"/>
            <w:vAlign w:val="center"/>
          </w:tcPr>
          <w:p w14:paraId="179692C4">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vertAlign w:val="baseline"/>
                <w:lang w:val="en-US" w:eastAsia="zh-CN"/>
              </w:rPr>
            </w:pPr>
          </w:p>
        </w:tc>
        <w:tc>
          <w:tcPr>
            <w:tcW w:w="757" w:type="dxa"/>
            <w:noWrap w:val="0"/>
            <w:vAlign w:val="center"/>
          </w:tcPr>
          <w:p w14:paraId="52A9D5D4">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vertAlign w:val="baseline"/>
                <w:lang w:val="en-US" w:eastAsia="zh-CN"/>
              </w:rPr>
            </w:pPr>
            <w:r>
              <w:rPr>
                <w:rFonts w:hint="eastAsia" w:ascii="新宋体" w:hAnsi="新宋体" w:eastAsia="新宋体" w:cs="新宋体"/>
                <w:color w:val="auto"/>
                <w:sz w:val="21"/>
                <w:szCs w:val="21"/>
                <w:vertAlign w:val="baseline"/>
                <w:lang w:val="en-US" w:eastAsia="zh-CN"/>
              </w:rPr>
              <w:t>政策分</w:t>
            </w:r>
          </w:p>
        </w:tc>
        <w:tc>
          <w:tcPr>
            <w:tcW w:w="1043" w:type="dxa"/>
            <w:noWrap w:val="0"/>
            <w:vAlign w:val="center"/>
          </w:tcPr>
          <w:p w14:paraId="5E7D2850">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210" w:firstLineChars="100"/>
              <w:jc w:val="left"/>
              <w:textAlignment w:val="auto"/>
              <w:rPr>
                <w:rFonts w:hint="eastAsia" w:ascii="新宋体" w:hAnsi="新宋体" w:eastAsia="新宋体" w:cs="新宋体"/>
                <w:color w:val="auto"/>
                <w:sz w:val="21"/>
                <w:szCs w:val="21"/>
                <w:vertAlign w:val="baseline"/>
                <w:lang w:val="en-US" w:eastAsia="zh-CN"/>
              </w:rPr>
            </w:pPr>
            <w:r>
              <w:rPr>
                <w:rFonts w:hint="eastAsia" w:ascii="新宋体" w:hAnsi="新宋体" w:eastAsia="新宋体" w:cs="新宋体"/>
                <w:color w:val="auto"/>
                <w:sz w:val="21"/>
                <w:szCs w:val="21"/>
                <w:vertAlign w:val="baseline"/>
                <w:lang w:val="en-US" w:eastAsia="zh-CN"/>
              </w:rPr>
              <w:t>2分</w:t>
            </w:r>
          </w:p>
        </w:tc>
        <w:tc>
          <w:tcPr>
            <w:tcW w:w="7122" w:type="dxa"/>
            <w:noWrap w:val="0"/>
            <w:vAlign w:val="center"/>
          </w:tcPr>
          <w:p w14:paraId="2231A0C9">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200"/>
              <w:jc w:val="left"/>
              <w:textAlignment w:val="auto"/>
              <w:rPr>
                <w:rFonts w:hint="eastAsia" w:ascii="新宋体" w:hAnsi="新宋体" w:eastAsia="新宋体" w:cs="新宋体"/>
                <w:color w:val="auto"/>
                <w:sz w:val="21"/>
                <w:szCs w:val="21"/>
                <w:vertAlign w:val="baseline"/>
                <w:lang w:val="en-US" w:eastAsia="zh-CN"/>
              </w:rPr>
            </w:pPr>
            <w:r>
              <w:rPr>
                <w:rFonts w:hint="eastAsia" w:ascii="新宋体" w:hAnsi="新宋体" w:eastAsia="新宋体" w:cs="新宋体"/>
                <w:color w:val="auto"/>
                <w:sz w:val="21"/>
                <w:szCs w:val="21"/>
                <w:vertAlign w:val="baseline"/>
                <w:lang w:val="en-US" w:eastAsia="zh-CN"/>
              </w:rPr>
              <w:t>（1）属于财政部《节能产品政府采购品目清单》内优先采购（清单内未标注“★”的品目）的产品[投标文件中提供有效的认证证书复印件及品目清单（标注出投标产品在品目清单中所属的品目），并加盖投标人公章]，每有一项得0.5分，满分1分；</w:t>
            </w:r>
          </w:p>
          <w:p w14:paraId="0D3BFDC0">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200"/>
              <w:jc w:val="left"/>
              <w:textAlignment w:val="auto"/>
              <w:rPr>
                <w:rFonts w:hint="eastAsia" w:ascii="新宋体" w:hAnsi="新宋体" w:eastAsia="新宋体" w:cs="新宋体"/>
                <w:color w:val="auto"/>
                <w:sz w:val="21"/>
                <w:szCs w:val="21"/>
                <w:vertAlign w:val="baseline"/>
                <w:lang w:val="en-US" w:eastAsia="zh-CN"/>
              </w:rPr>
            </w:pPr>
            <w:r>
              <w:rPr>
                <w:rFonts w:hint="eastAsia" w:ascii="新宋体" w:hAnsi="新宋体" w:eastAsia="新宋体" w:cs="新宋体"/>
                <w:color w:val="auto"/>
                <w:sz w:val="21"/>
                <w:szCs w:val="21"/>
                <w:vertAlign w:val="baseline"/>
                <w:lang w:val="en-US" w:eastAsia="zh-CN"/>
              </w:rPr>
              <w:t>（2）属于财政部《环境标志产品政府采购品目清单》内的产品[投标文件中提供有效的认证证书复印件及品目清单（标注出投标产品在品目清单中所属的品目），并加盖投标人公章]，每有一项得0.5分，满分1分。</w:t>
            </w:r>
          </w:p>
          <w:p w14:paraId="3EC3AAAD">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200"/>
              <w:jc w:val="left"/>
              <w:textAlignment w:val="auto"/>
              <w:rPr>
                <w:rFonts w:hint="eastAsia" w:ascii="新宋体" w:hAnsi="新宋体" w:eastAsia="新宋体" w:cs="新宋体"/>
                <w:color w:val="auto"/>
                <w:sz w:val="21"/>
                <w:szCs w:val="21"/>
                <w:vertAlign w:val="baseline"/>
                <w:lang w:val="en-US" w:eastAsia="zh-CN"/>
              </w:rPr>
            </w:pPr>
            <w:r>
              <w:rPr>
                <w:rFonts w:hint="eastAsia" w:ascii="新宋体" w:hAnsi="新宋体" w:eastAsia="新宋体" w:cs="新宋体"/>
                <w:color w:val="auto"/>
                <w:sz w:val="21"/>
                <w:szCs w:val="21"/>
                <w:vertAlign w:val="baseline"/>
                <w:lang w:val="en-US" w:eastAsia="zh-CN"/>
              </w:rPr>
              <w:t>（3）非节能、环境标志产品的不得分。</w:t>
            </w:r>
          </w:p>
        </w:tc>
      </w:tr>
      <w:tr w14:paraId="29832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618" w:type="dxa"/>
            <w:gridSpan w:val="4"/>
            <w:noWrap w:val="0"/>
            <w:vAlign w:val="center"/>
          </w:tcPr>
          <w:p w14:paraId="1CAD1483">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1"/>
                <w:szCs w:val="21"/>
                <w:vertAlign w:val="baseline"/>
                <w:lang w:val="en-US" w:eastAsia="zh-CN"/>
              </w:rPr>
            </w:pPr>
            <w:r>
              <w:rPr>
                <w:rFonts w:hint="eastAsia" w:ascii="新宋体" w:hAnsi="新宋体" w:eastAsia="新宋体" w:cs="新宋体"/>
                <w:color w:val="auto"/>
                <w:sz w:val="21"/>
                <w:szCs w:val="21"/>
                <w:vertAlign w:val="baseline"/>
                <w:lang w:val="en-US" w:eastAsia="zh-CN"/>
              </w:rPr>
              <w:t>总得分=价格分+技术分+商务分</w:t>
            </w:r>
          </w:p>
        </w:tc>
      </w:tr>
    </w:tbl>
    <w:p w14:paraId="360F73B2">
      <w:pPr>
        <w:pStyle w:val="13"/>
        <w:spacing w:line="360" w:lineRule="auto"/>
        <w:ind w:firstLine="420" w:firstLineChars="200"/>
        <w:rPr>
          <w:rFonts w:hAnsi="宋体"/>
          <w:color w:val="auto"/>
          <w:highlight w:val="none"/>
        </w:rPr>
      </w:pPr>
    </w:p>
    <w:p w14:paraId="13DA2681">
      <w:pPr>
        <w:pStyle w:val="4"/>
        <w:keepNext w:val="0"/>
        <w:keepLines w:val="0"/>
        <w:jc w:val="center"/>
        <w:rPr>
          <w:color w:val="auto"/>
          <w:sz w:val="30"/>
          <w:szCs w:val="30"/>
          <w:highlight w:val="none"/>
        </w:rPr>
      </w:pPr>
      <w:bookmarkStart w:id="153" w:name="_Toc3900"/>
      <w:bookmarkStart w:id="154" w:name="_Toc7955"/>
      <w:r>
        <w:rPr>
          <w:rFonts w:hint="eastAsia"/>
          <w:color w:val="auto"/>
          <w:sz w:val="30"/>
          <w:szCs w:val="30"/>
          <w:highlight w:val="none"/>
        </w:rPr>
        <w:t>四、中标候选人推荐原则</w:t>
      </w:r>
      <w:bookmarkEnd w:id="153"/>
      <w:bookmarkEnd w:id="154"/>
    </w:p>
    <w:p w14:paraId="43385DC2">
      <w:pPr>
        <w:pStyle w:val="13"/>
        <w:spacing w:line="360" w:lineRule="auto"/>
        <w:ind w:firstLine="420" w:firstLineChars="200"/>
        <w:rPr>
          <w:rFonts w:hAnsi="宋体"/>
          <w:color w:val="auto"/>
          <w:highlight w:val="none"/>
        </w:rPr>
      </w:pPr>
      <w:r>
        <w:rPr>
          <w:rFonts w:hint="eastAsia" w:hAnsi="宋体"/>
          <w:color w:val="auto"/>
          <w:highlight w:val="none"/>
        </w:rPr>
        <w:t>评标委员会将根据总得分由高到低排列次序并推荐</w:t>
      </w:r>
      <w:r>
        <w:rPr>
          <w:rFonts w:hint="eastAsia" w:hAnsi="宋体"/>
          <w:color w:val="auto"/>
          <w:highlight w:val="none"/>
          <w:lang w:val="en-US" w:eastAsia="zh-CN"/>
        </w:rPr>
        <w:t>三名</w:t>
      </w:r>
      <w:r>
        <w:rPr>
          <w:rFonts w:hint="eastAsia" w:hAnsi="宋体"/>
          <w:color w:val="auto"/>
          <w:highlight w:val="none"/>
        </w:rPr>
        <w:t>中标候选人。得分相同的，以投标报价由低到高顺序排列。得分相同且投标报价相同的并列，投标文件满足招标文件全部实质性要求，且按照评审因素的量化指标评审得分最高的投标人为排名第一的中标候选人。</w:t>
      </w:r>
    </w:p>
    <w:p w14:paraId="3EA62DE3">
      <w:pPr>
        <w:pStyle w:val="22"/>
        <w:rPr>
          <w:rFonts w:ascii="宋体" w:hAnsi="宋体" w:cs="宋体"/>
          <w:b/>
          <w:color w:val="auto"/>
          <w:sz w:val="36"/>
          <w:szCs w:val="36"/>
          <w:highlight w:val="none"/>
        </w:rPr>
      </w:pPr>
    </w:p>
    <w:p w14:paraId="346D185E">
      <w:pPr>
        <w:pStyle w:val="22"/>
        <w:rPr>
          <w:rFonts w:ascii="宋体" w:hAnsi="宋体" w:cs="宋体"/>
          <w:b/>
          <w:color w:val="auto"/>
          <w:sz w:val="36"/>
          <w:szCs w:val="36"/>
          <w:highlight w:val="none"/>
        </w:rPr>
      </w:pPr>
    </w:p>
    <w:p w14:paraId="644453F0">
      <w:pPr>
        <w:pStyle w:val="22"/>
        <w:rPr>
          <w:rFonts w:ascii="宋体" w:hAnsi="宋体" w:cs="宋体"/>
          <w:b/>
          <w:color w:val="auto"/>
          <w:sz w:val="36"/>
          <w:szCs w:val="36"/>
          <w:highlight w:val="none"/>
        </w:rPr>
      </w:pPr>
    </w:p>
    <w:p w14:paraId="0CEE077D">
      <w:pPr>
        <w:pStyle w:val="22"/>
        <w:rPr>
          <w:rFonts w:ascii="宋体" w:hAnsi="宋体" w:cs="宋体"/>
          <w:b/>
          <w:color w:val="auto"/>
          <w:sz w:val="36"/>
          <w:szCs w:val="36"/>
          <w:highlight w:val="none"/>
        </w:rPr>
      </w:pPr>
    </w:p>
    <w:p w14:paraId="7C2F69A8">
      <w:pPr>
        <w:pStyle w:val="22"/>
        <w:rPr>
          <w:rFonts w:ascii="宋体" w:hAnsi="宋体" w:cs="宋体"/>
          <w:b/>
          <w:color w:val="auto"/>
          <w:sz w:val="36"/>
          <w:szCs w:val="36"/>
          <w:highlight w:val="none"/>
        </w:rPr>
      </w:pPr>
    </w:p>
    <w:p w14:paraId="5E3E2B4D">
      <w:pPr>
        <w:pStyle w:val="22"/>
        <w:rPr>
          <w:rFonts w:ascii="宋体" w:hAnsi="宋体" w:cs="宋体"/>
          <w:b/>
          <w:color w:val="auto"/>
          <w:sz w:val="36"/>
          <w:szCs w:val="36"/>
          <w:highlight w:val="none"/>
        </w:rPr>
      </w:pPr>
    </w:p>
    <w:p w14:paraId="1590CB7C">
      <w:pPr>
        <w:pStyle w:val="22"/>
        <w:rPr>
          <w:rFonts w:ascii="宋体" w:hAnsi="宋体" w:cs="宋体"/>
          <w:b/>
          <w:color w:val="auto"/>
          <w:sz w:val="36"/>
          <w:szCs w:val="36"/>
          <w:highlight w:val="none"/>
        </w:rPr>
      </w:pPr>
    </w:p>
    <w:p w14:paraId="24ABC652">
      <w:pPr>
        <w:pStyle w:val="3"/>
        <w:keepNext w:val="0"/>
        <w:keepLines w:val="0"/>
        <w:jc w:val="center"/>
        <w:rPr>
          <w:color w:val="auto"/>
          <w:highlight w:val="none"/>
        </w:rPr>
      </w:pPr>
      <w:bookmarkStart w:id="155" w:name="_Toc31314"/>
      <w:bookmarkStart w:id="156" w:name="_Toc4884"/>
      <w:r>
        <w:rPr>
          <w:rFonts w:hint="eastAsia"/>
          <w:color w:val="auto"/>
          <w:highlight w:val="none"/>
        </w:rPr>
        <w:t>第五章  拟签订的合同文本</w:t>
      </w:r>
      <w:bookmarkEnd w:id="155"/>
      <w:bookmarkEnd w:id="156"/>
    </w:p>
    <w:p w14:paraId="709206F5">
      <w:pPr>
        <w:widowControl/>
        <w:spacing w:line="520" w:lineRule="exact"/>
        <w:jc w:val="center"/>
        <w:rPr>
          <w:rFonts w:ascii="宋体" w:hAnsi="宋体" w:cs="宋体"/>
          <w:color w:val="auto"/>
          <w:highlight w:val="none"/>
          <w:u w:val="single"/>
        </w:rPr>
      </w:pPr>
    </w:p>
    <w:p w14:paraId="2A5F4416">
      <w:pPr>
        <w:spacing w:line="360" w:lineRule="auto"/>
        <w:ind w:firstLine="880" w:firstLineChars="200"/>
        <w:rPr>
          <w:rFonts w:ascii="宋体" w:hAnsi="宋体" w:cs="宋体"/>
          <w:color w:val="auto"/>
          <w:sz w:val="44"/>
          <w:highlight w:val="none"/>
        </w:rPr>
      </w:pPr>
    </w:p>
    <w:p w14:paraId="0086992E">
      <w:pPr>
        <w:spacing w:line="360" w:lineRule="auto"/>
        <w:jc w:val="center"/>
        <w:rPr>
          <w:rFonts w:ascii="宋体" w:hAnsi="宋体" w:cs="宋体"/>
          <w:b/>
          <w:bCs/>
          <w:color w:val="auto"/>
          <w:sz w:val="52"/>
          <w:highlight w:val="none"/>
        </w:rPr>
      </w:pPr>
      <w:r>
        <w:rPr>
          <w:rFonts w:hint="eastAsia" w:ascii="宋体" w:hAnsi="宋体" w:cs="宋体"/>
          <w:b/>
          <w:bCs/>
          <w:color w:val="auto"/>
          <w:sz w:val="52"/>
          <w:highlight w:val="none"/>
        </w:rPr>
        <w:t>XXX 采 购</w:t>
      </w:r>
    </w:p>
    <w:p w14:paraId="07DD1462">
      <w:pPr>
        <w:spacing w:line="360" w:lineRule="auto"/>
        <w:ind w:firstLine="420" w:firstLineChars="200"/>
        <w:rPr>
          <w:rFonts w:ascii="宋体" w:hAnsi="宋体" w:cs="宋体"/>
          <w:color w:val="auto"/>
          <w:highlight w:val="none"/>
        </w:rPr>
      </w:pPr>
    </w:p>
    <w:p w14:paraId="256356F8">
      <w:pPr>
        <w:spacing w:line="360" w:lineRule="auto"/>
        <w:ind w:firstLine="420" w:firstLineChars="200"/>
        <w:rPr>
          <w:rFonts w:ascii="宋体" w:hAnsi="宋体" w:cs="宋体"/>
          <w:color w:val="auto"/>
          <w:highlight w:val="none"/>
        </w:rPr>
      </w:pPr>
    </w:p>
    <w:p w14:paraId="0E93D38F">
      <w:pPr>
        <w:spacing w:line="360" w:lineRule="auto"/>
        <w:jc w:val="center"/>
        <w:rPr>
          <w:rFonts w:ascii="宋体" w:hAnsi="宋体" w:cs="宋体"/>
          <w:b/>
          <w:bCs/>
          <w:color w:val="auto"/>
          <w:sz w:val="44"/>
          <w:highlight w:val="none"/>
        </w:rPr>
      </w:pPr>
      <w:r>
        <w:rPr>
          <w:rFonts w:hint="eastAsia" w:ascii="宋体" w:hAnsi="宋体" w:cs="宋体"/>
          <w:b/>
          <w:bCs/>
          <w:color w:val="auto"/>
          <w:sz w:val="44"/>
          <w:highlight w:val="none"/>
          <w:u w:val="single"/>
        </w:rPr>
        <w:t xml:space="preserve">         （项目名称）         </w:t>
      </w:r>
      <w:r>
        <w:rPr>
          <w:rFonts w:hint="eastAsia" w:ascii="宋体" w:hAnsi="宋体" w:cs="宋体"/>
          <w:b/>
          <w:bCs/>
          <w:color w:val="auto"/>
          <w:sz w:val="44"/>
          <w:highlight w:val="none"/>
        </w:rPr>
        <w:t>合同</w:t>
      </w:r>
    </w:p>
    <w:p w14:paraId="08219F37">
      <w:pPr>
        <w:spacing w:line="360" w:lineRule="auto"/>
        <w:ind w:firstLine="3507" w:firstLineChars="794"/>
        <w:rPr>
          <w:rFonts w:ascii="宋体" w:hAnsi="宋体" w:cs="宋体"/>
          <w:b/>
          <w:bCs/>
          <w:color w:val="auto"/>
          <w:sz w:val="44"/>
          <w:highlight w:val="none"/>
        </w:rPr>
      </w:pPr>
    </w:p>
    <w:p w14:paraId="1F101CCC">
      <w:pPr>
        <w:spacing w:line="360" w:lineRule="auto"/>
        <w:jc w:val="center"/>
        <w:rPr>
          <w:rFonts w:ascii="宋体" w:hAnsi="宋体" w:cs="宋体"/>
          <w:b/>
          <w:bCs/>
          <w:color w:val="auto"/>
          <w:sz w:val="44"/>
          <w:highlight w:val="none"/>
        </w:rPr>
      </w:pPr>
    </w:p>
    <w:p w14:paraId="193716CE">
      <w:pPr>
        <w:rPr>
          <w:rFonts w:ascii="宋体" w:hAnsi="宋体" w:cs="宋体"/>
          <w:b/>
          <w:color w:val="auto"/>
          <w:sz w:val="36"/>
          <w:szCs w:val="36"/>
          <w:highlight w:val="none"/>
          <w:u w:val="single"/>
        </w:rPr>
      </w:pPr>
      <w:r>
        <w:rPr>
          <w:rFonts w:hint="eastAsia" w:ascii="宋体" w:hAnsi="宋体" w:cs="宋体"/>
          <w:b/>
          <w:color w:val="auto"/>
          <w:sz w:val="36"/>
          <w:szCs w:val="36"/>
          <w:highlight w:val="none"/>
        </w:rPr>
        <w:t xml:space="preserve">             项目编号：</w:t>
      </w:r>
    </w:p>
    <w:p w14:paraId="17BC4C80">
      <w:pPr>
        <w:rPr>
          <w:rFonts w:ascii="宋体" w:hAnsi="宋体" w:cs="宋体"/>
          <w:b/>
          <w:color w:val="auto"/>
          <w:sz w:val="36"/>
          <w:szCs w:val="36"/>
          <w:highlight w:val="none"/>
          <w:u w:val="single"/>
        </w:rPr>
      </w:pPr>
    </w:p>
    <w:p w14:paraId="7958DBD2">
      <w:pPr>
        <w:spacing w:line="360" w:lineRule="auto"/>
        <w:ind w:firstLine="880" w:firstLineChars="200"/>
        <w:rPr>
          <w:rFonts w:ascii="宋体" w:hAnsi="宋体" w:cs="宋体"/>
          <w:color w:val="auto"/>
          <w:sz w:val="44"/>
          <w:highlight w:val="none"/>
        </w:rPr>
      </w:pPr>
    </w:p>
    <w:p w14:paraId="12506AFF">
      <w:pPr>
        <w:spacing w:line="360" w:lineRule="auto"/>
        <w:rPr>
          <w:rFonts w:ascii="宋体" w:hAnsi="宋体" w:cs="宋体"/>
          <w:color w:val="auto"/>
          <w:sz w:val="44"/>
          <w:highlight w:val="none"/>
        </w:rPr>
      </w:pPr>
    </w:p>
    <w:p w14:paraId="6A7A25AB">
      <w:pPr>
        <w:tabs>
          <w:tab w:val="left" w:pos="7200"/>
        </w:tabs>
        <w:spacing w:line="360" w:lineRule="auto"/>
        <w:ind w:firstLine="1438" w:firstLineChars="398"/>
        <w:rPr>
          <w:rFonts w:ascii="宋体" w:hAnsi="宋体" w:cs="宋体"/>
          <w:b/>
          <w:color w:val="auto"/>
          <w:sz w:val="36"/>
          <w:szCs w:val="36"/>
          <w:highlight w:val="none"/>
          <w:u w:val="single"/>
        </w:rPr>
      </w:pPr>
      <w:r>
        <w:rPr>
          <w:rFonts w:hint="eastAsia" w:ascii="宋体" w:hAnsi="宋体" w:cs="宋体"/>
          <w:b/>
          <w:color w:val="auto"/>
          <w:sz w:val="36"/>
          <w:szCs w:val="36"/>
          <w:highlight w:val="none"/>
        </w:rPr>
        <w:t xml:space="preserve">     采购人：</w:t>
      </w:r>
    </w:p>
    <w:p w14:paraId="4E7F8E2A">
      <w:pPr>
        <w:tabs>
          <w:tab w:val="left" w:pos="7200"/>
        </w:tabs>
        <w:spacing w:line="360" w:lineRule="auto"/>
        <w:rPr>
          <w:rFonts w:ascii="宋体" w:hAnsi="宋体" w:cs="宋体"/>
          <w:b/>
          <w:color w:val="auto"/>
          <w:sz w:val="36"/>
          <w:szCs w:val="36"/>
          <w:highlight w:val="none"/>
          <w:u w:val="single"/>
        </w:rPr>
      </w:pPr>
    </w:p>
    <w:p w14:paraId="2EEF0786">
      <w:pPr>
        <w:tabs>
          <w:tab w:val="left" w:pos="7380"/>
        </w:tabs>
        <w:spacing w:line="360" w:lineRule="auto"/>
        <w:ind w:firstLine="1438" w:firstLineChars="398"/>
        <w:rPr>
          <w:rFonts w:ascii="宋体" w:hAnsi="宋体" w:cs="宋体"/>
          <w:color w:val="auto"/>
          <w:highlight w:val="none"/>
        </w:rPr>
      </w:pPr>
      <w:r>
        <w:rPr>
          <w:rFonts w:hint="eastAsia" w:ascii="宋体" w:hAnsi="宋体" w:cs="宋体"/>
          <w:b/>
          <w:color w:val="auto"/>
          <w:sz w:val="36"/>
          <w:szCs w:val="36"/>
          <w:highlight w:val="none"/>
        </w:rPr>
        <w:t xml:space="preserve">     中标供应商：</w:t>
      </w:r>
    </w:p>
    <w:bookmarkEnd w:id="3"/>
    <w:bookmarkEnd w:id="4"/>
    <w:bookmarkEnd w:id="65"/>
    <w:bookmarkEnd w:id="66"/>
    <w:bookmarkEnd w:id="67"/>
    <w:bookmarkEnd w:id="68"/>
    <w:p w14:paraId="76236CFF">
      <w:pPr>
        <w:pStyle w:val="13"/>
        <w:spacing w:line="380" w:lineRule="exact"/>
        <w:outlineLvl w:val="0"/>
        <w:rPr>
          <w:rFonts w:hAnsi="宋体" w:cs="宋体"/>
          <w:color w:val="auto"/>
          <w:highlight w:val="none"/>
        </w:rPr>
      </w:pPr>
      <w:bookmarkStart w:id="157" w:name="_Toc213206175"/>
      <w:bookmarkStart w:id="158" w:name="_Toc213325924"/>
    </w:p>
    <w:p w14:paraId="481B1F97">
      <w:pPr>
        <w:rPr>
          <w:rFonts w:hAnsi="宋体" w:cs="宋体"/>
          <w:color w:val="auto"/>
          <w:highlight w:val="none"/>
        </w:rPr>
      </w:pPr>
    </w:p>
    <w:p w14:paraId="3EC1A8B6">
      <w:pPr>
        <w:pStyle w:val="7"/>
        <w:rPr>
          <w:rFonts w:hAnsi="宋体" w:cs="宋体"/>
          <w:color w:val="auto"/>
          <w:highlight w:val="none"/>
        </w:rPr>
      </w:pPr>
    </w:p>
    <w:p w14:paraId="4D0484E3">
      <w:pPr>
        <w:rPr>
          <w:rFonts w:hAnsi="宋体" w:cs="宋体"/>
          <w:color w:val="auto"/>
          <w:highlight w:val="none"/>
        </w:rPr>
      </w:pPr>
    </w:p>
    <w:p w14:paraId="5EA5BCCD">
      <w:pPr>
        <w:pStyle w:val="7"/>
        <w:rPr>
          <w:color w:val="auto"/>
        </w:rPr>
      </w:pPr>
    </w:p>
    <w:p w14:paraId="0BDD5206">
      <w:pPr>
        <w:pStyle w:val="7"/>
        <w:rPr>
          <w:rFonts w:hAnsi="宋体" w:cs="宋体"/>
          <w:color w:val="auto"/>
          <w:highlight w:val="none"/>
        </w:rPr>
      </w:pPr>
    </w:p>
    <w:p w14:paraId="0B9FE082">
      <w:pPr>
        <w:pStyle w:val="10"/>
        <w:jc w:val="both"/>
        <w:rPr>
          <w:color w:val="auto"/>
          <w:highlight w:val="none"/>
        </w:rPr>
      </w:pPr>
    </w:p>
    <w:p w14:paraId="1584FE57">
      <w:pPr>
        <w:keepNext w:val="0"/>
        <w:keepLines w:val="0"/>
        <w:pageBreakBefore w:val="0"/>
        <w:widowControl w:val="0"/>
        <w:kinsoku/>
        <w:wordWrap/>
        <w:overflowPunct/>
        <w:topLinePunct w:val="0"/>
        <w:autoSpaceDE/>
        <w:autoSpaceDN/>
        <w:bidi w:val="0"/>
        <w:adjustRightInd/>
        <w:snapToGrid w:val="0"/>
        <w:spacing w:before="157" w:beforeLines="50" w:after="157" w:afterLines="50" w:line="400" w:lineRule="exact"/>
        <w:jc w:val="center"/>
        <w:textAlignment w:val="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《广西壮族自治区政府采购合同》</w:t>
      </w:r>
    </w:p>
    <w:p w14:paraId="63641B38">
      <w:pPr>
        <w:snapToGrid w:val="0"/>
        <w:spacing w:line="400" w:lineRule="exact"/>
        <w:ind w:right="480" w:firstLine="5250" w:firstLineChars="2500"/>
        <w:jc w:val="both"/>
        <w:rPr>
          <w:rFonts w:hint="eastAsia" w:ascii="宋体" w:hAnsi="宋体" w:cs="宋体"/>
          <w:bCs/>
          <w:color w:val="auto"/>
          <w:szCs w:val="21"/>
          <w:highlight w:val="none"/>
          <w:u w:val="single"/>
        </w:rPr>
      </w:pPr>
      <w:r>
        <w:rPr>
          <w:rFonts w:hint="eastAsia" w:ascii="宋体" w:hAnsi="宋体"/>
          <w:color w:val="auto"/>
          <w:szCs w:val="21"/>
        </w:rPr>
        <w:t>广西政府采购云平台</w:t>
      </w:r>
      <w:r>
        <w:rPr>
          <w:rFonts w:hint="eastAsia" w:ascii="宋体" w:hAnsi="宋体" w:cs="宋体"/>
          <w:bCs/>
          <w:color w:val="auto"/>
          <w:szCs w:val="21"/>
          <w:highlight w:val="none"/>
        </w:rPr>
        <w:t>合同编号：</w:t>
      </w:r>
      <w:r>
        <w:rPr>
          <w:rFonts w:hint="eastAsia" w:ascii="宋体" w:hAnsi="宋体" w:cs="宋体"/>
          <w:bCs/>
          <w:color w:val="auto"/>
          <w:szCs w:val="21"/>
          <w:highlight w:val="none"/>
          <w:lang w:val="en-US" w:eastAsia="zh-CN"/>
        </w:rPr>
        <w:t xml:space="preserve"> </w:t>
      </w:r>
      <w:r>
        <w:rPr>
          <w:rFonts w:hint="eastAsia" w:ascii="宋体" w:hAnsi="宋体" w:cs="宋体"/>
          <w:color w:val="auto"/>
          <w:szCs w:val="21"/>
          <w:highlight w:val="none"/>
          <w:u w:val="single"/>
        </w:rPr>
        <w:t xml:space="preserve">               </w:t>
      </w:r>
    </w:p>
    <w:p w14:paraId="558970DC">
      <w:pPr>
        <w:snapToGrid w:val="0"/>
        <w:spacing w:line="440" w:lineRule="exact"/>
        <w:rPr>
          <w:rFonts w:hint="eastAsia" w:ascii="宋体" w:hAnsi="宋体" w:cs="宋体"/>
          <w:color w:val="auto"/>
          <w:szCs w:val="21"/>
          <w:highlight w:val="none"/>
        </w:rPr>
      </w:pPr>
    </w:p>
    <w:p w14:paraId="7252F532">
      <w:pPr>
        <w:snapToGrid w:val="0"/>
        <w:spacing w:line="440" w:lineRule="exact"/>
        <w:rPr>
          <w:rFonts w:hint="eastAsia" w:ascii="宋体" w:hAnsi="宋体" w:cs="宋体"/>
          <w:color w:val="auto"/>
          <w:szCs w:val="21"/>
          <w:highlight w:val="none"/>
          <w:u w:val="single"/>
        </w:rPr>
      </w:pPr>
      <w:r>
        <w:rPr>
          <w:rFonts w:hint="eastAsia" w:ascii="宋体" w:hAnsi="宋体" w:cs="宋体"/>
          <w:color w:val="auto"/>
          <w:szCs w:val="21"/>
          <w:highlight w:val="none"/>
        </w:rPr>
        <w:t>采购人（甲方）：</w:t>
      </w:r>
      <w:r>
        <w:rPr>
          <w:rFonts w:hint="eastAsia" w:ascii="宋体" w:hAnsi="宋体" w:cs="宋体"/>
          <w:color w:val="auto"/>
          <w:szCs w:val="21"/>
          <w:highlight w:val="none"/>
          <w:u w:val="single"/>
        </w:rPr>
        <w:t xml:space="preserve">                          </w:t>
      </w:r>
    </w:p>
    <w:p w14:paraId="5E04523E">
      <w:pPr>
        <w:snapToGrid w:val="0"/>
        <w:spacing w:line="440" w:lineRule="exact"/>
        <w:rPr>
          <w:rFonts w:hint="eastAsia" w:ascii="宋体" w:hAnsi="宋体" w:cs="宋体"/>
          <w:color w:val="auto"/>
          <w:szCs w:val="21"/>
          <w:highlight w:val="none"/>
          <w:u w:val="single"/>
        </w:rPr>
      </w:pPr>
      <w:r>
        <w:rPr>
          <w:rFonts w:hint="eastAsia" w:ascii="宋体" w:hAnsi="宋体" w:cs="宋体"/>
          <w:color w:val="auto"/>
          <w:szCs w:val="21"/>
          <w:highlight w:val="none"/>
        </w:rPr>
        <w:t>供应商（乙方）：</w:t>
      </w:r>
      <w:r>
        <w:rPr>
          <w:rFonts w:hint="eastAsia" w:ascii="宋体" w:hAnsi="宋体" w:cs="宋体"/>
          <w:color w:val="auto"/>
          <w:szCs w:val="21"/>
          <w:highlight w:val="none"/>
          <w:u w:val="single"/>
        </w:rPr>
        <w:t xml:space="preserve">                          </w:t>
      </w:r>
    </w:p>
    <w:p w14:paraId="417B9F96">
      <w:pPr>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项目名称：</w:t>
      </w:r>
      <w:r>
        <w:rPr>
          <w:rFonts w:hint="eastAsia" w:ascii="宋体" w:hAnsi="宋体" w:cs="宋体"/>
          <w:color w:val="auto"/>
          <w:kern w:val="0"/>
          <w:szCs w:val="21"/>
          <w:highlight w:val="none"/>
          <w:u w:val="single"/>
        </w:rPr>
        <w:t xml:space="preserve">                               </w:t>
      </w:r>
    </w:p>
    <w:p w14:paraId="56EDDC39">
      <w:pPr>
        <w:snapToGrid w:val="0"/>
        <w:spacing w:line="440" w:lineRule="exact"/>
        <w:rPr>
          <w:rFonts w:hint="eastAsia" w:ascii="宋体" w:hAnsi="宋体" w:cs="宋体"/>
          <w:color w:val="auto"/>
          <w:szCs w:val="21"/>
          <w:highlight w:val="none"/>
          <w:u w:val="single"/>
        </w:rPr>
      </w:pPr>
      <w:r>
        <w:rPr>
          <w:rFonts w:hint="eastAsia" w:ascii="宋体" w:hAnsi="宋体" w:cs="宋体"/>
          <w:color w:val="auto"/>
          <w:szCs w:val="21"/>
          <w:highlight w:val="none"/>
        </w:rPr>
        <w:t>项目</w:t>
      </w:r>
      <w:r>
        <w:rPr>
          <w:rFonts w:hint="eastAsia" w:ascii="宋体" w:hAnsi="宋体" w:cs="宋体"/>
          <w:color w:val="auto"/>
          <w:spacing w:val="-20"/>
          <w:szCs w:val="21"/>
          <w:highlight w:val="none"/>
        </w:rPr>
        <w:t>编 号：</w:t>
      </w:r>
      <w:r>
        <w:rPr>
          <w:rFonts w:hint="eastAsia" w:ascii="宋体" w:hAnsi="宋体" w:cs="宋体"/>
          <w:color w:val="auto"/>
          <w:szCs w:val="21"/>
          <w:highlight w:val="none"/>
          <w:u w:val="single"/>
        </w:rPr>
        <w:t xml:space="preserve">                                </w:t>
      </w:r>
    </w:p>
    <w:p w14:paraId="12CF2AB5">
      <w:pPr>
        <w:snapToGrid w:val="0"/>
        <w:spacing w:line="440" w:lineRule="exact"/>
        <w:rPr>
          <w:rFonts w:hint="eastAsia" w:ascii="宋体" w:hAnsi="宋体" w:cs="宋体"/>
          <w:color w:val="auto"/>
          <w:szCs w:val="21"/>
          <w:highlight w:val="none"/>
          <w:u w:val="single"/>
        </w:rPr>
      </w:pPr>
      <w:r>
        <w:rPr>
          <w:rFonts w:hint="eastAsia" w:ascii="宋体" w:hAnsi="宋体" w:cs="宋体"/>
          <w:color w:val="auto"/>
          <w:szCs w:val="21"/>
          <w:highlight w:val="none"/>
        </w:rPr>
        <w:t>签订地点：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签订时间：</w:t>
      </w:r>
      <w:r>
        <w:rPr>
          <w:rFonts w:hint="eastAsia" w:ascii="宋体" w:hAnsi="宋体" w:cs="宋体"/>
          <w:color w:val="auto"/>
          <w:szCs w:val="21"/>
          <w:highlight w:val="none"/>
          <w:u w:val="single"/>
        </w:rPr>
        <w:t xml:space="preserve">             </w:t>
      </w:r>
    </w:p>
    <w:p w14:paraId="63846AA6">
      <w:pPr>
        <w:snapToGrid w:val="0"/>
        <w:spacing w:line="360" w:lineRule="auto"/>
        <w:ind w:firstLine="420" w:firstLineChars="200"/>
        <w:rPr>
          <w:rFonts w:hint="eastAsia" w:ascii="宋体" w:hAnsi="宋体" w:cs="宋体"/>
          <w:color w:val="auto"/>
          <w:szCs w:val="21"/>
          <w:highlight w:val="none"/>
        </w:rPr>
      </w:pPr>
    </w:p>
    <w:p w14:paraId="01D844BC">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根据《中华人民共和国政府采购法》、《中华人民共和国民法典》等法律、法规规定，按照</w:t>
      </w:r>
      <w:r>
        <w:rPr>
          <w:rFonts w:hint="eastAsia" w:ascii="宋体" w:hAnsi="宋体"/>
          <w:color w:val="auto"/>
          <w:szCs w:val="21"/>
          <w:highlight w:val="none"/>
          <w:lang w:eastAsia="zh-CN"/>
        </w:rPr>
        <w:t>采购</w:t>
      </w:r>
      <w:r>
        <w:rPr>
          <w:rFonts w:hint="eastAsia" w:ascii="宋体" w:hAnsi="宋体"/>
          <w:color w:val="auto"/>
          <w:szCs w:val="21"/>
          <w:highlight w:val="none"/>
        </w:rPr>
        <w:t>文件规定条款和</w:t>
      </w:r>
      <w:r>
        <w:rPr>
          <w:rFonts w:hint="eastAsia" w:ascii="宋体" w:hAnsi="宋体"/>
          <w:color w:val="auto"/>
          <w:szCs w:val="21"/>
          <w:highlight w:val="none"/>
          <w:lang w:eastAsia="zh-CN"/>
        </w:rPr>
        <w:t>中标供应商</w:t>
      </w:r>
      <w:r>
        <w:rPr>
          <w:rFonts w:hint="eastAsia" w:ascii="宋体" w:hAnsi="宋体"/>
          <w:color w:val="auto"/>
          <w:szCs w:val="21"/>
          <w:highlight w:val="none"/>
        </w:rPr>
        <w:t>承诺，甲乙双方签订本合同。</w:t>
      </w:r>
    </w:p>
    <w:p w14:paraId="746AE4C0">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ascii="宋体" w:hAnsi="宋体"/>
          <w:b/>
          <w:color w:val="auto"/>
          <w:szCs w:val="21"/>
          <w:highlight w:val="none"/>
        </w:rPr>
      </w:pPr>
      <w:r>
        <w:rPr>
          <w:rFonts w:hint="eastAsia" w:ascii="宋体" w:hAnsi="宋体"/>
          <w:b/>
          <w:color w:val="auto"/>
          <w:szCs w:val="21"/>
          <w:highlight w:val="none"/>
        </w:rPr>
        <w:t>第一条　合同标的</w:t>
      </w:r>
    </w:p>
    <w:p w14:paraId="728448A0">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outlineLvl w:val="9"/>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供货一览表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074"/>
        <w:gridCol w:w="1216"/>
        <w:gridCol w:w="1192"/>
        <w:gridCol w:w="750"/>
        <w:gridCol w:w="817"/>
        <w:gridCol w:w="1206"/>
        <w:gridCol w:w="1156"/>
      </w:tblGrid>
      <w:tr w14:paraId="0F8CC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noWrap w:val="0"/>
            <w:vAlign w:val="center"/>
          </w:tcPr>
          <w:p w14:paraId="34E30AD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序号</w:t>
            </w:r>
          </w:p>
        </w:tc>
        <w:tc>
          <w:tcPr>
            <w:tcW w:w="1074" w:type="dxa"/>
            <w:noWrap w:val="0"/>
            <w:vAlign w:val="center"/>
          </w:tcPr>
          <w:p w14:paraId="59E403C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标的名称</w:t>
            </w:r>
          </w:p>
        </w:tc>
        <w:tc>
          <w:tcPr>
            <w:tcW w:w="1216" w:type="dxa"/>
            <w:noWrap w:val="0"/>
            <w:vAlign w:val="center"/>
          </w:tcPr>
          <w:p w14:paraId="318A24A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规格</w:t>
            </w:r>
            <w:r>
              <w:rPr>
                <w:rFonts w:hint="eastAsia" w:ascii="宋体" w:hAnsi="宋体"/>
                <w:color w:val="auto"/>
                <w:szCs w:val="21"/>
                <w:highlight w:val="none"/>
                <w:lang w:eastAsia="zh-CN"/>
              </w:rPr>
              <w:t>型号</w:t>
            </w:r>
          </w:p>
        </w:tc>
        <w:tc>
          <w:tcPr>
            <w:tcW w:w="1192" w:type="dxa"/>
            <w:noWrap w:val="0"/>
            <w:vAlign w:val="center"/>
          </w:tcPr>
          <w:p w14:paraId="44D504D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生产厂家</w:t>
            </w:r>
          </w:p>
        </w:tc>
        <w:tc>
          <w:tcPr>
            <w:tcW w:w="750" w:type="dxa"/>
            <w:noWrap w:val="0"/>
            <w:vAlign w:val="center"/>
          </w:tcPr>
          <w:p w14:paraId="7B79B1A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r>
              <w:rPr>
                <w:rFonts w:hint="eastAsia" w:ascii="宋体" w:hAnsi="宋体" w:eastAsia="宋体" w:cs="宋体"/>
                <w:b w:val="0"/>
                <w:bCs/>
                <w:i w:val="0"/>
                <w:color w:val="auto"/>
                <w:kern w:val="0"/>
                <w:sz w:val="21"/>
                <w:szCs w:val="21"/>
                <w:highlight w:val="none"/>
                <w:u w:val="none"/>
                <w:lang w:val="en-US" w:eastAsia="zh-CN" w:bidi="ar"/>
              </w:rPr>
              <w:t>单位</w:t>
            </w:r>
          </w:p>
        </w:tc>
        <w:tc>
          <w:tcPr>
            <w:tcW w:w="817" w:type="dxa"/>
            <w:noWrap w:val="0"/>
            <w:vAlign w:val="center"/>
          </w:tcPr>
          <w:p w14:paraId="5D307FD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r>
              <w:rPr>
                <w:rFonts w:hint="eastAsia" w:ascii="宋体" w:hAnsi="宋体" w:eastAsia="宋体" w:cs="宋体"/>
                <w:b w:val="0"/>
                <w:bCs/>
                <w:i w:val="0"/>
                <w:color w:val="auto"/>
                <w:kern w:val="0"/>
                <w:sz w:val="21"/>
                <w:szCs w:val="21"/>
                <w:highlight w:val="none"/>
                <w:u w:val="none"/>
                <w:lang w:val="en-US" w:eastAsia="zh-CN" w:bidi="ar"/>
              </w:rPr>
              <w:t>数量</w:t>
            </w:r>
          </w:p>
        </w:tc>
        <w:tc>
          <w:tcPr>
            <w:tcW w:w="1206" w:type="dxa"/>
            <w:noWrap w:val="0"/>
            <w:vAlign w:val="center"/>
          </w:tcPr>
          <w:p w14:paraId="5A0A70E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单价（元）</w:t>
            </w:r>
          </w:p>
        </w:tc>
        <w:tc>
          <w:tcPr>
            <w:tcW w:w="1156" w:type="dxa"/>
            <w:noWrap w:val="0"/>
            <w:vAlign w:val="center"/>
          </w:tcPr>
          <w:p w14:paraId="31F1DC3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lang w:eastAsia="zh-CN"/>
              </w:rPr>
              <w:t>合计</w:t>
            </w:r>
            <w:r>
              <w:rPr>
                <w:rFonts w:hint="eastAsia" w:ascii="宋体" w:hAnsi="宋体"/>
                <w:color w:val="auto"/>
                <w:szCs w:val="21"/>
                <w:highlight w:val="none"/>
              </w:rPr>
              <w:t>（元）</w:t>
            </w:r>
          </w:p>
        </w:tc>
      </w:tr>
      <w:tr w14:paraId="59C9D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noWrap w:val="0"/>
            <w:vAlign w:val="center"/>
          </w:tcPr>
          <w:p w14:paraId="29A07C4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w:t>
            </w:r>
          </w:p>
        </w:tc>
        <w:tc>
          <w:tcPr>
            <w:tcW w:w="1074" w:type="dxa"/>
            <w:noWrap w:val="0"/>
            <w:vAlign w:val="center"/>
          </w:tcPr>
          <w:p w14:paraId="31287B7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p>
        </w:tc>
        <w:tc>
          <w:tcPr>
            <w:tcW w:w="1216" w:type="dxa"/>
            <w:noWrap w:val="0"/>
            <w:vAlign w:val="center"/>
          </w:tcPr>
          <w:p w14:paraId="3B7F8EB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p>
        </w:tc>
        <w:tc>
          <w:tcPr>
            <w:tcW w:w="1192" w:type="dxa"/>
            <w:noWrap w:val="0"/>
            <w:vAlign w:val="center"/>
          </w:tcPr>
          <w:p w14:paraId="6951B5D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p>
        </w:tc>
        <w:tc>
          <w:tcPr>
            <w:tcW w:w="750" w:type="dxa"/>
            <w:noWrap w:val="0"/>
            <w:vAlign w:val="top"/>
          </w:tcPr>
          <w:p w14:paraId="34747DF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p>
        </w:tc>
        <w:tc>
          <w:tcPr>
            <w:tcW w:w="817" w:type="dxa"/>
            <w:noWrap w:val="0"/>
            <w:vAlign w:val="top"/>
          </w:tcPr>
          <w:p w14:paraId="74E37FC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p>
        </w:tc>
        <w:tc>
          <w:tcPr>
            <w:tcW w:w="1206" w:type="dxa"/>
            <w:noWrap w:val="0"/>
            <w:vAlign w:val="top"/>
          </w:tcPr>
          <w:p w14:paraId="340D932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p>
        </w:tc>
        <w:tc>
          <w:tcPr>
            <w:tcW w:w="1156" w:type="dxa"/>
            <w:noWrap w:val="0"/>
            <w:vAlign w:val="center"/>
          </w:tcPr>
          <w:p w14:paraId="4EB7149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p>
        </w:tc>
      </w:tr>
      <w:tr w14:paraId="4C0C2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noWrap w:val="0"/>
            <w:vAlign w:val="center"/>
          </w:tcPr>
          <w:p w14:paraId="0B939F5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2</w:t>
            </w:r>
          </w:p>
        </w:tc>
        <w:tc>
          <w:tcPr>
            <w:tcW w:w="1074" w:type="dxa"/>
            <w:noWrap w:val="0"/>
            <w:vAlign w:val="center"/>
          </w:tcPr>
          <w:p w14:paraId="35BB3D9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p>
        </w:tc>
        <w:tc>
          <w:tcPr>
            <w:tcW w:w="1216" w:type="dxa"/>
            <w:noWrap w:val="0"/>
            <w:vAlign w:val="center"/>
          </w:tcPr>
          <w:p w14:paraId="354E887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p>
        </w:tc>
        <w:tc>
          <w:tcPr>
            <w:tcW w:w="1192" w:type="dxa"/>
            <w:noWrap w:val="0"/>
            <w:vAlign w:val="center"/>
          </w:tcPr>
          <w:p w14:paraId="4EDDDE3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p>
        </w:tc>
        <w:tc>
          <w:tcPr>
            <w:tcW w:w="750" w:type="dxa"/>
            <w:noWrap w:val="0"/>
            <w:vAlign w:val="top"/>
          </w:tcPr>
          <w:p w14:paraId="1B0459C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p>
        </w:tc>
        <w:tc>
          <w:tcPr>
            <w:tcW w:w="817" w:type="dxa"/>
            <w:noWrap w:val="0"/>
            <w:vAlign w:val="top"/>
          </w:tcPr>
          <w:p w14:paraId="6C93293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p>
        </w:tc>
        <w:tc>
          <w:tcPr>
            <w:tcW w:w="1206" w:type="dxa"/>
            <w:noWrap w:val="0"/>
            <w:vAlign w:val="top"/>
          </w:tcPr>
          <w:p w14:paraId="4A521CD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p>
        </w:tc>
        <w:tc>
          <w:tcPr>
            <w:tcW w:w="1156" w:type="dxa"/>
            <w:noWrap w:val="0"/>
            <w:vAlign w:val="center"/>
          </w:tcPr>
          <w:p w14:paraId="122887B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olor w:val="auto"/>
                <w:szCs w:val="21"/>
                <w:highlight w:val="none"/>
              </w:rPr>
            </w:pPr>
          </w:p>
        </w:tc>
      </w:tr>
      <w:tr w14:paraId="00038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134" w:type="dxa"/>
            <w:gridSpan w:val="8"/>
            <w:noWrap w:val="0"/>
            <w:vAlign w:val="center"/>
          </w:tcPr>
          <w:p w14:paraId="0C7DBC8E">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合计金额大写：</w:t>
            </w:r>
            <w:r>
              <w:rPr>
                <w:rFonts w:hint="eastAsia" w:ascii="宋体" w:hAnsi="宋体"/>
                <w:color w:val="auto"/>
                <w:szCs w:val="21"/>
                <w:highlight w:val="none"/>
                <w:u w:val="single"/>
                <w:lang w:eastAsia="zh-CN"/>
              </w:rPr>
              <w:t>（人民币）</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w:t>
            </w:r>
          </w:p>
        </w:tc>
      </w:tr>
    </w:tbl>
    <w:p w14:paraId="3510E411">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kern w:val="0"/>
          <w:szCs w:val="21"/>
          <w:highlight w:val="none"/>
          <w:lang w:val="en-US" w:eastAsia="zh-CN"/>
        </w:rPr>
        <w:t>.</w:t>
      </w:r>
      <w:r>
        <w:rPr>
          <w:rFonts w:hint="eastAsia" w:ascii="宋体" w:hAnsi="宋体" w:eastAsia="宋体" w:cs="Times New Roman"/>
          <w:color w:val="auto"/>
          <w:szCs w:val="21"/>
          <w:highlight w:val="none"/>
        </w:rPr>
        <w:t>合同合计金额包括货物价款，备件、专用工具、安装、调试、检验、技术培训及技术资料和包装、运输等全部费用。如招投标文件对其另有规定的，从其规定。</w:t>
      </w:r>
    </w:p>
    <w:p w14:paraId="7783C5A5">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第二条　质量保证</w:t>
      </w:r>
    </w:p>
    <w:p w14:paraId="37F44D08">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1.乙方所提供的货物型号、技术规格、技术参数等质量必须与招投标文件和承诺相一致。乙方提供的节能和环保产品必须是列入政府采购清单的产品。</w:t>
      </w:r>
    </w:p>
    <w:p w14:paraId="4F6C88B9">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2.乙方所提供的货物必须是全新、未使用的原装产品，且在正常安装、使用和保养条件下，其使用寿命期内各项指标均达到质量要求。</w:t>
      </w:r>
    </w:p>
    <w:p w14:paraId="06937154">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第三条　权利保证</w:t>
      </w:r>
    </w:p>
    <w:p w14:paraId="0A11A9C9">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乙方应保证所提供货物在使用时不会侵犯任何第三方的专利权、商标权、工业设计权或其他权利。</w:t>
      </w:r>
    </w:p>
    <w:p w14:paraId="14A79E90">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eastAsia="宋体"/>
          <w:color w:val="auto"/>
          <w:lang w:eastAsia="zh-CN"/>
        </w:rPr>
      </w:pPr>
      <w:r>
        <w:rPr>
          <w:rFonts w:hint="eastAsia" w:ascii="宋体" w:hAnsi="宋体" w:eastAsia="宋体" w:cs="Times New Roman"/>
          <w:color w:val="auto"/>
          <w:szCs w:val="21"/>
          <w:highlight w:val="none"/>
          <w:lang w:eastAsia="zh-CN"/>
        </w:rPr>
        <w:t>乙方所交付的货物必须具有完全的所有权，不得有抵押、质押、查封等产权瑕疵。</w:t>
      </w:r>
    </w:p>
    <w:p w14:paraId="57087E6D">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乙方应按招标文件规定的时间向甲方提供使用货物的有关技术资料。</w:t>
      </w:r>
    </w:p>
    <w:p w14:paraId="6A2065C3">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未经</w:t>
      </w:r>
      <w:r>
        <w:rPr>
          <w:rFonts w:hint="eastAsia" w:ascii="宋体" w:hAnsi="宋体" w:eastAsia="宋体" w:cs="Times New Roman"/>
          <w:color w:val="auto"/>
          <w:szCs w:val="21"/>
          <w:highlight w:val="none"/>
        </w:rPr>
        <w:t>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FF0DC23">
      <w:pPr>
        <w:keepNext w:val="0"/>
        <w:keepLines w:val="0"/>
        <w:pageBreakBefore w:val="0"/>
        <w:widowControl w:val="0"/>
        <w:numPr>
          <w:ilvl w:val="0"/>
          <w:numId w:val="5"/>
        </w:numPr>
        <w:kinsoku/>
        <w:wordWrap/>
        <w:overflowPunct/>
        <w:topLinePunct w:val="0"/>
        <w:autoSpaceDE/>
        <w:autoSpaceDN/>
        <w:bidi w:val="0"/>
        <w:adjustRightInd/>
        <w:snapToGrid w:val="0"/>
        <w:spacing w:line="360" w:lineRule="exact"/>
        <w:ind w:firstLine="422" w:firstLineChars="200"/>
        <w:textAlignment w:val="auto"/>
        <w:rPr>
          <w:rFonts w:ascii="宋体" w:hAnsi="宋体" w:eastAsia="宋体" w:cs="Times New Roman"/>
          <w:b/>
          <w:bCs w:val="0"/>
          <w:color w:val="auto"/>
          <w:szCs w:val="21"/>
          <w:highlight w:val="none"/>
        </w:rPr>
      </w:pPr>
      <w:r>
        <w:rPr>
          <w:rFonts w:hint="eastAsia" w:ascii="宋体" w:hAnsi="宋体" w:eastAsia="宋体" w:cs="Times New Roman"/>
          <w:b/>
          <w:color w:val="auto"/>
          <w:szCs w:val="21"/>
          <w:highlight w:val="none"/>
          <w:lang w:eastAsia="zh-CN"/>
        </w:rPr>
        <w:t>包装和运输</w:t>
      </w:r>
    </w:p>
    <w:p w14:paraId="22444C3C">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1.乙方提供的货物军应按照招标文件要求的包装材料、包装标准、包装方式进行包装，每一包装单元内应附详细的装箱单和质量合格证。</w:t>
      </w:r>
    </w:p>
    <w:p w14:paraId="12FD1693">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2.乙方负责货物运输，货物运输合理耗损及计算方式：</w:t>
      </w:r>
      <w:r>
        <w:rPr>
          <w:rFonts w:hint="eastAsia" w:ascii="宋体" w:hAnsi="宋体" w:eastAsia="宋体" w:cs="Times New Roman"/>
          <w:color w:val="auto"/>
          <w:szCs w:val="21"/>
          <w:highlight w:val="none"/>
          <w:u w:val="single"/>
          <w:lang w:val="en-US" w:eastAsia="zh-CN"/>
        </w:rPr>
        <w:t xml:space="preserve">     乙方负责    </w:t>
      </w:r>
      <w:r>
        <w:rPr>
          <w:rFonts w:hint="eastAsia" w:ascii="宋体" w:hAnsi="宋体" w:eastAsia="宋体" w:cs="Times New Roman"/>
          <w:color w:val="auto"/>
          <w:szCs w:val="21"/>
          <w:highlight w:val="none"/>
          <w:lang w:val="en-US" w:eastAsia="zh-CN"/>
        </w:rPr>
        <w:t>。</w:t>
      </w:r>
    </w:p>
    <w:p w14:paraId="45C84097">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outlineLvl w:val="9"/>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3.货物的运输方式：</w:t>
      </w:r>
      <w:r>
        <w:rPr>
          <w:rFonts w:hint="eastAsia" w:ascii="宋体" w:hAnsi="宋体" w:eastAsia="宋体" w:cs="Times New Roman"/>
          <w:color w:val="auto"/>
          <w:szCs w:val="21"/>
          <w:highlight w:val="none"/>
          <w:u w:val="single"/>
          <w:lang w:val="en-US" w:eastAsia="zh-CN"/>
        </w:rPr>
        <w:t xml:space="preserve">    由乙方自定   </w:t>
      </w:r>
      <w:r>
        <w:rPr>
          <w:rFonts w:hint="eastAsia" w:ascii="宋体" w:hAnsi="宋体" w:eastAsia="宋体" w:cs="Times New Roman"/>
          <w:color w:val="auto"/>
          <w:szCs w:val="21"/>
          <w:highlight w:val="none"/>
          <w:lang w:val="en-US" w:eastAsia="zh-CN"/>
        </w:rPr>
        <w:t xml:space="preserve"> 。</w:t>
      </w:r>
    </w:p>
    <w:p w14:paraId="7DC4B46B">
      <w:pPr>
        <w:keepNext w:val="0"/>
        <w:keepLines w:val="0"/>
        <w:pageBreakBefore w:val="0"/>
        <w:widowControl w:val="0"/>
        <w:numPr>
          <w:ilvl w:val="0"/>
          <w:numId w:val="5"/>
        </w:numPr>
        <w:kinsoku/>
        <w:wordWrap/>
        <w:overflowPunct/>
        <w:topLinePunct w:val="0"/>
        <w:autoSpaceDE/>
        <w:autoSpaceDN/>
        <w:bidi w:val="0"/>
        <w:adjustRightInd/>
        <w:snapToGrid w:val="0"/>
        <w:spacing w:line="360" w:lineRule="exact"/>
        <w:ind w:firstLine="422" w:firstLineChars="200"/>
        <w:textAlignment w:val="auto"/>
        <w:rPr>
          <w:rFonts w:ascii="宋体" w:hAnsi="宋体" w:eastAsia="宋体" w:cs="Times New Roman"/>
          <w:b/>
          <w:bCs w:val="0"/>
          <w:color w:val="auto"/>
          <w:szCs w:val="21"/>
          <w:highlight w:val="none"/>
        </w:rPr>
      </w:pPr>
      <w:r>
        <w:rPr>
          <w:rFonts w:hint="eastAsia" w:ascii="宋体" w:hAnsi="宋体" w:eastAsia="宋体" w:cs="Times New Roman"/>
          <w:b/>
          <w:bCs w:val="0"/>
          <w:color w:val="auto"/>
          <w:szCs w:val="21"/>
          <w:highlight w:val="none"/>
        </w:rPr>
        <w:t>交付</w:t>
      </w:r>
      <w:r>
        <w:rPr>
          <w:rFonts w:hint="eastAsia" w:ascii="宋体" w:hAnsi="宋体" w:eastAsia="宋体" w:cs="Times New Roman"/>
          <w:b/>
          <w:bCs w:val="0"/>
          <w:color w:val="auto"/>
          <w:szCs w:val="21"/>
          <w:highlight w:val="none"/>
          <w:lang w:eastAsia="zh-CN"/>
        </w:rPr>
        <w:t>和验收</w:t>
      </w:r>
    </w:p>
    <w:p w14:paraId="79D7A005">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1.交货时间：</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rPr>
        <w:t>。交货地点：</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rPr>
        <w:t>。</w:t>
      </w:r>
    </w:p>
    <w:p w14:paraId="36A211F0">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2.乙方提供不符合招投标文件和本合同规定的货物，甲方有权拒绝接受。</w:t>
      </w:r>
    </w:p>
    <w:p w14:paraId="5353A660">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3.乙方应将所提供货物的装箱清单、用户手册、原厂保修卡、随机资料、工具和备品、备件等交付给甲方，如有缺失应及时补齐，否则视为逾期交货。</w:t>
      </w:r>
    </w:p>
    <w:p w14:paraId="2022959A">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4.甲方在到货后即首先对货物外观、数量进行初步验收，安装、调试、培训完成后10个工作内进行最终验收。</w:t>
      </w:r>
    </w:p>
    <w:p w14:paraId="14936D66">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5.在验收过程中发现乙方有违约问题，甲方有权暂缓资金结算，带违约问题解决后。方可办理资金结算事宜，资金结算期自违约问题解决之日起从新计算。</w:t>
      </w:r>
    </w:p>
    <w:p w14:paraId="09DDE772">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default"/>
          <w:color w:val="auto"/>
          <w:lang w:val="en-US" w:eastAsia="zh-CN"/>
        </w:rPr>
      </w:pPr>
      <w:r>
        <w:rPr>
          <w:rFonts w:hint="eastAsia" w:ascii="宋体" w:hAnsi="宋体" w:eastAsia="宋体" w:cs="Times New Roman"/>
          <w:color w:val="auto"/>
          <w:szCs w:val="21"/>
          <w:highlight w:val="none"/>
          <w:lang w:val="en-US" w:eastAsia="zh-CN"/>
        </w:rPr>
        <w:t>6.</w:t>
      </w:r>
      <w:r>
        <w:rPr>
          <w:rFonts w:hint="eastAsia"/>
          <w:color w:val="auto"/>
          <w:lang w:val="en-US" w:eastAsia="zh-CN"/>
        </w:rPr>
        <w:t>甲方对验收有异议的，在验收后5个工作日内以书面形式向乙方提出，乙方应自收到甲方书面异议后7日内及时予以解决。</w:t>
      </w:r>
    </w:p>
    <w:p w14:paraId="61EBD1DA">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第</w:t>
      </w:r>
      <w:r>
        <w:rPr>
          <w:rFonts w:hint="eastAsia" w:ascii="宋体" w:hAnsi="宋体" w:eastAsia="宋体" w:cs="Times New Roman"/>
          <w:b/>
          <w:color w:val="auto"/>
          <w:szCs w:val="21"/>
          <w:highlight w:val="none"/>
          <w:lang w:eastAsia="zh-CN"/>
        </w:rPr>
        <w:t>六</w:t>
      </w:r>
      <w:r>
        <w:rPr>
          <w:rFonts w:hint="eastAsia" w:ascii="宋体" w:hAnsi="宋体" w:eastAsia="宋体" w:cs="Times New Roman"/>
          <w:b/>
          <w:color w:val="auto"/>
          <w:szCs w:val="21"/>
          <w:highlight w:val="none"/>
        </w:rPr>
        <w:t>条　安装</w:t>
      </w:r>
      <w:r>
        <w:rPr>
          <w:rFonts w:hint="eastAsia" w:ascii="宋体" w:hAnsi="宋体" w:eastAsia="宋体" w:cs="Times New Roman"/>
          <w:b/>
          <w:color w:val="auto"/>
          <w:szCs w:val="21"/>
          <w:highlight w:val="none"/>
          <w:lang w:eastAsia="zh-CN"/>
        </w:rPr>
        <w:t>、调试和</w:t>
      </w:r>
      <w:r>
        <w:rPr>
          <w:rFonts w:hint="eastAsia" w:ascii="宋体" w:hAnsi="宋体" w:eastAsia="宋体" w:cs="Times New Roman"/>
          <w:b/>
          <w:color w:val="auto"/>
          <w:szCs w:val="21"/>
          <w:highlight w:val="none"/>
        </w:rPr>
        <w:t>培训</w:t>
      </w:r>
    </w:p>
    <w:p w14:paraId="16584624">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甲方应为乙方的安装、调试提供必要的如场地、电源、水源等条件。</w:t>
      </w:r>
    </w:p>
    <w:p w14:paraId="014E26E9">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2.乙方在安装、调试后应给甲方30日的产品使用适应期，在此期间乙方应加大对乙方人员的培训，如乙方培训不到位，甲方在使用产品因不适应造成产品损坏的，按产品“三包”处理。</w:t>
      </w:r>
    </w:p>
    <w:p w14:paraId="7BE35D79">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乙方负责甲方有关人员的培训</w:t>
      </w:r>
      <w:r>
        <w:rPr>
          <w:rFonts w:hint="eastAsia" w:ascii="宋体" w:hAnsi="宋体" w:eastAsia="宋体" w:cs="Times New Roman"/>
          <w:color w:val="auto"/>
          <w:szCs w:val="21"/>
          <w:highlight w:val="none"/>
          <w:lang w:eastAsia="zh-CN"/>
        </w:rPr>
        <w:t>，乙方也可委托甲方负责和协助培训，培训费用由乙方支付。</w:t>
      </w:r>
      <w:r>
        <w:rPr>
          <w:rFonts w:hint="eastAsia" w:ascii="宋体" w:hAnsi="宋体" w:eastAsia="宋体" w:cs="Times New Roman"/>
          <w:color w:val="auto"/>
          <w:szCs w:val="21"/>
          <w:highlight w:val="none"/>
        </w:rPr>
        <w:t>培训时间、地点：</w:t>
      </w:r>
      <w:r>
        <w:rPr>
          <w:rFonts w:hint="eastAsia" w:ascii="宋体" w:hAnsi="宋体" w:eastAsia="宋体" w:cs="Times New Roman"/>
          <w:color w:val="auto"/>
          <w:szCs w:val="21"/>
          <w:highlight w:val="none"/>
          <w:u w:val="single"/>
        </w:rPr>
        <w:t>按甲方规定的时间和地点</w:t>
      </w:r>
      <w:r>
        <w:rPr>
          <w:rFonts w:hint="eastAsia" w:ascii="宋体" w:hAnsi="宋体" w:eastAsia="宋体" w:cs="Times New Roman"/>
          <w:color w:val="auto"/>
          <w:szCs w:val="21"/>
          <w:highlight w:val="none"/>
          <w:u w:val="none"/>
        </w:rPr>
        <w:t>。</w:t>
      </w:r>
    </w:p>
    <w:p w14:paraId="6B610B43">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第</w:t>
      </w:r>
      <w:r>
        <w:rPr>
          <w:rFonts w:hint="eastAsia" w:ascii="宋体" w:hAnsi="宋体" w:eastAsia="宋体" w:cs="Times New Roman"/>
          <w:b/>
          <w:color w:val="auto"/>
          <w:szCs w:val="21"/>
          <w:highlight w:val="none"/>
          <w:lang w:eastAsia="zh-CN"/>
        </w:rPr>
        <w:t>七</w:t>
      </w:r>
      <w:r>
        <w:rPr>
          <w:rFonts w:hint="eastAsia" w:ascii="宋体" w:hAnsi="宋体" w:eastAsia="宋体" w:cs="Times New Roman"/>
          <w:b/>
          <w:color w:val="auto"/>
          <w:szCs w:val="21"/>
          <w:highlight w:val="none"/>
        </w:rPr>
        <w:t>条  售后服务、保修期</w:t>
      </w:r>
    </w:p>
    <w:p w14:paraId="514134CC">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1.乙方应按照国家有关法律法规和“三包”规定以及招投标文件和本合同所附的服务承诺，为甲方提供售后服务。</w:t>
      </w:r>
    </w:p>
    <w:p w14:paraId="344A28DB">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outlineLvl w:val="9"/>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货物保修期</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u w:val="single"/>
        </w:rPr>
        <w:t>见乙方</w:t>
      </w:r>
      <w:r>
        <w:rPr>
          <w:rFonts w:hint="eastAsia" w:ascii="宋体" w:hAnsi="宋体" w:cs="Times New Roman"/>
          <w:color w:val="auto"/>
          <w:szCs w:val="21"/>
          <w:highlight w:val="none"/>
          <w:u w:val="single"/>
          <w:lang w:val="en-US" w:eastAsia="zh-CN"/>
        </w:rPr>
        <w:t>投标</w:t>
      </w:r>
      <w:r>
        <w:rPr>
          <w:rFonts w:hint="eastAsia" w:ascii="宋体" w:hAnsi="宋体" w:eastAsia="宋体" w:cs="Times New Roman"/>
          <w:color w:val="auto"/>
          <w:szCs w:val="21"/>
          <w:highlight w:val="none"/>
          <w:u w:val="single"/>
        </w:rPr>
        <w:t>文件承诺。</w:t>
      </w:r>
    </w:p>
    <w:p w14:paraId="48E8D3CD">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3.乙方提供的服务承诺和售后服务及保修期责任等其它具体约定事项。（如有，可另附合同附件）</w:t>
      </w:r>
    </w:p>
    <w:p w14:paraId="4F90C1E8">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第</w:t>
      </w:r>
      <w:r>
        <w:rPr>
          <w:rFonts w:hint="eastAsia" w:ascii="宋体" w:hAnsi="宋体" w:eastAsia="宋体" w:cs="Times New Roman"/>
          <w:b/>
          <w:color w:val="auto"/>
          <w:szCs w:val="21"/>
          <w:highlight w:val="none"/>
          <w:lang w:eastAsia="zh-CN"/>
        </w:rPr>
        <w:t>八</w:t>
      </w:r>
      <w:r>
        <w:rPr>
          <w:rFonts w:hint="eastAsia" w:ascii="宋体" w:hAnsi="宋体" w:eastAsia="宋体" w:cs="Times New Roman"/>
          <w:b/>
          <w:color w:val="auto"/>
          <w:szCs w:val="21"/>
          <w:highlight w:val="none"/>
        </w:rPr>
        <w:t>条　付款方式</w:t>
      </w:r>
    </w:p>
    <w:p w14:paraId="40B6E12F">
      <w:pPr>
        <w:keepNext w:val="0"/>
        <w:keepLines w:val="0"/>
        <w:pageBreakBefore w:val="0"/>
        <w:widowControl w:val="0"/>
        <w:kinsoku/>
        <w:wordWrap/>
        <w:overflowPunct/>
        <w:topLinePunct w:val="0"/>
        <w:autoSpaceDE/>
        <w:autoSpaceDN/>
        <w:bidi w:val="0"/>
        <w:adjustRightInd/>
        <w:snapToGrid w:val="0"/>
        <w:spacing w:before="120" w:after="120" w:line="360" w:lineRule="exact"/>
        <w:ind w:firstLine="420" w:firstLineChars="200"/>
        <w:jc w:val="both"/>
        <w:textAlignment w:val="auto"/>
        <w:rPr>
          <w:rFonts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1.当采购数量与实际使用数量不一致时，乙方应根据实际使用量供货，合同的最终结算金额按实际使用量乘以中标单价进行计算。</w:t>
      </w:r>
    </w:p>
    <w:p w14:paraId="553DE414">
      <w:pPr>
        <w:keepNext w:val="0"/>
        <w:keepLines w:val="0"/>
        <w:pageBreakBefore w:val="0"/>
        <w:widowControl w:val="0"/>
        <w:kinsoku/>
        <w:wordWrap/>
        <w:overflowPunct/>
        <w:topLinePunct w:val="0"/>
        <w:autoSpaceDE/>
        <w:autoSpaceDN/>
        <w:bidi w:val="0"/>
        <w:adjustRightInd/>
        <w:snapToGrid w:val="0"/>
        <w:spacing w:before="120" w:after="120" w:line="360" w:lineRule="exact"/>
        <w:ind w:firstLine="420" w:firstLineChars="200"/>
        <w:jc w:val="both"/>
        <w:textAlignment w:val="auto"/>
        <w:rPr>
          <w:rFonts w:hint="eastAsia" w:ascii="宋体" w:hAnsi="宋体" w:eastAsia="宋体" w:cs="Times New Roman"/>
          <w:bCs/>
          <w:color w:val="auto"/>
          <w:kern w:val="0"/>
          <w:sz w:val="21"/>
          <w:szCs w:val="21"/>
          <w:highlight w:val="none"/>
          <w:lang w:val="en-US" w:eastAsia="zh-CN" w:bidi="ar-SA"/>
        </w:rPr>
      </w:pPr>
      <w:r>
        <w:rPr>
          <w:rFonts w:hint="eastAsia" w:ascii="宋体" w:hAnsi="宋体" w:cs="Times New Roman"/>
          <w:bCs/>
          <w:color w:val="auto"/>
          <w:kern w:val="0"/>
          <w:sz w:val="21"/>
          <w:szCs w:val="21"/>
          <w:highlight w:val="none"/>
          <w:lang w:val="en-US" w:eastAsia="zh-CN" w:bidi="ar-SA"/>
        </w:rPr>
        <w:t>2</w:t>
      </w:r>
      <w:r>
        <w:rPr>
          <w:rFonts w:hint="eastAsia" w:ascii="宋体" w:hAnsi="宋体" w:eastAsia="宋体" w:cs="Times New Roman"/>
          <w:bCs/>
          <w:color w:val="auto"/>
          <w:kern w:val="0"/>
          <w:sz w:val="21"/>
          <w:szCs w:val="21"/>
          <w:highlight w:val="none"/>
          <w:lang w:val="en-US" w:eastAsia="zh-CN" w:bidi="ar-SA"/>
        </w:rPr>
        <w:t>.付款条件：</w:t>
      </w:r>
    </w:p>
    <w:p w14:paraId="1FCFD2BC">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合同生效以及具备实施条件后10个工作日内</w:t>
      </w:r>
      <w:r>
        <w:rPr>
          <w:rFonts w:hint="eastAsia" w:ascii="宋体" w:hAnsi="宋体" w:cs="Times New Roman"/>
          <w:color w:val="auto"/>
          <w:szCs w:val="21"/>
          <w:highlight w:val="none"/>
          <w:lang w:val="en-US" w:eastAsia="zh-CN"/>
        </w:rPr>
        <w:t>甲方</w:t>
      </w:r>
      <w:r>
        <w:rPr>
          <w:rFonts w:hint="eastAsia" w:ascii="宋体" w:hAnsi="宋体" w:eastAsia="宋体" w:cs="Times New Roman"/>
          <w:color w:val="auto"/>
          <w:szCs w:val="21"/>
          <w:highlight w:val="none"/>
          <w:lang w:val="en-US" w:eastAsia="zh-CN"/>
        </w:rPr>
        <w:t>向</w:t>
      </w:r>
      <w:r>
        <w:rPr>
          <w:rFonts w:hint="eastAsia" w:ascii="宋体" w:hAnsi="宋体" w:eastAsia="宋体" w:cs="Times New Roman"/>
          <w:bCs/>
          <w:color w:val="auto"/>
          <w:kern w:val="0"/>
          <w:sz w:val="21"/>
          <w:szCs w:val="21"/>
          <w:highlight w:val="none"/>
          <w:lang w:val="en-US" w:eastAsia="zh-CN" w:bidi="ar-SA"/>
        </w:rPr>
        <w:t>乙方</w:t>
      </w:r>
      <w:r>
        <w:rPr>
          <w:rFonts w:hint="eastAsia" w:ascii="宋体" w:hAnsi="宋体" w:eastAsia="宋体" w:cs="Times New Roman"/>
          <w:color w:val="auto"/>
          <w:szCs w:val="21"/>
          <w:highlight w:val="none"/>
          <w:lang w:val="en-US" w:eastAsia="zh-CN"/>
        </w:rPr>
        <w:t>支付合同款的30%；全部货物到达指定地点、安装调试并验收合格后，凭双方签署政府采购项目合同验收书，</w:t>
      </w:r>
      <w:r>
        <w:rPr>
          <w:rFonts w:hint="eastAsia" w:ascii="宋体" w:hAnsi="宋体" w:eastAsia="宋体" w:cs="Times New Roman"/>
          <w:bCs/>
          <w:color w:val="auto"/>
          <w:kern w:val="0"/>
          <w:sz w:val="21"/>
          <w:szCs w:val="21"/>
          <w:highlight w:val="none"/>
          <w:lang w:val="en-US" w:eastAsia="zh-CN" w:bidi="ar-SA"/>
        </w:rPr>
        <w:t>乙方</w:t>
      </w:r>
      <w:r>
        <w:rPr>
          <w:rFonts w:hint="eastAsia" w:ascii="宋体" w:hAnsi="宋体" w:eastAsia="宋体" w:cs="Times New Roman"/>
          <w:color w:val="auto"/>
          <w:szCs w:val="21"/>
          <w:highlight w:val="none"/>
          <w:lang w:val="en-US" w:eastAsia="zh-CN"/>
        </w:rPr>
        <w:t>开具全额增值税发票给</w:t>
      </w:r>
      <w:r>
        <w:rPr>
          <w:rFonts w:hint="eastAsia" w:ascii="宋体" w:hAnsi="宋体" w:cs="Times New Roman"/>
          <w:color w:val="auto"/>
          <w:szCs w:val="21"/>
          <w:highlight w:val="none"/>
          <w:lang w:val="en-US" w:eastAsia="zh-CN"/>
        </w:rPr>
        <w:t>甲方</w:t>
      </w:r>
      <w:r>
        <w:rPr>
          <w:rFonts w:hint="eastAsia" w:ascii="宋体" w:hAnsi="宋体" w:eastAsia="宋体" w:cs="Times New Roman"/>
          <w:color w:val="auto"/>
          <w:szCs w:val="21"/>
          <w:highlight w:val="none"/>
          <w:lang w:val="en-US" w:eastAsia="zh-CN"/>
        </w:rPr>
        <w:t>，</w:t>
      </w:r>
      <w:r>
        <w:rPr>
          <w:rFonts w:hint="eastAsia" w:ascii="宋体" w:hAnsi="宋体" w:cs="Times New Roman"/>
          <w:color w:val="auto"/>
          <w:szCs w:val="21"/>
          <w:highlight w:val="none"/>
          <w:lang w:val="en-US" w:eastAsia="zh-CN"/>
        </w:rPr>
        <w:t>甲方</w:t>
      </w:r>
      <w:r>
        <w:rPr>
          <w:rFonts w:hint="eastAsia" w:ascii="宋体" w:hAnsi="宋体" w:eastAsia="宋体" w:cs="Times New Roman"/>
          <w:color w:val="auto"/>
          <w:szCs w:val="21"/>
          <w:highlight w:val="none"/>
          <w:lang w:val="en-US" w:eastAsia="zh-CN"/>
        </w:rPr>
        <w:t>支付至总合同金额的95%。经</w:t>
      </w:r>
      <w:r>
        <w:rPr>
          <w:rFonts w:hint="eastAsia" w:ascii="宋体" w:hAnsi="宋体" w:cs="Times New Roman"/>
          <w:color w:val="auto"/>
          <w:szCs w:val="21"/>
          <w:highlight w:val="none"/>
          <w:lang w:val="en-US" w:eastAsia="zh-CN"/>
        </w:rPr>
        <w:t>甲方</w:t>
      </w:r>
      <w:r>
        <w:rPr>
          <w:rFonts w:hint="eastAsia" w:ascii="宋体" w:hAnsi="宋体" w:eastAsia="宋体" w:cs="Times New Roman"/>
          <w:color w:val="auto"/>
          <w:szCs w:val="21"/>
          <w:highlight w:val="none"/>
          <w:lang w:val="en-US" w:eastAsia="zh-CN"/>
        </w:rPr>
        <w:t>验收配套服务符合合同约定，并办理相关确认手续后10个工作日内，</w:t>
      </w:r>
      <w:r>
        <w:rPr>
          <w:rFonts w:hint="eastAsia" w:ascii="宋体" w:hAnsi="宋体" w:cs="Times New Roman"/>
          <w:color w:val="auto"/>
          <w:szCs w:val="21"/>
          <w:highlight w:val="none"/>
          <w:lang w:val="en-US" w:eastAsia="zh-CN"/>
        </w:rPr>
        <w:t>甲方</w:t>
      </w:r>
      <w:r>
        <w:rPr>
          <w:rFonts w:hint="eastAsia" w:ascii="宋体" w:hAnsi="宋体" w:eastAsia="宋体" w:cs="Times New Roman"/>
          <w:color w:val="auto"/>
          <w:szCs w:val="21"/>
          <w:highlight w:val="none"/>
          <w:lang w:val="en-US" w:eastAsia="zh-CN"/>
        </w:rPr>
        <w:t>支付至总合同金额的100%。</w:t>
      </w:r>
    </w:p>
    <w:p w14:paraId="2E4A84A3">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如未按国家要求开具增值税发票，一旦发现中标供应商提供虚假发票，除须向采购人补开合法发票外，须赔偿采购人发票票面金额一倍的违约金，且采购人按合同违约处理，中标供应商不得提出异议，由此终止合同而产生的一切损失均由中标供应商承担。</w:t>
      </w:r>
    </w:p>
    <w:p w14:paraId="6591B868">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cs="宋体"/>
          <w:b/>
          <w:color w:val="auto"/>
          <w:szCs w:val="21"/>
        </w:rPr>
      </w:pPr>
      <w:r>
        <w:rPr>
          <w:rFonts w:hint="eastAsia" w:ascii="宋体" w:hAnsi="宋体" w:eastAsia="宋体" w:cs="Times New Roman"/>
          <w:b/>
          <w:color w:val="auto"/>
          <w:szCs w:val="21"/>
          <w:highlight w:val="none"/>
        </w:rPr>
        <w:t>第八条　</w:t>
      </w:r>
      <w:r>
        <w:rPr>
          <w:rFonts w:hint="eastAsia" w:ascii="宋体" w:hAnsi="宋体" w:cs="宋体"/>
          <w:b/>
          <w:color w:val="auto"/>
          <w:szCs w:val="21"/>
        </w:rPr>
        <w:t xml:space="preserve">履约保证金 </w:t>
      </w:r>
    </w:p>
    <w:p w14:paraId="50C75D4D">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1.按项目成交金额的2%收取；</w:t>
      </w:r>
    </w:p>
    <w:p w14:paraId="39E08C2C">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2.履约保证金提交方式：银行转账、支票、汇票、本票或者金融机构、担保机构出具的保函等非现金方式。</w:t>
      </w:r>
    </w:p>
    <w:p w14:paraId="1DFFC189">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3.履约保证金退付方式、时间及条件：签订合同之日起90天内安装调试交付使用并验收合格，质保期满后</w:t>
      </w:r>
      <w:r>
        <w:rPr>
          <w:rFonts w:hint="eastAsia" w:ascii="宋体" w:hAnsi="宋体" w:cs="Times New Roman"/>
          <w:color w:val="auto"/>
          <w:szCs w:val="21"/>
          <w:highlight w:val="none"/>
          <w:lang w:val="en-US" w:eastAsia="zh-CN"/>
        </w:rPr>
        <w:t>中标</w:t>
      </w:r>
      <w:r>
        <w:rPr>
          <w:rFonts w:hint="eastAsia" w:ascii="宋体" w:hAnsi="宋体" w:eastAsia="宋体" w:cs="Times New Roman"/>
          <w:color w:val="auto"/>
          <w:szCs w:val="21"/>
          <w:highlight w:val="none"/>
          <w:lang w:val="en-US" w:eastAsia="zh-CN"/>
        </w:rPr>
        <w:t>供应商持履约保证金退付意见书、政府采购合同及履约验收证明到至采购人处办理退还履约保证金手续，采购人将在收到完整且合格的退付申请资料后五个工作日内无息原额退还。</w:t>
      </w:r>
    </w:p>
    <w:p w14:paraId="005263C0">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4.缴纳履约保证金指定账户的信息：</w:t>
      </w:r>
    </w:p>
    <w:p w14:paraId="5941A7A2">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开户名称：陆川县人民医院</w:t>
      </w:r>
    </w:p>
    <w:p w14:paraId="30CD1E5A">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开户银行：陆川县农村商业银行</w:t>
      </w:r>
    </w:p>
    <w:p w14:paraId="7424D168">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银行账号：550612010100149285</w:t>
      </w:r>
    </w:p>
    <w:p w14:paraId="6CC73E31">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lang w:eastAsia="zh-CN"/>
        </w:rPr>
        <w:t>第九条</w:t>
      </w:r>
      <w:r>
        <w:rPr>
          <w:rFonts w:hint="eastAsia" w:ascii="宋体" w:hAnsi="宋体" w:eastAsia="宋体" w:cs="Times New Roman"/>
          <w:b/>
          <w:color w:val="auto"/>
          <w:szCs w:val="21"/>
          <w:highlight w:val="none"/>
          <w:lang w:val="en-US" w:eastAsia="zh-CN"/>
        </w:rPr>
        <w:t xml:space="preserve">  </w:t>
      </w:r>
      <w:r>
        <w:rPr>
          <w:rFonts w:hint="eastAsia" w:ascii="宋体" w:hAnsi="宋体" w:eastAsia="宋体" w:cs="Times New Roman"/>
          <w:b/>
          <w:color w:val="auto"/>
          <w:szCs w:val="21"/>
          <w:highlight w:val="none"/>
        </w:rPr>
        <w:t>税费</w:t>
      </w:r>
    </w:p>
    <w:p w14:paraId="4817F47F">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本合同执行中相关的一切税费均由乙方承担。</w:t>
      </w:r>
    </w:p>
    <w:p w14:paraId="59F2CA28">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第</w:t>
      </w:r>
      <w:r>
        <w:rPr>
          <w:rFonts w:hint="eastAsia" w:ascii="宋体" w:hAnsi="宋体" w:eastAsia="宋体" w:cs="Times New Roman"/>
          <w:b/>
          <w:color w:val="auto"/>
          <w:szCs w:val="21"/>
          <w:highlight w:val="none"/>
          <w:lang w:eastAsia="zh-CN"/>
        </w:rPr>
        <w:t>十</w:t>
      </w:r>
      <w:r>
        <w:rPr>
          <w:rFonts w:hint="eastAsia" w:ascii="宋体" w:hAnsi="宋体" w:eastAsia="宋体" w:cs="Times New Roman"/>
          <w:b/>
          <w:color w:val="auto"/>
          <w:szCs w:val="21"/>
          <w:highlight w:val="none"/>
        </w:rPr>
        <w:t>条  质量保证及售后服务</w:t>
      </w:r>
    </w:p>
    <w:p w14:paraId="0FE6AAA5">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 乙方应按招标文件规定的货物性能、技术要求、质量标准向甲方提供未经使用的全新产品。</w:t>
      </w:r>
    </w:p>
    <w:p w14:paraId="0916F129">
      <w:pPr>
        <w:keepNext w:val="0"/>
        <w:keepLines w:val="0"/>
        <w:pageBreakBefore w:val="0"/>
        <w:widowControl w:val="0"/>
        <w:kinsoku/>
        <w:wordWrap/>
        <w:overflowPunct/>
        <w:topLinePunct w:val="0"/>
        <w:autoSpaceDE/>
        <w:autoSpaceDN/>
        <w:bidi w:val="0"/>
        <w:adjustRightInd/>
        <w:snapToGrid w:val="0"/>
        <w:spacing w:before="120" w:after="120" w:line="360" w:lineRule="exact"/>
        <w:jc w:val="both"/>
        <w:textAlignment w:val="auto"/>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对达不到要求者，根据实际情况，经双方协商，可按以下办法处理：</w:t>
      </w:r>
    </w:p>
    <w:p w14:paraId="38476BB9">
      <w:pPr>
        <w:keepNext w:val="0"/>
        <w:keepLines w:val="0"/>
        <w:pageBreakBefore w:val="0"/>
        <w:widowControl w:val="0"/>
        <w:kinsoku/>
        <w:wordWrap/>
        <w:overflowPunct/>
        <w:topLinePunct w:val="0"/>
        <w:autoSpaceDE/>
        <w:autoSpaceDN/>
        <w:bidi w:val="0"/>
        <w:adjustRightInd/>
        <w:snapToGrid w:val="0"/>
        <w:spacing w:before="120" w:after="120" w:line="360" w:lineRule="exact"/>
        <w:ind w:firstLine="420" w:firstLineChars="200"/>
        <w:jc w:val="both"/>
        <w:textAlignment w:val="auto"/>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⑴更换：由乙方承担所发生的全部费用。</w:t>
      </w:r>
    </w:p>
    <w:p w14:paraId="74AE62E3">
      <w:pPr>
        <w:keepNext w:val="0"/>
        <w:keepLines w:val="0"/>
        <w:pageBreakBefore w:val="0"/>
        <w:widowControl w:val="0"/>
        <w:kinsoku/>
        <w:wordWrap/>
        <w:overflowPunct/>
        <w:topLinePunct w:val="0"/>
        <w:autoSpaceDE/>
        <w:autoSpaceDN/>
        <w:bidi w:val="0"/>
        <w:adjustRightInd/>
        <w:snapToGrid w:val="0"/>
        <w:spacing w:before="120" w:after="120" w:line="360" w:lineRule="exact"/>
        <w:ind w:firstLine="420"/>
        <w:jc w:val="both"/>
        <w:textAlignment w:val="auto"/>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⑵贬值处理：由甲乙双方合议定价。</w:t>
      </w:r>
    </w:p>
    <w:p w14:paraId="5A7EB25C">
      <w:pPr>
        <w:keepNext w:val="0"/>
        <w:keepLines w:val="0"/>
        <w:pageBreakBefore w:val="0"/>
        <w:widowControl w:val="0"/>
        <w:kinsoku/>
        <w:wordWrap/>
        <w:overflowPunct/>
        <w:topLinePunct w:val="0"/>
        <w:autoSpaceDE/>
        <w:autoSpaceDN/>
        <w:bidi w:val="0"/>
        <w:adjustRightInd/>
        <w:snapToGrid w:val="0"/>
        <w:spacing w:before="120" w:after="120" w:line="360" w:lineRule="exact"/>
        <w:ind w:left="420" w:leftChars="200"/>
        <w:jc w:val="both"/>
        <w:textAlignment w:val="auto"/>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⑶退货处理：乙方应退还甲方支付的合同款，同时应承担该货物的直接费用（运输、保险、检验、</w:t>
      </w:r>
    </w:p>
    <w:p w14:paraId="0934FE5A">
      <w:pPr>
        <w:keepNext w:val="0"/>
        <w:keepLines w:val="0"/>
        <w:pageBreakBefore w:val="0"/>
        <w:widowControl w:val="0"/>
        <w:kinsoku/>
        <w:wordWrap/>
        <w:overflowPunct/>
        <w:topLinePunct w:val="0"/>
        <w:autoSpaceDE/>
        <w:autoSpaceDN/>
        <w:bidi w:val="0"/>
        <w:adjustRightInd/>
        <w:snapToGrid w:val="0"/>
        <w:spacing w:before="120" w:after="120" w:line="360" w:lineRule="exact"/>
        <w:jc w:val="both"/>
        <w:textAlignment w:val="auto"/>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货款利息及银行手续费等）。</w:t>
      </w:r>
    </w:p>
    <w:p w14:paraId="6AD03197">
      <w:pPr>
        <w:keepNext w:val="0"/>
        <w:keepLines w:val="0"/>
        <w:pageBreakBefore w:val="0"/>
        <w:widowControl w:val="0"/>
        <w:kinsoku/>
        <w:wordWrap/>
        <w:overflowPunct/>
        <w:topLinePunct w:val="0"/>
        <w:autoSpaceDE/>
        <w:autoSpaceDN/>
        <w:bidi w:val="0"/>
        <w:adjustRightInd/>
        <w:snapToGrid w:val="0"/>
        <w:spacing w:before="120" w:after="120" w:line="360" w:lineRule="exact"/>
        <w:ind w:right="-126" w:rightChars="-60" w:firstLine="420" w:firstLineChars="200"/>
        <w:jc w:val="both"/>
        <w:textAlignment w:val="auto"/>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2.如在使用过程中发生质量问题，乙方在接到甲方通知后</w:t>
      </w:r>
      <w:r>
        <w:rPr>
          <w:rFonts w:hint="eastAsia" w:ascii="宋体" w:hAnsi="宋体" w:eastAsia="宋体" w:cs="Times New Roman"/>
          <w:color w:val="auto"/>
          <w:kern w:val="0"/>
          <w:sz w:val="21"/>
          <w:szCs w:val="21"/>
          <w:highlight w:val="none"/>
          <w:u w:val="single"/>
          <w:lang w:val="en-US" w:eastAsia="zh-CN" w:bidi="ar-SA"/>
        </w:rPr>
        <w:t>按乙方投标文件承诺时间</w:t>
      </w:r>
      <w:r>
        <w:rPr>
          <w:rFonts w:hint="eastAsia" w:ascii="宋体" w:hAnsi="宋体" w:eastAsia="宋体" w:cs="Times New Roman"/>
          <w:color w:val="auto"/>
          <w:kern w:val="0"/>
          <w:sz w:val="21"/>
          <w:szCs w:val="21"/>
          <w:highlight w:val="none"/>
          <w:lang w:val="en-US" w:eastAsia="zh-CN" w:bidi="ar-SA"/>
        </w:rPr>
        <w:t>到达甲方现场处理。</w:t>
      </w:r>
    </w:p>
    <w:p w14:paraId="1C1E1CE7">
      <w:pPr>
        <w:keepNext w:val="0"/>
        <w:keepLines w:val="0"/>
        <w:pageBreakBefore w:val="0"/>
        <w:widowControl w:val="0"/>
        <w:kinsoku/>
        <w:wordWrap/>
        <w:overflowPunct/>
        <w:topLinePunct w:val="0"/>
        <w:autoSpaceDE/>
        <w:autoSpaceDN/>
        <w:bidi w:val="0"/>
        <w:adjustRightInd/>
        <w:snapToGrid w:val="0"/>
        <w:spacing w:before="120" w:after="120" w:line="360" w:lineRule="exact"/>
        <w:ind w:firstLine="420" w:firstLineChars="200"/>
        <w:jc w:val="both"/>
        <w:textAlignment w:val="auto"/>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3.在质保期内，乙方应对货物出现的质量及安全问题负责处理解决并承担一切费用。</w:t>
      </w:r>
    </w:p>
    <w:p w14:paraId="653D1B6D">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4.上述的货物免费保修期</w:t>
      </w:r>
      <w:r>
        <w:rPr>
          <w:rFonts w:hint="eastAsia" w:ascii="宋体" w:hAnsi="宋体" w:eastAsia="宋体" w:cs="Times New Roman"/>
          <w:color w:val="auto"/>
          <w:szCs w:val="21"/>
          <w:highlight w:val="none"/>
          <w:u w:val="single"/>
        </w:rPr>
        <w:t>详见本合同条款第六条要求</w:t>
      </w:r>
      <w:r>
        <w:rPr>
          <w:rFonts w:hint="eastAsia" w:ascii="宋体" w:hAnsi="宋体" w:eastAsia="宋体" w:cs="Times New Roman"/>
          <w:color w:val="auto"/>
          <w:szCs w:val="21"/>
          <w:highlight w:val="none"/>
        </w:rPr>
        <w:t>，因人为因素出现的故障不在免费保修范围内。超过保修期的机器设备，终生维修，维修时只收部件成本费。</w:t>
      </w:r>
    </w:p>
    <w:p w14:paraId="1D57B4A3">
      <w:pPr>
        <w:keepNext w:val="0"/>
        <w:keepLines w:val="0"/>
        <w:pageBreakBefore w:val="0"/>
        <w:widowControl w:val="0"/>
        <w:kinsoku/>
        <w:wordWrap/>
        <w:overflowPunct/>
        <w:topLinePunct w:val="0"/>
        <w:autoSpaceDE/>
        <w:autoSpaceDN/>
        <w:bidi w:val="0"/>
        <w:adjustRightInd/>
        <w:snapToGrid w:val="0"/>
        <w:spacing w:before="120" w:after="120" w:line="360" w:lineRule="exact"/>
        <w:ind w:firstLine="413" w:firstLineChars="196"/>
        <w:jc w:val="both"/>
        <w:textAlignment w:val="auto"/>
        <w:rPr>
          <w:rFonts w:ascii="宋体" w:hAnsi="宋体" w:eastAsia="宋体" w:cs="Times New Roman"/>
          <w:b/>
          <w:color w:val="auto"/>
          <w:kern w:val="0"/>
          <w:sz w:val="21"/>
          <w:szCs w:val="21"/>
          <w:highlight w:val="none"/>
          <w:lang w:val="en-US" w:eastAsia="zh-CN" w:bidi="ar-SA"/>
        </w:rPr>
      </w:pPr>
      <w:r>
        <w:rPr>
          <w:rFonts w:hint="eastAsia" w:ascii="宋体" w:hAnsi="宋体" w:eastAsia="宋体" w:cs="Times New Roman"/>
          <w:b/>
          <w:color w:val="auto"/>
          <w:kern w:val="0"/>
          <w:sz w:val="21"/>
          <w:szCs w:val="21"/>
          <w:highlight w:val="none"/>
          <w:lang w:val="en-US" w:eastAsia="zh-CN" w:bidi="ar-SA"/>
        </w:rPr>
        <w:t>第十一条  调试和验收</w:t>
      </w:r>
    </w:p>
    <w:p w14:paraId="6905651D">
      <w:pPr>
        <w:keepNext w:val="0"/>
        <w:keepLines w:val="0"/>
        <w:pageBreakBefore w:val="0"/>
        <w:widowControl w:val="0"/>
        <w:kinsoku/>
        <w:wordWrap/>
        <w:overflowPunct/>
        <w:topLinePunct w:val="0"/>
        <w:autoSpaceDE/>
        <w:autoSpaceDN/>
        <w:bidi w:val="0"/>
        <w:adjustRightInd/>
        <w:snapToGrid w:val="0"/>
        <w:spacing w:before="120" w:after="120" w:line="360" w:lineRule="exact"/>
        <w:ind w:firstLine="420" w:firstLineChars="200"/>
        <w:jc w:val="left"/>
        <w:textAlignment w:val="auto"/>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逾期不验收的，乙方可视同验收合格。验收合格后由甲乙双方签署货物验收单并加盖采购人公章，甲乙双方各执一份。</w:t>
      </w:r>
    </w:p>
    <w:p w14:paraId="53BEABE0">
      <w:pPr>
        <w:keepNext w:val="0"/>
        <w:keepLines w:val="0"/>
        <w:pageBreakBefore w:val="0"/>
        <w:widowControl w:val="0"/>
        <w:kinsoku/>
        <w:wordWrap/>
        <w:overflowPunct/>
        <w:topLinePunct w:val="0"/>
        <w:autoSpaceDE/>
        <w:autoSpaceDN/>
        <w:bidi w:val="0"/>
        <w:adjustRightInd/>
        <w:snapToGrid w:val="0"/>
        <w:spacing w:before="120" w:after="120" w:line="360" w:lineRule="exact"/>
        <w:ind w:firstLine="420" w:firstLineChars="200"/>
        <w:jc w:val="both"/>
        <w:textAlignment w:val="auto"/>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2.乙方交货前应对产品作出全面检查和对验收文件进行整理，并列出清单，作为甲方收货验收和使用的技术条件依据，检验的结果应随货物交甲方。</w:t>
      </w:r>
    </w:p>
    <w:p w14:paraId="7F7D808F">
      <w:pPr>
        <w:keepNext w:val="0"/>
        <w:keepLines w:val="0"/>
        <w:pageBreakBefore w:val="0"/>
        <w:widowControl w:val="0"/>
        <w:kinsoku/>
        <w:wordWrap/>
        <w:overflowPunct/>
        <w:topLinePunct w:val="0"/>
        <w:autoSpaceDE/>
        <w:autoSpaceDN/>
        <w:bidi w:val="0"/>
        <w:adjustRightInd/>
        <w:snapToGrid w:val="0"/>
        <w:spacing w:before="120" w:after="120" w:line="360" w:lineRule="exact"/>
        <w:ind w:firstLine="420" w:firstLineChars="200"/>
        <w:jc w:val="both"/>
        <w:textAlignment w:val="auto"/>
        <w:rPr>
          <w:rFonts w:ascii="宋体" w:hAnsi="宋体" w:eastAsia="宋体" w:cs="Times New Roman"/>
          <w:color w:val="auto"/>
          <w:kern w:val="0"/>
          <w:sz w:val="21"/>
          <w:szCs w:val="21"/>
          <w:highlight w:val="none"/>
          <w:u w:val="single"/>
          <w:lang w:val="en-US" w:eastAsia="zh-CN" w:bidi="ar-SA"/>
        </w:rPr>
      </w:pPr>
      <w:r>
        <w:rPr>
          <w:rFonts w:hint="eastAsia" w:ascii="宋体" w:hAnsi="宋体" w:eastAsia="宋体" w:cs="Times New Roman"/>
          <w:color w:val="auto"/>
          <w:kern w:val="0"/>
          <w:sz w:val="21"/>
          <w:szCs w:val="21"/>
          <w:highlight w:val="none"/>
          <w:lang w:val="en-US" w:eastAsia="zh-CN" w:bidi="ar-SA"/>
        </w:rPr>
        <w:t>3.甲方对乙方提供的货物在使用前进行调试时，乙方需负责安装并培训甲方的使用操作人员，并协助甲方一起调试，直到符合技术要求，甲方才做最终验收。</w:t>
      </w:r>
    </w:p>
    <w:p w14:paraId="7885BC61">
      <w:pPr>
        <w:keepNext w:val="0"/>
        <w:keepLines w:val="0"/>
        <w:pageBreakBefore w:val="0"/>
        <w:widowControl w:val="0"/>
        <w:kinsoku/>
        <w:wordWrap/>
        <w:overflowPunct/>
        <w:topLinePunct w:val="0"/>
        <w:autoSpaceDE/>
        <w:autoSpaceDN/>
        <w:bidi w:val="0"/>
        <w:adjustRightInd/>
        <w:snapToGrid w:val="0"/>
        <w:spacing w:before="120" w:after="120" w:line="360" w:lineRule="exact"/>
        <w:ind w:firstLine="420" w:firstLineChars="200"/>
        <w:jc w:val="both"/>
        <w:textAlignment w:val="auto"/>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4.对技术复杂的货物，甲方应请国家认可的专业检测机构参与初步验收及最终验收，并由其出具质量检测报告。</w:t>
      </w:r>
    </w:p>
    <w:p w14:paraId="4B89829C">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宋体" w:hAnsi="宋体" w:eastAsia="宋体" w:cs="宋体"/>
          <w:color w:val="auto"/>
          <w:szCs w:val="21"/>
          <w:highlight w:val="none"/>
        </w:rPr>
      </w:pPr>
      <w:r>
        <w:rPr>
          <w:rFonts w:hint="eastAsia" w:ascii="宋体" w:hAnsi="宋体" w:eastAsia="宋体" w:cs="Times New Roman"/>
          <w:color w:val="auto"/>
          <w:szCs w:val="21"/>
          <w:highlight w:val="none"/>
        </w:rPr>
        <w:t>5.</w:t>
      </w:r>
      <w:r>
        <w:rPr>
          <w:rFonts w:hint="eastAsia" w:ascii="宋体" w:hAnsi="宋体" w:eastAsia="宋体" w:cs="宋体"/>
          <w:color w:val="auto"/>
          <w:szCs w:val="21"/>
          <w:highlight w:val="none"/>
        </w:rPr>
        <w:t>验收时乙方必须在场，验收完毕后作出验收结果报告；验收费用由乙方负责。</w:t>
      </w:r>
    </w:p>
    <w:p w14:paraId="16A5730D">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6.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5A4BD6B3">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7.甲方对验收有异议的，在验收后五个工作日内以书面形式向乙方提出，乙方应自收到甲方书面异议后</w:t>
      </w:r>
      <w:r>
        <w:rPr>
          <w:rFonts w:hint="eastAsia" w:ascii="宋体" w:hAnsi="宋体" w:eastAsia="宋体" w:cs="Times New Roman"/>
          <w:color w:val="auto"/>
          <w:szCs w:val="21"/>
          <w:highlight w:val="none"/>
          <w:u w:val="single"/>
        </w:rPr>
        <w:t xml:space="preserve"> 3 </w:t>
      </w:r>
      <w:r>
        <w:rPr>
          <w:rFonts w:hint="eastAsia" w:ascii="宋体" w:hAnsi="宋体" w:eastAsia="宋体" w:cs="Times New Roman"/>
          <w:color w:val="auto"/>
          <w:szCs w:val="21"/>
          <w:highlight w:val="none"/>
        </w:rPr>
        <w:t>日内及时予以解决。</w:t>
      </w:r>
    </w:p>
    <w:p w14:paraId="69ADD7EA">
      <w:pPr>
        <w:keepNext w:val="0"/>
        <w:keepLines w:val="0"/>
        <w:pageBreakBefore w:val="0"/>
        <w:widowControl w:val="0"/>
        <w:kinsoku/>
        <w:wordWrap/>
        <w:overflowPunct/>
        <w:topLinePunct w:val="0"/>
        <w:autoSpaceDE/>
        <w:autoSpaceDN/>
        <w:bidi w:val="0"/>
        <w:adjustRightInd/>
        <w:snapToGrid w:val="0"/>
        <w:spacing w:before="120" w:after="120" w:line="360" w:lineRule="exact"/>
        <w:ind w:firstLine="413" w:firstLineChars="196"/>
        <w:jc w:val="both"/>
        <w:textAlignment w:val="auto"/>
        <w:rPr>
          <w:rFonts w:ascii="宋体" w:hAnsi="宋体" w:eastAsia="宋体" w:cs="Times New Roman"/>
          <w:b/>
          <w:color w:val="auto"/>
          <w:kern w:val="0"/>
          <w:sz w:val="21"/>
          <w:szCs w:val="21"/>
          <w:highlight w:val="none"/>
          <w:lang w:val="en-US" w:eastAsia="zh-CN" w:bidi="ar-SA"/>
        </w:rPr>
      </w:pPr>
      <w:r>
        <w:rPr>
          <w:rFonts w:hint="eastAsia" w:ascii="宋体" w:hAnsi="宋体" w:eastAsia="宋体" w:cs="Times New Roman"/>
          <w:b/>
          <w:color w:val="auto"/>
          <w:kern w:val="0"/>
          <w:sz w:val="21"/>
          <w:szCs w:val="21"/>
          <w:highlight w:val="none"/>
          <w:lang w:val="en-US" w:eastAsia="zh-CN" w:bidi="ar-SA"/>
        </w:rPr>
        <w:t>第十二条  货物包装、发运及运输</w:t>
      </w:r>
    </w:p>
    <w:p w14:paraId="1C59E4CB">
      <w:pPr>
        <w:keepNext w:val="0"/>
        <w:keepLines w:val="0"/>
        <w:pageBreakBefore w:val="0"/>
        <w:widowControl w:val="0"/>
        <w:kinsoku/>
        <w:wordWrap/>
        <w:overflowPunct/>
        <w:topLinePunct w:val="0"/>
        <w:autoSpaceDE/>
        <w:autoSpaceDN/>
        <w:bidi w:val="0"/>
        <w:adjustRightInd/>
        <w:snapToGrid w:val="0"/>
        <w:spacing w:before="120" w:after="120" w:line="360" w:lineRule="exact"/>
        <w:ind w:firstLine="420" w:firstLineChars="200"/>
        <w:jc w:val="both"/>
        <w:textAlignment w:val="auto"/>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1.乙方提供的货物均应按招投标文件要求的包装材料、包装标准、包装方式进行包装，每一包装单元内应附详细的装箱单和质量合格证。货物的运输方式：不计。</w:t>
      </w:r>
    </w:p>
    <w:p w14:paraId="03D48606">
      <w:pPr>
        <w:keepNext w:val="0"/>
        <w:keepLines w:val="0"/>
        <w:pageBreakBefore w:val="0"/>
        <w:widowControl w:val="0"/>
        <w:kinsoku/>
        <w:wordWrap/>
        <w:overflowPunct/>
        <w:topLinePunct w:val="0"/>
        <w:autoSpaceDE/>
        <w:autoSpaceDN/>
        <w:bidi w:val="0"/>
        <w:adjustRightInd/>
        <w:snapToGrid w:val="0"/>
        <w:spacing w:before="120" w:after="120" w:line="360" w:lineRule="exact"/>
        <w:ind w:firstLine="420" w:firstLineChars="200"/>
        <w:jc w:val="both"/>
        <w:textAlignment w:val="auto"/>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2.乙方负责货物运输，货物运输合理损耗及计算方法：损耗由乙方承担。</w:t>
      </w:r>
    </w:p>
    <w:p w14:paraId="1B37445F">
      <w:pPr>
        <w:keepNext w:val="0"/>
        <w:keepLines w:val="0"/>
        <w:pageBreakBefore w:val="0"/>
        <w:widowControl w:val="0"/>
        <w:kinsoku/>
        <w:wordWrap/>
        <w:overflowPunct/>
        <w:topLinePunct w:val="0"/>
        <w:autoSpaceDE/>
        <w:autoSpaceDN/>
        <w:bidi w:val="0"/>
        <w:adjustRightInd/>
        <w:snapToGrid w:val="0"/>
        <w:spacing w:before="120" w:after="120" w:line="360" w:lineRule="exact"/>
        <w:ind w:firstLine="420" w:firstLineChars="200"/>
        <w:jc w:val="both"/>
        <w:textAlignment w:val="auto"/>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3.乙方应在货物发运前对其进行满足运输距离、防潮、防震、防锈和防破损装卸等要求包装，以保证货物安全运达甲方指定地点。</w:t>
      </w:r>
    </w:p>
    <w:p w14:paraId="33EB8115">
      <w:pPr>
        <w:keepNext w:val="0"/>
        <w:keepLines w:val="0"/>
        <w:pageBreakBefore w:val="0"/>
        <w:widowControl w:val="0"/>
        <w:kinsoku/>
        <w:wordWrap/>
        <w:overflowPunct/>
        <w:topLinePunct w:val="0"/>
        <w:autoSpaceDE/>
        <w:autoSpaceDN/>
        <w:bidi w:val="0"/>
        <w:adjustRightInd/>
        <w:snapToGrid w:val="0"/>
        <w:spacing w:before="120" w:after="120" w:line="360" w:lineRule="exact"/>
        <w:ind w:left="420" w:leftChars="200"/>
        <w:jc w:val="both"/>
        <w:textAlignment w:val="auto"/>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4.使用说明书、质量检验证明书、随配附件和工具以及清单一并附于货物内。</w:t>
      </w:r>
    </w:p>
    <w:p w14:paraId="4952B1A0">
      <w:pPr>
        <w:keepNext w:val="0"/>
        <w:keepLines w:val="0"/>
        <w:pageBreakBefore w:val="0"/>
        <w:widowControl w:val="0"/>
        <w:kinsoku/>
        <w:wordWrap/>
        <w:overflowPunct/>
        <w:topLinePunct w:val="0"/>
        <w:autoSpaceDE/>
        <w:autoSpaceDN/>
        <w:bidi w:val="0"/>
        <w:adjustRightInd/>
        <w:snapToGrid w:val="0"/>
        <w:spacing w:before="120" w:after="120" w:line="360" w:lineRule="exact"/>
        <w:ind w:left="420" w:leftChars="200"/>
        <w:jc w:val="both"/>
        <w:textAlignment w:val="auto"/>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5.乙方在货物发运手续办理完毕后二十四小时内或货到甲方四十八小时前通知甲方，以准备接货。</w:t>
      </w:r>
    </w:p>
    <w:p w14:paraId="7F9BAD36">
      <w:pPr>
        <w:keepNext w:val="0"/>
        <w:keepLines w:val="0"/>
        <w:pageBreakBefore w:val="0"/>
        <w:widowControl w:val="0"/>
        <w:kinsoku/>
        <w:wordWrap/>
        <w:overflowPunct/>
        <w:topLinePunct w:val="0"/>
        <w:autoSpaceDE/>
        <w:autoSpaceDN/>
        <w:bidi w:val="0"/>
        <w:adjustRightInd/>
        <w:snapToGrid w:val="0"/>
        <w:spacing w:before="120" w:after="120" w:line="360" w:lineRule="exact"/>
        <w:ind w:left="420" w:leftChars="200"/>
        <w:jc w:val="both"/>
        <w:textAlignment w:val="auto"/>
        <w:outlineLvl w:val="9"/>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6.货物在交付甲方前发生的风险均由乙方负责。</w:t>
      </w:r>
    </w:p>
    <w:p w14:paraId="73F8171E">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宋体" w:hAnsi="宋体" w:eastAsia="宋体" w:cs="Times New Roman"/>
          <w:color w:val="auto"/>
          <w:spacing w:val="-8"/>
          <w:szCs w:val="21"/>
          <w:highlight w:val="none"/>
        </w:rPr>
      </w:pPr>
      <w:r>
        <w:rPr>
          <w:rFonts w:hint="eastAsia" w:ascii="宋体" w:hAnsi="宋体" w:eastAsia="宋体" w:cs="Times New Roman"/>
          <w:color w:val="auto"/>
          <w:szCs w:val="21"/>
          <w:highlight w:val="none"/>
        </w:rPr>
        <w:t>7.</w:t>
      </w:r>
      <w:r>
        <w:rPr>
          <w:rFonts w:hint="eastAsia" w:ascii="宋体" w:hAnsi="宋体" w:eastAsia="宋体" w:cs="Times New Roman"/>
          <w:color w:val="auto"/>
          <w:kern w:val="0"/>
          <w:sz w:val="21"/>
          <w:szCs w:val="21"/>
          <w:highlight w:val="none"/>
          <w:lang w:val="en-US" w:eastAsia="zh-CN" w:bidi="ar-SA"/>
        </w:rPr>
        <w:t>货物在规定的交付期限内由乙方送达甲方指定的地点视为交付，乙方同时需通知甲方货物已送达</w:t>
      </w:r>
      <w:r>
        <w:rPr>
          <w:rFonts w:hint="eastAsia" w:ascii="宋体" w:hAnsi="宋体" w:eastAsia="宋体" w:cs="Times New Roman"/>
          <w:color w:val="auto"/>
          <w:spacing w:val="-8"/>
          <w:szCs w:val="21"/>
          <w:highlight w:val="none"/>
        </w:rPr>
        <w:t>。</w:t>
      </w:r>
    </w:p>
    <w:p w14:paraId="27E75CCE">
      <w:pPr>
        <w:keepNext w:val="0"/>
        <w:keepLines w:val="0"/>
        <w:pageBreakBefore w:val="0"/>
        <w:widowControl w:val="0"/>
        <w:kinsoku/>
        <w:wordWrap/>
        <w:overflowPunct/>
        <w:topLinePunct w:val="0"/>
        <w:autoSpaceDE/>
        <w:autoSpaceDN/>
        <w:bidi w:val="0"/>
        <w:adjustRightInd/>
        <w:snapToGrid w:val="0"/>
        <w:spacing w:line="360" w:lineRule="exact"/>
        <w:ind w:firstLine="422" w:firstLineChars="200"/>
        <w:textAlignment w:val="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第十三条　违约责任</w:t>
      </w:r>
    </w:p>
    <w:p w14:paraId="6E8FF908">
      <w:pPr>
        <w:keepNext w:val="0"/>
        <w:keepLines w:val="0"/>
        <w:pageBreakBefore w:val="0"/>
        <w:widowControl w:val="0"/>
        <w:kinsoku/>
        <w:wordWrap/>
        <w:overflowPunct/>
        <w:topLinePunct w:val="0"/>
        <w:autoSpaceDE/>
        <w:autoSpaceDN/>
        <w:bidi w:val="0"/>
        <w:adjustRightInd/>
        <w:snapToGrid w:val="0"/>
        <w:spacing w:line="360" w:lineRule="exact"/>
        <w:ind w:firstLine="539" w:firstLineChars="257"/>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14:paraId="580331F8">
      <w:pPr>
        <w:keepNext w:val="0"/>
        <w:keepLines w:val="0"/>
        <w:pageBreakBefore w:val="0"/>
        <w:widowControl w:val="0"/>
        <w:kinsoku/>
        <w:wordWrap/>
        <w:overflowPunct/>
        <w:topLinePunct w:val="0"/>
        <w:autoSpaceDE/>
        <w:autoSpaceDN/>
        <w:bidi w:val="0"/>
        <w:adjustRightInd/>
        <w:snapToGrid w:val="0"/>
        <w:spacing w:line="360" w:lineRule="exact"/>
        <w:ind w:firstLine="472" w:firstLineChars="225"/>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2.乙方提供的货物如侵犯了第三方合法权益而引发的任何纠纷或诉讼，均由乙方负责交涉并承担全部责任。</w:t>
      </w:r>
    </w:p>
    <w:p w14:paraId="258080E8">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3.因包装、运输引起的货物损坏，按质量不合格处理。</w:t>
      </w:r>
    </w:p>
    <w:p w14:paraId="08E97508">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hint="eastAsia" w:ascii="宋体" w:hAnsi="宋体" w:eastAsia="宋体" w:cs="宋体"/>
          <w:color w:val="auto"/>
          <w:szCs w:val="21"/>
          <w:highlight w:val="none"/>
        </w:rPr>
        <w:t>甲方无故延期接收货物、乙方逾期交货的，每天向对方偿付违约货款额</w:t>
      </w:r>
      <w:r>
        <w:rPr>
          <w:rFonts w:ascii="宋体" w:hAnsi="宋体" w:eastAsia="宋体" w:cs="Verdana"/>
          <w:color w:val="auto"/>
          <w:szCs w:val="21"/>
          <w:highlight w:val="none"/>
        </w:rPr>
        <w:t>3‰</w:t>
      </w:r>
      <w:r>
        <w:rPr>
          <w:rFonts w:hint="eastAsia" w:ascii="宋体" w:hAnsi="宋体" w:eastAsia="宋体" w:cs="宋体"/>
          <w:color w:val="auto"/>
          <w:szCs w:val="21"/>
          <w:highlight w:val="none"/>
        </w:rPr>
        <w:t>违约金，但违约金累计不得超过违约货款额</w:t>
      </w:r>
      <w:r>
        <w:rPr>
          <w:rFonts w:hint="eastAsia" w:ascii="宋体" w:hAnsi="宋体" w:eastAsia="宋体" w:cs="Times New Roman"/>
          <w:color w:val="auto"/>
          <w:szCs w:val="21"/>
          <w:highlight w:val="none"/>
          <w:u w:val="single"/>
        </w:rPr>
        <w:t>5%</w:t>
      </w:r>
      <w:r>
        <w:rPr>
          <w:rFonts w:hint="eastAsia" w:ascii="宋体" w:hAnsi="宋体" w:eastAsia="宋体" w:cs="宋体"/>
          <w:color w:val="auto"/>
          <w:szCs w:val="21"/>
          <w:highlight w:val="none"/>
        </w:rPr>
        <w:t>，超过</w:t>
      </w:r>
      <w:r>
        <w:rPr>
          <w:rFonts w:hint="eastAsia" w:ascii="宋体" w:hAnsi="宋体" w:eastAsia="宋体" w:cs="Times New Roman"/>
          <w:color w:val="auto"/>
          <w:szCs w:val="21"/>
          <w:highlight w:val="none"/>
        </w:rPr>
        <w:t xml:space="preserve">10 </w:t>
      </w:r>
      <w:r>
        <w:rPr>
          <w:rFonts w:hint="eastAsia" w:ascii="宋体" w:hAnsi="宋体" w:eastAsia="宋体" w:cs="宋体"/>
          <w:color w:val="auto"/>
          <w:szCs w:val="21"/>
          <w:highlight w:val="none"/>
        </w:rPr>
        <w:t>天对方有权解除合同，违约方承担因此给对方造成的经济损失；甲方延期付货款的，每天向乙方偿付延期货款额</w:t>
      </w:r>
      <w:r>
        <w:rPr>
          <w:rFonts w:hint="eastAsia" w:ascii="宋体" w:hAnsi="宋体" w:eastAsia="宋体" w:cs="Times New Roman"/>
          <w:color w:val="auto"/>
          <w:szCs w:val="21"/>
          <w:highlight w:val="none"/>
        </w:rPr>
        <w:t xml:space="preserve"> 3‰  </w:t>
      </w:r>
      <w:r>
        <w:rPr>
          <w:rFonts w:hint="eastAsia" w:ascii="宋体" w:hAnsi="宋体" w:eastAsia="宋体" w:cs="宋体"/>
          <w:color w:val="auto"/>
          <w:szCs w:val="21"/>
          <w:highlight w:val="none"/>
        </w:rPr>
        <w:t>滞纳金，但滞纳金累计不得超过延期货款额</w:t>
      </w:r>
      <w:r>
        <w:rPr>
          <w:rFonts w:hint="eastAsia" w:ascii="宋体" w:hAnsi="宋体" w:eastAsia="宋体" w:cs="Times New Roman"/>
          <w:color w:val="auto"/>
          <w:szCs w:val="21"/>
          <w:highlight w:val="none"/>
        </w:rPr>
        <w:t xml:space="preserve"> 5%。</w:t>
      </w:r>
    </w:p>
    <w:p w14:paraId="04034971">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w:t>
      </w:r>
      <w:r>
        <w:rPr>
          <w:rFonts w:hint="eastAsia" w:ascii="宋体" w:hAnsi="宋体" w:eastAsia="宋体" w:cs="宋体"/>
          <w:color w:val="auto"/>
          <w:szCs w:val="21"/>
          <w:highlight w:val="none"/>
        </w:rPr>
        <w:t>乙方未按本合同和投标文件中规定的服务承诺提供售后服务的，乙方应按本合同合计金额</w:t>
      </w:r>
      <w:r>
        <w:rPr>
          <w:rFonts w:hint="eastAsia" w:ascii="宋体" w:hAnsi="宋体" w:eastAsia="宋体" w:cs="Times New Roman"/>
          <w:color w:val="auto"/>
          <w:szCs w:val="21"/>
          <w:highlight w:val="none"/>
        </w:rPr>
        <w:t>5%</w:t>
      </w:r>
      <w:r>
        <w:rPr>
          <w:rFonts w:hint="eastAsia" w:ascii="宋体" w:hAnsi="宋体" w:eastAsia="宋体" w:cs="宋体"/>
          <w:color w:val="auto"/>
          <w:szCs w:val="21"/>
          <w:highlight w:val="none"/>
        </w:rPr>
        <w:t>向甲方支付违约金。</w:t>
      </w:r>
    </w:p>
    <w:p w14:paraId="7AD6A395">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6.乙方提供的货物在质量保证期内，因设计、工艺或材料的缺陷和其它质量原因造成的问题，由乙方负责，若有</w:t>
      </w:r>
      <w:r>
        <w:rPr>
          <w:rFonts w:hint="eastAsia" w:ascii="宋体" w:hAnsi="宋体" w:eastAsia="宋体" w:cs="Times New Roman"/>
          <w:color w:val="auto"/>
          <w:szCs w:val="21"/>
          <w:highlight w:val="none"/>
          <w:lang w:val="en-US" w:eastAsia="zh-CN"/>
        </w:rPr>
        <w:t>合同款未付</w:t>
      </w:r>
      <w:r>
        <w:rPr>
          <w:rFonts w:hint="eastAsia" w:ascii="宋体" w:hAnsi="宋体" w:eastAsia="宋体" w:cs="Times New Roman"/>
          <w:color w:val="auto"/>
          <w:szCs w:val="21"/>
          <w:highlight w:val="none"/>
        </w:rPr>
        <w:t>，费用从中扣除，不足另补。</w:t>
      </w:r>
    </w:p>
    <w:p w14:paraId="6BB8ACF5">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7.其它违约行为按违约货款额5%收取违约金并赔偿经济损失。</w:t>
      </w:r>
    </w:p>
    <w:p w14:paraId="68E32E47">
      <w:pPr>
        <w:keepNext w:val="0"/>
        <w:keepLines w:val="0"/>
        <w:pageBreakBefore w:val="0"/>
        <w:widowControl w:val="0"/>
        <w:kinsoku/>
        <w:wordWrap/>
        <w:overflowPunct/>
        <w:topLinePunct w:val="0"/>
        <w:autoSpaceDE/>
        <w:autoSpaceDN/>
        <w:bidi w:val="0"/>
        <w:adjustRightInd/>
        <w:snapToGrid w:val="0"/>
        <w:spacing w:before="120" w:after="120" w:line="360" w:lineRule="exact"/>
        <w:ind w:firstLine="413" w:firstLineChars="196"/>
        <w:jc w:val="both"/>
        <w:textAlignment w:val="auto"/>
        <w:rPr>
          <w:rFonts w:ascii="宋体" w:hAnsi="宋体" w:eastAsia="宋体" w:cs="Times New Roman"/>
          <w:b/>
          <w:color w:val="auto"/>
          <w:kern w:val="0"/>
          <w:sz w:val="21"/>
          <w:szCs w:val="21"/>
          <w:highlight w:val="none"/>
          <w:lang w:val="en-US" w:eastAsia="zh-CN" w:bidi="ar-SA"/>
        </w:rPr>
      </w:pPr>
      <w:r>
        <w:rPr>
          <w:rFonts w:hint="eastAsia" w:ascii="宋体" w:hAnsi="宋体" w:eastAsia="宋体" w:cs="Times New Roman"/>
          <w:b/>
          <w:color w:val="auto"/>
          <w:kern w:val="0"/>
          <w:sz w:val="21"/>
          <w:szCs w:val="21"/>
          <w:highlight w:val="none"/>
          <w:lang w:val="en-US" w:eastAsia="zh-CN" w:bidi="ar-SA"/>
        </w:rPr>
        <w:t>第十四条  不可抗力事件处理</w:t>
      </w:r>
    </w:p>
    <w:p w14:paraId="591F923A">
      <w:pPr>
        <w:pStyle w:val="13"/>
        <w:snapToGrid w:val="0"/>
        <w:spacing w:line="360" w:lineRule="auto"/>
        <w:ind w:firstLine="420" w:firstLineChars="200"/>
        <w:rPr>
          <w:rFonts w:hint="eastAsia" w:hAnsi="宋体" w:cs="宋体"/>
          <w:color w:val="auto"/>
          <w:sz w:val="21"/>
        </w:rPr>
      </w:pPr>
      <w:r>
        <w:rPr>
          <w:rFonts w:hint="eastAsia" w:hAnsi="宋体" w:cs="宋体"/>
          <w:color w:val="auto"/>
          <w:sz w:val="21"/>
        </w:rPr>
        <w:t>1.在合同有效期内，任何一方因不可抗力事件导致不能履行合同，则合同履行期可延长，其延长期与不可抗力影响期相同。</w:t>
      </w:r>
    </w:p>
    <w:p w14:paraId="7F68B8C4">
      <w:pPr>
        <w:pStyle w:val="13"/>
        <w:snapToGrid w:val="0"/>
        <w:spacing w:line="360" w:lineRule="auto"/>
        <w:ind w:firstLine="420" w:firstLineChars="200"/>
        <w:rPr>
          <w:rFonts w:hint="eastAsia" w:hAnsi="宋体" w:cs="宋体"/>
          <w:color w:val="auto"/>
          <w:sz w:val="21"/>
        </w:rPr>
      </w:pPr>
      <w:r>
        <w:rPr>
          <w:rFonts w:hint="eastAsia" w:hAnsi="宋体" w:cs="宋体"/>
          <w:color w:val="auto"/>
          <w:sz w:val="21"/>
        </w:rPr>
        <w:t>2.不可抗力事件发生后，应立即通知对方，并寄送有关权威机构出具的证明。</w:t>
      </w:r>
    </w:p>
    <w:p w14:paraId="3AD8971C">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3.不可抗力事件延续一百二十天以上，双方应通过友好协商，确定是否继续履行合同。</w:t>
      </w:r>
    </w:p>
    <w:p w14:paraId="513D14F2">
      <w:pPr>
        <w:snapToGrid w:val="0"/>
        <w:spacing w:line="360" w:lineRule="auto"/>
        <w:ind w:firstLine="422" w:firstLineChars="200"/>
        <w:rPr>
          <w:rFonts w:hint="eastAsia" w:ascii="宋体" w:hAnsi="宋体" w:cs="宋体"/>
          <w:color w:val="auto"/>
          <w:szCs w:val="21"/>
        </w:rPr>
      </w:pPr>
      <w:r>
        <w:rPr>
          <w:rFonts w:hint="eastAsia" w:ascii="宋体" w:hAnsi="宋体" w:cs="宋体"/>
          <w:b/>
          <w:color w:val="auto"/>
          <w:szCs w:val="21"/>
        </w:rPr>
        <w:t>第十</w:t>
      </w:r>
      <w:r>
        <w:rPr>
          <w:rFonts w:hint="eastAsia" w:ascii="宋体" w:hAnsi="宋体" w:cs="宋体"/>
          <w:b/>
          <w:color w:val="auto"/>
          <w:szCs w:val="21"/>
          <w:lang w:eastAsia="zh-CN"/>
        </w:rPr>
        <w:t>五</w:t>
      </w:r>
      <w:r>
        <w:rPr>
          <w:rFonts w:hint="eastAsia" w:ascii="宋体" w:hAnsi="宋体" w:cs="宋体"/>
          <w:b/>
          <w:color w:val="auto"/>
          <w:szCs w:val="21"/>
        </w:rPr>
        <w:t>条  合同争议解决</w:t>
      </w:r>
    </w:p>
    <w:p w14:paraId="42FB6B09">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1.因货物质量问题发生争议的，应邀请国家认可的质量检测机构对货物质量进行鉴定。货物符合标准的，鉴定费由甲方承担；货物不符合标准的，鉴定费由乙方承担。</w:t>
      </w:r>
    </w:p>
    <w:p w14:paraId="099B055A">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2.因履行本合同引起的或者与本合同有关的争议，甲乙双方应首先通过友好协商解决，如果协商不能解决，可向甲方所在地人民法院提起诉讼。</w:t>
      </w:r>
    </w:p>
    <w:p w14:paraId="04BB47A8">
      <w:pPr>
        <w:snapToGrid w:val="0"/>
        <w:spacing w:line="360" w:lineRule="auto"/>
        <w:ind w:left="-61" w:firstLine="514"/>
        <w:outlineLvl w:val="9"/>
        <w:rPr>
          <w:rFonts w:hint="eastAsia" w:ascii="宋体" w:hAnsi="宋体" w:cs="宋体"/>
          <w:color w:val="auto"/>
          <w:szCs w:val="21"/>
        </w:rPr>
      </w:pPr>
      <w:r>
        <w:rPr>
          <w:rFonts w:hint="eastAsia" w:ascii="宋体" w:hAnsi="宋体" w:cs="宋体"/>
          <w:color w:val="auto"/>
          <w:szCs w:val="21"/>
        </w:rPr>
        <w:t>3.诉讼期间，本合同继续履行。</w:t>
      </w:r>
    </w:p>
    <w:p w14:paraId="2E8E7E7E">
      <w:pPr>
        <w:pStyle w:val="13"/>
        <w:snapToGrid w:val="0"/>
        <w:spacing w:line="360" w:lineRule="auto"/>
        <w:ind w:firstLine="413" w:firstLineChars="196"/>
        <w:rPr>
          <w:rFonts w:hint="eastAsia" w:hAnsi="宋体" w:cs="宋体"/>
          <w:b/>
          <w:color w:val="auto"/>
          <w:sz w:val="21"/>
          <w:lang w:eastAsia="zh-CN"/>
        </w:rPr>
      </w:pPr>
      <w:r>
        <w:rPr>
          <w:rFonts w:hint="eastAsia" w:hAnsi="宋体" w:cs="宋体"/>
          <w:b/>
          <w:color w:val="auto"/>
          <w:sz w:val="21"/>
        </w:rPr>
        <w:t>第十</w:t>
      </w:r>
      <w:r>
        <w:rPr>
          <w:rFonts w:hint="eastAsia" w:hAnsi="宋体" w:cs="宋体"/>
          <w:b/>
          <w:color w:val="auto"/>
          <w:sz w:val="21"/>
          <w:lang w:eastAsia="zh-CN"/>
        </w:rPr>
        <w:t>六</w:t>
      </w:r>
      <w:r>
        <w:rPr>
          <w:rFonts w:hint="eastAsia" w:hAnsi="宋体" w:cs="宋体"/>
          <w:b/>
          <w:color w:val="auto"/>
          <w:sz w:val="21"/>
        </w:rPr>
        <w:t>条  合同生效及</w:t>
      </w:r>
      <w:r>
        <w:rPr>
          <w:rFonts w:hint="eastAsia" w:hAnsi="宋体" w:cs="宋体"/>
          <w:b/>
          <w:color w:val="auto"/>
          <w:sz w:val="21"/>
          <w:lang w:eastAsia="zh-CN"/>
        </w:rPr>
        <w:t>其他</w:t>
      </w:r>
    </w:p>
    <w:p w14:paraId="60575918">
      <w:pPr>
        <w:pStyle w:val="13"/>
        <w:snapToGrid w:val="0"/>
        <w:spacing w:line="360" w:lineRule="auto"/>
        <w:ind w:firstLine="420" w:firstLineChars="200"/>
        <w:rPr>
          <w:rFonts w:hint="eastAsia" w:hAnsi="宋体" w:cs="宋体"/>
          <w:b w:val="0"/>
          <w:bCs/>
          <w:color w:val="auto"/>
          <w:sz w:val="21"/>
        </w:rPr>
      </w:pPr>
      <w:r>
        <w:rPr>
          <w:rFonts w:hint="eastAsia" w:hAnsi="宋体" w:cs="宋体"/>
          <w:b w:val="0"/>
          <w:bCs/>
          <w:color w:val="auto"/>
          <w:sz w:val="21"/>
        </w:rPr>
        <w:t>1.合同经双方法定代表人或者</w:t>
      </w:r>
      <w:r>
        <w:rPr>
          <w:rFonts w:hint="eastAsia" w:hAnsi="宋体" w:cs="宋体"/>
          <w:b w:val="0"/>
          <w:bCs/>
          <w:color w:val="auto"/>
          <w:sz w:val="21"/>
          <w:lang w:eastAsia="zh-CN"/>
        </w:rPr>
        <w:t>其</w:t>
      </w:r>
      <w:r>
        <w:rPr>
          <w:rFonts w:hint="eastAsia" w:hAnsi="宋体" w:cs="宋体"/>
          <w:b w:val="0"/>
          <w:bCs/>
          <w:color w:val="auto"/>
          <w:sz w:val="21"/>
        </w:rPr>
        <w:t>委托代理人签字并加盖单位公章后生效（委托代理人签字的需后附法定代表人授权委托书，格式自拟）。</w:t>
      </w:r>
    </w:p>
    <w:p w14:paraId="2D4CEF49">
      <w:pPr>
        <w:pStyle w:val="13"/>
        <w:snapToGrid w:val="0"/>
        <w:spacing w:line="360" w:lineRule="auto"/>
        <w:ind w:firstLine="420" w:firstLineChars="200"/>
        <w:rPr>
          <w:rFonts w:hint="eastAsia" w:hAnsi="宋体" w:cs="宋体"/>
          <w:b w:val="0"/>
          <w:bCs/>
          <w:color w:val="auto"/>
          <w:sz w:val="21"/>
        </w:rPr>
      </w:pPr>
      <w:r>
        <w:rPr>
          <w:rFonts w:hint="eastAsia" w:hAnsi="宋体" w:cs="宋体"/>
          <w:b w:val="0"/>
          <w:bCs/>
          <w:color w:val="auto"/>
          <w:sz w:val="21"/>
        </w:rPr>
        <w:t>2.合同执行中涉及采购资金和采购内容修改或者补充的，须经财政部门审批，并签书面补充协议报财政部门备案，方可作为主合同不可分割的一部分。</w:t>
      </w:r>
    </w:p>
    <w:p w14:paraId="3CBBD9A2">
      <w:pPr>
        <w:pStyle w:val="13"/>
        <w:snapToGrid w:val="0"/>
        <w:spacing w:line="360" w:lineRule="auto"/>
        <w:ind w:left="283" w:leftChars="135" w:firstLine="143"/>
        <w:rPr>
          <w:rFonts w:hint="eastAsia" w:hAnsi="宋体" w:cs="宋体"/>
          <w:b w:val="0"/>
          <w:bCs/>
          <w:color w:val="auto"/>
          <w:sz w:val="21"/>
        </w:rPr>
      </w:pPr>
      <w:r>
        <w:rPr>
          <w:rFonts w:hint="eastAsia" w:hAnsi="宋体" w:cs="宋体"/>
          <w:b w:val="0"/>
          <w:bCs/>
          <w:color w:val="auto"/>
          <w:sz w:val="21"/>
        </w:rPr>
        <w:t>3.本合同未尽事宜，遵照《</w:t>
      </w:r>
      <w:r>
        <w:rPr>
          <w:rFonts w:hint="eastAsia" w:hAnsi="宋体" w:cs="宋体"/>
          <w:b w:val="0"/>
          <w:bCs/>
          <w:color w:val="auto"/>
          <w:sz w:val="21"/>
          <w:lang w:eastAsia="zh-CN"/>
        </w:rPr>
        <w:t>中华人民共和国民法典</w:t>
      </w:r>
      <w:r>
        <w:rPr>
          <w:rFonts w:hint="eastAsia" w:hAnsi="宋体" w:cs="宋体"/>
          <w:b w:val="0"/>
          <w:bCs/>
          <w:color w:val="auto"/>
          <w:sz w:val="21"/>
        </w:rPr>
        <w:t>》有关条文执行。</w:t>
      </w:r>
    </w:p>
    <w:p w14:paraId="4ECA747D">
      <w:pPr>
        <w:snapToGrid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第十</w:t>
      </w:r>
      <w:r>
        <w:rPr>
          <w:rFonts w:hint="eastAsia" w:ascii="宋体" w:hAnsi="宋体" w:cs="宋体"/>
          <w:b/>
          <w:color w:val="auto"/>
          <w:szCs w:val="21"/>
          <w:lang w:eastAsia="zh-CN"/>
        </w:rPr>
        <w:t>七</w:t>
      </w:r>
      <w:r>
        <w:rPr>
          <w:rFonts w:hint="eastAsia" w:ascii="宋体" w:hAnsi="宋体" w:cs="宋体"/>
          <w:b/>
          <w:color w:val="auto"/>
          <w:szCs w:val="21"/>
        </w:rPr>
        <w:t>条　合同的变更、终止与转让</w:t>
      </w:r>
    </w:p>
    <w:p w14:paraId="70F96A8D">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1.除《中华人民共和国政府采购法》第五十条规定的情形外，本合同一经签订，甲乙双方不得擅自变更、中止或者终止。</w:t>
      </w:r>
    </w:p>
    <w:p w14:paraId="3F84E5A7">
      <w:pPr>
        <w:snapToGrid w:val="0"/>
        <w:spacing w:line="360" w:lineRule="auto"/>
        <w:ind w:left="-61" w:firstLine="514"/>
        <w:rPr>
          <w:rFonts w:hint="eastAsia" w:ascii="宋体" w:hAnsi="宋体" w:cs="宋体"/>
          <w:color w:val="auto"/>
          <w:szCs w:val="21"/>
        </w:rPr>
      </w:pPr>
      <w:r>
        <w:rPr>
          <w:rFonts w:hint="eastAsia" w:ascii="宋体" w:hAnsi="宋体" w:cs="宋体"/>
          <w:color w:val="auto"/>
          <w:szCs w:val="21"/>
        </w:rPr>
        <w:t>2.乙方不得擅自转让（无进口资格的供应商委托进口货物除外）其应履行的合同义务。</w:t>
      </w:r>
    </w:p>
    <w:p w14:paraId="1A43F7DF">
      <w:pPr>
        <w:snapToGrid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第十</w:t>
      </w:r>
      <w:r>
        <w:rPr>
          <w:rFonts w:hint="eastAsia" w:ascii="宋体" w:hAnsi="宋体" w:cs="宋体"/>
          <w:b/>
          <w:color w:val="auto"/>
          <w:szCs w:val="21"/>
          <w:lang w:eastAsia="zh-CN"/>
        </w:rPr>
        <w:t>八</w:t>
      </w:r>
      <w:r>
        <w:rPr>
          <w:rFonts w:hint="eastAsia" w:ascii="宋体" w:hAnsi="宋体" w:cs="宋体"/>
          <w:b/>
          <w:color w:val="auto"/>
          <w:szCs w:val="21"/>
        </w:rPr>
        <w:t>条　</w:t>
      </w:r>
      <w:r>
        <w:rPr>
          <w:rFonts w:hint="eastAsia" w:ascii="宋体" w:hAnsi="宋体" w:cs="宋体"/>
          <w:b/>
          <w:bCs/>
          <w:color w:val="auto"/>
          <w:kern w:val="0"/>
          <w:szCs w:val="21"/>
        </w:rPr>
        <w:t>本合同书与下列文件一起构成合同文件</w:t>
      </w:r>
    </w:p>
    <w:p w14:paraId="40FE7A4C">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cs="宋体"/>
          <w:color w:val="auto"/>
          <w:szCs w:val="21"/>
          <w:lang w:val="en-US" w:eastAsia="zh-CN"/>
        </w:rPr>
        <w:t>中标</w:t>
      </w:r>
      <w:r>
        <w:rPr>
          <w:rFonts w:hint="eastAsia" w:ascii="宋体" w:hAnsi="宋体" w:eastAsia="宋体" w:cs="宋体"/>
          <w:color w:val="auto"/>
          <w:szCs w:val="21"/>
        </w:rPr>
        <w:t>通知书；</w:t>
      </w:r>
    </w:p>
    <w:p w14:paraId="5C6358C9">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2.商务条款偏离表和技术需求偏离表；</w:t>
      </w:r>
    </w:p>
    <w:p w14:paraId="2AEF6A75">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.采购需求；</w:t>
      </w:r>
    </w:p>
    <w:p w14:paraId="47642380">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w:t>
      </w:r>
      <w:r>
        <w:rPr>
          <w:rFonts w:hint="eastAsia" w:ascii="宋体" w:hAnsi="宋体" w:cs="宋体"/>
          <w:color w:val="auto"/>
          <w:szCs w:val="21"/>
          <w:lang w:val="en-US" w:eastAsia="zh-CN"/>
        </w:rPr>
        <w:t>开标一览</w:t>
      </w:r>
      <w:r>
        <w:rPr>
          <w:rFonts w:hint="eastAsia" w:ascii="宋体" w:hAnsi="宋体" w:eastAsia="宋体" w:cs="宋体"/>
          <w:color w:val="auto"/>
          <w:szCs w:val="21"/>
        </w:rPr>
        <w:t>表；</w:t>
      </w:r>
    </w:p>
    <w:p w14:paraId="19F1DBD8">
      <w:pPr>
        <w:snapToGrid w:val="0"/>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5</w:t>
      </w:r>
      <w:r>
        <w:rPr>
          <w:rFonts w:hint="eastAsia" w:ascii="宋体" w:hAnsi="宋体" w:eastAsia="宋体" w:cs="宋体"/>
          <w:color w:val="auto"/>
          <w:szCs w:val="21"/>
        </w:rPr>
        <w:t>.</w:t>
      </w:r>
      <w:r>
        <w:rPr>
          <w:rFonts w:hint="eastAsia" w:ascii="宋体" w:hAnsi="宋体" w:eastAsia="宋体" w:cs="宋体"/>
          <w:color w:val="auto"/>
          <w:szCs w:val="21"/>
          <w:lang w:eastAsia="zh-CN"/>
        </w:rPr>
        <w:t>其他</w:t>
      </w:r>
      <w:r>
        <w:rPr>
          <w:rFonts w:hint="eastAsia" w:ascii="宋体" w:hAnsi="宋体" w:eastAsia="宋体" w:cs="宋体"/>
          <w:color w:val="auto"/>
          <w:szCs w:val="21"/>
        </w:rPr>
        <w:t>合同文件</w:t>
      </w:r>
      <w:r>
        <w:rPr>
          <w:rFonts w:hint="eastAsia" w:ascii="宋体" w:hAnsi="宋体" w:eastAsia="宋体" w:cs="宋体"/>
          <w:color w:val="auto"/>
          <w:szCs w:val="21"/>
          <w:lang w:eastAsia="zh-CN"/>
        </w:rPr>
        <w:t>。</w:t>
      </w:r>
    </w:p>
    <w:p w14:paraId="41A953C2">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.上述合同文件互相补充和解释。如果合同文件之间存在矛盾或者不一致之处，以上述文件的排列顺序在先者为准。</w:t>
      </w:r>
    </w:p>
    <w:p w14:paraId="10AF4718">
      <w:pPr>
        <w:snapToGrid w:val="0"/>
        <w:spacing w:line="360" w:lineRule="auto"/>
        <w:ind w:firstLine="422" w:firstLineChars="200"/>
        <w:rPr>
          <w:rFonts w:hint="eastAsia" w:ascii="宋体" w:hAnsi="宋体"/>
          <w:color w:val="auto"/>
          <w:szCs w:val="21"/>
        </w:rPr>
      </w:pPr>
      <w:r>
        <w:rPr>
          <w:rFonts w:hint="eastAsia" w:ascii="宋体" w:hAnsi="宋体" w:cs="宋体"/>
          <w:b/>
          <w:color w:val="auto"/>
          <w:szCs w:val="21"/>
        </w:rPr>
        <w:t>第</w:t>
      </w:r>
      <w:r>
        <w:rPr>
          <w:rFonts w:hint="eastAsia" w:ascii="宋体" w:hAnsi="宋体" w:cs="宋体"/>
          <w:b/>
          <w:color w:val="auto"/>
          <w:szCs w:val="21"/>
          <w:lang w:eastAsia="zh-CN"/>
        </w:rPr>
        <w:t>十九</w:t>
      </w:r>
      <w:r>
        <w:rPr>
          <w:rFonts w:hint="eastAsia" w:ascii="宋体" w:hAnsi="宋体" w:cs="宋体"/>
          <w:b/>
          <w:color w:val="auto"/>
          <w:szCs w:val="21"/>
        </w:rPr>
        <w:t>条　</w:t>
      </w:r>
      <w:r>
        <w:rPr>
          <w:rFonts w:hint="eastAsia" w:ascii="宋体" w:hAnsi="宋体" w:cs="宋体"/>
          <w:color w:val="auto"/>
          <w:szCs w:val="21"/>
        </w:rPr>
        <w:t>本合同一式</w:t>
      </w:r>
      <w:r>
        <w:rPr>
          <w:rFonts w:hint="eastAsia" w:ascii="宋体" w:hAnsi="宋体" w:cs="宋体"/>
          <w:color w:val="auto"/>
          <w:szCs w:val="21"/>
          <w:u w:val="single"/>
        </w:rPr>
        <w:t xml:space="preserve"> 陆 </w:t>
      </w:r>
      <w:r>
        <w:rPr>
          <w:rFonts w:hint="eastAsia" w:ascii="宋体" w:hAnsi="宋体" w:cs="宋体"/>
          <w:color w:val="auto"/>
          <w:szCs w:val="21"/>
        </w:rPr>
        <w:t>份，具有同等法律效力，财政部门(政府采购监管部门)、采购代理机构各_壹份，甲方</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叁 </w:t>
      </w:r>
      <w:r>
        <w:rPr>
          <w:rFonts w:hint="eastAsia" w:ascii="宋体" w:hAnsi="宋体" w:cs="宋体"/>
          <w:color w:val="auto"/>
          <w:szCs w:val="21"/>
        </w:rPr>
        <w:t>份(</w:t>
      </w:r>
      <w:r>
        <w:rPr>
          <w:rFonts w:hint="eastAsia" w:ascii="宋体" w:hAnsi="宋体" w:cs="宋体"/>
          <w:color w:val="auto"/>
          <w:szCs w:val="21"/>
          <w:lang w:val="en-US" w:eastAsia="zh-CN"/>
        </w:rPr>
        <w:t>基建</w:t>
      </w:r>
      <w:r>
        <w:rPr>
          <w:rFonts w:hint="eastAsia" w:ascii="宋体" w:hAnsi="宋体" w:cs="宋体"/>
          <w:color w:val="auto"/>
          <w:szCs w:val="21"/>
        </w:rPr>
        <w:t>科、财务科、办公室各一份)，乙方_壹_份。</w:t>
      </w:r>
      <w:r>
        <w:rPr>
          <w:rFonts w:hint="eastAsia" w:ascii="宋体" w:hAnsi="宋体"/>
          <w:color w:val="auto"/>
          <w:szCs w:val="21"/>
        </w:rPr>
        <w:t>。</w:t>
      </w:r>
    </w:p>
    <w:p w14:paraId="7CF4A07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本合同自签订之日起2个工作日内，甲方应当将采购合同在广西壮族自治区财政厅指定的媒体上公告。</w:t>
      </w:r>
    </w:p>
    <w:p w14:paraId="069AF026">
      <w:pPr>
        <w:snapToGrid w:val="0"/>
        <w:jc w:val="left"/>
        <w:rPr>
          <w:rFonts w:hint="eastAsia"/>
          <w:color w:val="auto"/>
          <w:kern w:val="0"/>
          <w:sz w:val="18"/>
          <w:szCs w:val="18"/>
          <w:highlight w:val="non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5E59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noWrap w:val="0"/>
            <w:vAlign w:val="center"/>
          </w:tcPr>
          <w:p w14:paraId="6A335CB7">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甲方（章） </w:t>
            </w:r>
          </w:p>
          <w:p w14:paraId="6EC2C4BB">
            <w:pPr>
              <w:snapToGrid w:val="0"/>
              <w:spacing w:line="360" w:lineRule="auto"/>
              <w:rPr>
                <w:rFonts w:hint="eastAsia" w:ascii="宋体" w:hAnsi="宋体" w:cs="宋体"/>
                <w:color w:val="auto"/>
                <w:szCs w:val="21"/>
                <w:highlight w:val="none"/>
              </w:rPr>
            </w:pPr>
          </w:p>
          <w:p w14:paraId="66CD2C60">
            <w:pPr>
              <w:snapToGrid w:val="0"/>
              <w:spacing w:line="360" w:lineRule="auto"/>
              <w:ind w:firstLine="945" w:firstLineChars="450"/>
              <w:jc w:val="right"/>
              <w:rPr>
                <w:rFonts w:hint="eastAsia" w:ascii="宋体" w:hAnsi="宋体" w:cs="宋体"/>
                <w:color w:val="auto"/>
                <w:szCs w:val="21"/>
                <w:highlight w:val="none"/>
              </w:rPr>
            </w:pPr>
            <w:r>
              <w:rPr>
                <w:rFonts w:hint="eastAsia" w:ascii="宋体" w:hAnsi="宋体" w:cs="宋体"/>
                <w:color w:val="auto"/>
                <w:szCs w:val="21"/>
                <w:highlight w:val="none"/>
              </w:rPr>
              <w:t>年   月   日</w:t>
            </w:r>
          </w:p>
        </w:tc>
        <w:tc>
          <w:tcPr>
            <w:tcW w:w="4517" w:type="dxa"/>
            <w:noWrap w:val="0"/>
            <w:vAlign w:val="center"/>
          </w:tcPr>
          <w:p w14:paraId="12140794">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乙方（章）</w:t>
            </w:r>
          </w:p>
          <w:p w14:paraId="63349F51">
            <w:pPr>
              <w:snapToGrid w:val="0"/>
              <w:spacing w:line="360" w:lineRule="auto"/>
              <w:rPr>
                <w:rFonts w:hint="eastAsia" w:ascii="宋体" w:hAnsi="宋体" w:cs="宋体"/>
                <w:color w:val="auto"/>
                <w:szCs w:val="21"/>
                <w:highlight w:val="none"/>
              </w:rPr>
            </w:pPr>
          </w:p>
          <w:p w14:paraId="6CDA9265">
            <w:pPr>
              <w:snapToGrid w:val="0"/>
              <w:spacing w:line="360" w:lineRule="auto"/>
              <w:jc w:val="right"/>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tc>
      </w:tr>
      <w:tr w14:paraId="0A7EC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4516" w:type="dxa"/>
            <w:noWrap w:val="0"/>
            <w:vAlign w:val="center"/>
          </w:tcPr>
          <w:p w14:paraId="3D71E1B3">
            <w:pPr>
              <w:snapToGrid w:val="0"/>
              <w:spacing w:line="360" w:lineRule="auto"/>
              <w:rPr>
                <w:rFonts w:hint="eastAsia"/>
                <w:color w:val="auto"/>
                <w:highlight w:val="none"/>
              </w:rPr>
            </w:pPr>
            <w:r>
              <w:rPr>
                <w:rFonts w:hint="eastAsia"/>
                <w:color w:val="auto"/>
                <w:highlight w:val="none"/>
              </w:rPr>
              <w:t>单位地址：</w:t>
            </w:r>
          </w:p>
          <w:p w14:paraId="4F46F9E2">
            <w:pPr>
              <w:snapToGrid w:val="0"/>
              <w:jc w:val="left"/>
              <w:rPr>
                <w:rFonts w:hint="eastAsia"/>
                <w:color w:val="auto"/>
                <w:kern w:val="0"/>
                <w:sz w:val="18"/>
                <w:szCs w:val="18"/>
                <w:highlight w:val="none"/>
              </w:rPr>
            </w:pPr>
          </w:p>
          <w:p w14:paraId="0ED56927">
            <w:pPr>
              <w:snapToGrid w:val="0"/>
              <w:jc w:val="left"/>
              <w:rPr>
                <w:rFonts w:hint="eastAsia"/>
                <w:color w:val="auto"/>
                <w:kern w:val="0"/>
                <w:sz w:val="18"/>
                <w:szCs w:val="18"/>
                <w:highlight w:val="none"/>
              </w:rPr>
            </w:pPr>
          </w:p>
          <w:p w14:paraId="13D7298E">
            <w:pPr>
              <w:snapToGrid w:val="0"/>
              <w:jc w:val="left"/>
              <w:rPr>
                <w:rFonts w:hint="eastAsia"/>
                <w:color w:val="auto"/>
                <w:kern w:val="0"/>
                <w:sz w:val="18"/>
                <w:szCs w:val="18"/>
                <w:highlight w:val="none"/>
              </w:rPr>
            </w:pPr>
          </w:p>
        </w:tc>
        <w:tc>
          <w:tcPr>
            <w:tcW w:w="4517" w:type="dxa"/>
            <w:noWrap w:val="0"/>
            <w:vAlign w:val="center"/>
          </w:tcPr>
          <w:p w14:paraId="7E31C63B">
            <w:pPr>
              <w:snapToGrid w:val="0"/>
              <w:spacing w:line="360" w:lineRule="auto"/>
              <w:rPr>
                <w:rFonts w:hint="eastAsia"/>
                <w:color w:val="auto"/>
                <w:highlight w:val="none"/>
              </w:rPr>
            </w:pPr>
            <w:r>
              <w:rPr>
                <w:rFonts w:hint="eastAsia"/>
                <w:color w:val="auto"/>
                <w:highlight w:val="none"/>
              </w:rPr>
              <w:t>单位地址：</w:t>
            </w:r>
          </w:p>
          <w:p w14:paraId="5569C7B0">
            <w:pPr>
              <w:snapToGrid w:val="0"/>
              <w:jc w:val="left"/>
              <w:rPr>
                <w:rFonts w:hint="eastAsia" w:ascii="宋体" w:hAnsi="宋体" w:cs="宋体"/>
                <w:color w:val="auto"/>
                <w:kern w:val="0"/>
                <w:sz w:val="18"/>
                <w:szCs w:val="21"/>
                <w:highlight w:val="none"/>
              </w:rPr>
            </w:pPr>
          </w:p>
          <w:p w14:paraId="52E1D37D">
            <w:pPr>
              <w:snapToGrid w:val="0"/>
              <w:jc w:val="left"/>
              <w:rPr>
                <w:rFonts w:hint="eastAsia" w:ascii="宋体" w:hAnsi="宋体" w:cs="宋体"/>
                <w:color w:val="auto"/>
                <w:kern w:val="0"/>
                <w:sz w:val="18"/>
                <w:szCs w:val="21"/>
                <w:highlight w:val="none"/>
              </w:rPr>
            </w:pPr>
          </w:p>
          <w:p w14:paraId="3E3D7608">
            <w:pPr>
              <w:snapToGrid w:val="0"/>
              <w:jc w:val="left"/>
              <w:rPr>
                <w:rFonts w:hint="eastAsia" w:ascii="宋体" w:hAnsi="宋体" w:cs="宋体"/>
                <w:color w:val="auto"/>
                <w:kern w:val="0"/>
                <w:sz w:val="18"/>
                <w:szCs w:val="21"/>
                <w:highlight w:val="none"/>
              </w:rPr>
            </w:pPr>
          </w:p>
        </w:tc>
      </w:tr>
      <w:tr w14:paraId="018E1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16" w:type="dxa"/>
            <w:noWrap w:val="0"/>
            <w:vAlign w:val="top"/>
          </w:tcPr>
          <w:p w14:paraId="6FB7B045">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法定代表人或者其委托代理人：</w:t>
            </w:r>
          </w:p>
        </w:tc>
        <w:tc>
          <w:tcPr>
            <w:tcW w:w="4517" w:type="dxa"/>
            <w:noWrap w:val="0"/>
            <w:vAlign w:val="top"/>
          </w:tcPr>
          <w:p w14:paraId="0135BDAE">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法定代表人或者其委托代理人：</w:t>
            </w:r>
          </w:p>
        </w:tc>
      </w:tr>
      <w:tr w14:paraId="427E4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16" w:type="dxa"/>
            <w:noWrap w:val="0"/>
            <w:vAlign w:val="center"/>
          </w:tcPr>
          <w:p w14:paraId="034CDB8D">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电话：</w:t>
            </w:r>
          </w:p>
        </w:tc>
        <w:tc>
          <w:tcPr>
            <w:tcW w:w="4517" w:type="dxa"/>
            <w:noWrap w:val="0"/>
            <w:vAlign w:val="center"/>
          </w:tcPr>
          <w:p w14:paraId="41C2940E">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电话：</w:t>
            </w:r>
          </w:p>
        </w:tc>
      </w:tr>
      <w:tr w14:paraId="60EB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16" w:type="dxa"/>
            <w:noWrap w:val="0"/>
            <w:vAlign w:val="center"/>
          </w:tcPr>
          <w:p w14:paraId="63C59C26">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电子邮箱：</w:t>
            </w:r>
          </w:p>
        </w:tc>
        <w:tc>
          <w:tcPr>
            <w:tcW w:w="4517" w:type="dxa"/>
            <w:noWrap w:val="0"/>
            <w:vAlign w:val="center"/>
          </w:tcPr>
          <w:p w14:paraId="2EEAF8EE">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电子邮箱：</w:t>
            </w:r>
          </w:p>
        </w:tc>
      </w:tr>
      <w:tr w14:paraId="65807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16" w:type="dxa"/>
            <w:noWrap w:val="0"/>
            <w:vAlign w:val="center"/>
          </w:tcPr>
          <w:p w14:paraId="4F29FE4A">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开户银行：</w:t>
            </w:r>
          </w:p>
        </w:tc>
        <w:tc>
          <w:tcPr>
            <w:tcW w:w="4517" w:type="dxa"/>
            <w:noWrap w:val="0"/>
            <w:vAlign w:val="center"/>
          </w:tcPr>
          <w:p w14:paraId="5C922CD5">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开户银行：</w:t>
            </w:r>
          </w:p>
        </w:tc>
      </w:tr>
      <w:tr w14:paraId="5D94F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16" w:type="dxa"/>
            <w:noWrap w:val="0"/>
            <w:vAlign w:val="center"/>
          </w:tcPr>
          <w:p w14:paraId="37DF0099">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账号：</w:t>
            </w:r>
          </w:p>
        </w:tc>
        <w:tc>
          <w:tcPr>
            <w:tcW w:w="4517" w:type="dxa"/>
            <w:noWrap w:val="0"/>
            <w:vAlign w:val="center"/>
          </w:tcPr>
          <w:p w14:paraId="055C5C36">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账号：</w:t>
            </w:r>
          </w:p>
        </w:tc>
      </w:tr>
      <w:tr w14:paraId="3085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16" w:type="dxa"/>
            <w:noWrap w:val="0"/>
            <w:vAlign w:val="center"/>
          </w:tcPr>
          <w:p w14:paraId="7CCEBFD4">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邮政编码：</w:t>
            </w:r>
          </w:p>
        </w:tc>
        <w:tc>
          <w:tcPr>
            <w:tcW w:w="4517" w:type="dxa"/>
            <w:noWrap w:val="0"/>
            <w:vAlign w:val="center"/>
          </w:tcPr>
          <w:p w14:paraId="75F0273F">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邮政编码：</w:t>
            </w:r>
          </w:p>
        </w:tc>
      </w:tr>
    </w:tbl>
    <w:p w14:paraId="0258A778">
      <w:pPr>
        <w:snapToGrid w:val="0"/>
        <w:spacing w:line="360" w:lineRule="auto"/>
        <w:ind w:firstLine="3795" w:firstLineChars="1800"/>
        <w:rPr>
          <w:rFonts w:ascii="宋体" w:hAnsi="宋体"/>
          <w:b/>
          <w:color w:val="auto"/>
          <w:szCs w:val="21"/>
          <w:highlight w:val="none"/>
        </w:rPr>
      </w:pPr>
    </w:p>
    <w:p w14:paraId="1469571F">
      <w:pPr>
        <w:pStyle w:val="22"/>
        <w:rPr>
          <w:rFonts w:ascii="宋体" w:hAnsi="宋体"/>
          <w:b/>
          <w:color w:val="auto"/>
          <w:szCs w:val="21"/>
          <w:highlight w:val="none"/>
        </w:rPr>
      </w:pPr>
    </w:p>
    <w:p w14:paraId="45A93ACE">
      <w:pPr>
        <w:pStyle w:val="22"/>
        <w:rPr>
          <w:rFonts w:ascii="宋体" w:hAnsi="宋体"/>
          <w:b/>
          <w:color w:val="auto"/>
          <w:szCs w:val="21"/>
          <w:highlight w:val="none"/>
        </w:rPr>
      </w:pPr>
    </w:p>
    <w:p w14:paraId="1886DB8F">
      <w:pPr>
        <w:pStyle w:val="22"/>
        <w:rPr>
          <w:rFonts w:ascii="宋体" w:hAnsi="宋体"/>
          <w:b/>
          <w:color w:val="auto"/>
          <w:szCs w:val="21"/>
          <w:highlight w:val="none"/>
        </w:rPr>
      </w:pPr>
    </w:p>
    <w:p w14:paraId="1838AD43">
      <w:pPr>
        <w:pStyle w:val="22"/>
        <w:rPr>
          <w:rFonts w:ascii="宋体" w:hAnsi="宋体"/>
          <w:b/>
          <w:color w:val="auto"/>
          <w:szCs w:val="21"/>
          <w:highlight w:val="none"/>
        </w:rPr>
      </w:pPr>
    </w:p>
    <w:p w14:paraId="5BEA18E5">
      <w:pPr>
        <w:pStyle w:val="22"/>
        <w:rPr>
          <w:rFonts w:ascii="宋体" w:hAnsi="宋体"/>
          <w:b/>
          <w:color w:val="auto"/>
          <w:szCs w:val="21"/>
          <w:highlight w:val="none"/>
        </w:rPr>
      </w:pPr>
    </w:p>
    <w:p w14:paraId="729496F3">
      <w:pPr>
        <w:pStyle w:val="22"/>
        <w:rPr>
          <w:rFonts w:ascii="宋体" w:hAnsi="宋体"/>
          <w:b/>
          <w:color w:val="auto"/>
          <w:szCs w:val="21"/>
          <w:highlight w:val="none"/>
        </w:rPr>
      </w:pPr>
    </w:p>
    <w:p w14:paraId="46D34C22">
      <w:pPr>
        <w:pStyle w:val="22"/>
        <w:rPr>
          <w:rFonts w:ascii="宋体" w:hAnsi="宋体"/>
          <w:b/>
          <w:color w:val="auto"/>
          <w:szCs w:val="21"/>
          <w:highlight w:val="none"/>
        </w:rPr>
      </w:pPr>
    </w:p>
    <w:p w14:paraId="728B6848">
      <w:pPr>
        <w:pStyle w:val="22"/>
        <w:rPr>
          <w:rFonts w:ascii="宋体" w:hAnsi="宋体"/>
          <w:b/>
          <w:color w:val="auto"/>
          <w:szCs w:val="21"/>
          <w:highlight w:val="none"/>
        </w:rPr>
      </w:pPr>
    </w:p>
    <w:p w14:paraId="1FF441DA">
      <w:pPr>
        <w:pStyle w:val="22"/>
        <w:rPr>
          <w:rFonts w:ascii="宋体" w:hAnsi="宋体"/>
          <w:b/>
          <w:color w:val="auto"/>
          <w:szCs w:val="21"/>
          <w:highlight w:val="none"/>
        </w:rPr>
      </w:pPr>
    </w:p>
    <w:p w14:paraId="6FD9DC76">
      <w:pPr>
        <w:pStyle w:val="22"/>
        <w:rPr>
          <w:rFonts w:ascii="宋体" w:hAnsi="宋体"/>
          <w:b/>
          <w:color w:val="auto"/>
          <w:szCs w:val="21"/>
          <w:highlight w:val="none"/>
        </w:rPr>
      </w:pPr>
    </w:p>
    <w:p w14:paraId="184205C4">
      <w:pPr>
        <w:pStyle w:val="22"/>
        <w:rPr>
          <w:rFonts w:ascii="宋体" w:hAnsi="宋体"/>
          <w:b/>
          <w:color w:val="auto"/>
          <w:szCs w:val="21"/>
          <w:highlight w:val="none"/>
        </w:rPr>
      </w:pPr>
    </w:p>
    <w:p w14:paraId="311E1263">
      <w:pPr>
        <w:pStyle w:val="22"/>
        <w:rPr>
          <w:rFonts w:ascii="宋体" w:hAnsi="宋体"/>
          <w:b/>
          <w:color w:val="auto"/>
          <w:szCs w:val="21"/>
          <w:highlight w:val="none"/>
        </w:rPr>
      </w:pPr>
    </w:p>
    <w:p w14:paraId="7BA65B68">
      <w:pPr>
        <w:snapToGrid w:val="0"/>
        <w:spacing w:line="360" w:lineRule="auto"/>
        <w:ind w:firstLine="3795" w:firstLineChars="1800"/>
        <w:rPr>
          <w:rFonts w:ascii="宋体" w:hAnsi="宋体"/>
          <w:b/>
          <w:color w:val="auto"/>
          <w:szCs w:val="21"/>
          <w:highlight w:val="none"/>
        </w:rPr>
      </w:pPr>
      <w:r>
        <w:rPr>
          <w:rFonts w:hint="eastAsia" w:ascii="宋体" w:hAnsi="宋体"/>
          <w:b/>
          <w:color w:val="auto"/>
          <w:szCs w:val="21"/>
          <w:highlight w:val="none"/>
        </w:rPr>
        <w:t>合 同 附 件</w:t>
      </w:r>
    </w:p>
    <w:p w14:paraId="58321BF3">
      <w:pPr>
        <w:snapToGrid w:val="0"/>
        <w:spacing w:line="360" w:lineRule="auto"/>
        <w:rPr>
          <w:rFonts w:ascii="宋体" w:hAnsi="宋体"/>
          <w:color w:val="auto"/>
          <w:szCs w:val="21"/>
          <w:highlight w:val="none"/>
        </w:rPr>
      </w:pPr>
      <w:r>
        <w:rPr>
          <w:rFonts w:hint="eastAsia" w:ascii="宋体" w:hAnsi="宋体"/>
          <w:color w:val="auto"/>
          <w:szCs w:val="21"/>
          <w:highlight w:val="none"/>
        </w:rPr>
        <w:t>一般货物类</w:t>
      </w:r>
    </w:p>
    <w:tbl>
      <w:tblPr>
        <w:tblStyle w:val="28"/>
        <w:tblW w:w="0" w:type="auto"/>
        <w:tblInd w:w="0" w:type="dxa"/>
        <w:tblLayout w:type="fixed"/>
        <w:tblCellMar>
          <w:top w:w="0" w:type="dxa"/>
          <w:left w:w="108" w:type="dxa"/>
          <w:bottom w:w="0" w:type="dxa"/>
          <w:right w:w="108" w:type="dxa"/>
        </w:tblCellMar>
      </w:tblPr>
      <w:tblGrid>
        <w:gridCol w:w="4248"/>
        <w:gridCol w:w="4274"/>
      </w:tblGrid>
      <w:tr w14:paraId="5CC01D29">
        <w:tblPrEx>
          <w:tblCellMar>
            <w:top w:w="0" w:type="dxa"/>
            <w:left w:w="108" w:type="dxa"/>
            <w:bottom w:w="0" w:type="dxa"/>
            <w:right w:w="108" w:type="dxa"/>
          </w:tblCellMar>
        </w:tblPrEx>
        <w:trPr>
          <w:trHeight w:val="1226" w:hRule="atLeast"/>
        </w:trPr>
        <w:tc>
          <w:tcPr>
            <w:tcW w:w="8522" w:type="dxa"/>
            <w:gridSpan w:val="2"/>
            <w:tcBorders>
              <w:top w:val="single" w:color="auto" w:sz="4" w:space="0"/>
              <w:left w:val="single" w:color="auto" w:sz="4" w:space="0"/>
              <w:right w:val="single" w:color="auto" w:sz="4" w:space="0"/>
            </w:tcBorders>
            <w:noWrap/>
          </w:tcPr>
          <w:p w14:paraId="22E7FAC5">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 供应商承诺具体事项：</w:t>
            </w:r>
          </w:p>
        </w:tc>
      </w:tr>
      <w:tr w14:paraId="01A4C771">
        <w:tblPrEx>
          <w:tblCellMar>
            <w:top w:w="0" w:type="dxa"/>
            <w:left w:w="108" w:type="dxa"/>
            <w:bottom w:w="0" w:type="dxa"/>
            <w:right w:w="108" w:type="dxa"/>
          </w:tblCellMar>
        </w:tblPrEx>
        <w:trPr>
          <w:trHeight w:val="1228" w:hRule="atLeast"/>
        </w:trPr>
        <w:tc>
          <w:tcPr>
            <w:tcW w:w="8522" w:type="dxa"/>
            <w:gridSpan w:val="2"/>
            <w:tcBorders>
              <w:top w:val="single" w:color="auto" w:sz="4" w:space="0"/>
              <w:left w:val="single" w:color="auto" w:sz="4" w:space="0"/>
              <w:right w:val="single" w:color="auto" w:sz="4" w:space="0"/>
            </w:tcBorders>
            <w:noWrap/>
          </w:tcPr>
          <w:p w14:paraId="119C6F3D">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 售后服务具体事项：</w:t>
            </w:r>
          </w:p>
        </w:tc>
      </w:tr>
      <w:tr w14:paraId="4491BA35">
        <w:tblPrEx>
          <w:tblCellMar>
            <w:top w:w="0" w:type="dxa"/>
            <w:left w:w="108" w:type="dxa"/>
            <w:bottom w:w="0" w:type="dxa"/>
            <w:right w:w="108" w:type="dxa"/>
          </w:tblCellMar>
        </w:tblPrEx>
        <w:trPr>
          <w:trHeight w:val="1088" w:hRule="atLeast"/>
        </w:trPr>
        <w:tc>
          <w:tcPr>
            <w:tcW w:w="8522" w:type="dxa"/>
            <w:gridSpan w:val="2"/>
            <w:tcBorders>
              <w:top w:val="single" w:color="auto" w:sz="4" w:space="0"/>
              <w:left w:val="single" w:color="auto" w:sz="4" w:space="0"/>
              <w:right w:val="single" w:color="auto" w:sz="4" w:space="0"/>
            </w:tcBorders>
            <w:noWrap/>
          </w:tcPr>
          <w:p w14:paraId="4CE4B5F1">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 保修期责任：</w:t>
            </w:r>
          </w:p>
        </w:tc>
      </w:tr>
      <w:tr w14:paraId="50C52559">
        <w:tblPrEx>
          <w:tblCellMar>
            <w:top w:w="0" w:type="dxa"/>
            <w:left w:w="108" w:type="dxa"/>
            <w:bottom w:w="0" w:type="dxa"/>
            <w:right w:w="108" w:type="dxa"/>
          </w:tblCellMar>
        </w:tblPrEx>
        <w:trPr>
          <w:trHeight w:val="1360" w:hRule="atLeast"/>
        </w:trPr>
        <w:tc>
          <w:tcPr>
            <w:tcW w:w="8522" w:type="dxa"/>
            <w:gridSpan w:val="2"/>
            <w:tcBorders>
              <w:top w:val="single" w:color="auto" w:sz="4" w:space="0"/>
              <w:left w:val="single" w:color="auto" w:sz="4" w:space="0"/>
              <w:right w:val="single" w:color="auto" w:sz="4" w:space="0"/>
            </w:tcBorders>
            <w:noWrap/>
          </w:tcPr>
          <w:p w14:paraId="0668E26F">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4. 其他具体事项：</w:t>
            </w:r>
          </w:p>
        </w:tc>
      </w:tr>
      <w:tr w14:paraId="680EC891">
        <w:tblPrEx>
          <w:tblCellMar>
            <w:top w:w="0" w:type="dxa"/>
            <w:left w:w="108" w:type="dxa"/>
            <w:bottom w:w="0" w:type="dxa"/>
            <w:right w:w="108" w:type="dxa"/>
          </w:tblCellMar>
        </w:tblPrEx>
        <w:trPr>
          <w:trHeight w:val="1703" w:hRule="atLeast"/>
        </w:trPr>
        <w:tc>
          <w:tcPr>
            <w:tcW w:w="4248" w:type="dxa"/>
            <w:tcBorders>
              <w:top w:val="single" w:color="auto" w:sz="4" w:space="0"/>
              <w:left w:val="single" w:color="auto" w:sz="4" w:space="0"/>
              <w:bottom w:val="single" w:color="auto" w:sz="4" w:space="0"/>
              <w:right w:val="single" w:color="auto" w:sz="4" w:space="0"/>
            </w:tcBorders>
            <w:noWrap/>
            <w:vAlign w:val="center"/>
          </w:tcPr>
          <w:p w14:paraId="0AB1D0B1">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甲方（章）</w:t>
            </w:r>
          </w:p>
          <w:p w14:paraId="57400418">
            <w:pPr>
              <w:snapToGrid w:val="0"/>
              <w:spacing w:line="360" w:lineRule="auto"/>
              <w:ind w:firstLine="422" w:firstLineChars="200"/>
              <w:rPr>
                <w:rFonts w:ascii="宋体" w:hAnsi="宋体"/>
                <w:b/>
                <w:color w:val="auto"/>
                <w:szCs w:val="21"/>
                <w:highlight w:val="none"/>
              </w:rPr>
            </w:pPr>
          </w:p>
          <w:p w14:paraId="1FF4FFA8">
            <w:pPr>
              <w:snapToGrid w:val="0"/>
              <w:spacing w:line="360" w:lineRule="auto"/>
              <w:rPr>
                <w:rFonts w:ascii="宋体" w:hAnsi="宋体"/>
                <w:b/>
                <w:color w:val="auto"/>
                <w:szCs w:val="21"/>
                <w:highlight w:val="none"/>
              </w:rPr>
            </w:pPr>
          </w:p>
          <w:p w14:paraId="689CB4E3">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 xml:space="preserve">                 年   月   日 </w:t>
            </w:r>
          </w:p>
        </w:tc>
        <w:tc>
          <w:tcPr>
            <w:tcW w:w="4274" w:type="dxa"/>
            <w:tcBorders>
              <w:top w:val="single" w:color="auto" w:sz="4" w:space="0"/>
              <w:left w:val="single" w:color="auto" w:sz="4" w:space="0"/>
              <w:bottom w:val="single" w:color="auto" w:sz="4" w:space="0"/>
              <w:right w:val="single" w:color="auto" w:sz="4" w:space="0"/>
            </w:tcBorders>
            <w:noWrap/>
            <w:vAlign w:val="center"/>
          </w:tcPr>
          <w:p w14:paraId="142D4305">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乙方（章）</w:t>
            </w:r>
          </w:p>
          <w:p w14:paraId="0CE056B7">
            <w:pPr>
              <w:snapToGrid w:val="0"/>
              <w:spacing w:line="360" w:lineRule="auto"/>
              <w:ind w:firstLine="422" w:firstLineChars="200"/>
              <w:rPr>
                <w:rFonts w:ascii="宋体" w:hAnsi="宋体"/>
                <w:b/>
                <w:color w:val="auto"/>
                <w:szCs w:val="21"/>
                <w:highlight w:val="none"/>
              </w:rPr>
            </w:pPr>
          </w:p>
          <w:p w14:paraId="1342140C">
            <w:pPr>
              <w:snapToGrid w:val="0"/>
              <w:spacing w:line="360" w:lineRule="auto"/>
              <w:rPr>
                <w:rFonts w:ascii="宋体" w:hAnsi="宋体"/>
                <w:b/>
                <w:color w:val="auto"/>
                <w:szCs w:val="21"/>
                <w:highlight w:val="none"/>
              </w:rPr>
            </w:pPr>
          </w:p>
          <w:p w14:paraId="30C87E3A">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 xml:space="preserve">                年   月   日</w:t>
            </w:r>
          </w:p>
        </w:tc>
      </w:tr>
    </w:tbl>
    <w:p w14:paraId="1264C623">
      <w:pPr>
        <w:snapToGrid w:val="0"/>
        <w:spacing w:line="360" w:lineRule="auto"/>
        <w:jc w:val="left"/>
        <w:rPr>
          <w:rFonts w:ascii="宋体" w:hAnsi="宋体"/>
          <w:color w:val="auto"/>
          <w:szCs w:val="21"/>
          <w:highlight w:val="none"/>
        </w:rPr>
      </w:pPr>
      <w:r>
        <w:rPr>
          <w:rFonts w:hint="eastAsia" w:ascii="宋体" w:hAnsi="宋体"/>
          <w:color w:val="auto"/>
          <w:szCs w:val="21"/>
          <w:highlight w:val="none"/>
        </w:rPr>
        <w:t xml:space="preserve">   注：售后服务事项填不下时可另加附页</w:t>
      </w:r>
    </w:p>
    <w:p w14:paraId="2C96D193">
      <w:pPr>
        <w:snapToGrid w:val="0"/>
        <w:spacing w:line="360" w:lineRule="auto"/>
        <w:jc w:val="left"/>
        <w:rPr>
          <w:rFonts w:ascii="宋体" w:hAnsi="宋体"/>
          <w:color w:val="auto"/>
          <w:szCs w:val="21"/>
          <w:highlight w:val="none"/>
        </w:rPr>
      </w:pPr>
    </w:p>
    <w:p w14:paraId="6A51788F">
      <w:pPr>
        <w:pStyle w:val="10"/>
        <w:rPr>
          <w:rFonts w:ascii="宋体" w:hAnsi="宋体"/>
          <w:color w:val="auto"/>
          <w:szCs w:val="21"/>
          <w:highlight w:val="none"/>
        </w:rPr>
      </w:pPr>
    </w:p>
    <w:p w14:paraId="7FAA1861">
      <w:pPr>
        <w:pStyle w:val="18"/>
        <w:rPr>
          <w:rFonts w:ascii="宋体" w:hAnsi="宋体"/>
          <w:color w:val="auto"/>
          <w:szCs w:val="21"/>
          <w:highlight w:val="none"/>
        </w:rPr>
      </w:pPr>
    </w:p>
    <w:p w14:paraId="5707FB76">
      <w:pPr>
        <w:pStyle w:val="13"/>
        <w:spacing w:line="380" w:lineRule="exact"/>
        <w:outlineLvl w:val="0"/>
        <w:rPr>
          <w:rFonts w:hAnsi="宋体" w:cs="宋体"/>
          <w:color w:val="auto"/>
          <w:highlight w:val="none"/>
        </w:rPr>
      </w:pPr>
    </w:p>
    <w:p w14:paraId="27111DDB">
      <w:pPr>
        <w:pStyle w:val="13"/>
        <w:spacing w:line="380" w:lineRule="exact"/>
        <w:outlineLvl w:val="0"/>
        <w:rPr>
          <w:rFonts w:hAnsi="宋体" w:cs="宋体"/>
          <w:color w:val="auto"/>
          <w:highlight w:val="none"/>
        </w:rPr>
      </w:pPr>
    </w:p>
    <w:p w14:paraId="214D3AB2">
      <w:pPr>
        <w:pStyle w:val="13"/>
        <w:spacing w:line="380" w:lineRule="exact"/>
        <w:outlineLvl w:val="0"/>
        <w:rPr>
          <w:rFonts w:hAnsi="宋体" w:cs="宋体"/>
          <w:color w:val="auto"/>
          <w:highlight w:val="none"/>
        </w:rPr>
      </w:pPr>
    </w:p>
    <w:p w14:paraId="2AB4F604">
      <w:pPr>
        <w:pStyle w:val="13"/>
        <w:spacing w:line="380" w:lineRule="exact"/>
        <w:outlineLvl w:val="0"/>
        <w:rPr>
          <w:rFonts w:hAnsi="宋体" w:cs="宋体"/>
          <w:color w:val="auto"/>
          <w:highlight w:val="none"/>
        </w:rPr>
      </w:pPr>
    </w:p>
    <w:p w14:paraId="699A18FC">
      <w:pPr>
        <w:pStyle w:val="13"/>
        <w:spacing w:line="380" w:lineRule="exact"/>
        <w:outlineLvl w:val="0"/>
        <w:rPr>
          <w:rFonts w:hAnsi="宋体" w:cs="宋体"/>
          <w:color w:val="auto"/>
          <w:highlight w:val="none"/>
        </w:rPr>
      </w:pPr>
    </w:p>
    <w:p w14:paraId="77DDC2EE">
      <w:pPr>
        <w:rPr>
          <w:rFonts w:hAnsi="宋体" w:cs="宋体"/>
          <w:color w:val="auto"/>
          <w:highlight w:val="none"/>
        </w:rPr>
      </w:pPr>
    </w:p>
    <w:p w14:paraId="3DE1FA64">
      <w:pPr>
        <w:pStyle w:val="26"/>
        <w:rPr>
          <w:rFonts w:hAnsi="宋体" w:cs="宋体"/>
          <w:color w:val="auto"/>
          <w:highlight w:val="none"/>
        </w:rPr>
      </w:pPr>
    </w:p>
    <w:p w14:paraId="27B31DFD">
      <w:pPr>
        <w:pStyle w:val="26"/>
        <w:rPr>
          <w:rFonts w:hAnsi="宋体" w:cs="宋体"/>
          <w:color w:val="auto"/>
          <w:highlight w:val="none"/>
        </w:rPr>
      </w:pPr>
    </w:p>
    <w:p w14:paraId="29D7ECCE">
      <w:pPr>
        <w:pStyle w:val="26"/>
        <w:rPr>
          <w:rFonts w:hAnsi="宋体" w:cs="宋体"/>
          <w:color w:val="auto"/>
          <w:highlight w:val="none"/>
        </w:rPr>
      </w:pPr>
    </w:p>
    <w:p w14:paraId="674CF0FA">
      <w:pPr>
        <w:pStyle w:val="26"/>
        <w:rPr>
          <w:rFonts w:hAnsi="宋体" w:cs="宋体"/>
          <w:color w:val="auto"/>
          <w:highlight w:val="none"/>
        </w:rPr>
      </w:pPr>
    </w:p>
    <w:p w14:paraId="071E9F7A">
      <w:pPr>
        <w:pStyle w:val="13"/>
        <w:jc w:val="center"/>
        <w:outlineLvl w:val="0"/>
        <w:rPr>
          <w:rFonts w:hAnsi="宋体" w:cs="宋体"/>
          <w:b/>
          <w:color w:val="auto"/>
          <w:sz w:val="36"/>
          <w:highlight w:val="none"/>
        </w:rPr>
      </w:pPr>
    </w:p>
    <w:bookmarkEnd w:id="157"/>
    <w:bookmarkEnd w:id="158"/>
    <w:p w14:paraId="2F7290C9">
      <w:pPr>
        <w:pStyle w:val="3"/>
        <w:keepNext w:val="0"/>
        <w:keepLines w:val="0"/>
        <w:rPr>
          <w:color w:val="auto"/>
          <w:highlight w:val="none"/>
        </w:rPr>
      </w:pPr>
      <w:bookmarkStart w:id="159" w:name="_Toc10762"/>
      <w:bookmarkStart w:id="160" w:name="_Toc12068"/>
    </w:p>
    <w:p w14:paraId="399B09A0">
      <w:pPr>
        <w:tabs>
          <w:tab w:val="left" w:pos="6861"/>
        </w:tabs>
        <w:spacing w:line="360" w:lineRule="auto"/>
        <w:ind w:firstLine="723" w:firstLineChars="200"/>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政府采购项目合同验收报告</w:t>
      </w:r>
    </w:p>
    <w:p w14:paraId="59FD23C3">
      <w:pPr>
        <w:tabs>
          <w:tab w:val="left" w:pos="6861"/>
        </w:tabs>
        <w:spacing w:line="400" w:lineRule="exact"/>
        <w:ind w:firstLine="420" w:firstLineChars="200"/>
        <w:rPr>
          <w:rFonts w:ascii="宋体" w:hAnsi="宋体" w:cs="宋体"/>
          <w:color w:val="auto"/>
          <w:kern w:val="0"/>
          <w:szCs w:val="21"/>
          <w:highlight w:val="none"/>
          <w:shd w:val="clear" w:color="auto" w:fill="FFFFFF"/>
        </w:rPr>
      </w:pPr>
      <w:r>
        <w:rPr>
          <w:rFonts w:hint="eastAsia" w:ascii="宋体" w:hAnsi="宋体" w:cs="宋体"/>
          <w:color w:val="auto"/>
          <w:szCs w:val="21"/>
          <w:highlight w:val="none"/>
        </w:rPr>
        <w:t>根据政府采购合同</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（采购项目编号：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）的约定，我单位对政府采购项目中标供应商提供的货物进行了验收，验</w:t>
      </w:r>
      <w:r>
        <w:rPr>
          <w:rFonts w:hint="eastAsia" w:ascii="宋体" w:hAnsi="宋体" w:cs="宋体"/>
          <w:color w:val="auto"/>
          <w:kern w:val="0"/>
          <w:szCs w:val="21"/>
          <w:highlight w:val="none"/>
        </w:rPr>
        <w:t>收情况如下</w:t>
      </w:r>
      <w:r>
        <w:rPr>
          <w:rFonts w:hint="eastAsia" w:ascii="宋体" w:hAnsi="宋体" w:cs="宋体"/>
          <w:color w:val="auto"/>
          <w:kern w:val="0"/>
          <w:szCs w:val="21"/>
          <w:highlight w:val="none"/>
          <w:shd w:val="clear" w:color="auto" w:fill="FFFFFF"/>
        </w:rPr>
        <w:t>：</w:t>
      </w:r>
    </w:p>
    <w:p w14:paraId="054D2DDC">
      <w:pPr>
        <w:tabs>
          <w:tab w:val="left" w:pos="6861"/>
        </w:tabs>
        <w:spacing w:line="400" w:lineRule="exact"/>
        <w:ind w:firstLine="420" w:firstLineChars="200"/>
        <w:rPr>
          <w:rFonts w:ascii="宋体" w:hAnsi="宋体" w:cs="宋体"/>
          <w:color w:val="auto"/>
          <w:kern w:val="0"/>
          <w:szCs w:val="21"/>
          <w:highlight w:val="none"/>
          <w:shd w:val="clear" w:color="auto" w:fill="FFFFFF"/>
        </w:rPr>
      </w:pPr>
    </w:p>
    <w:tbl>
      <w:tblPr>
        <w:tblStyle w:val="28"/>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058"/>
        <w:gridCol w:w="747"/>
        <w:gridCol w:w="1340"/>
        <w:gridCol w:w="1247"/>
        <w:gridCol w:w="236"/>
        <w:gridCol w:w="358"/>
        <w:gridCol w:w="1858"/>
        <w:gridCol w:w="1136"/>
        <w:gridCol w:w="1605"/>
        <w:gridCol w:w="137"/>
      </w:tblGrid>
      <w:tr w14:paraId="4CA75F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556" w:hRule="atLeast"/>
          <w:jc w:val="center"/>
        </w:trPr>
        <w:tc>
          <w:tcPr>
            <w:tcW w:w="3145" w:type="dxa"/>
            <w:gridSpan w:val="3"/>
            <w:tcBorders>
              <w:top w:val="single" w:color="auto" w:sz="8" w:space="0"/>
              <w:left w:val="single" w:color="auto" w:sz="8" w:space="0"/>
              <w:bottom w:val="single" w:color="auto" w:sz="8" w:space="0"/>
              <w:right w:val="single" w:color="auto" w:sz="8" w:space="0"/>
            </w:tcBorders>
            <w:noWrap/>
            <w:vAlign w:val="center"/>
          </w:tcPr>
          <w:p w14:paraId="26196C51">
            <w:pPr>
              <w:widowControl/>
              <w:spacing w:before="100" w:beforeAutospacing="1" w:after="100" w:afterAutospacing="1" w:line="320" w:lineRule="atLeast"/>
              <w:ind w:left="-3" w:firstLine="5"/>
              <w:jc w:val="center"/>
              <w:rPr>
                <w:rFonts w:ascii="宋体" w:hAnsi="宋体" w:cs="宋体"/>
                <w:color w:val="auto"/>
                <w:szCs w:val="21"/>
                <w:highlight w:val="none"/>
              </w:rPr>
            </w:pPr>
            <w:r>
              <w:rPr>
                <w:rFonts w:hint="eastAsia" w:ascii="宋体" w:hAnsi="宋体" w:cs="宋体"/>
                <w:color w:val="auto"/>
                <w:kern w:val="0"/>
                <w:szCs w:val="21"/>
                <w:highlight w:val="none"/>
              </w:rPr>
              <w:t>验收方式：</w:t>
            </w:r>
          </w:p>
        </w:tc>
        <w:tc>
          <w:tcPr>
            <w:tcW w:w="6440" w:type="dxa"/>
            <w:gridSpan w:val="6"/>
            <w:tcBorders>
              <w:top w:val="single" w:color="auto" w:sz="8" w:space="0"/>
              <w:left w:val="single" w:color="auto" w:sz="8" w:space="0"/>
              <w:bottom w:val="single" w:color="auto" w:sz="8" w:space="0"/>
              <w:right w:val="single" w:color="auto" w:sz="8" w:space="0"/>
            </w:tcBorders>
            <w:noWrap/>
            <w:vAlign w:val="center"/>
          </w:tcPr>
          <w:p w14:paraId="03E2FA76">
            <w:pPr>
              <w:widowControl/>
              <w:spacing w:before="100" w:beforeAutospacing="1" w:after="100" w:afterAutospacing="1" w:line="320" w:lineRule="atLeast"/>
              <w:ind w:left="-3" w:firstLine="480"/>
              <w:jc w:val="center"/>
              <w:rPr>
                <w:rFonts w:ascii="宋体" w:hAnsi="宋体" w:cs="宋体"/>
                <w:color w:val="auto"/>
                <w:szCs w:val="21"/>
                <w:highlight w:val="none"/>
              </w:rPr>
            </w:pPr>
            <w:r>
              <w:rPr>
                <w:rFonts w:hint="eastAsia" w:ascii="宋体" w:hAnsi="宋体" w:cs="宋体"/>
                <w:color w:val="auto"/>
                <w:spacing w:val="-20"/>
                <w:kern w:val="0"/>
                <w:szCs w:val="21"/>
                <w:highlight w:val="none"/>
              </w:rPr>
              <w:t xml:space="preserve">□ </w:t>
            </w:r>
            <w:r>
              <w:rPr>
                <w:rFonts w:hint="eastAsia" w:ascii="宋体" w:hAnsi="宋体" w:cs="宋体"/>
                <w:color w:val="auto"/>
                <w:kern w:val="0"/>
                <w:szCs w:val="21"/>
                <w:highlight w:val="none"/>
              </w:rPr>
              <w:t>自行验收       </w:t>
            </w:r>
            <w:r>
              <w:rPr>
                <w:rFonts w:hint="eastAsia" w:ascii="宋体" w:hAnsi="宋体" w:cs="宋体"/>
                <w:color w:val="auto"/>
                <w:spacing w:val="-20"/>
                <w:kern w:val="0"/>
                <w:szCs w:val="21"/>
                <w:highlight w:val="none"/>
              </w:rPr>
              <w:t xml:space="preserve">□ </w:t>
            </w:r>
            <w:r>
              <w:rPr>
                <w:rFonts w:hint="eastAsia" w:ascii="宋体" w:hAnsi="宋体" w:cs="宋体"/>
                <w:color w:val="auto"/>
                <w:kern w:val="0"/>
                <w:szCs w:val="21"/>
                <w:highlight w:val="none"/>
              </w:rPr>
              <w:t>联合验收</w:t>
            </w:r>
          </w:p>
        </w:tc>
      </w:tr>
      <w:tr w14:paraId="2C6383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738" w:hRule="atLeast"/>
          <w:jc w:val="center"/>
        </w:trPr>
        <w:tc>
          <w:tcPr>
            <w:tcW w:w="1058" w:type="dxa"/>
            <w:tcBorders>
              <w:top w:val="single" w:color="auto" w:sz="8" w:space="0"/>
              <w:left w:val="single" w:color="auto" w:sz="8" w:space="0"/>
              <w:bottom w:val="single" w:color="auto" w:sz="8" w:space="0"/>
              <w:right w:val="single" w:color="auto" w:sz="8" w:space="0"/>
            </w:tcBorders>
            <w:noWrap/>
            <w:vAlign w:val="center"/>
          </w:tcPr>
          <w:p w14:paraId="63C61BF9">
            <w:pPr>
              <w:widowControl/>
              <w:spacing w:before="100" w:beforeAutospacing="1" w:after="100" w:afterAutospacing="1" w:line="320" w:lineRule="atLeast"/>
              <w:ind w:firstLine="2"/>
              <w:jc w:val="center"/>
              <w:rPr>
                <w:rFonts w:ascii="宋体" w:hAnsi="宋体" w:cs="宋体"/>
                <w:color w:val="auto"/>
                <w:szCs w:val="21"/>
                <w:highlight w:val="none"/>
              </w:rPr>
            </w:pPr>
            <w:r>
              <w:rPr>
                <w:rFonts w:hint="eastAsia" w:ascii="宋体" w:hAnsi="宋体" w:cs="宋体"/>
                <w:color w:val="auto"/>
                <w:kern w:val="0"/>
                <w:szCs w:val="21"/>
                <w:highlight w:val="none"/>
              </w:rPr>
              <w:t>序号</w:t>
            </w:r>
          </w:p>
        </w:tc>
        <w:tc>
          <w:tcPr>
            <w:tcW w:w="2087" w:type="dxa"/>
            <w:gridSpan w:val="2"/>
            <w:tcBorders>
              <w:top w:val="single" w:color="auto" w:sz="8" w:space="0"/>
              <w:left w:val="single" w:color="auto" w:sz="8" w:space="0"/>
              <w:bottom w:val="single" w:color="auto" w:sz="8" w:space="0"/>
              <w:right w:val="single" w:color="auto" w:sz="8" w:space="0"/>
            </w:tcBorders>
            <w:noWrap/>
            <w:vAlign w:val="center"/>
          </w:tcPr>
          <w:p w14:paraId="0A038181">
            <w:pPr>
              <w:widowControl/>
              <w:spacing w:before="100" w:beforeAutospacing="1" w:after="100" w:afterAutospacing="1" w:line="320" w:lineRule="atLeast"/>
              <w:ind w:left="-3" w:firstLine="2"/>
              <w:jc w:val="center"/>
              <w:rPr>
                <w:rFonts w:ascii="宋体" w:hAnsi="宋体" w:cs="宋体"/>
                <w:color w:val="auto"/>
                <w:szCs w:val="21"/>
                <w:highlight w:val="none"/>
              </w:rPr>
            </w:pPr>
            <w:r>
              <w:rPr>
                <w:rFonts w:hint="eastAsia" w:ascii="宋体" w:hAnsi="宋体" w:cs="宋体"/>
                <w:color w:val="auto"/>
                <w:kern w:val="0"/>
                <w:szCs w:val="21"/>
                <w:highlight w:val="none"/>
              </w:rPr>
              <w:t>名  称</w:t>
            </w:r>
          </w:p>
        </w:tc>
        <w:tc>
          <w:tcPr>
            <w:tcW w:w="3699" w:type="dxa"/>
            <w:gridSpan w:val="4"/>
            <w:tcBorders>
              <w:top w:val="single" w:color="auto" w:sz="8" w:space="0"/>
              <w:left w:val="single" w:color="auto" w:sz="8" w:space="0"/>
              <w:bottom w:val="single" w:color="auto" w:sz="8" w:space="0"/>
              <w:right w:val="single" w:color="auto" w:sz="8" w:space="0"/>
            </w:tcBorders>
            <w:noWrap/>
            <w:vAlign w:val="center"/>
          </w:tcPr>
          <w:p w14:paraId="73F245B0">
            <w:pPr>
              <w:widowControl/>
              <w:spacing w:before="100" w:beforeAutospacing="1" w:after="100" w:afterAutospacing="1" w:line="320" w:lineRule="atLeast"/>
              <w:ind w:left="-3"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w:t>
            </w:r>
          </w:p>
        </w:tc>
        <w:tc>
          <w:tcPr>
            <w:tcW w:w="1136" w:type="dxa"/>
            <w:tcBorders>
              <w:top w:val="single" w:color="auto" w:sz="8" w:space="0"/>
              <w:left w:val="single" w:color="auto" w:sz="8" w:space="0"/>
              <w:bottom w:val="single" w:color="auto" w:sz="8" w:space="0"/>
              <w:right w:val="single" w:color="auto" w:sz="8" w:space="0"/>
            </w:tcBorders>
            <w:noWrap/>
            <w:vAlign w:val="center"/>
          </w:tcPr>
          <w:p w14:paraId="1E53C2E6">
            <w:pPr>
              <w:widowControl/>
              <w:spacing w:before="100" w:beforeAutospacing="1" w:after="100" w:afterAutospacing="1" w:line="320" w:lineRule="atLeast"/>
              <w:jc w:val="center"/>
              <w:rPr>
                <w:rFonts w:ascii="宋体" w:hAnsi="宋体" w:cs="宋体"/>
                <w:color w:val="auto"/>
                <w:szCs w:val="21"/>
                <w:highlight w:val="none"/>
              </w:rPr>
            </w:pPr>
            <w:r>
              <w:rPr>
                <w:rFonts w:hint="eastAsia" w:ascii="宋体" w:hAnsi="宋体" w:cs="宋体"/>
                <w:color w:val="auto"/>
                <w:kern w:val="0"/>
                <w:szCs w:val="21"/>
                <w:highlight w:val="none"/>
              </w:rPr>
              <w:t>数量</w:t>
            </w:r>
          </w:p>
        </w:tc>
        <w:tc>
          <w:tcPr>
            <w:tcW w:w="1605" w:type="dxa"/>
            <w:tcBorders>
              <w:top w:val="single" w:color="auto" w:sz="8" w:space="0"/>
              <w:left w:val="single" w:color="auto" w:sz="8" w:space="0"/>
              <w:bottom w:val="single" w:color="auto" w:sz="8" w:space="0"/>
              <w:right w:val="single" w:color="auto" w:sz="8" w:space="0"/>
            </w:tcBorders>
            <w:noWrap/>
            <w:vAlign w:val="center"/>
          </w:tcPr>
          <w:p w14:paraId="0843F5A1">
            <w:pPr>
              <w:widowControl/>
              <w:spacing w:before="100" w:beforeAutospacing="1" w:after="100" w:afterAutospacing="1" w:line="320" w:lineRule="atLeast"/>
              <w:ind w:left="-3"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与合同约定</w:t>
            </w:r>
          </w:p>
          <w:p w14:paraId="6678A2A1">
            <w:pPr>
              <w:widowControl/>
              <w:spacing w:before="100" w:beforeAutospacing="1" w:after="100" w:afterAutospacing="1" w:line="320" w:lineRule="atLeast"/>
              <w:ind w:left="-3" w:firstLine="2"/>
              <w:jc w:val="center"/>
              <w:rPr>
                <w:rFonts w:ascii="宋体" w:hAnsi="宋体" w:cs="宋体"/>
                <w:color w:val="auto"/>
                <w:szCs w:val="21"/>
                <w:highlight w:val="none"/>
              </w:rPr>
            </w:pPr>
            <w:r>
              <w:rPr>
                <w:rFonts w:hint="eastAsia" w:ascii="宋体" w:hAnsi="宋体" w:cs="宋体"/>
                <w:color w:val="auto"/>
                <w:kern w:val="0"/>
                <w:szCs w:val="21"/>
                <w:highlight w:val="none"/>
              </w:rPr>
              <w:t>是否一致</w:t>
            </w:r>
          </w:p>
        </w:tc>
      </w:tr>
      <w:tr w14:paraId="44D750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471" w:hRule="atLeast"/>
          <w:jc w:val="center"/>
        </w:trPr>
        <w:tc>
          <w:tcPr>
            <w:tcW w:w="1058" w:type="dxa"/>
            <w:tcBorders>
              <w:top w:val="single" w:color="auto" w:sz="8" w:space="0"/>
              <w:left w:val="single" w:color="auto" w:sz="8" w:space="0"/>
              <w:bottom w:val="single" w:color="auto" w:sz="8" w:space="0"/>
              <w:right w:val="single" w:color="auto" w:sz="8" w:space="0"/>
            </w:tcBorders>
            <w:noWrap/>
            <w:vAlign w:val="center"/>
          </w:tcPr>
          <w:p w14:paraId="6868C38B">
            <w:pPr>
              <w:widowControl/>
              <w:tabs>
                <w:tab w:val="left" w:pos="420"/>
                <w:tab w:val="left" w:pos="425"/>
              </w:tabs>
              <w:spacing w:before="100" w:beforeAutospacing="1" w:after="100" w:afterAutospacing="1" w:line="320" w:lineRule="atLeast"/>
              <w:ind w:left="420"/>
              <w:jc w:val="left"/>
              <w:rPr>
                <w:rFonts w:ascii="宋体" w:hAnsi="宋体" w:cs="宋体"/>
                <w:color w:val="auto"/>
                <w:szCs w:val="21"/>
                <w:highlight w:val="none"/>
              </w:rPr>
            </w:pPr>
            <w:r>
              <w:rPr>
                <w:rFonts w:hint="eastAsia" w:ascii="宋体" w:hAnsi="宋体" w:cs="宋体"/>
                <w:color w:val="auto"/>
                <w:szCs w:val="21"/>
                <w:highlight w:val="none"/>
              </w:rPr>
              <w:t>1</w:t>
            </w:r>
          </w:p>
        </w:tc>
        <w:tc>
          <w:tcPr>
            <w:tcW w:w="2087" w:type="dxa"/>
            <w:gridSpan w:val="2"/>
            <w:tcBorders>
              <w:top w:val="single" w:color="auto" w:sz="8" w:space="0"/>
              <w:left w:val="single" w:color="auto" w:sz="8" w:space="0"/>
              <w:bottom w:val="single" w:color="auto" w:sz="8" w:space="0"/>
              <w:right w:val="single" w:color="auto" w:sz="8" w:space="0"/>
            </w:tcBorders>
            <w:noWrap/>
            <w:vAlign w:val="center"/>
          </w:tcPr>
          <w:p w14:paraId="1C5D979B">
            <w:pPr>
              <w:ind w:firstLine="630" w:firstLineChars="300"/>
              <w:rPr>
                <w:rFonts w:ascii="宋体" w:hAnsi="宋体" w:cs="宋体"/>
                <w:color w:val="auto"/>
                <w:szCs w:val="21"/>
                <w:highlight w:val="none"/>
              </w:rPr>
            </w:pPr>
          </w:p>
        </w:tc>
        <w:tc>
          <w:tcPr>
            <w:tcW w:w="3699" w:type="dxa"/>
            <w:gridSpan w:val="4"/>
            <w:tcBorders>
              <w:top w:val="single" w:color="auto" w:sz="8" w:space="0"/>
              <w:left w:val="single" w:color="auto" w:sz="8" w:space="0"/>
              <w:bottom w:val="single" w:color="auto" w:sz="8" w:space="0"/>
              <w:right w:val="single" w:color="auto" w:sz="8" w:space="0"/>
            </w:tcBorders>
            <w:noWrap/>
            <w:vAlign w:val="center"/>
          </w:tcPr>
          <w:p w14:paraId="552FCE45">
            <w:pPr>
              <w:jc w:val="left"/>
              <w:rPr>
                <w:rFonts w:ascii="宋体" w:hAnsi="宋体" w:cs="宋体"/>
                <w:color w:val="auto"/>
                <w:szCs w:val="21"/>
                <w:highlight w:val="none"/>
              </w:rPr>
            </w:pPr>
          </w:p>
        </w:tc>
        <w:tc>
          <w:tcPr>
            <w:tcW w:w="1136" w:type="dxa"/>
            <w:tcBorders>
              <w:top w:val="single" w:color="auto" w:sz="8" w:space="0"/>
              <w:left w:val="single" w:color="auto" w:sz="8" w:space="0"/>
              <w:bottom w:val="single" w:color="auto" w:sz="8" w:space="0"/>
              <w:right w:val="single" w:color="auto" w:sz="8" w:space="0"/>
            </w:tcBorders>
            <w:noWrap/>
            <w:vAlign w:val="center"/>
          </w:tcPr>
          <w:p w14:paraId="08EB4E75">
            <w:pPr>
              <w:widowControl/>
              <w:spacing w:before="100" w:beforeAutospacing="1" w:after="100" w:afterAutospacing="1" w:line="320" w:lineRule="atLeast"/>
              <w:ind w:firstLine="480"/>
              <w:jc w:val="left"/>
              <w:rPr>
                <w:rFonts w:ascii="宋体" w:hAnsi="宋体" w:cs="宋体"/>
                <w:color w:val="auto"/>
                <w:szCs w:val="21"/>
                <w:highlight w:val="none"/>
              </w:rPr>
            </w:pPr>
            <w:r>
              <w:rPr>
                <w:rFonts w:hint="eastAsia" w:ascii="宋体" w:hAnsi="宋体" w:cs="宋体"/>
                <w:color w:val="auto"/>
                <w:kern w:val="0"/>
                <w:szCs w:val="21"/>
                <w:highlight w:val="none"/>
              </w:rPr>
              <w:t> </w:t>
            </w:r>
          </w:p>
        </w:tc>
        <w:tc>
          <w:tcPr>
            <w:tcW w:w="1605" w:type="dxa"/>
            <w:tcBorders>
              <w:top w:val="single" w:color="auto" w:sz="8" w:space="0"/>
              <w:left w:val="single" w:color="auto" w:sz="8" w:space="0"/>
              <w:bottom w:val="single" w:color="auto" w:sz="8" w:space="0"/>
              <w:right w:val="single" w:color="auto" w:sz="8" w:space="0"/>
            </w:tcBorders>
            <w:noWrap/>
            <w:vAlign w:val="center"/>
          </w:tcPr>
          <w:p w14:paraId="79FEAE03">
            <w:pPr>
              <w:widowControl/>
              <w:spacing w:before="100" w:beforeAutospacing="1" w:after="100" w:afterAutospacing="1" w:line="320" w:lineRule="atLeast"/>
              <w:ind w:firstLine="480"/>
              <w:jc w:val="left"/>
              <w:rPr>
                <w:rFonts w:ascii="宋体" w:hAnsi="宋体" w:cs="宋体"/>
                <w:color w:val="auto"/>
                <w:szCs w:val="21"/>
                <w:highlight w:val="none"/>
              </w:rPr>
            </w:pPr>
            <w:r>
              <w:rPr>
                <w:rFonts w:hint="eastAsia" w:ascii="宋体" w:hAnsi="宋体" w:cs="宋体"/>
                <w:color w:val="auto"/>
                <w:kern w:val="0"/>
                <w:szCs w:val="21"/>
                <w:highlight w:val="none"/>
              </w:rPr>
              <w:t> </w:t>
            </w:r>
          </w:p>
        </w:tc>
      </w:tr>
      <w:tr w14:paraId="79FE30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521" w:hRule="atLeast"/>
          <w:jc w:val="center"/>
        </w:trPr>
        <w:tc>
          <w:tcPr>
            <w:tcW w:w="1058" w:type="dxa"/>
            <w:tcBorders>
              <w:top w:val="single" w:color="auto" w:sz="8" w:space="0"/>
              <w:left w:val="single" w:color="auto" w:sz="8" w:space="0"/>
              <w:bottom w:val="single" w:color="auto" w:sz="8" w:space="0"/>
              <w:right w:val="single" w:color="auto" w:sz="8" w:space="0"/>
            </w:tcBorders>
            <w:noWrap/>
            <w:vAlign w:val="center"/>
          </w:tcPr>
          <w:p w14:paraId="5D0D96CC">
            <w:pPr>
              <w:widowControl/>
              <w:tabs>
                <w:tab w:val="left" w:pos="420"/>
                <w:tab w:val="left" w:pos="425"/>
              </w:tabs>
              <w:spacing w:before="100" w:beforeAutospacing="1" w:after="100" w:afterAutospacing="1" w:line="320" w:lineRule="atLeast"/>
              <w:ind w:left="420"/>
              <w:jc w:val="left"/>
              <w:rPr>
                <w:rFonts w:ascii="宋体" w:hAnsi="宋体" w:cs="宋体"/>
                <w:color w:val="auto"/>
                <w:szCs w:val="21"/>
                <w:highlight w:val="none"/>
              </w:rPr>
            </w:pPr>
            <w:r>
              <w:rPr>
                <w:rFonts w:hint="eastAsia" w:ascii="宋体" w:hAnsi="宋体" w:cs="宋体"/>
                <w:color w:val="auto"/>
                <w:szCs w:val="21"/>
                <w:highlight w:val="none"/>
              </w:rPr>
              <w:t>2</w:t>
            </w:r>
          </w:p>
        </w:tc>
        <w:tc>
          <w:tcPr>
            <w:tcW w:w="2087" w:type="dxa"/>
            <w:gridSpan w:val="2"/>
            <w:tcBorders>
              <w:top w:val="single" w:color="auto" w:sz="8" w:space="0"/>
              <w:left w:val="single" w:color="auto" w:sz="8" w:space="0"/>
              <w:bottom w:val="single" w:color="auto" w:sz="8" w:space="0"/>
              <w:right w:val="single" w:color="auto" w:sz="8" w:space="0"/>
            </w:tcBorders>
            <w:noWrap/>
            <w:vAlign w:val="center"/>
          </w:tcPr>
          <w:p w14:paraId="175A7E68">
            <w:pPr>
              <w:jc w:val="center"/>
              <w:rPr>
                <w:rFonts w:ascii="宋体" w:hAnsi="宋体" w:cs="宋体"/>
                <w:color w:val="auto"/>
                <w:szCs w:val="21"/>
                <w:highlight w:val="none"/>
              </w:rPr>
            </w:pPr>
          </w:p>
        </w:tc>
        <w:tc>
          <w:tcPr>
            <w:tcW w:w="3699" w:type="dxa"/>
            <w:gridSpan w:val="4"/>
            <w:tcBorders>
              <w:top w:val="single" w:color="auto" w:sz="8" w:space="0"/>
              <w:left w:val="single" w:color="auto" w:sz="8" w:space="0"/>
              <w:bottom w:val="single" w:color="auto" w:sz="8" w:space="0"/>
              <w:right w:val="single" w:color="auto" w:sz="8" w:space="0"/>
            </w:tcBorders>
            <w:noWrap/>
            <w:vAlign w:val="center"/>
          </w:tcPr>
          <w:p w14:paraId="106968E0">
            <w:pPr>
              <w:jc w:val="left"/>
              <w:rPr>
                <w:rFonts w:ascii="宋体" w:hAnsi="宋体" w:cs="宋体"/>
                <w:color w:val="auto"/>
                <w:szCs w:val="21"/>
                <w:highlight w:val="none"/>
              </w:rPr>
            </w:pPr>
          </w:p>
        </w:tc>
        <w:tc>
          <w:tcPr>
            <w:tcW w:w="1136" w:type="dxa"/>
            <w:tcBorders>
              <w:top w:val="single" w:color="auto" w:sz="8" w:space="0"/>
              <w:left w:val="single" w:color="auto" w:sz="8" w:space="0"/>
              <w:bottom w:val="single" w:color="auto" w:sz="8" w:space="0"/>
              <w:right w:val="single" w:color="auto" w:sz="8" w:space="0"/>
            </w:tcBorders>
            <w:noWrap/>
            <w:vAlign w:val="center"/>
          </w:tcPr>
          <w:p w14:paraId="776F6C62">
            <w:pPr>
              <w:widowControl/>
              <w:spacing w:before="100" w:beforeAutospacing="1" w:after="100" w:afterAutospacing="1" w:line="320" w:lineRule="atLeast"/>
              <w:ind w:firstLine="480"/>
              <w:jc w:val="left"/>
              <w:rPr>
                <w:rFonts w:ascii="宋体" w:hAnsi="宋体" w:cs="宋体"/>
                <w:color w:val="auto"/>
                <w:szCs w:val="21"/>
                <w:highlight w:val="none"/>
              </w:rPr>
            </w:pPr>
            <w:r>
              <w:rPr>
                <w:rFonts w:hint="eastAsia" w:ascii="宋体" w:hAnsi="宋体" w:cs="宋体"/>
                <w:color w:val="auto"/>
                <w:kern w:val="0"/>
                <w:szCs w:val="21"/>
                <w:highlight w:val="none"/>
              </w:rPr>
              <w:t> </w:t>
            </w:r>
          </w:p>
        </w:tc>
        <w:tc>
          <w:tcPr>
            <w:tcW w:w="1605" w:type="dxa"/>
            <w:tcBorders>
              <w:top w:val="single" w:color="auto" w:sz="8" w:space="0"/>
              <w:left w:val="single" w:color="auto" w:sz="8" w:space="0"/>
              <w:bottom w:val="single" w:color="auto" w:sz="8" w:space="0"/>
              <w:right w:val="single" w:color="auto" w:sz="8" w:space="0"/>
            </w:tcBorders>
            <w:noWrap/>
            <w:vAlign w:val="center"/>
          </w:tcPr>
          <w:p w14:paraId="4684A2AD">
            <w:pPr>
              <w:widowControl/>
              <w:spacing w:before="100" w:beforeAutospacing="1" w:after="100" w:afterAutospacing="1" w:line="320" w:lineRule="atLeast"/>
              <w:ind w:firstLine="480"/>
              <w:jc w:val="left"/>
              <w:rPr>
                <w:rFonts w:ascii="宋体" w:hAnsi="宋体" w:cs="宋体"/>
                <w:color w:val="auto"/>
                <w:szCs w:val="21"/>
                <w:highlight w:val="none"/>
              </w:rPr>
            </w:pPr>
            <w:r>
              <w:rPr>
                <w:rFonts w:hint="eastAsia" w:ascii="宋体" w:hAnsi="宋体" w:cs="宋体"/>
                <w:color w:val="auto"/>
                <w:kern w:val="0"/>
                <w:szCs w:val="21"/>
                <w:highlight w:val="none"/>
              </w:rPr>
              <w:t> </w:t>
            </w:r>
          </w:p>
        </w:tc>
      </w:tr>
      <w:tr w14:paraId="5F53A5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521" w:hRule="atLeast"/>
          <w:jc w:val="center"/>
        </w:trPr>
        <w:tc>
          <w:tcPr>
            <w:tcW w:w="1058" w:type="dxa"/>
            <w:tcBorders>
              <w:top w:val="single" w:color="auto" w:sz="8" w:space="0"/>
              <w:left w:val="single" w:color="auto" w:sz="8" w:space="0"/>
              <w:bottom w:val="single" w:color="auto" w:sz="8" w:space="0"/>
              <w:right w:val="single" w:color="auto" w:sz="8" w:space="0"/>
            </w:tcBorders>
            <w:noWrap/>
            <w:vAlign w:val="center"/>
          </w:tcPr>
          <w:p w14:paraId="7463B2D5">
            <w:pPr>
              <w:widowControl/>
              <w:tabs>
                <w:tab w:val="left" w:pos="420"/>
                <w:tab w:val="left" w:pos="425"/>
              </w:tabs>
              <w:spacing w:before="100" w:beforeAutospacing="1" w:after="100" w:afterAutospacing="1" w:line="320" w:lineRule="atLeast"/>
              <w:ind w:left="420"/>
              <w:jc w:val="left"/>
              <w:rPr>
                <w:rFonts w:ascii="宋体" w:hAnsi="宋体" w:cs="宋体"/>
                <w:color w:val="auto"/>
                <w:szCs w:val="21"/>
                <w:highlight w:val="none"/>
              </w:rPr>
            </w:pPr>
            <w:r>
              <w:rPr>
                <w:rFonts w:hint="eastAsia" w:ascii="宋体" w:hAnsi="宋体" w:cs="宋体"/>
                <w:color w:val="auto"/>
                <w:szCs w:val="21"/>
                <w:highlight w:val="none"/>
              </w:rPr>
              <w:t>3</w:t>
            </w:r>
          </w:p>
        </w:tc>
        <w:tc>
          <w:tcPr>
            <w:tcW w:w="2087" w:type="dxa"/>
            <w:gridSpan w:val="2"/>
            <w:tcBorders>
              <w:top w:val="single" w:color="auto" w:sz="8" w:space="0"/>
              <w:left w:val="single" w:color="auto" w:sz="8" w:space="0"/>
              <w:bottom w:val="single" w:color="auto" w:sz="8" w:space="0"/>
              <w:right w:val="single" w:color="auto" w:sz="8" w:space="0"/>
            </w:tcBorders>
            <w:noWrap/>
            <w:vAlign w:val="center"/>
          </w:tcPr>
          <w:p w14:paraId="77AFD3FE">
            <w:pPr>
              <w:jc w:val="center"/>
              <w:rPr>
                <w:rFonts w:ascii="宋体" w:hAnsi="宋体" w:cs="宋体"/>
                <w:color w:val="auto"/>
                <w:szCs w:val="21"/>
                <w:highlight w:val="none"/>
              </w:rPr>
            </w:pPr>
          </w:p>
        </w:tc>
        <w:tc>
          <w:tcPr>
            <w:tcW w:w="3699" w:type="dxa"/>
            <w:gridSpan w:val="4"/>
            <w:tcBorders>
              <w:top w:val="single" w:color="auto" w:sz="8" w:space="0"/>
              <w:left w:val="single" w:color="auto" w:sz="8" w:space="0"/>
              <w:bottom w:val="single" w:color="auto" w:sz="8" w:space="0"/>
              <w:right w:val="single" w:color="auto" w:sz="8" w:space="0"/>
            </w:tcBorders>
            <w:noWrap/>
            <w:vAlign w:val="center"/>
          </w:tcPr>
          <w:p w14:paraId="2401A4B3">
            <w:pPr>
              <w:jc w:val="left"/>
              <w:rPr>
                <w:rFonts w:ascii="宋体" w:hAnsi="宋体" w:cs="宋体"/>
                <w:color w:val="auto"/>
                <w:szCs w:val="21"/>
                <w:highlight w:val="none"/>
              </w:rPr>
            </w:pPr>
          </w:p>
        </w:tc>
        <w:tc>
          <w:tcPr>
            <w:tcW w:w="1136" w:type="dxa"/>
            <w:tcBorders>
              <w:top w:val="single" w:color="auto" w:sz="8" w:space="0"/>
              <w:left w:val="single" w:color="auto" w:sz="8" w:space="0"/>
              <w:bottom w:val="single" w:color="auto" w:sz="8" w:space="0"/>
              <w:right w:val="single" w:color="auto" w:sz="8" w:space="0"/>
            </w:tcBorders>
            <w:noWrap/>
            <w:vAlign w:val="center"/>
          </w:tcPr>
          <w:p w14:paraId="675807B1">
            <w:pPr>
              <w:widowControl/>
              <w:spacing w:before="100" w:beforeAutospacing="1" w:after="100" w:afterAutospacing="1" w:line="320" w:lineRule="atLeast"/>
              <w:ind w:firstLine="480"/>
              <w:jc w:val="left"/>
              <w:rPr>
                <w:rFonts w:ascii="宋体" w:hAnsi="宋体" w:cs="宋体"/>
                <w:color w:val="auto"/>
                <w:kern w:val="0"/>
                <w:szCs w:val="21"/>
                <w:highlight w:val="none"/>
              </w:rPr>
            </w:pPr>
          </w:p>
        </w:tc>
        <w:tc>
          <w:tcPr>
            <w:tcW w:w="1605" w:type="dxa"/>
            <w:tcBorders>
              <w:top w:val="single" w:color="auto" w:sz="8" w:space="0"/>
              <w:left w:val="single" w:color="auto" w:sz="8" w:space="0"/>
              <w:bottom w:val="single" w:color="auto" w:sz="8" w:space="0"/>
              <w:right w:val="single" w:color="auto" w:sz="8" w:space="0"/>
            </w:tcBorders>
            <w:noWrap/>
            <w:vAlign w:val="center"/>
          </w:tcPr>
          <w:p w14:paraId="339328CB">
            <w:pPr>
              <w:widowControl/>
              <w:spacing w:before="100" w:beforeAutospacing="1" w:after="100" w:afterAutospacing="1" w:line="320" w:lineRule="atLeast"/>
              <w:ind w:firstLine="480"/>
              <w:jc w:val="left"/>
              <w:rPr>
                <w:rFonts w:ascii="宋体" w:hAnsi="宋体" w:cs="宋体"/>
                <w:color w:val="auto"/>
                <w:kern w:val="0"/>
                <w:szCs w:val="21"/>
                <w:highlight w:val="none"/>
              </w:rPr>
            </w:pPr>
          </w:p>
        </w:tc>
      </w:tr>
      <w:tr w14:paraId="3839B3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621" w:hRule="atLeast"/>
          <w:jc w:val="center"/>
        </w:trPr>
        <w:tc>
          <w:tcPr>
            <w:tcW w:w="1805" w:type="dxa"/>
            <w:gridSpan w:val="2"/>
            <w:tcBorders>
              <w:top w:val="single" w:color="auto" w:sz="8" w:space="0"/>
              <w:left w:val="single" w:color="auto" w:sz="8" w:space="0"/>
              <w:bottom w:val="single" w:color="auto" w:sz="8" w:space="0"/>
              <w:right w:val="single" w:color="auto" w:sz="4" w:space="0"/>
            </w:tcBorders>
            <w:noWrap/>
            <w:vAlign w:val="center"/>
          </w:tcPr>
          <w:p w14:paraId="2012F85B">
            <w:pPr>
              <w:widowControl/>
              <w:spacing w:before="100" w:beforeAutospacing="1" w:after="100" w:afterAutospacing="1"/>
              <w:rPr>
                <w:rFonts w:ascii="宋体" w:hAnsi="宋体" w:cs="宋体"/>
                <w:color w:val="auto"/>
                <w:szCs w:val="21"/>
                <w:highlight w:val="none"/>
              </w:rPr>
            </w:pPr>
            <w:r>
              <w:rPr>
                <w:rFonts w:hint="eastAsia" w:ascii="宋体" w:hAnsi="宋体" w:cs="宋体"/>
                <w:color w:val="auto"/>
                <w:kern w:val="0"/>
                <w:szCs w:val="21"/>
                <w:highlight w:val="none"/>
              </w:rPr>
              <w:t xml:space="preserve"> 实际供货日期</w:t>
            </w:r>
          </w:p>
        </w:tc>
        <w:tc>
          <w:tcPr>
            <w:tcW w:w="3181" w:type="dxa"/>
            <w:gridSpan w:val="4"/>
            <w:tcBorders>
              <w:top w:val="single" w:color="auto" w:sz="4" w:space="0"/>
              <w:left w:val="single" w:color="auto" w:sz="4" w:space="0"/>
              <w:bottom w:val="single" w:color="auto" w:sz="4" w:space="0"/>
              <w:right w:val="single" w:color="auto" w:sz="4" w:space="0"/>
            </w:tcBorders>
            <w:noWrap/>
            <w:vAlign w:val="center"/>
          </w:tcPr>
          <w:p w14:paraId="5F2718EE">
            <w:pPr>
              <w:widowControl/>
              <w:spacing w:before="100" w:beforeAutospacing="1" w:after="100" w:afterAutospacing="1" w:line="320" w:lineRule="atLeast"/>
              <w:jc w:val="center"/>
              <w:rPr>
                <w:rFonts w:ascii="宋体" w:hAnsi="宋体" w:cs="宋体"/>
                <w:color w:val="auto"/>
                <w:szCs w:val="21"/>
                <w:highlight w:val="none"/>
              </w:rPr>
            </w:pPr>
          </w:p>
        </w:tc>
        <w:tc>
          <w:tcPr>
            <w:tcW w:w="1858" w:type="dxa"/>
            <w:tcBorders>
              <w:top w:val="single" w:color="auto" w:sz="4" w:space="0"/>
              <w:left w:val="single" w:color="auto" w:sz="4" w:space="0"/>
              <w:bottom w:val="single" w:color="auto" w:sz="4" w:space="0"/>
              <w:right w:val="single" w:color="auto" w:sz="4" w:space="0"/>
            </w:tcBorders>
            <w:noWrap/>
            <w:vAlign w:val="center"/>
          </w:tcPr>
          <w:p w14:paraId="6B162BBF">
            <w:pPr>
              <w:spacing w:before="100" w:beforeAutospacing="1" w:after="100" w:afterAutospacing="1" w:line="320" w:lineRule="atLeast"/>
              <w:jc w:val="center"/>
              <w:rPr>
                <w:rFonts w:ascii="宋体" w:hAnsi="宋体" w:cs="宋体"/>
                <w:color w:val="auto"/>
                <w:szCs w:val="21"/>
                <w:highlight w:val="none"/>
              </w:rPr>
            </w:pPr>
            <w:r>
              <w:rPr>
                <w:rFonts w:hint="eastAsia" w:ascii="宋体" w:hAnsi="宋体" w:cs="宋体"/>
                <w:color w:val="auto"/>
                <w:kern w:val="0"/>
                <w:szCs w:val="21"/>
                <w:highlight w:val="none"/>
              </w:rPr>
              <w:t>合同交货验收日期</w:t>
            </w:r>
          </w:p>
        </w:tc>
        <w:tc>
          <w:tcPr>
            <w:tcW w:w="2741" w:type="dxa"/>
            <w:gridSpan w:val="2"/>
            <w:tcBorders>
              <w:top w:val="single" w:color="auto" w:sz="4" w:space="0"/>
              <w:left w:val="single" w:color="auto" w:sz="4" w:space="0"/>
              <w:bottom w:val="single" w:color="auto" w:sz="4" w:space="0"/>
              <w:right w:val="single" w:color="auto" w:sz="4" w:space="0"/>
            </w:tcBorders>
            <w:noWrap/>
            <w:vAlign w:val="center"/>
          </w:tcPr>
          <w:p w14:paraId="14E0887D">
            <w:pPr>
              <w:spacing w:before="100" w:beforeAutospacing="1" w:after="100" w:afterAutospacing="1" w:line="320" w:lineRule="atLeast"/>
              <w:jc w:val="center"/>
              <w:rPr>
                <w:rFonts w:ascii="宋体" w:hAnsi="宋体" w:cs="宋体"/>
                <w:color w:val="auto"/>
                <w:szCs w:val="21"/>
                <w:highlight w:val="none"/>
              </w:rPr>
            </w:pPr>
          </w:p>
        </w:tc>
      </w:tr>
      <w:tr w14:paraId="76B817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873" w:hRule="atLeast"/>
          <w:jc w:val="center"/>
        </w:trPr>
        <w:tc>
          <w:tcPr>
            <w:tcW w:w="1805" w:type="dxa"/>
            <w:gridSpan w:val="2"/>
            <w:tcBorders>
              <w:top w:val="single" w:color="auto" w:sz="8" w:space="0"/>
              <w:left w:val="single" w:color="auto" w:sz="8" w:space="0"/>
              <w:bottom w:val="single" w:color="auto" w:sz="4" w:space="0"/>
              <w:right w:val="single" w:color="auto" w:sz="8" w:space="0"/>
            </w:tcBorders>
            <w:noWrap/>
            <w:tcMar>
              <w:left w:w="108" w:type="dxa"/>
              <w:right w:w="108" w:type="dxa"/>
            </w:tcMar>
            <w:vAlign w:val="center"/>
          </w:tcPr>
          <w:p w14:paraId="6E3CD965">
            <w:pPr>
              <w:widowControl/>
              <w:spacing w:before="100" w:beforeAutospacing="1" w:after="100" w:afterAutospacing="1"/>
              <w:jc w:val="left"/>
              <w:rPr>
                <w:rFonts w:ascii="宋体" w:hAnsi="宋体" w:cs="宋体"/>
                <w:color w:val="auto"/>
                <w:szCs w:val="21"/>
                <w:highlight w:val="none"/>
              </w:rPr>
            </w:pPr>
            <w:r>
              <w:rPr>
                <w:rFonts w:hint="eastAsia" w:ascii="宋体" w:hAnsi="宋体" w:cs="宋体"/>
                <w:color w:val="auto"/>
                <w:kern w:val="0"/>
                <w:szCs w:val="21"/>
                <w:highlight w:val="none"/>
              </w:rPr>
              <w:t>验收具体内容</w:t>
            </w:r>
          </w:p>
        </w:tc>
        <w:tc>
          <w:tcPr>
            <w:tcW w:w="7780" w:type="dxa"/>
            <w:gridSpan w:val="7"/>
            <w:tcBorders>
              <w:top w:val="single" w:color="auto" w:sz="8" w:space="0"/>
              <w:left w:val="single" w:color="auto" w:sz="8" w:space="0"/>
              <w:bottom w:val="single" w:color="auto" w:sz="4" w:space="0"/>
              <w:right w:val="single" w:color="auto" w:sz="8" w:space="0"/>
            </w:tcBorders>
            <w:noWrap/>
            <w:tcMar>
              <w:left w:w="108" w:type="dxa"/>
              <w:right w:w="108" w:type="dxa"/>
            </w:tcMar>
            <w:vAlign w:val="center"/>
          </w:tcPr>
          <w:p w14:paraId="486B2195">
            <w:pPr>
              <w:widowControl/>
              <w:spacing w:before="100" w:beforeAutospacing="1" w:after="100" w:afterAutospacing="1" w:line="320" w:lineRule="atLeast"/>
              <w:jc w:val="left"/>
              <w:rPr>
                <w:rFonts w:ascii="宋体" w:hAnsi="宋体" w:cs="宋体"/>
                <w:color w:val="auto"/>
                <w:szCs w:val="21"/>
                <w:highlight w:val="none"/>
              </w:rPr>
            </w:pPr>
            <w:r>
              <w:rPr>
                <w:rFonts w:hint="eastAsia" w:ascii="宋体" w:hAnsi="宋体" w:cs="宋体"/>
                <w:color w:val="auto"/>
                <w:kern w:val="0"/>
                <w:szCs w:val="21"/>
                <w:highlight w:val="none"/>
              </w:rPr>
              <w:t>（按政府采购合同、招标文件、投标文件及验收方案等。可附件)</w:t>
            </w:r>
          </w:p>
        </w:tc>
      </w:tr>
      <w:tr w14:paraId="6459E0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687" w:hRule="atLeast"/>
          <w:jc w:val="center"/>
        </w:trPr>
        <w:tc>
          <w:tcPr>
            <w:tcW w:w="1805" w:type="dxa"/>
            <w:gridSpan w:val="2"/>
            <w:tcBorders>
              <w:top w:val="single" w:color="auto" w:sz="4" w:space="0"/>
              <w:left w:val="single" w:color="auto" w:sz="4" w:space="0"/>
              <w:bottom w:val="single" w:color="auto" w:sz="4" w:space="0"/>
              <w:right w:val="single" w:color="auto" w:sz="4" w:space="0"/>
            </w:tcBorders>
            <w:noWrap/>
            <w:tcMar>
              <w:left w:w="108" w:type="dxa"/>
              <w:right w:w="108" w:type="dxa"/>
            </w:tcMar>
            <w:vAlign w:val="center"/>
          </w:tcPr>
          <w:p w14:paraId="06DCB091">
            <w:pPr>
              <w:widowControl/>
              <w:spacing w:before="100" w:beforeAutospacing="1" w:after="100" w:afterAutospacing="1" w:line="320" w:lineRule="atLeast"/>
              <w:jc w:val="left"/>
              <w:rPr>
                <w:rFonts w:ascii="宋体" w:hAnsi="宋体" w:cs="宋体"/>
                <w:color w:val="auto"/>
                <w:szCs w:val="21"/>
                <w:highlight w:val="none"/>
              </w:rPr>
            </w:pPr>
            <w:r>
              <w:rPr>
                <w:rFonts w:hint="eastAsia" w:ascii="宋体" w:hAnsi="宋体" w:cs="宋体"/>
                <w:color w:val="auto"/>
                <w:kern w:val="0"/>
                <w:szCs w:val="21"/>
                <w:highlight w:val="none"/>
              </w:rPr>
              <w:t>验收小组意见</w:t>
            </w:r>
          </w:p>
        </w:tc>
        <w:tc>
          <w:tcPr>
            <w:tcW w:w="7780" w:type="dxa"/>
            <w:gridSpan w:val="7"/>
            <w:tcBorders>
              <w:top w:val="single" w:color="auto" w:sz="4" w:space="0"/>
              <w:left w:val="single" w:color="auto" w:sz="4" w:space="0"/>
              <w:bottom w:val="single" w:color="auto" w:sz="4" w:space="0"/>
              <w:right w:val="single" w:color="auto" w:sz="4" w:space="0"/>
            </w:tcBorders>
            <w:noWrap/>
            <w:vAlign w:val="center"/>
          </w:tcPr>
          <w:p w14:paraId="01342CD5">
            <w:pPr>
              <w:widowControl/>
              <w:spacing w:before="100" w:beforeAutospacing="1" w:after="100" w:afterAutospacing="1" w:line="320" w:lineRule="atLeast"/>
              <w:jc w:val="left"/>
              <w:rPr>
                <w:rFonts w:ascii="宋体" w:hAnsi="宋体" w:cs="宋体"/>
                <w:color w:val="auto"/>
                <w:szCs w:val="21"/>
                <w:highlight w:val="none"/>
              </w:rPr>
            </w:pPr>
          </w:p>
        </w:tc>
      </w:tr>
      <w:tr w14:paraId="4095E40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gridAfter w:val="1"/>
          <w:wAfter w:w="137" w:type="dxa"/>
          <w:trHeight w:val="787" w:hRule="atLeast"/>
          <w:jc w:val="center"/>
        </w:trPr>
        <w:tc>
          <w:tcPr>
            <w:tcW w:w="9585" w:type="dxa"/>
            <w:gridSpan w:val="9"/>
            <w:tcBorders>
              <w:top w:val="single" w:color="auto" w:sz="4" w:space="0"/>
              <w:left w:val="single" w:color="auto" w:sz="4" w:space="0"/>
              <w:bottom w:val="single" w:color="auto" w:sz="4" w:space="0"/>
              <w:right w:val="nil"/>
            </w:tcBorders>
            <w:noWrap/>
            <w:tcMar>
              <w:left w:w="108" w:type="dxa"/>
              <w:right w:w="108" w:type="dxa"/>
            </w:tcMar>
            <w:vAlign w:val="center"/>
          </w:tcPr>
          <w:p w14:paraId="06AD7EAB">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4CB019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48" w:hRule="atLeast"/>
          <w:jc w:val="center"/>
        </w:trPr>
        <w:tc>
          <w:tcPr>
            <w:tcW w:w="4392" w:type="dxa"/>
            <w:gridSpan w:val="4"/>
            <w:tcBorders>
              <w:top w:val="single" w:color="auto" w:sz="4" w:space="0"/>
              <w:left w:val="single" w:color="auto" w:sz="4" w:space="0"/>
              <w:bottom w:val="single" w:color="auto" w:sz="4" w:space="0"/>
              <w:right w:val="single" w:color="auto" w:sz="4" w:space="0"/>
            </w:tcBorders>
            <w:noWrap/>
            <w:tcMar>
              <w:left w:w="108" w:type="dxa"/>
              <w:right w:w="108" w:type="dxa"/>
            </w:tcMar>
          </w:tcPr>
          <w:p w14:paraId="4F95DB63">
            <w:pPr>
              <w:widowControl/>
              <w:spacing w:before="100" w:beforeAutospacing="1" w:after="100" w:afterAutospacing="1"/>
              <w:rPr>
                <w:rFonts w:ascii="宋体" w:hAnsi="宋体" w:cs="宋体"/>
                <w:color w:val="auto"/>
                <w:kern w:val="0"/>
                <w:szCs w:val="21"/>
                <w:highlight w:val="none"/>
              </w:rPr>
            </w:pPr>
          </w:p>
          <w:p w14:paraId="6704B62D">
            <w:pPr>
              <w:widowControl/>
              <w:spacing w:before="100" w:beforeAutospacing="1" w:after="100" w:afterAutospacing="1"/>
              <w:rPr>
                <w:rFonts w:ascii="宋体" w:hAnsi="宋体" w:cs="宋体"/>
                <w:color w:val="auto"/>
                <w:kern w:val="0"/>
                <w:szCs w:val="21"/>
                <w:highlight w:val="none"/>
              </w:rPr>
            </w:pPr>
          </w:p>
          <w:p w14:paraId="4B0AC0CC">
            <w:pPr>
              <w:widowControl/>
              <w:spacing w:before="100" w:beforeAutospacing="1" w:after="100" w:afterAutospacing="1"/>
              <w:rPr>
                <w:rFonts w:ascii="宋体" w:hAnsi="宋体" w:cs="宋体"/>
                <w:color w:val="auto"/>
                <w:szCs w:val="21"/>
                <w:highlight w:val="none"/>
                <w:u w:val="single"/>
              </w:rPr>
            </w:pPr>
            <w:r>
              <w:rPr>
                <w:rFonts w:hint="eastAsia" w:ascii="宋体" w:hAnsi="宋体" w:cs="宋体"/>
                <w:color w:val="auto"/>
                <w:kern w:val="0"/>
                <w:szCs w:val="21"/>
                <w:highlight w:val="none"/>
              </w:rPr>
              <w:t>供应商（盖章）：</w:t>
            </w:r>
          </w:p>
          <w:p w14:paraId="60369B88">
            <w:pPr>
              <w:widowControl/>
              <w:spacing w:before="100" w:beforeAutospacing="1" w:after="100" w:afterAutospacing="1"/>
              <w:rPr>
                <w:rFonts w:ascii="宋体" w:hAnsi="宋体" w:cs="宋体"/>
                <w:color w:val="auto"/>
                <w:szCs w:val="21"/>
                <w:highlight w:val="none"/>
                <w:u w:val="single"/>
              </w:rPr>
            </w:pPr>
          </w:p>
          <w:p w14:paraId="79B3D9FE">
            <w:pPr>
              <w:widowControl/>
              <w:spacing w:before="100" w:beforeAutospacing="1" w:after="100" w:afterAutospacing="1"/>
              <w:rPr>
                <w:rFonts w:ascii="宋体" w:hAnsi="宋体" w:cs="宋体"/>
                <w:color w:val="auto"/>
                <w:szCs w:val="21"/>
                <w:highlight w:val="none"/>
                <w:u w:val="single"/>
              </w:rPr>
            </w:pPr>
          </w:p>
          <w:p w14:paraId="4D9EF2E3">
            <w:pPr>
              <w:widowControl/>
              <w:spacing w:before="100" w:beforeAutospacing="1" w:after="100" w:afterAutospacing="1" w:line="320" w:lineRule="atLeast"/>
              <w:ind w:right="480"/>
              <w:jc w:val="right"/>
              <w:rPr>
                <w:rFonts w:ascii="宋体" w:hAnsi="宋体" w:cs="宋体"/>
                <w:color w:val="auto"/>
                <w:szCs w:val="21"/>
                <w:highlight w:val="none"/>
              </w:rPr>
            </w:pPr>
            <w:r>
              <w:rPr>
                <w:rFonts w:hint="eastAsia" w:ascii="宋体" w:hAnsi="宋体" w:cs="宋体"/>
                <w:color w:val="auto"/>
                <w:kern w:val="0"/>
                <w:szCs w:val="21"/>
                <w:highlight w:val="none"/>
              </w:rPr>
              <w:t>年  月  日</w:t>
            </w:r>
          </w:p>
        </w:tc>
        <w:tc>
          <w:tcPr>
            <w:tcW w:w="236" w:type="dxa"/>
            <w:tcBorders>
              <w:top w:val="single" w:color="auto" w:sz="4" w:space="0"/>
              <w:left w:val="single" w:color="auto" w:sz="4" w:space="0"/>
              <w:bottom w:val="single" w:color="auto" w:sz="4" w:space="0"/>
              <w:right w:val="nil"/>
            </w:tcBorders>
            <w:noWrap/>
            <w:tcMar>
              <w:left w:w="108" w:type="dxa"/>
              <w:right w:w="108" w:type="dxa"/>
            </w:tcMar>
          </w:tcPr>
          <w:p w14:paraId="10508FAD">
            <w:pPr>
              <w:widowControl/>
              <w:spacing w:before="100" w:beforeAutospacing="1" w:after="100" w:afterAutospacing="1" w:line="320" w:lineRule="atLeast"/>
              <w:ind w:right="480"/>
              <w:jc w:val="right"/>
              <w:rPr>
                <w:rFonts w:ascii="宋体" w:hAnsi="宋体" w:cs="宋体"/>
                <w:color w:val="auto"/>
                <w:kern w:val="0"/>
                <w:szCs w:val="21"/>
                <w:highlight w:val="none"/>
              </w:rPr>
            </w:pPr>
          </w:p>
        </w:tc>
        <w:tc>
          <w:tcPr>
            <w:tcW w:w="4957" w:type="dxa"/>
            <w:gridSpan w:val="4"/>
            <w:tcBorders>
              <w:top w:val="single" w:color="auto" w:sz="4" w:space="0"/>
              <w:left w:val="nil"/>
              <w:bottom w:val="single" w:color="auto" w:sz="4" w:space="0"/>
              <w:right w:val="single" w:color="auto" w:sz="4" w:space="0"/>
            </w:tcBorders>
            <w:noWrap/>
          </w:tcPr>
          <w:p w14:paraId="397F4168">
            <w:pPr>
              <w:widowControl/>
              <w:spacing w:before="100" w:beforeAutospacing="1" w:after="100" w:afterAutospacing="1" w:line="320" w:lineRule="atLeast"/>
              <w:rPr>
                <w:rFonts w:ascii="宋体" w:hAnsi="宋体" w:cs="宋体"/>
                <w:color w:val="auto"/>
                <w:kern w:val="0"/>
                <w:szCs w:val="21"/>
                <w:highlight w:val="none"/>
              </w:rPr>
            </w:pPr>
          </w:p>
          <w:p w14:paraId="632DAFB0">
            <w:pPr>
              <w:widowControl/>
              <w:spacing w:before="100" w:beforeAutospacing="1" w:after="100" w:afterAutospacing="1" w:line="320" w:lineRule="atLeast"/>
              <w:rPr>
                <w:rFonts w:ascii="宋体" w:hAnsi="宋体" w:cs="宋体"/>
                <w:color w:val="auto"/>
                <w:kern w:val="0"/>
                <w:szCs w:val="21"/>
                <w:highlight w:val="none"/>
              </w:rPr>
            </w:pPr>
          </w:p>
          <w:p w14:paraId="7AB1FFAA">
            <w:pPr>
              <w:widowControl/>
              <w:spacing w:before="100" w:beforeAutospacing="1" w:after="100" w:afterAutospacing="1" w:line="320" w:lineRule="atLeast"/>
              <w:rPr>
                <w:rFonts w:ascii="宋体" w:hAnsi="宋体" w:cs="宋体"/>
                <w:color w:val="auto"/>
                <w:kern w:val="0"/>
                <w:szCs w:val="21"/>
                <w:highlight w:val="none"/>
              </w:rPr>
            </w:pPr>
            <w:r>
              <w:rPr>
                <w:rFonts w:hint="eastAsia" w:ascii="宋体" w:hAnsi="宋体" w:cs="宋体"/>
                <w:color w:val="auto"/>
                <w:kern w:val="0"/>
                <w:szCs w:val="21"/>
                <w:highlight w:val="none"/>
              </w:rPr>
              <w:t>采购单位（盖章）：</w:t>
            </w:r>
          </w:p>
          <w:p w14:paraId="455C3DB8">
            <w:pPr>
              <w:widowControl/>
              <w:spacing w:before="100" w:beforeAutospacing="1" w:after="100" w:afterAutospacing="1" w:line="320" w:lineRule="atLeast"/>
              <w:rPr>
                <w:rFonts w:ascii="宋体" w:hAnsi="宋体" w:cs="宋体"/>
                <w:color w:val="auto"/>
                <w:kern w:val="0"/>
                <w:szCs w:val="21"/>
                <w:highlight w:val="none"/>
              </w:rPr>
            </w:pPr>
          </w:p>
          <w:p w14:paraId="0435158A">
            <w:pPr>
              <w:widowControl/>
              <w:spacing w:before="100" w:beforeAutospacing="1" w:after="100" w:afterAutospacing="1" w:line="320" w:lineRule="atLeast"/>
              <w:ind w:left="191" w:hanging="191" w:hangingChars="91"/>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p w14:paraId="49643C48">
            <w:pPr>
              <w:widowControl/>
              <w:spacing w:before="100" w:beforeAutospacing="1" w:after="100" w:afterAutospacing="1" w:line="320" w:lineRule="atLeast"/>
              <w:ind w:left="208" w:leftChars="99" w:firstLine="1690" w:firstLineChars="805"/>
              <w:rPr>
                <w:rFonts w:ascii="宋体" w:hAnsi="宋体" w:cs="宋体"/>
                <w:color w:val="auto"/>
                <w:szCs w:val="21"/>
                <w:highlight w:val="none"/>
              </w:rPr>
            </w:pPr>
            <w:r>
              <w:rPr>
                <w:rFonts w:hint="eastAsia" w:ascii="宋体" w:hAnsi="宋体" w:cs="宋体"/>
                <w:color w:val="auto"/>
                <w:kern w:val="0"/>
                <w:szCs w:val="21"/>
                <w:highlight w:val="none"/>
              </w:rPr>
              <w:t xml:space="preserve">  年   月  日</w:t>
            </w:r>
          </w:p>
        </w:tc>
        <w:tc>
          <w:tcPr>
            <w:tcW w:w="137" w:type="dxa"/>
            <w:tcBorders>
              <w:top w:val="single" w:color="auto" w:sz="4" w:space="0"/>
              <w:left w:val="single" w:color="auto" w:sz="4" w:space="0"/>
              <w:bottom w:val="single" w:color="auto" w:sz="4" w:space="0"/>
              <w:right w:val="nil"/>
            </w:tcBorders>
            <w:noWrap/>
          </w:tcPr>
          <w:p w14:paraId="48C34BF3">
            <w:pPr>
              <w:widowControl/>
              <w:spacing w:before="100" w:beforeAutospacing="1" w:after="100" w:afterAutospacing="1" w:line="320" w:lineRule="atLeast"/>
              <w:ind w:left="208" w:leftChars="99" w:firstLine="1690" w:firstLineChars="805"/>
              <w:rPr>
                <w:rFonts w:ascii="宋体" w:hAnsi="宋体" w:cs="宋体"/>
                <w:color w:val="auto"/>
                <w:kern w:val="0"/>
                <w:szCs w:val="21"/>
                <w:highlight w:val="none"/>
              </w:rPr>
            </w:pPr>
          </w:p>
        </w:tc>
      </w:tr>
    </w:tbl>
    <w:p w14:paraId="6F6179EC">
      <w:pPr>
        <w:rPr>
          <w:rFonts w:ascii="宋体" w:hAnsi="宋体" w:cs="宋体"/>
          <w:color w:val="auto"/>
          <w:highlight w:val="none"/>
        </w:rPr>
      </w:pPr>
      <w:r>
        <w:rPr>
          <w:rFonts w:hint="eastAsia" w:ascii="宋体" w:hAnsi="宋体" w:cs="宋体"/>
          <w:color w:val="auto"/>
          <w:szCs w:val="21"/>
          <w:highlight w:val="none"/>
        </w:rPr>
        <w:t>备注：本报告单一式4份（采购单位1份、供应商1份、相关部门1份、采购代理机构1份）。</w:t>
      </w:r>
    </w:p>
    <w:p w14:paraId="2EF339ED">
      <w:pPr>
        <w:pStyle w:val="3"/>
        <w:keepNext w:val="0"/>
        <w:keepLines w:val="0"/>
        <w:jc w:val="center"/>
        <w:rPr>
          <w:color w:val="auto"/>
          <w:highlight w:val="none"/>
        </w:rPr>
      </w:pPr>
    </w:p>
    <w:p w14:paraId="5B8F8506">
      <w:pPr>
        <w:pStyle w:val="3"/>
        <w:keepNext w:val="0"/>
        <w:keepLines w:val="0"/>
        <w:jc w:val="center"/>
        <w:rPr>
          <w:color w:val="auto"/>
          <w:highlight w:val="none"/>
        </w:rPr>
      </w:pPr>
    </w:p>
    <w:p w14:paraId="19E31B5F">
      <w:pPr>
        <w:pStyle w:val="3"/>
        <w:keepNext w:val="0"/>
        <w:keepLines w:val="0"/>
        <w:jc w:val="center"/>
        <w:rPr>
          <w:color w:val="auto"/>
          <w:highlight w:val="none"/>
        </w:rPr>
      </w:pPr>
    </w:p>
    <w:p w14:paraId="6DA9B404">
      <w:pPr>
        <w:pStyle w:val="3"/>
        <w:keepNext w:val="0"/>
        <w:keepLines w:val="0"/>
        <w:jc w:val="center"/>
        <w:rPr>
          <w:color w:val="auto"/>
          <w:highlight w:val="none"/>
        </w:rPr>
      </w:pPr>
    </w:p>
    <w:p w14:paraId="04B00B56">
      <w:pPr>
        <w:pStyle w:val="3"/>
        <w:keepNext w:val="0"/>
        <w:keepLines w:val="0"/>
        <w:jc w:val="center"/>
        <w:rPr>
          <w:color w:val="auto"/>
          <w:highlight w:val="none"/>
        </w:rPr>
      </w:pPr>
      <w:r>
        <w:rPr>
          <w:rFonts w:hint="eastAsia"/>
          <w:color w:val="auto"/>
          <w:highlight w:val="none"/>
        </w:rPr>
        <w:t>第六章　投标文件格式</w:t>
      </w:r>
      <w:bookmarkEnd w:id="159"/>
      <w:bookmarkEnd w:id="160"/>
    </w:p>
    <w:p w14:paraId="7302A27C">
      <w:pPr>
        <w:snapToGrid w:val="0"/>
        <w:spacing w:before="50" w:after="50"/>
        <w:outlineLvl w:val="1"/>
        <w:rPr>
          <w:rFonts w:ascii="宋体" w:hAnsi="宋体"/>
          <w:color w:val="auto"/>
          <w:sz w:val="32"/>
          <w:szCs w:val="20"/>
          <w:highlight w:val="none"/>
        </w:rPr>
      </w:pPr>
    </w:p>
    <w:p w14:paraId="17A508B6">
      <w:pPr>
        <w:snapToGrid w:val="0"/>
        <w:spacing w:before="50" w:after="50"/>
        <w:outlineLvl w:val="1"/>
        <w:rPr>
          <w:rFonts w:ascii="宋体" w:hAnsi="宋体"/>
          <w:color w:val="auto"/>
          <w:sz w:val="32"/>
          <w:szCs w:val="20"/>
          <w:highlight w:val="none"/>
        </w:rPr>
      </w:pPr>
    </w:p>
    <w:p w14:paraId="3949CFCD">
      <w:pPr>
        <w:snapToGrid w:val="0"/>
        <w:spacing w:before="50" w:after="50"/>
        <w:outlineLvl w:val="1"/>
        <w:rPr>
          <w:rFonts w:ascii="宋体" w:hAnsi="宋体"/>
          <w:color w:val="auto"/>
          <w:sz w:val="32"/>
          <w:szCs w:val="20"/>
          <w:highlight w:val="none"/>
        </w:rPr>
      </w:pPr>
    </w:p>
    <w:p w14:paraId="08A01325">
      <w:pPr>
        <w:snapToGrid w:val="0"/>
        <w:spacing w:before="50" w:after="50"/>
        <w:outlineLvl w:val="1"/>
        <w:rPr>
          <w:rFonts w:ascii="宋体" w:hAnsi="宋体"/>
          <w:color w:val="auto"/>
          <w:sz w:val="32"/>
          <w:szCs w:val="20"/>
          <w:highlight w:val="none"/>
        </w:rPr>
      </w:pPr>
    </w:p>
    <w:p w14:paraId="7E787979">
      <w:pPr>
        <w:snapToGrid w:val="0"/>
        <w:spacing w:before="50" w:after="50"/>
        <w:outlineLvl w:val="1"/>
        <w:rPr>
          <w:rFonts w:ascii="宋体" w:hAnsi="宋体"/>
          <w:color w:val="auto"/>
          <w:sz w:val="32"/>
          <w:szCs w:val="20"/>
          <w:highlight w:val="none"/>
        </w:rPr>
      </w:pPr>
    </w:p>
    <w:p w14:paraId="4C97DE4D">
      <w:pPr>
        <w:snapToGrid w:val="0"/>
        <w:spacing w:before="50" w:after="50"/>
        <w:outlineLvl w:val="1"/>
        <w:rPr>
          <w:rFonts w:ascii="宋体" w:hAnsi="宋体"/>
          <w:color w:val="auto"/>
          <w:sz w:val="32"/>
          <w:szCs w:val="20"/>
          <w:highlight w:val="none"/>
        </w:rPr>
      </w:pPr>
    </w:p>
    <w:p w14:paraId="16B49932">
      <w:pPr>
        <w:snapToGrid w:val="0"/>
        <w:spacing w:before="50" w:after="50"/>
        <w:outlineLvl w:val="1"/>
        <w:rPr>
          <w:rFonts w:ascii="宋体" w:hAnsi="宋体"/>
          <w:color w:val="auto"/>
          <w:sz w:val="32"/>
          <w:szCs w:val="20"/>
          <w:highlight w:val="none"/>
        </w:rPr>
      </w:pPr>
    </w:p>
    <w:p w14:paraId="23234353">
      <w:pPr>
        <w:snapToGrid w:val="0"/>
        <w:spacing w:before="50" w:after="50"/>
        <w:outlineLvl w:val="1"/>
        <w:rPr>
          <w:rFonts w:ascii="宋体" w:hAnsi="宋体"/>
          <w:color w:val="auto"/>
          <w:sz w:val="32"/>
          <w:szCs w:val="20"/>
          <w:highlight w:val="none"/>
        </w:rPr>
      </w:pPr>
    </w:p>
    <w:p w14:paraId="788D782D">
      <w:pPr>
        <w:snapToGrid w:val="0"/>
        <w:spacing w:before="50" w:after="50"/>
        <w:outlineLvl w:val="1"/>
        <w:rPr>
          <w:rFonts w:ascii="宋体" w:hAnsi="宋体"/>
          <w:color w:val="auto"/>
          <w:sz w:val="32"/>
          <w:szCs w:val="20"/>
          <w:highlight w:val="none"/>
        </w:rPr>
      </w:pPr>
    </w:p>
    <w:p w14:paraId="11B78991">
      <w:pPr>
        <w:snapToGrid w:val="0"/>
        <w:spacing w:before="50" w:after="50"/>
        <w:outlineLvl w:val="1"/>
        <w:rPr>
          <w:rFonts w:ascii="宋体" w:hAnsi="宋体"/>
          <w:color w:val="auto"/>
          <w:sz w:val="32"/>
          <w:szCs w:val="20"/>
          <w:highlight w:val="none"/>
        </w:rPr>
      </w:pPr>
    </w:p>
    <w:p w14:paraId="4D617829">
      <w:pPr>
        <w:snapToGrid w:val="0"/>
        <w:spacing w:before="50" w:after="50"/>
        <w:outlineLvl w:val="1"/>
        <w:rPr>
          <w:rFonts w:ascii="宋体" w:hAnsi="宋体"/>
          <w:color w:val="auto"/>
          <w:sz w:val="32"/>
          <w:szCs w:val="20"/>
          <w:highlight w:val="none"/>
        </w:rPr>
      </w:pPr>
    </w:p>
    <w:p w14:paraId="50981D57">
      <w:pPr>
        <w:snapToGrid w:val="0"/>
        <w:spacing w:before="50" w:after="50"/>
        <w:outlineLvl w:val="1"/>
        <w:rPr>
          <w:rFonts w:ascii="宋体" w:hAnsi="宋体"/>
          <w:color w:val="auto"/>
          <w:sz w:val="32"/>
          <w:szCs w:val="20"/>
          <w:highlight w:val="none"/>
        </w:rPr>
      </w:pPr>
    </w:p>
    <w:p w14:paraId="28E9ABAC">
      <w:pPr>
        <w:snapToGrid w:val="0"/>
        <w:spacing w:before="50" w:after="50"/>
        <w:outlineLvl w:val="1"/>
        <w:rPr>
          <w:rFonts w:ascii="宋体" w:hAnsi="宋体"/>
          <w:color w:val="auto"/>
          <w:sz w:val="32"/>
          <w:szCs w:val="20"/>
          <w:highlight w:val="none"/>
        </w:rPr>
      </w:pPr>
    </w:p>
    <w:p w14:paraId="46D5E40D">
      <w:pPr>
        <w:pStyle w:val="13"/>
        <w:ind w:firstLine="627" w:firstLineChars="196"/>
        <w:jc w:val="center"/>
        <w:outlineLvl w:val="1"/>
        <w:rPr>
          <w:rFonts w:hAnsi="宋体"/>
          <w:color w:val="auto"/>
          <w:sz w:val="32"/>
          <w:szCs w:val="20"/>
          <w:highlight w:val="none"/>
        </w:rPr>
      </w:pPr>
      <w:r>
        <w:rPr>
          <w:rFonts w:hAnsi="宋体"/>
          <w:color w:val="auto"/>
          <w:sz w:val="32"/>
          <w:szCs w:val="20"/>
          <w:highlight w:val="none"/>
        </w:rPr>
        <w:br w:type="page"/>
      </w:r>
      <w:bookmarkStart w:id="161" w:name="_Toc89076010"/>
      <w:bookmarkStart w:id="162" w:name="_Toc80093017"/>
      <w:bookmarkStart w:id="163" w:name="_Toc30973"/>
    </w:p>
    <w:p w14:paraId="1AD28C85">
      <w:pPr>
        <w:pStyle w:val="13"/>
        <w:ind w:firstLine="627" w:firstLineChars="196"/>
        <w:jc w:val="center"/>
        <w:outlineLvl w:val="1"/>
        <w:rPr>
          <w:rFonts w:hAnsi="宋体"/>
          <w:color w:val="auto"/>
          <w:sz w:val="32"/>
          <w:szCs w:val="20"/>
          <w:highlight w:val="none"/>
        </w:rPr>
      </w:pPr>
    </w:p>
    <w:p w14:paraId="426FCB1D">
      <w:pPr>
        <w:pStyle w:val="13"/>
        <w:ind w:firstLine="627" w:firstLineChars="196"/>
        <w:jc w:val="center"/>
        <w:outlineLvl w:val="1"/>
        <w:rPr>
          <w:rFonts w:hAnsi="宋体"/>
          <w:color w:val="auto"/>
          <w:sz w:val="32"/>
          <w:szCs w:val="20"/>
          <w:highlight w:val="none"/>
        </w:rPr>
      </w:pPr>
    </w:p>
    <w:p w14:paraId="45B5933E">
      <w:pPr>
        <w:pStyle w:val="13"/>
        <w:ind w:firstLine="551" w:firstLineChars="196"/>
        <w:jc w:val="center"/>
        <w:outlineLvl w:val="1"/>
        <w:rPr>
          <w:rFonts w:hAnsi="宋体"/>
          <w:b/>
          <w:bCs/>
          <w:color w:val="auto"/>
          <w:sz w:val="28"/>
          <w:szCs w:val="28"/>
          <w:highlight w:val="none"/>
        </w:rPr>
      </w:pPr>
      <w:r>
        <w:rPr>
          <w:rFonts w:hint="eastAsia" w:hAnsi="宋体"/>
          <w:b/>
          <w:bCs/>
          <w:color w:val="auto"/>
          <w:sz w:val="28"/>
          <w:szCs w:val="28"/>
          <w:highlight w:val="none"/>
        </w:rPr>
        <w:t>第一节 投标文件外层包装封面</w:t>
      </w:r>
      <w:bookmarkEnd w:id="161"/>
    </w:p>
    <w:p w14:paraId="3EDC1851">
      <w:pPr>
        <w:spacing w:beforeLines="50" w:afterLines="50"/>
        <w:jc w:val="center"/>
        <w:rPr>
          <w:rFonts w:ascii="宋体" w:hAnsi="宋体" w:cs="宋体"/>
          <w:color w:val="auto"/>
          <w:spacing w:val="20"/>
          <w:sz w:val="44"/>
          <w:szCs w:val="44"/>
          <w:highlight w:val="none"/>
        </w:rPr>
      </w:pPr>
    </w:p>
    <w:p w14:paraId="07A58919">
      <w:pPr>
        <w:spacing w:beforeLines="50" w:afterLines="50"/>
        <w:jc w:val="center"/>
        <w:rPr>
          <w:rFonts w:ascii="宋体" w:hAnsi="宋体" w:cs="宋体"/>
          <w:color w:val="auto"/>
          <w:spacing w:val="20"/>
          <w:sz w:val="44"/>
          <w:szCs w:val="44"/>
          <w:highlight w:val="none"/>
        </w:rPr>
      </w:pPr>
    </w:p>
    <w:p w14:paraId="5BB646ED">
      <w:pPr>
        <w:spacing w:beforeLines="50" w:afterLines="50"/>
        <w:jc w:val="center"/>
        <w:rPr>
          <w:rFonts w:ascii="宋体" w:hAnsi="宋体" w:cs="宋体"/>
          <w:color w:val="auto"/>
          <w:spacing w:val="20"/>
          <w:sz w:val="44"/>
          <w:szCs w:val="44"/>
          <w:highlight w:val="none"/>
        </w:rPr>
      </w:pPr>
    </w:p>
    <w:p w14:paraId="1E61159F">
      <w:pPr>
        <w:spacing w:beforeLines="50" w:afterLines="50"/>
        <w:jc w:val="center"/>
        <w:rPr>
          <w:rFonts w:ascii="宋体" w:hAnsi="宋体" w:cs="宋体"/>
          <w:color w:val="auto"/>
          <w:spacing w:val="20"/>
          <w:sz w:val="44"/>
          <w:szCs w:val="44"/>
          <w:highlight w:val="none"/>
        </w:rPr>
      </w:pPr>
    </w:p>
    <w:p w14:paraId="2BA234D7">
      <w:pPr>
        <w:spacing w:beforeLines="50" w:afterLines="50"/>
        <w:jc w:val="center"/>
        <w:rPr>
          <w:rFonts w:ascii="宋体" w:hAnsi="宋体" w:cs="宋体"/>
          <w:color w:val="auto"/>
          <w:spacing w:val="40"/>
          <w:w w:val="110"/>
          <w:sz w:val="44"/>
          <w:szCs w:val="44"/>
          <w:highlight w:val="none"/>
        </w:rPr>
      </w:pPr>
      <w:r>
        <w:rPr>
          <w:rFonts w:hint="eastAsia" w:ascii="宋体" w:hAnsi="宋体" w:cs="宋体"/>
          <w:color w:val="auto"/>
          <w:spacing w:val="40"/>
          <w:w w:val="110"/>
          <w:sz w:val="44"/>
          <w:szCs w:val="44"/>
          <w:highlight w:val="none"/>
        </w:rPr>
        <w:t>投标文件</w:t>
      </w:r>
    </w:p>
    <w:p w14:paraId="00A36EFA">
      <w:pPr>
        <w:jc w:val="center"/>
        <w:rPr>
          <w:rFonts w:ascii="宋体" w:hAnsi="宋体" w:cs="宋体"/>
          <w:color w:val="auto"/>
          <w:sz w:val="24"/>
          <w:highlight w:val="none"/>
        </w:rPr>
      </w:pPr>
      <w:r>
        <w:rPr>
          <w:rFonts w:hint="eastAsia" w:ascii="宋体" w:hAnsi="宋体" w:cs="宋体"/>
          <w:color w:val="auto"/>
          <w:sz w:val="24"/>
          <w:highlight w:val="none"/>
        </w:rPr>
        <w:t>（电子投标文件）</w:t>
      </w:r>
    </w:p>
    <w:tbl>
      <w:tblPr>
        <w:tblStyle w:val="28"/>
        <w:tblW w:w="0" w:type="auto"/>
        <w:jc w:val="center"/>
        <w:tblLayout w:type="fixed"/>
        <w:tblCellMar>
          <w:top w:w="0" w:type="dxa"/>
          <w:left w:w="108" w:type="dxa"/>
          <w:bottom w:w="0" w:type="dxa"/>
          <w:right w:w="108" w:type="dxa"/>
        </w:tblCellMar>
      </w:tblPr>
      <w:tblGrid>
        <w:gridCol w:w="1601"/>
        <w:gridCol w:w="6172"/>
      </w:tblGrid>
      <w:tr w14:paraId="6B4F4110">
        <w:tblPrEx>
          <w:tblCellMar>
            <w:top w:w="0" w:type="dxa"/>
            <w:left w:w="108" w:type="dxa"/>
            <w:bottom w:w="0" w:type="dxa"/>
            <w:right w:w="108" w:type="dxa"/>
          </w:tblCellMar>
        </w:tblPrEx>
        <w:trPr>
          <w:jc w:val="center"/>
        </w:trPr>
        <w:tc>
          <w:tcPr>
            <w:tcW w:w="1601" w:type="dxa"/>
            <w:noWrap/>
            <w:vAlign w:val="bottom"/>
          </w:tcPr>
          <w:p w14:paraId="3E77012E">
            <w:pPr>
              <w:jc w:val="distribute"/>
              <w:rPr>
                <w:rFonts w:ascii="宋体" w:hAnsi="宋体" w:cs="宋体"/>
                <w:color w:val="auto"/>
                <w:sz w:val="24"/>
                <w:highlight w:val="none"/>
              </w:rPr>
            </w:pPr>
            <w:r>
              <w:rPr>
                <w:rFonts w:hint="eastAsia" w:ascii="宋体" w:hAnsi="宋体" w:cs="宋体"/>
                <w:color w:val="auto"/>
                <w:sz w:val="24"/>
                <w:highlight w:val="none"/>
              </w:rPr>
              <w:t>项目名称：</w:t>
            </w:r>
          </w:p>
        </w:tc>
        <w:tc>
          <w:tcPr>
            <w:tcW w:w="6172" w:type="dxa"/>
            <w:tcBorders>
              <w:bottom w:val="single" w:color="000000" w:sz="4" w:space="0"/>
            </w:tcBorders>
            <w:noWrap/>
            <w:vAlign w:val="bottom"/>
          </w:tcPr>
          <w:p w14:paraId="08FACCF8">
            <w:pPr>
              <w:jc w:val="left"/>
              <w:rPr>
                <w:rFonts w:ascii="宋体" w:hAnsi="宋体" w:cs="宋体"/>
                <w:color w:val="auto"/>
                <w:sz w:val="24"/>
                <w:highlight w:val="none"/>
              </w:rPr>
            </w:pPr>
          </w:p>
        </w:tc>
      </w:tr>
      <w:tr w14:paraId="643C5CCB">
        <w:tblPrEx>
          <w:tblCellMar>
            <w:top w:w="0" w:type="dxa"/>
            <w:left w:w="108" w:type="dxa"/>
            <w:bottom w:w="0" w:type="dxa"/>
            <w:right w:w="108" w:type="dxa"/>
          </w:tblCellMar>
        </w:tblPrEx>
        <w:trPr>
          <w:jc w:val="center"/>
        </w:trPr>
        <w:tc>
          <w:tcPr>
            <w:tcW w:w="1601" w:type="dxa"/>
            <w:noWrap/>
            <w:vAlign w:val="bottom"/>
          </w:tcPr>
          <w:p w14:paraId="19DFB89B">
            <w:pPr>
              <w:jc w:val="distribute"/>
              <w:rPr>
                <w:rFonts w:ascii="宋体" w:hAnsi="宋体" w:cs="宋体"/>
                <w:color w:val="auto"/>
                <w:sz w:val="24"/>
                <w:highlight w:val="none"/>
              </w:rPr>
            </w:pPr>
            <w:r>
              <w:rPr>
                <w:rFonts w:hint="eastAsia" w:ascii="宋体" w:hAnsi="宋体" w:cs="宋体"/>
                <w:color w:val="auto"/>
                <w:sz w:val="24"/>
                <w:highlight w:val="none"/>
              </w:rPr>
              <w:t>采购方式：</w:t>
            </w:r>
          </w:p>
        </w:tc>
        <w:tc>
          <w:tcPr>
            <w:tcW w:w="6172" w:type="dxa"/>
            <w:tcBorders>
              <w:top w:val="single" w:color="000000" w:sz="4" w:space="0"/>
              <w:bottom w:val="single" w:color="000000" w:sz="4" w:space="0"/>
            </w:tcBorders>
            <w:noWrap/>
            <w:vAlign w:val="bottom"/>
          </w:tcPr>
          <w:p w14:paraId="12B29497">
            <w:pPr>
              <w:jc w:val="left"/>
              <w:rPr>
                <w:rFonts w:ascii="宋体" w:hAnsi="宋体" w:cs="宋体"/>
                <w:color w:val="auto"/>
                <w:sz w:val="24"/>
                <w:highlight w:val="none"/>
              </w:rPr>
            </w:pPr>
          </w:p>
        </w:tc>
      </w:tr>
      <w:tr w14:paraId="0E198EEE">
        <w:tblPrEx>
          <w:tblCellMar>
            <w:top w:w="0" w:type="dxa"/>
            <w:left w:w="108" w:type="dxa"/>
            <w:bottom w:w="0" w:type="dxa"/>
            <w:right w:w="108" w:type="dxa"/>
          </w:tblCellMar>
        </w:tblPrEx>
        <w:trPr>
          <w:jc w:val="center"/>
        </w:trPr>
        <w:tc>
          <w:tcPr>
            <w:tcW w:w="1601" w:type="dxa"/>
            <w:noWrap/>
            <w:vAlign w:val="bottom"/>
          </w:tcPr>
          <w:p w14:paraId="5DFA6C36">
            <w:pPr>
              <w:jc w:val="distribute"/>
              <w:rPr>
                <w:rFonts w:ascii="宋体" w:hAnsi="宋体" w:cs="宋体"/>
                <w:color w:val="auto"/>
                <w:sz w:val="24"/>
                <w:highlight w:val="none"/>
              </w:rPr>
            </w:pPr>
            <w:r>
              <w:rPr>
                <w:rFonts w:hint="eastAsia" w:ascii="宋体" w:hAnsi="宋体" w:cs="宋体"/>
                <w:color w:val="auto"/>
                <w:sz w:val="24"/>
                <w:highlight w:val="none"/>
              </w:rPr>
              <w:t>项目编号：</w:t>
            </w:r>
          </w:p>
        </w:tc>
        <w:tc>
          <w:tcPr>
            <w:tcW w:w="6172" w:type="dxa"/>
            <w:tcBorders>
              <w:top w:val="single" w:color="000000" w:sz="4" w:space="0"/>
              <w:bottom w:val="single" w:color="000000" w:sz="4" w:space="0"/>
            </w:tcBorders>
            <w:noWrap/>
            <w:vAlign w:val="bottom"/>
          </w:tcPr>
          <w:p w14:paraId="2CE6AF26">
            <w:pPr>
              <w:jc w:val="left"/>
              <w:rPr>
                <w:rFonts w:ascii="宋体" w:hAnsi="宋体" w:cs="宋体"/>
                <w:color w:val="auto"/>
                <w:sz w:val="24"/>
                <w:highlight w:val="none"/>
              </w:rPr>
            </w:pPr>
          </w:p>
        </w:tc>
      </w:tr>
      <w:tr w14:paraId="5FEC111C">
        <w:tblPrEx>
          <w:tblCellMar>
            <w:top w:w="0" w:type="dxa"/>
            <w:left w:w="108" w:type="dxa"/>
            <w:bottom w:w="0" w:type="dxa"/>
            <w:right w:w="108" w:type="dxa"/>
          </w:tblCellMar>
        </w:tblPrEx>
        <w:trPr>
          <w:jc w:val="center"/>
        </w:trPr>
        <w:tc>
          <w:tcPr>
            <w:tcW w:w="1601" w:type="dxa"/>
            <w:noWrap/>
            <w:vAlign w:val="bottom"/>
          </w:tcPr>
          <w:p w14:paraId="399A82D3">
            <w:pPr>
              <w:jc w:val="distribute"/>
              <w:rPr>
                <w:rFonts w:ascii="宋体" w:hAnsi="宋体" w:cs="宋体"/>
                <w:color w:val="auto"/>
                <w:sz w:val="24"/>
                <w:highlight w:val="none"/>
              </w:rPr>
            </w:pPr>
            <w:r>
              <w:rPr>
                <w:rFonts w:hint="eastAsia" w:ascii="宋体" w:hAnsi="宋体" w:cs="宋体"/>
                <w:color w:val="auto"/>
                <w:sz w:val="24"/>
                <w:highlight w:val="none"/>
              </w:rPr>
              <w:t>所投分标：</w:t>
            </w:r>
          </w:p>
        </w:tc>
        <w:tc>
          <w:tcPr>
            <w:tcW w:w="6172" w:type="dxa"/>
            <w:tcBorders>
              <w:top w:val="single" w:color="000000" w:sz="4" w:space="0"/>
              <w:bottom w:val="single" w:color="000000" w:sz="4" w:space="0"/>
            </w:tcBorders>
            <w:noWrap/>
            <w:vAlign w:val="bottom"/>
          </w:tcPr>
          <w:p w14:paraId="55727A5A">
            <w:pPr>
              <w:jc w:val="left"/>
              <w:rPr>
                <w:rFonts w:ascii="宋体" w:hAnsi="宋体" w:cs="宋体"/>
                <w:color w:val="auto"/>
                <w:sz w:val="24"/>
                <w:highlight w:val="none"/>
              </w:rPr>
            </w:pPr>
          </w:p>
        </w:tc>
      </w:tr>
      <w:tr w14:paraId="111632B1">
        <w:tblPrEx>
          <w:tblCellMar>
            <w:top w:w="0" w:type="dxa"/>
            <w:left w:w="108" w:type="dxa"/>
            <w:bottom w:w="0" w:type="dxa"/>
            <w:right w:w="108" w:type="dxa"/>
          </w:tblCellMar>
        </w:tblPrEx>
        <w:trPr>
          <w:jc w:val="center"/>
        </w:trPr>
        <w:tc>
          <w:tcPr>
            <w:tcW w:w="1601" w:type="dxa"/>
            <w:noWrap/>
            <w:vAlign w:val="bottom"/>
          </w:tcPr>
          <w:p w14:paraId="4D8433C3">
            <w:pPr>
              <w:jc w:val="distribute"/>
              <w:rPr>
                <w:rFonts w:ascii="宋体" w:hAnsi="宋体" w:cs="宋体"/>
                <w:color w:val="auto"/>
                <w:sz w:val="24"/>
                <w:highlight w:val="none"/>
              </w:rPr>
            </w:pPr>
            <w:r>
              <w:rPr>
                <w:rFonts w:hint="eastAsia" w:ascii="宋体" w:hAnsi="宋体" w:cs="宋体"/>
                <w:color w:val="auto"/>
                <w:sz w:val="24"/>
                <w:highlight w:val="none"/>
              </w:rPr>
              <w:t>投标人名称：</w:t>
            </w:r>
          </w:p>
        </w:tc>
        <w:tc>
          <w:tcPr>
            <w:tcW w:w="6172" w:type="dxa"/>
            <w:tcBorders>
              <w:top w:val="single" w:color="000000" w:sz="4" w:space="0"/>
              <w:bottom w:val="single" w:color="000000" w:sz="4" w:space="0"/>
            </w:tcBorders>
            <w:noWrap/>
            <w:vAlign w:val="bottom"/>
          </w:tcPr>
          <w:p w14:paraId="1176B2F4">
            <w:pPr>
              <w:jc w:val="left"/>
              <w:rPr>
                <w:rFonts w:ascii="宋体" w:hAnsi="宋体" w:cs="宋体"/>
                <w:color w:val="auto"/>
                <w:sz w:val="24"/>
                <w:highlight w:val="none"/>
              </w:rPr>
            </w:pPr>
          </w:p>
        </w:tc>
      </w:tr>
      <w:tr w14:paraId="6580B252">
        <w:tblPrEx>
          <w:tblCellMar>
            <w:top w:w="0" w:type="dxa"/>
            <w:left w:w="108" w:type="dxa"/>
            <w:bottom w:w="0" w:type="dxa"/>
            <w:right w:w="108" w:type="dxa"/>
          </w:tblCellMar>
        </w:tblPrEx>
        <w:trPr>
          <w:jc w:val="center"/>
        </w:trPr>
        <w:tc>
          <w:tcPr>
            <w:tcW w:w="1601" w:type="dxa"/>
            <w:noWrap/>
            <w:vAlign w:val="bottom"/>
          </w:tcPr>
          <w:p w14:paraId="168684E1">
            <w:pPr>
              <w:jc w:val="distribute"/>
              <w:rPr>
                <w:rFonts w:ascii="宋体" w:hAnsi="宋体" w:cs="宋体"/>
                <w:color w:val="auto"/>
                <w:sz w:val="24"/>
                <w:highlight w:val="none"/>
              </w:rPr>
            </w:pPr>
            <w:r>
              <w:rPr>
                <w:rFonts w:hint="eastAsia" w:ascii="宋体" w:hAnsi="宋体" w:cs="宋体"/>
                <w:color w:val="auto"/>
                <w:sz w:val="24"/>
                <w:highlight w:val="none"/>
              </w:rPr>
              <w:t>投标人地址：</w:t>
            </w:r>
          </w:p>
        </w:tc>
        <w:tc>
          <w:tcPr>
            <w:tcW w:w="6172" w:type="dxa"/>
            <w:tcBorders>
              <w:top w:val="single" w:color="000000" w:sz="4" w:space="0"/>
              <w:bottom w:val="single" w:color="000000" w:sz="4" w:space="0"/>
            </w:tcBorders>
            <w:noWrap/>
            <w:vAlign w:val="bottom"/>
          </w:tcPr>
          <w:p w14:paraId="441F41B3">
            <w:pPr>
              <w:jc w:val="left"/>
              <w:rPr>
                <w:rFonts w:ascii="宋体" w:hAnsi="宋体" w:cs="宋体"/>
                <w:color w:val="auto"/>
                <w:sz w:val="24"/>
                <w:highlight w:val="none"/>
              </w:rPr>
            </w:pPr>
          </w:p>
        </w:tc>
      </w:tr>
    </w:tbl>
    <w:p w14:paraId="01A1660C">
      <w:pPr>
        <w:ind w:firstLine="4200" w:firstLineChars="1750"/>
        <w:rPr>
          <w:rFonts w:ascii="宋体" w:hAnsi="宋体" w:cs="宋体"/>
          <w:color w:val="auto"/>
          <w:sz w:val="24"/>
          <w:highlight w:val="none"/>
        </w:rPr>
      </w:pPr>
    </w:p>
    <w:p w14:paraId="17C7EAA2">
      <w:pPr>
        <w:ind w:firstLine="4200" w:firstLineChars="1750"/>
        <w:rPr>
          <w:rFonts w:ascii="宋体" w:hAnsi="宋体" w:cs="宋体"/>
          <w:color w:val="auto"/>
          <w:sz w:val="24"/>
          <w:highlight w:val="none"/>
        </w:rPr>
      </w:pPr>
    </w:p>
    <w:p w14:paraId="0D7F8CAF">
      <w:pPr>
        <w:ind w:firstLine="4200" w:firstLineChars="1750"/>
        <w:rPr>
          <w:rFonts w:ascii="宋体" w:hAnsi="宋体" w:cs="宋体"/>
          <w:color w:val="auto"/>
          <w:sz w:val="24"/>
          <w:highlight w:val="none"/>
        </w:rPr>
      </w:pPr>
    </w:p>
    <w:p w14:paraId="2BAD3D88">
      <w:pPr>
        <w:ind w:firstLine="5880" w:firstLineChars="2450"/>
        <w:rPr>
          <w:rFonts w:ascii="宋体" w:hAnsi="宋体" w:cs="宋体"/>
          <w:color w:val="auto"/>
          <w:sz w:val="24"/>
          <w:highlight w:val="none"/>
        </w:rPr>
      </w:pPr>
      <w:r>
        <w:rPr>
          <w:rFonts w:hint="eastAsia" w:ascii="宋体" w:hAnsi="宋体" w:cs="宋体"/>
          <w:color w:val="auto"/>
          <w:sz w:val="24"/>
          <w:highlight w:val="none"/>
        </w:rPr>
        <w:t>投标截止时间前不得解密</w:t>
      </w:r>
    </w:p>
    <w:p w14:paraId="54DDDE13">
      <w:pPr>
        <w:ind w:firstLine="6480" w:firstLineChars="2700"/>
        <w:rPr>
          <w:rFonts w:ascii="宋体" w:hAnsi="宋体" w:cs="宋体"/>
          <w:color w:val="auto"/>
          <w:sz w:val="24"/>
          <w:highlight w:val="none"/>
        </w:rPr>
        <w:sectPr>
          <w:headerReference r:id="rId10" w:type="default"/>
          <w:footerReference r:id="rId11" w:type="default"/>
          <w:pgSz w:w="11907" w:h="16840"/>
          <w:pgMar w:top="1247" w:right="1418" w:bottom="1247" w:left="1418" w:header="720" w:footer="720" w:gutter="0"/>
          <w:pgNumType w:fmt="decimal"/>
          <w:cols w:space="720" w:num="1"/>
          <w:docGrid w:linePitch="285" w:charSpace="0"/>
        </w:sectPr>
      </w:pPr>
      <w:r>
        <w:rPr>
          <w:rFonts w:hint="eastAsia" w:ascii="宋体" w:hAnsi="宋体" w:cs="宋体"/>
          <w:color w:val="auto"/>
          <w:sz w:val="24"/>
          <w:highlight w:val="none"/>
        </w:rPr>
        <w:t>年   月   日</w:t>
      </w:r>
    </w:p>
    <w:p w14:paraId="3DCE2087">
      <w:pPr>
        <w:pStyle w:val="13"/>
        <w:jc w:val="center"/>
        <w:outlineLvl w:val="1"/>
        <w:rPr>
          <w:rFonts w:hAnsi="宋体"/>
          <w:b/>
          <w:bCs/>
          <w:color w:val="auto"/>
          <w:sz w:val="28"/>
          <w:szCs w:val="28"/>
          <w:highlight w:val="none"/>
        </w:rPr>
      </w:pPr>
      <w:bookmarkStart w:id="164" w:name="_Toc89076011"/>
      <w:r>
        <w:rPr>
          <w:rFonts w:hint="eastAsia" w:hAnsi="宋体"/>
          <w:b/>
          <w:bCs/>
          <w:color w:val="auto"/>
          <w:sz w:val="28"/>
          <w:szCs w:val="28"/>
          <w:highlight w:val="none"/>
        </w:rPr>
        <w:t>第二节 资格证明文件格式</w:t>
      </w:r>
      <w:bookmarkEnd w:id="164"/>
    </w:p>
    <w:p w14:paraId="12DE8527">
      <w:pPr>
        <w:pStyle w:val="13"/>
        <w:spacing w:line="360" w:lineRule="auto"/>
        <w:ind w:firstLine="420"/>
        <w:rPr>
          <w:rFonts w:hAnsi="宋体"/>
          <w:color w:val="auto"/>
          <w:sz w:val="30"/>
          <w:highlight w:val="none"/>
        </w:rPr>
      </w:pPr>
    </w:p>
    <w:p w14:paraId="16166947">
      <w:pPr>
        <w:snapToGrid w:val="0"/>
        <w:spacing w:beforeLines="50" w:after="50"/>
        <w:rPr>
          <w:rFonts w:ascii="宋体" w:hAnsi="宋体"/>
          <w:bCs/>
          <w:color w:val="auto"/>
          <w:sz w:val="32"/>
          <w:szCs w:val="20"/>
          <w:highlight w:val="none"/>
        </w:rPr>
      </w:pPr>
      <w:r>
        <w:rPr>
          <w:rFonts w:hint="eastAsia" w:ascii="宋体" w:hAnsi="宋体"/>
          <w:bCs/>
          <w:color w:val="auto"/>
          <w:highlight w:val="none"/>
        </w:rPr>
        <w:t>电子投标文件</w:t>
      </w:r>
    </w:p>
    <w:p w14:paraId="53531D74">
      <w:pPr>
        <w:snapToGrid w:val="0"/>
        <w:spacing w:beforeLines="50" w:after="50"/>
        <w:rPr>
          <w:rFonts w:ascii="宋体" w:hAnsi="宋体"/>
          <w:color w:val="auto"/>
          <w:sz w:val="24"/>
          <w:szCs w:val="20"/>
          <w:highlight w:val="none"/>
        </w:rPr>
      </w:pPr>
    </w:p>
    <w:p w14:paraId="4D47E268">
      <w:pPr>
        <w:snapToGrid w:val="0"/>
        <w:spacing w:beforeLines="50" w:after="50"/>
        <w:jc w:val="center"/>
        <w:rPr>
          <w:rFonts w:ascii="宋体" w:hAnsi="宋体"/>
          <w:b/>
          <w:color w:val="auto"/>
          <w:sz w:val="24"/>
          <w:szCs w:val="20"/>
          <w:highlight w:val="none"/>
        </w:rPr>
      </w:pPr>
      <w:r>
        <w:rPr>
          <w:rFonts w:hint="eastAsia" w:ascii="宋体" w:hAnsi="宋体"/>
          <w:b/>
          <w:color w:val="auto"/>
          <w:sz w:val="32"/>
          <w:szCs w:val="32"/>
          <w:highlight w:val="none"/>
        </w:rPr>
        <w:t>资格证明文件（封面）</w:t>
      </w:r>
    </w:p>
    <w:p w14:paraId="0FE14896">
      <w:pPr>
        <w:snapToGrid w:val="0"/>
        <w:spacing w:beforeLines="50" w:after="50"/>
        <w:rPr>
          <w:rFonts w:ascii="宋体" w:hAnsi="宋体"/>
          <w:bCs/>
          <w:color w:val="auto"/>
          <w:sz w:val="24"/>
          <w:szCs w:val="20"/>
          <w:highlight w:val="none"/>
        </w:rPr>
      </w:pPr>
    </w:p>
    <w:p w14:paraId="0C2C1B41">
      <w:pPr>
        <w:snapToGrid w:val="0"/>
        <w:spacing w:beforeLines="50" w:after="50"/>
        <w:rPr>
          <w:rFonts w:ascii="宋体" w:hAnsi="宋体"/>
          <w:bCs/>
          <w:color w:val="auto"/>
          <w:sz w:val="24"/>
          <w:szCs w:val="20"/>
          <w:highlight w:val="none"/>
        </w:rPr>
      </w:pPr>
    </w:p>
    <w:p w14:paraId="6CFE001D">
      <w:pPr>
        <w:snapToGrid w:val="0"/>
        <w:spacing w:beforeLines="50" w:after="50"/>
        <w:rPr>
          <w:rFonts w:ascii="宋体" w:hAnsi="宋体"/>
          <w:bCs/>
          <w:color w:val="auto"/>
          <w:sz w:val="24"/>
          <w:szCs w:val="20"/>
          <w:highlight w:val="none"/>
        </w:rPr>
      </w:pPr>
    </w:p>
    <w:p w14:paraId="23D22465">
      <w:pPr>
        <w:snapToGrid w:val="0"/>
        <w:spacing w:beforeLines="50" w:after="50"/>
        <w:rPr>
          <w:rFonts w:ascii="宋体" w:hAnsi="宋体"/>
          <w:bCs/>
          <w:color w:val="auto"/>
          <w:sz w:val="24"/>
          <w:szCs w:val="20"/>
          <w:highlight w:val="none"/>
        </w:rPr>
      </w:pPr>
    </w:p>
    <w:p w14:paraId="7DC8926E">
      <w:pPr>
        <w:snapToGrid w:val="0"/>
        <w:spacing w:beforeLines="50" w:after="50"/>
        <w:rPr>
          <w:rFonts w:ascii="宋体" w:hAnsi="宋体"/>
          <w:bCs/>
          <w:color w:val="auto"/>
          <w:sz w:val="24"/>
          <w:szCs w:val="20"/>
          <w:highlight w:val="none"/>
        </w:rPr>
      </w:pPr>
    </w:p>
    <w:p w14:paraId="08C36FD6">
      <w:pPr>
        <w:snapToGrid w:val="0"/>
        <w:spacing w:beforeLines="50" w:after="50"/>
        <w:rPr>
          <w:rFonts w:ascii="宋体" w:hAnsi="宋体"/>
          <w:bCs/>
          <w:color w:val="auto"/>
          <w:sz w:val="24"/>
          <w:szCs w:val="20"/>
          <w:highlight w:val="none"/>
        </w:rPr>
      </w:pPr>
    </w:p>
    <w:p w14:paraId="1DCEC2D7">
      <w:pPr>
        <w:snapToGrid w:val="0"/>
        <w:spacing w:beforeLines="50" w:after="50"/>
        <w:rPr>
          <w:rFonts w:ascii="宋体" w:hAnsi="宋体"/>
          <w:bCs/>
          <w:color w:val="auto"/>
          <w:sz w:val="24"/>
          <w:szCs w:val="20"/>
          <w:highlight w:val="none"/>
        </w:rPr>
      </w:pPr>
    </w:p>
    <w:p w14:paraId="2B713498">
      <w:pPr>
        <w:snapToGrid w:val="0"/>
        <w:spacing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项目名称：</w:t>
      </w:r>
    </w:p>
    <w:p w14:paraId="3BC97CB4">
      <w:pPr>
        <w:snapToGrid w:val="0"/>
        <w:spacing w:beforeLines="50" w:after="50"/>
        <w:ind w:firstLine="540" w:firstLineChars="225"/>
        <w:rPr>
          <w:rFonts w:ascii="宋体" w:hAnsi="宋体"/>
          <w:bCs/>
          <w:color w:val="auto"/>
          <w:sz w:val="24"/>
          <w:szCs w:val="20"/>
          <w:highlight w:val="none"/>
        </w:rPr>
      </w:pPr>
    </w:p>
    <w:p w14:paraId="1EAD31A7">
      <w:pPr>
        <w:snapToGrid w:val="0"/>
        <w:spacing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项目编号：</w:t>
      </w:r>
    </w:p>
    <w:p w14:paraId="62678603">
      <w:pPr>
        <w:snapToGrid w:val="0"/>
        <w:spacing w:beforeLines="50" w:after="50"/>
        <w:ind w:firstLine="540" w:firstLineChars="225"/>
        <w:rPr>
          <w:rFonts w:ascii="宋体" w:hAnsi="宋体"/>
          <w:bCs/>
          <w:color w:val="auto"/>
          <w:sz w:val="24"/>
          <w:szCs w:val="20"/>
          <w:highlight w:val="none"/>
        </w:rPr>
      </w:pPr>
    </w:p>
    <w:p w14:paraId="6BAA8405">
      <w:pPr>
        <w:snapToGrid w:val="0"/>
        <w:spacing w:beforeLines="50" w:after="50"/>
        <w:ind w:firstLine="540" w:firstLineChars="225"/>
        <w:rPr>
          <w:rFonts w:ascii="宋体" w:hAnsi="宋体"/>
          <w:bCs/>
          <w:color w:val="auto"/>
          <w:sz w:val="24"/>
          <w:highlight w:val="none"/>
        </w:rPr>
      </w:pPr>
      <w:r>
        <w:rPr>
          <w:rFonts w:hint="eastAsia" w:ascii="宋体" w:hAnsi="宋体"/>
          <w:bCs/>
          <w:color w:val="auto"/>
          <w:sz w:val="24"/>
          <w:highlight w:val="none"/>
        </w:rPr>
        <w:t>所投分标（如有则填写，无分标时填写“无”或者留空）：</w:t>
      </w:r>
    </w:p>
    <w:p w14:paraId="0B3B83C5">
      <w:pPr>
        <w:pStyle w:val="7"/>
        <w:snapToGrid w:val="0"/>
        <w:spacing w:before="50" w:after="50"/>
        <w:ind w:firstLine="540" w:firstLineChars="225"/>
        <w:rPr>
          <w:rFonts w:ascii="宋体" w:hAnsi="宋体"/>
          <w:bCs/>
          <w:color w:val="auto"/>
          <w:sz w:val="24"/>
          <w:szCs w:val="24"/>
          <w:highlight w:val="none"/>
        </w:rPr>
      </w:pPr>
    </w:p>
    <w:p w14:paraId="2494C3E5">
      <w:pPr>
        <w:pStyle w:val="7"/>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投标人名称：</w:t>
      </w:r>
    </w:p>
    <w:p w14:paraId="6EA443D3">
      <w:pPr>
        <w:pStyle w:val="7"/>
        <w:snapToGrid w:val="0"/>
        <w:spacing w:before="50" w:after="50"/>
        <w:ind w:firstLine="540" w:firstLineChars="225"/>
        <w:rPr>
          <w:rFonts w:ascii="宋体" w:hAnsi="宋体"/>
          <w:bCs/>
          <w:color w:val="auto"/>
          <w:sz w:val="24"/>
          <w:szCs w:val="24"/>
          <w:highlight w:val="none"/>
        </w:rPr>
      </w:pPr>
    </w:p>
    <w:p w14:paraId="614AF637">
      <w:pPr>
        <w:pStyle w:val="7"/>
        <w:snapToGrid w:val="0"/>
        <w:spacing w:before="50" w:after="50"/>
        <w:ind w:firstLine="960" w:firstLineChars="400"/>
        <w:rPr>
          <w:rFonts w:ascii="宋体" w:hAnsi="宋体"/>
          <w:bCs/>
          <w:color w:val="auto"/>
          <w:sz w:val="24"/>
          <w:szCs w:val="24"/>
          <w:highlight w:val="none"/>
        </w:rPr>
      </w:pPr>
    </w:p>
    <w:p w14:paraId="5606FBF0">
      <w:pPr>
        <w:snapToGrid w:val="0"/>
        <w:spacing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14:paraId="0FEC32D7">
      <w:pPr>
        <w:pStyle w:val="13"/>
        <w:spacing w:line="360" w:lineRule="auto"/>
        <w:ind w:firstLine="420"/>
        <w:rPr>
          <w:rFonts w:hAnsi="宋体"/>
          <w:color w:val="auto"/>
          <w:sz w:val="30"/>
          <w:highlight w:val="none"/>
        </w:rPr>
        <w:sectPr>
          <w:pgSz w:w="11906" w:h="16838"/>
          <w:pgMar w:top="1134" w:right="1134" w:bottom="1134" w:left="1134" w:header="720" w:footer="720" w:gutter="0"/>
          <w:pgNumType w:fmt="decimal"/>
          <w:cols w:space="720" w:num="1"/>
          <w:docGrid w:type="lines" w:linePitch="331" w:charSpace="0"/>
        </w:sectPr>
      </w:pPr>
    </w:p>
    <w:p w14:paraId="56B78263">
      <w:pPr>
        <w:jc w:val="center"/>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资格证明文件目录</w:t>
      </w:r>
    </w:p>
    <w:p w14:paraId="29F95E9A">
      <w:pPr>
        <w:snapToGrid w:val="0"/>
        <w:spacing w:line="360" w:lineRule="auto"/>
        <w:rPr>
          <w:rFonts w:ascii="仿宋_GB2312" w:hAnsi="仿宋" w:eastAsia="仿宋_GB2312" w:cs="仿宋_GB2312"/>
          <w:color w:val="auto"/>
          <w:kern w:val="0"/>
          <w:sz w:val="24"/>
          <w:highlight w:val="none"/>
        </w:rPr>
      </w:pPr>
    </w:p>
    <w:p w14:paraId="541102D3">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w:t>
      </w:r>
      <w:r>
        <w:rPr>
          <w:rFonts w:hint="eastAsia" w:ascii="仿宋_GB2312" w:hAnsi="仿宋" w:eastAsia="仿宋_GB2312"/>
          <w:color w:val="auto"/>
          <w:sz w:val="24"/>
          <w:highlight w:val="none"/>
        </w:rPr>
        <w:t>营业执照(或事业法人登记证或其他工商等登记证明材料)复印件（投标人为自然人的，须提供</w:t>
      </w:r>
      <w:r>
        <w:rPr>
          <w:rFonts w:hint="eastAsia" w:ascii="仿宋_GB2312" w:hAnsi="仿宋" w:eastAsia="仿宋_GB2312" w:cs="Helvetica"/>
          <w:color w:val="auto"/>
          <w:kern w:val="0"/>
          <w:sz w:val="24"/>
          <w:highlight w:val="none"/>
        </w:rPr>
        <w:t>自然人的身份证明</w:t>
      </w:r>
      <w:r>
        <w:rPr>
          <w:rFonts w:hint="eastAsia"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rPr>
        <w:t>……………………………………………………………（页码）</w:t>
      </w:r>
    </w:p>
    <w:p w14:paraId="65C7E617">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二、符合参与政府采购活动的资格条件依法缴纳税收、社会保障资金等方面的材料…………………………………………………………………………………………（页码）</w:t>
      </w:r>
    </w:p>
    <w:p w14:paraId="066479D9">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三、财务状况报告方面的材料…………………………………………………………（页码）</w:t>
      </w:r>
    </w:p>
    <w:p w14:paraId="55FB789F">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四、投标人直接控股股东信息表</w:t>
      </w:r>
      <w:r>
        <w:rPr>
          <w:rFonts w:hint="eastAsia" w:ascii="仿宋_GB2312" w:hAnsi="仿宋" w:eastAsia="仿宋_GB2312" w:cs="仿宋_GB2312"/>
          <w:color w:val="auto"/>
          <w:kern w:val="0"/>
          <w:sz w:val="24"/>
          <w:highlight w:val="none"/>
        </w:rPr>
        <w:t>………………………………………………………（页码）</w:t>
      </w:r>
    </w:p>
    <w:p w14:paraId="53F1F8F7">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五、投标人直接管理关系信息表</w:t>
      </w:r>
      <w:r>
        <w:rPr>
          <w:rFonts w:hint="eastAsia" w:ascii="仿宋_GB2312" w:hAnsi="仿宋" w:eastAsia="仿宋_GB2312" w:cs="仿宋_GB2312"/>
          <w:color w:val="auto"/>
          <w:kern w:val="0"/>
          <w:sz w:val="24"/>
          <w:highlight w:val="none"/>
        </w:rPr>
        <w:t>………………………………………………………（页码）</w:t>
      </w:r>
    </w:p>
    <w:p w14:paraId="6F93F5A7">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六、投标资格声明函……………………………………………………………………（页码）</w:t>
      </w:r>
    </w:p>
    <w:p w14:paraId="55926559">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en-US" w:eastAsia="zh-CN"/>
        </w:rPr>
        <w:t>七</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sz w:val="24"/>
          <w:highlight w:val="none"/>
        </w:rPr>
        <w:t>除招标文件规定必须提供以外，投标人认为需要提供的其他证明材料</w:t>
      </w:r>
      <w:r>
        <w:rPr>
          <w:rFonts w:hint="eastAsia" w:ascii="仿宋_GB2312" w:hAnsi="仿宋" w:eastAsia="仿宋_GB2312" w:cs="仿宋_GB2312"/>
          <w:color w:val="auto"/>
          <w:kern w:val="0"/>
          <w:sz w:val="24"/>
          <w:highlight w:val="none"/>
        </w:rPr>
        <w:t>………（页码）</w:t>
      </w:r>
    </w:p>
    <w:p w14:paraId="217E100A">
      <w:pPr>
        <w:spacing w:line="360" w:lineRule="auto"/>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注：以上目录是基本格式要求，各投标人可根据自身情况进一步向下增加内容或细化。</w:t>
      </w:r>
    </w:p>
    <w:p w14:paraId="5FA9EFB0">
      <w:pPr>
        <w:pStyle w:val="13"/>
        <w:spacing w:line="360" w:lineRule="auto"/>
        <w:ind w:firstLine="420"/>
        <w:rPr>
          <w:rFonts w:hAnsi="宋体"/>
          <w:color w:val="auto"/>
          <w:sz w:val="30"/>
          <w:highlight w:val="none"/>
        </w:rPr>
        <w:sectPr>
          <w:pgSz w:w="11906" w:h="16838"/>
          <w:pgMar w:top="1134" w:right="1134" w:bottom="1134" w:left="1134" w:header="720" w:footer="720" w:gutter="0"/>
          <w:pgNumType w:fmt="decimal"/>
          <w:cols w:space="720" w:num="1"/>
          <w:docGrid w:type="lines" w:linePitch="331" w:charSpace="0"/>
        </w:sectPr>
      </w:pPr>
    </w:p>
    <w:p w14:paraId="79D220F5">
      <w:pPr>
        <w:snapToGrid w:val="0"/>
        <w:spacing w:line="360" w:lineRule="auto"/>
        <w:rPr>
          <w:rFonts w:ascii="仿宋_GB2312" w:hAnsi="仿宋" w:eastAsia="仿宋_GB2312" w:cs="仿宋_GB2312"/>
          <w:b/>
          <w:color w:val="auto"/>
          <w:kern w:val="0"/>
          <w:sz w:val="32"/>
          <w:szCs w:val="32"/>
          <w:highlight w:val="none"/>
          <w:lang w:val="zh-CN"/>
        </w:rPr>
      </w:pPr>
    </w:p>
    <w:p w14:paraId="64355B54">
      <w:pPr>
        <w:spacing w:line="360" w:lineRule="auto"/>
        <w:jc w:val="center"/>
        <w:rPr>
          <w:rFonts w:ascii="仿宋_GB2312" w:hAnsi="仿宋" w:eastAsia="仿宋_GB2312" w:cs="仿宋_GB2312"/>
          <w:b/>
          <w:color w:val="auto"/>
          <w:sz w:val="30"/>
          <w:szCs w:val="30"/>
          <w:highlight w:val="none"/>
        </w:rPr>
      </w:pPr>
      <w:r>
        <w:rPr>
          <w:rFonts w:hint="eastAsia" w:ascii="仿宋_GB2312" w:hAnsi="仿宋" w:eastAsia="仿宋_GB2312" w:cs="仿宋_GB2312"/>
          <w:b/>
          <w:color w:val="auto"/>
          <w:kern w:val="0"/>
          <w:sz w:val="32"/>
          <w:szCs w:val="32"/>
          <w:highlight w:val="none"/>
          <w:lang w:val="zh-CN"/>
        </w:rPr>
        <w:t>一、</w:t>
      </w:r>
      <w:r>
        <w:rPr>
          <w:rFonts w:hint="eastAsia" w:ascii="仿宋_GB2312" w:hAnsi="仿宋" w:eastAsia="仿宋_GB2312" w:cs="仿宋_GB2312"/>
          <w:b/>
          <w:color w:val="auto"/>
          <w:sz w:val="30"/>
          <w:szCs w:val="30"/>
          <w:highlight w:val="none"/>
        </w:rPr>
        <w:t>营业执照(或事业法人登记证或其他工商等登记证明材料)复印件（投标人为自然人的，提供自然人的身份证明）</w:t>
      </w:r>
    </w:p>
    <w:p w14:paraId="442D9477">
      <w:pPr>
        <w:spacing w:line="360" w:lineRule="auto"/>
        <w:rPr>
          <w:rFonts w:ascii="仿宋_GB2312" w:hAnsi="仿宋" w:eastAsia="仿宋_GB2312" w:cs="仿宋_GB2312"/>
          <w:b/>
          <w:color w:val="auto"/>
          <w:sz w:val="30"/>
          <w:szCs w:val="30"/>
          <w:highlight w:val="none"/>
        </w:rPr>
      </w:pPr>
    </w:p>
    <w:p w14:paraId="1A8721A2">
      <w:pPr>
        <w:snapToGrid w:val="0"/>
        <w:spacing w:line="360" w:lineRule="auto"/>
        <w:ind w:firstLine="576"/>
        <w:jc w:val="center"/>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投标人名称(电子签章)：                              </w:t>
      </w:r>
    </w:p>
    <w:p w14:paraId="7F03E2AC">
      <w:pPr>
        <w:spacing w:line="360" w:lineRule="auto"/>
        <w:jc w:val="center"/>
        <w:rPr>
          <w:rFonts w:ascii="仿宋_GB2312" w:hAnsi="仿宋" w:eastAsia="仿宋_GB2312" w:cs="仿宋_GB2312"/>
          <w:b/>
          <w:color w:val="auto"/>
          <w:sz w:val="30"/>
          <w:szCs w:val="30"/>
          <w:highlight w:val="none"/>
        </w:rPr>
      </w:pPr>
      <w:r>
        <w:rPr>
          <w:rFonts w:hint="eastAsia"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7F33FE4D">
      <w:pPr>
        <w:spacing w:line="360" w:lineRule="auto"/>
        <w:jc w:val="center"/>
        <w:rPr>
          <w:rFonts w:ascii="仿宋_GB2312" w:hAnsi="仿宋" w:eastAsia="仿宋_GB2312" w:cs="仿宋_GB2312"/>
          <w:b/>
          <w:color w:val="auto"/>
          <w:sz w:val="30"/>
          <w:szCs w:val="30"/>
          <w:highlight w:val="none"/>
        </w:rPr>
      </w:pPr>
    </w:p>
    <w:p w14:paraId="669C4E93">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sz w:val="30"/>
          <w:szCs w:val="30"/>
          <w:highlight w:val="none"/>
        </w:rPr>
        <w:t>二、</w:t>
      </w:r>
      <w:r>
        <w:rPr>
          <w:rFonts w:hint="eastAsia" w:ascii="仿宋_GB2312" w:hAnsi="仿宋" w:eastAsia="仿宋_GB2312" w:cs="仿宋_GB2312"/>
          <w:b/>
          <w:color w:val="auto"/>
          <w:kern w:val="0"/>
          <w:sz w:val="32"/>
          <w:szCs w:val="32"/>
          <w:highlight w:val="none"/>
        </w:rPr>
        <w:t>符合参与政府采购活动的资格条件依法缴纳税收、社会保障资金等方面的材料</w:t>
      </w:r>
    </w:p>
    <w:p w14:paraId="41CBD85D">
      <w:pPr>
        <w:snapToGrid w:val="0"/>
        <w:spacing w:line="360" w:lineRule="auto"/>
        <w:ind w:firstLine="480" w:firstLineChars="200"/>
        <w:rPr>
          <w:rFonts w:ascii="仿宋_GB2312" w:hAnsi="仿宋" w:eastAsia="仿宋_GB2312" w:cs="仿宋_GB2312"/>
          <w:color w:val="auto"/>
          <w:sz w:val="24"/>
          <w:highlight w:val="none"/>
        </w:rPr>
      </w:pPr>
    </w:p>
    <w:p w14:paraId="671EEC11">
      <w:pPr>
        <w:snapToGrid w:val="0"/>
        <w:spacing w:line="360" w:lineRule="auto"/>
        <w:rPr>
          <w:rFonts w:ascii="仿宋_GB2312" w:hAnsi="仿宋" w:eastAsia="仿宋_GB2312" w:cs="仿宋_GB2312"/>
          <w:color w:val="auto"/>
          <w:kern w:val="0"/>
          <w:sz w:val="24"/>
          <w:highlight w:val="none"/>
          <w:lang w:val="zh-CN"/>
        </w:rPr>
      </w:pPr>
    </w:p>
    <w:p w14:paraId="290E10A1">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投标人名称(电子签章)：</w:t>
      </w:r>
    </w:p>
    <w:p w14:paraId="58F9BBD2">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62AB6321">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sz w:val="30"/>
          <w:szCs w:val="30"/>
          <w:highlight w:val="none"/>
        </w:rPr>
        <w:t>三、</w:t>
      </w:r>
      <w:r>
        <w:rPr>
          <w:rFonts w:hint="eastAsia" w:ascii="仿宋_GB2312" w:hAnsi="仿宋" w:eastAsia="仿宋_GB2312" w:cs="仿宋_GB2312"/>
          <w:b/>
          <w:color w:val="auto"/>
          <w:kern w:val="0"/>
          <w:sz w:val="32"/>
          <w:szCs w:val="32"/>
          <w:highlight w:val="none"/>
        </w:rPr>
        <w:t>财务状况报告方面的材料</w:t>
      </w:r>
    </w:p>
    <w:p w14:paraId="6A3EE63E">
      <w:pPr>
        <w:snapToGrid w:val="0"/>
        <w:spacing w:line="360" w:lineRule="auto"/>
        <w:ind w:firstLine="480" w:firstLineChars="200"/>
        <w:rPr>
          <w:rFonts w:ascii="仿宋_GB2312" w:hAnsi="仿宋" w:eastAsia="仿宋_GB2312" w:cs="仿宋_GB2312"/>
          <w:color w:val="auto"/>
          <w:sz w:val="24"/>
          <w:highlight w:val="none"/>
        </w:rPr>
      </w:pPr>
    </w:p>
    <w:p w14:paraId="14E69740">
      <w:pPr>
        <w:snapToGrid w:val="0"/>
        <w:spacing w:line="360" w:lineRule="auto"/>
        <w:rPr>
          <w:rFonts w:ascii="仿宋_GB2312" w:hAnsi="仿宋" w:eastAsia="仿宋_GB2312" w:cs="仿宋_GB2312"/>
          <w:color w:val="auto"/>
          <w:kern w:val="0"/>
          <w:sz w:val="24"/>
          <w:highlight w:val="none"/>
          <w:lang w:val="zh-CN"/>
        </w:rPr>
      </w:pPr>
    </w:p>
    <w:p w14:paraId="342F8CD7">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投标人名称(电子签章)：</w:t>
      </w:r>
    </w:p>
    <w:p w14:paraId="3124595C">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512CF0A5">
      <w:pPr>
        <w:snapToGrid w:val="0"/>
        <w:spacing w:line="360" w:lineRule="auto"/>
        <w:ind w:firstLine="5160" w:firstLineChars="2150"/>
        <w:rPr>
          <w:rFonts w:ascii="仿宋_GB2312" w:hAnsi="仿宋" w:eastAsia="仿宋_GB2312" w:cs="仿宋_GB2312"/>
          <w:color w:val="auto"/>
          <w:kern w:val="0"/>
          <w:sz w:val="24"/>
          <w:highlight w:val="none"/>
          <w:lang w:val="zh-CN"/>
        </w:rPr>
      </w:pPr>
    </w:p>
    <w:p w14:paraId="23D2D13E">
      <w:pPr>
        <w:snapToGrid w:val="0"/>
        <w:spacing w:line="360" w:lineRule="auto"/>
        <w:ind w:right="480"/>
        <w:jc w:val="center"/>
        <w:rPr>
          <w:rFonts w:ascii="仿宋_GB2312" w:hAnsi="仿宋" w:eastAsia="仿宋_GB2312" w:cs="仿宋_GB2312"/>
          <w:b/>
          <w:color w:val="auto"/>
          <w:kern w:val="0"/>
          <w:sz w:val="32"/>
          <w:szCs w:val="32"/>
          <w:highlight w:val="none"/>
          <w:lang w:val="zh-CN"/>
        </w:rPr>
      </w:pPr>
    </w:p>
    <w:p w14:paraId="5C483491">
      <w:pPr>
        <w:snapToGrid w:val="0"/>
        <w:spacing w:line="360" w:lineRule="auto"/>
        <w:ind w:right="480"/>
        <w:jc w:val="center"/>
        <w:rPr>
          <w:rFonts w:ascii="宋体" w:hAnsi="宋体"/>
          <w:b/>
          <w:color w:val="auto"/>
          <w:sz w:val="28"/>
          <w:szCs w:val="28"/>
          <w:highlight w:val="none"/>
        </w:rPr>
      </w:pPr>
      <w:r>
        <w:rPr>
          <w:rFonts w:ascii="仿宋_GB2312" w:hAnsi="仿宋" w:eastAsia="仿宋_GB2312" w:cs="仿宋_GB2312"/>
          <w:b/>
          <w:color w:val="auto"/>
          <w:kern w:val="0"/>
          <w:sz w:val="32"/>
          <w:szCs w:val="32"/>
          <w:highlight w:val="none"/>
        </w:rPr>
        <w:br w:type="page"/>
      </w:r>
    </w:p>
    <w:p w14:paraId="6772084F">
      <w:pPr>
        <w:snapToGrid w:val="0"/>
        <w:spacing w:before="50" w:afterLines="50" w:line="360" w:lineRule="auto"/>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四、投标人直接控股股东信息表</w:t>
      </w:r>
    </w:p>
    <w:tbl>
      <w:tblPr>
        <w:tblStyle w:val="28"/>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05B1A406">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643FCD16">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700E053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57555729">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44523D73">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0CA8C04A">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1C92EE4">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C71CD50">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5EDAA7A">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C0C1BB4">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1667B49">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9B9CB5C">
            <w:pPr>
              <w:spacing w:line="360" w:lineRule="auto"/>
              <w:jc w:val="center"/>
              <w:rPr>
                <w:rFonts w:ascii="宋体" w:hAnsi="宋体" w:cs="宋体"/>
                <w:color w:val="auto"/>
                <w:kern w:val="0"/>
                <w:sz w:val="24"/>
                <w:highlight w:val="none"/>
              </w:rPr>
            </w:pPr>
          </w:p>
        </w:tc>
      </w:tr>
      <w:tr w14:paraId="255DCC2A">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B5BBDDB">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AE6A691">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E9BD9E9">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B232B90">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1F0FCBE">
            <w:pPr>
              <w:spacing w:line="360" w:lineRule="auto"/>
              <w:jc w:val="center"/>
              <w:rPr>
                <w:rFonts w:ascii="宋体" w:hAnsi="宋体" w:cs="宋体"/>
                <w:color w:val="auto"/>
                <w:kern w:val="0"/>
                <w:sz w:val="24"/>
                <w:highlight w:val="none"/>
              </w:rPr>
            </w:pPr>
          </w:p>
        </w:tc>
      </w:tr>
      <w:tr w14:paraId="7E4985D2">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07AAEC6">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8F35D2C">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E25F3CE">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3B1114B">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B9B9AD9">
            <w:pPr>
              <w:spacing w:line="360" w:lineRule="auto"/>
              <w:jc w:val="center"/>
              <w:rPr>
                <w:rFonts w:ascii="宋体" w:hAnsi="宋体" w:cs="宋体"/>
                <w:color w:val="auto"/>
                <w:kern w:val="0"/>
                <w:sz w:val="24"/>
                <w:highlight w:val="none"/>
              </w:rPr>
            </w:pPr>
          </w:p>
        </w:tc>
      </w:tr>
      <w:tr w14:paraId="5C51D798">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C80D9AC">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68D6FA4">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E5226B0">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5FF326A">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1BC2AD7">
            <w:pPr>
              <w:spacing w:line="360" w:lineRule="auto"/>
              <w:jc w:val="center"/>
              <w:rPr>
                <w:rFonts w:ascii="宋体" w:hAnsi="宋体" w:cs="宋体"/>
                <w:color w:val="auto"/>
                <w:kern w:val="0"/>
                <w:sz w:val="24"/>
                <w:highlight w:val="none"/>
              </w:rPr>
            </w:pPr>
          </w:p>
        </w:tc>
      </w:tr>
    </w:tbl>
    <w:p w14:paraId="0AF98933">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02703262">
      <w:pPr>
        <w:snapToGrid w:val="0"/>
        <w:spacing w:line="360" w:lineRule="auto"/>
        <w:jc w:val="left"/>
        <w:rPr>
          <w:rFonts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4F72CC3">
      <w:pPr>
        <w:snapToGrid w:val="0"/>
        <w:spacing w:line="360" w:lineRule="auto"/>
        <w:jc w:val="left"/>
        <w:rPr>
          <w:rFonts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03E242A2">
      <w:pPr>
        <w:snapToGrid w:val="0"/>
        <w:spacing w:line="360" w:lineRule="auto"/>
        <w:jc w:val="left"/>
        <w:rPr>
          <w:rFonts w:ascii="宋体" w:hAnsi="宋体"/>
          <w:color w:val="auto"/>
          <w:sz w:val="24"/>
          <w:highlight w:val="none"/>
        </w:rPr>
      </w:pPr>
      <w:r>
        <w:rPr>
          <w:rFonts w:hint="eastAsia" w:ascii="宋体" w:hAnsi="宋体"/>
          <w:color w:val="auto"/>
          <w:sz w:val="24"/>
          <w:highlight w:val="none"/>
        </w:rPr>
        <w:t>3.供应商不存在直接控股股东的，则填“无”。</w:t>
      </w:r>
    </w:p>
    <w:p w14:paraId="653CD34C">
      <w:pPr>
        <w:snapToGrid w:val="0"/>
        <w:spacing w:line="360" w:lineRule="auto"/>
        <w:jc w:val="left"/>
        <w:rPr>
          <w:rFonts w:ascii="宋体" w:hAnsi="宋体"/>
          <w:color w:val="auto"/>
          <w:sz w:val="24"/>
          <w:highlight w:val="none"/>
        </w:rPr>
      </w:pPr>
    </w:p>
    <w:p w14:paraId="33C176EF">
      <w:pPr>
        <w:snapToGrid w:val="0"/>
        <w:spacing w:line="360" w:lineRule="auto"/>
        <w:jc w:val="left"/>
        <w:rPr>
          <w:rFonts w:ascii="宋体" w:hAnsi="宋体"/>
          <w:color w:val="auto"/>
          <w:sz w:val="24"/>
          <w:highlight w:val="none"/>
        </w:rPr>
      </w:pPr>
    </w:p>
    <w:p w14:paraId="59D91AE4">
      <w:pPr>
        <w:snapToGrid w:val="0"/>
        <w:spacing w:line="360" w:lineRule="auto"/>
        <w:jc w:val="left"/>
        <w:rPr>
          <w:rFonts w:ascii="宋体" w:hAnsi="宋体"/>
          <w:color w:val="auto"/>
          <w:sz w:val="24"/>
          <w:highlight w:val="none"/>
        </w:rPr>
      </w:pPr>
    </w:p>
    <w:p w14:paraId="574F0EEF">
      <w:pPr>
        <w:snapToGrid w:val="0"/>
        <w:spacing w:line="360" w:lineRule="auto"/>
        <w:jc w:val="left"/>
        <w:rPr>
          <w:rFonts w:ascii="宋体" w:hAnsi="宋体"/>
          <w:color w:val="auto"/>
          <w:sz w:val="24"/>
          <w:highlight w:val="none"/>
        </w:rPr>
      </w:pPr>
    </w:p>
    <w:p w14:paraId="608D43E3">
      <w:pPr>
        <w:snapToGrid w:val="0"/>
        <w:spacing w:line="360" w:lineRule="auto"/>
        <w:jc w:val="left"/>
        <w:rPr>
          <w:rFonts w:ascii="宋体" w:hAnsi="宋体"/>
          <w:color w:val="auto"/>
          <w:sz w:val="24"/>
          <w:highlight w:val="none"/>
        </w:rPr>
      </w:pPr>
    </w:p>
    <w:p w14:paraId="3146D6EE">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4C7F43AF">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6A141375">
      <w:pPr>
        <w:snapToGrid w:val="0"/>
        <w:jc w:val="center"/>
        <w:rPr>
          <w:rFonts w:ascii="宋体" w:hAnsi="宋体"/>
          <w:b/>
          <w:color w:val="auto"/>
          <w:sz w:val="28"/>
          <w:szCs w:val="28"/>
          <w:highlight w:val="none"/>
        </w:rPr>
      </w:pPr>
      <w:r>
        <w:rPr>
          <w:rFonts w:ascii="宋体" w:hAnsi="宋体"/>
          <w:b/>
          <w:color w:val="auto"/>
          <w:sz w:val="28"/>
          <w:szCs w:val="28"/>
          <w:highlight w:val="none"/>
        </w:rPr>
        <w:br w:type="page"/>
      </w:r>
    </w:p>
    <w:p w14:paraId="141A0644">
      <w:pPr>
        <w:snapToGrid w:val="0"/>
        <w:spacing w:line="360" w:lineRule="auto"/>
        <w:jc w:val="center"/>
        <w:rPr>
          <w:rFonts w:ascii="宋体" w:hAnsi="宋体"/>
          <w:color w:val="auto"/>
          <w:sz w:val="32"/>
          <w:szCs w:val="32"/>
          <w:highlight w:val="none"/>
        </w:rPr>
      </w:pPr>
      <w:r>
        <w:rPr>
          <w:rFonts w:hint="eastAsia" w:ascii="宋体" w:hAnsi="宋体"/>
          <w:b/>
          <w:color w:val="auto"/>
          <w:sz w:val="32"/>
          <w:szCs w:val="32"/>
          <w:highlight w:val="none"/>
        </w:rPr>
        <w:t>五、投标人直接管理关系信息表</w:t>
      </w:r>
    </w:p>
    <w:tbl>
      <w:tblPr>
        <w:tblStyle w:val="28"/>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79CE6712">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17DF65DB">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526FD20D">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4A1C4707">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6A7402F0">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203804ED">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C5698AE">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E4486EE">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0F87716">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18B3880">
            <w:pPr>
              <w:spacing w:line="360" w:lineRule="auto"/>
              <w:jc w:val="center"/>
              <w:rPr>
                <w:rFonts w:ascii="宋体" w:hAnsi="宋体" w:cs="宋体"/>
                <w:color w:val="auto"/>
                <w:kern w:val="0"/>
                <w:sz w:val="24"/>
                <w:highlight w:val="none"/>
              </w:rPr>
            </w:pPr>
          </w:p>
        </w:tc>
      </w:tr>
      <w:tr w14:paraId="0AE7FC7A">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3CCF9C9">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9D6393F">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6E56BAA">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4D6A9FB">
            <w:pPr>
              <w:spacing w:line="360" w:lineRule="auto"/>
              <w:jc w:val="center"/>
              <w:rPr>
                <w:rFonts w:ascii="宋体" w:hAnsi="宋体" w:cs="宋体"/>
                <w:color w:val="auto"/>
                <w:kern w:val="0"/>
                <w:sz w:val="24"/>
                <w:highlight w:val="none"/>
              </w:rPr>
            </w:pPr>
          </w:p>
        </w:tc>
      </w:tr>
      <w:tr w14:paraId="6B7D5E6C">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6C56AC5">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3A895ED">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50E9352">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DF6598C">
            <w:pPr>
              <w:spacing w:line="360" w:lineRule="auto"/>
              <w:jc w:val="center"/>
              <w:rPr>
                <w:rFonts w:ascii="宋体" w:hAnsi="宋体" w:cs="宋体"/>
                <w:color w:val="auto"/>
                <w:kern w:val="0"/>
                <w:sz w:val="24"/>
                <w:highlight w:val="none"/>
              </w:rPr>
            </w:pPr>
          </w:p>
        </w:tc>
      </w:tr>
      <w:tr w14:paraId="0B5A4F7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4164023">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993F01C">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9EEF3C9">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FB2697F">
            <w:pPr>
              <w:spacing w:line="360" w:lineRule="auto"/>
              <w:jc w:val="center"/>
              <w:rPr>
                <w:rFonts w:ascii="宋体" w:hAnsi="宋体" w:cs="宋体"/>
                <w:color w:val="auto"/>
                <w:kern w:val="0"/>
                <w:sz w:val="24"/>
                <w:highlight w:val="none"/>
              </w:rPr>
            </w:pPr>
          </w:p>
        </w:tc>
      </w:tr>
    </w:tbl>
    <w:p w14:paraId="6FB73B06">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4B4FA331">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36B83097">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0412B17E">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3.供应商不存在直接管理关系的，则填“无”。</w:t>
      </w:r>
    </w:p>
    <w:p w14:paraId="58CE4AE3">
      <w:pPr>
        <w:snapToGrid w:val="0"/>
        <w:spacing w:line="360" w:lineRule="auto"/>
        <w:jc w:val="left"/>
        <w:rPr>
          <w:rFonts w:ascii="宋体" w:hAnsi="宋体"/>
          <w:color w:val="auto"/>
          <w:sz w:val="24"/>
          <w:highlight w:val="none"/>
        </w:rPr>
      </w:pPr>
    </w:p>
    <w:p w14:paraId="3DC03FA2">
      <w:pPr>
        <w:snapToGrid w:val="0"/>
        <w:spacing w:line="360" w:lineRule="auto"/>
        <w:jc w:val="left"/>
        <w:rPr>
          <w:rFonts w:ascii="宋体" w:hAnsi="宋体"/>
          <w:color w:val="auto"/>
          <w:sz w:val="24"/>
          <w:highlight w:val="none"/>
        </w:rPr>
      </w:pPr>
    </w:p>
    <w:p w14:paraId="54A0050F">
      <w:pPr>
        <w:snapToGrid w:val="0"/>
        <w:spacing w:line="360" w:lineRule="auto"/>
        <w:jc w:val="left"/>
        <w:rPr>
          <w:rFonts w:ascii="宋体" w:hAnsi="宋体"/>
          <w:color w:val="auto"/>
          <w:sz w:val="24"/>
          <w:highlight w:val="none"/>
        </w:rPr>
      </w:pPr>
    </w:p>
    <w:p w14:paraId="3EED1E62">
      <w:pPr>
        <w:snapToGrid w:val="0"/>
        <w:spacing w:line="360" w:lineRule="auto"/>
        <w:jc w:val="left"/>
        <w:rPr>
          <w:color w:val="auto"/>
          <w:sz w:val="24"/>
          <w:highlight w:val="none"/>
        </w:rPr>
      </w:pPr>
    </w:p>
    <w:p w14:paraId="5DE6DD63">
      <w:pPr>
        <w:snapToGrid w:val="0"/>
        <w:spacing w:line="360" w:lineRule="auto"/>
        <w:jc w:val="left"/>
        <w:rPr>
          <w:color w:val="auto"/>
          <w:sz w:val="24"/>
          <w:highlight w:val="none"/>
        </w:rPr>
      </w:pPr>
    </w:p>
    <w:p w14:paraId="444EE421">
      <w:pPr>
        <w:snapToGrid w:val="0"/>
        <w:spacing w:line="360" w:lineRule="auto"/>
        <w:jc w:val="left"/>
        <w:rPr>
          <w:color w:val="auto"/>
          <w:sz w:val="24"/>
          <w:highlight w:val="none"/>
        </w:rPr>
      </w:pPr>
    </w:p>
    <w:p w14:paraId="78CA895C">
      <w:pPr>
        <w:snapToGrid w:val="0"/>
        <w:spacing w:line="360" w:lineRule="auto"/>
        <w:jc w:val="left"/>
        <w:rPr>
          <w:rFonts w:ascii="宋体" w:hAnsi="宋体"/>
          <w:color w:val="auto"/>
          <w:sz w:val="24"/>
          <w:highlight w:val="none"/>
        </w:rPr>
      </w:pPr>
    </w:p>
    <w:p w14:paraId="67394CCA">
      <w:pPr>
        <w:snapToGrid w:val="0"/>
        <w:spacing w:line="360" w:lineRule="auto"/>
        <w:jc w:val="left"/>
        <w:rPr>
          <w:rFonts w:ascii="宋体" w:hAnsi="宋体"/>
          <w:color w:val="auto"/>
          <w:sz w:val="24"/>
          <w:highlight w:val="none"/>
        </w:rPr>
      </w:pPr>
    </w:p>
    <w:p w14:paraId="28509116">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4219BFAE">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02B68E34">
      <w:pPr>
        <w:snapToGrid w:val="0"/>
        <w:spacing w:before="50" w:afterLines="50"/>
        <w:jc w:val="left"/>
        <w:rPr>
          <w:rFonts w:ascii="宋体" w:hAnsi="宋体"/>
          <w:color w:val="auto"/>
          <w:szCs w:val="21"/>
          <w:highlight w:val="none"/>
        </w:rPr>
      </w:pPr>
    </w:p>
    <w:p w14:paraId="070D2968">
      <w:pPr>
        <w:snapToGrid w:val="0"/>
        <w:spacing w:beforeLines="50" w:after="50"/>
        <w:jc w:val="left"/>
        <w:rPr>
          <w:rFonts w:ascii="宋体" w:hAnsi="宋体"/>
          <w:b/>
          <w:color w:val="auto"/>
          <w:sz w:val="24"/>
          <w:szCs w:val="20"/>
          <w:highlight w:val="none"/>
        </w:rPr>
      </w:pPr>
    </w:p>
    <w:p w14:paraId="60327CED">
      <w:pPr>
        <w:snapToGrid w:val="0"/>
        <w:spacing w:beforeLines="50" w:after="50"/>
        <w:jc w:val="left"/>
        <w:rPr>
          <w:rFonts w:ascii="宋体" w:hAnsi="宋体"/>
          <w:b/>
          <w:color w:val="auto"/>
          <w:sz w:val="24"/>
          <w:highlight w:val="none"/>
        </w:rPr>
      </w:pPr>
    </w:p>
    <w:p w14:paraId="0462C39D">
      <w:pPr>
        <w:snapToGrid w:val="0"/>
        <w:spacing w:beforeLines="50" w:after="50"/>
        <w:jc w:val="left"/>
        <w:rPr>
          <w:rFonts w:ascii="宋体" w:hAnsi="宋体"/>
          <w:b/>
          <w:color w:val="auto"/>
          <w:sz w:val="24"/>
          <w:szCs w:val="20"/>
          <w:highlight w:val="none"/>
        </w:rPr>
      </w:pPr>
    </w:p>
    <w:p w14:paraId="339FD6E6">
      <w:pPr>
        <w:pStyle w:val="43"/>
        <w:rPr>
          <w:rFonts w:ascii="宋体" w:hAnsi="宋体"/>
          <w:b/>
          <w:color w:val="auto"/>
          <w:szCs w:val="20"/>
          <w:highlight w:val="none"/>
        </w:rPr>
      </w:pPr>
    </w:p>
    <w:p w14:paraId="2B2AEF29">
      <w:pPr>
        <w:pStyle w:val="44"/>
        <w:rPr>
          <w:color w:val="auto"/>
          <w:highlight w:val="none"/>
        </w:rPr>
      </w:pPr>
    </w:p>
    <w:p w14:paraId="0BAAB53E">
      <w:pPr>
        <w:snapToGrid w:val="0"/>
        <w:spacing w:beforeLines="50" w:after="50"/>
        <w:jc w:val="left"/>
        <w:rPr>
          <w:rFonts w:ascii="宋体" w:hAnsi="宋体"/>
          <w:b/>
          <w:color w:val="auto"/>
          <w:sz w:val="24"/>
          <w:szCs w:val="20"/>
          <w:highlight w:val="none"/>
        </w:rPr>
      </w:pPr>
    </w:p>
    <w:p w14:paraId="55A6D2D4">
      <w:pPr>
        <w:snapToGrid w:val="0"/>
        <w:spacing w:before="50" w:afterLines="50"/>
        <w:jc w:val="left"/>
        <w:rPr>
          <w:rFonts w:ascii="宋体" w:hAnsi="宋体"/>
          <w:color w:val="auto"/>
          <w:highlight w:val="none"/>
        </w:rPr>
      </w:pPr>
    </w:p>
    <w:p w14:paraId="70F810C6">
      <w:pPr>
        <w:snapToGrid w:val="0"/>
        <w:spacing w:before="50" w:afterLines="50"/>
        <w:jc w:val="center"/>
        <w:rPr>
          <w:rFonts w:ascii="宋体" w:hAnsi="宋体"/>
          <w:b/>
          <w:color w:val="auto"/>
          <w:sz w:val="32"/>
          <w:szCs w:val="32"/>
          <w:highlight w:val="none"/>
        </w:rPr>
      </w:pPr>
      <w:r>
        <w:rPr>
          <w:rFonts w:hint="eastAsia" w:ascii="宋体" w:hAnsi="宋体"/>
          <w:b/>
          <w:color w:val="auto"/>
          <w:sz w:val="32"/>
          <w:szCs w:val="32"/>
          <w:highlight w:val="none"/>
        </w:rPr>
        <w:t>六、投标资格声明函</w:t>
      </w:r>
    </w:p>
    <w:p w14:paraId="3C4BF58F">
      <w:pPr>
        <w:tabs>
          <w:tab w:val="left" w:pos="7200"/>
        </w:tabs>
        <w:spacing w:line="360" w:lineRule="auto"/>
        <w:rPr>
          <w:rFonts w:hint="eastAsia" w:ascii="宋体" w:hAnsi="宋体"/>
          <w:color w:val="auto"/>
          <w:szCs w:val="21"/>
          <w:highlight w:val="none"/>
          <w:u w:val="single"/>
          <w:lang w:val="en-US" w:eastAsia="zh-CN"/>
        </w:rPr>
      </w:pPr>
      <w:r>
        <w:rPr>
          <w:rFonts w:hint="eastAsia" w:ascii="宋体" w:hAnsi="宋体"/>
          <w:color w:val="auto"/>
          <w:szCs w:val="21"/>
          <w:highlight w:val="none"/>
        </w:rPr>
        <w:t>致：</w:t>
      </w:r>
      <w:r>
        <w:rPr>
          <w:rFonts w:hint="eastAsia" w:ascii="宋体" w:hAnsi="宋体"/>
          <w:color w:val="auto"/>
          <w:szCs w:val="21"/>
          <w:highlight w:val="none"/>
          <w:u w:val="single"/>
          <w:lang w:val="en-US" w:eastAsia="zh-CN"/>
        </w:rPr>
        <w:t xml:space="preserve">   （采购人全称）        </w:t>
      </w:r>
    </w:p>
    <w:p w14:paraId="2735BD93">
      <w:pPr>
        <w:tabs>
          <w:tab w:val="left" w:pos="7200"/>
        </w:tabs>
        <w:spacing w:line="360" w:lineRule="auto"/>
        <w:ind w:firstLine="630" w:firstLineChars="300"/>
        <w:rPr>
          <w:rFonts w:ascii="宋体" w:hAnsi="宋体"/>
          <w:color w:val="auto"/>
          <w:szCs w:val="21"/>
          <w:highlight w:val="none"/>
        </w:rPr>
      </w:pPr>
      <w:r>
        <w:rPr>
          <w:rFonts w:hint="eastAsia" w:ascii="宋体" w:hAnsi="宋体"/>
          <w:color w:val="auto"/>
          <w:szCs w:val="21"/>
          <w:highlight w:val="none"/>
        </w:rPr>
        <w:t>我方愿意参加贵方组织的</w:t>
      </w:r>
      <w:r>
        <w:rPr>
          <w:rFonts w:hint="eastAsia" w:ascii="宋体" w:hAnsi="宋体"/>
          <w:color w:val="auto"/>
          <w:szCs w:val="21"/>
          <w:highlight w:val="none"/>
          <w:lang w:val="en-US" w:eastAsia="zh-CN"/>
        </w:rPr>
        <w:t>项目名称：</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（项目编号：</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）项目的投标，为便于贵方公正、择优地确定中标人，我方就本次投标有关事项郑重声明如下：</w:t>
      </w:r>
    </w:p>
    <w:p w14:paraId="11410035">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1.我方承诺已经具备《中华人民共和国政府采购法》第二十二条中规定的参加政府采购活动的供应商应当具备的条件并按本项目</w:t>
      </w:r>
      <w:r>
        <w:rPr>
          <w:rFonts w:hint="eastAsia" w:ascii="宋体" w:hAnsi="宋体"/>
          <w:color w:val="auto"/>
          <w:szCs w:val="21"/>
          <w:highlight w:val="none"/>
          <w:lang w:eastAsia="zh-CN"/>
        </w:rPr>
        <w:t>招</w:t>
      </w:r>
      <w:r>
        <w:rPr>
          <w:rFonts w:hint="eastAsia" w:ascii="宋体" w:hAnsi="宋体"/>
          <w:color w:val="auto"/>
          <w:szCs w:val="21"/>
          <w:highlight w:val="none"/>
        </w:rPr>
        <w:t>标文件“第三章”“第</w:t>
      </w:r>
      <w:r>
        <w:rPr>
          <w:rFonts w:hint="eastAsia" w:ascii="宋体" w:hAnsi="宋体"/>
          <w:color w:val="auto"/>
          <w:szCs w:val="21"/>
          <w:highlight w:val="none"/>
          <w:lang w:eastAsia="zh-CN"/>
        </w:rPr>
        <w:t>一</w:t>
      </w:r>
      <w:r>
        <w:rPr>
          <w:rFonts w:hint="eastAsia" w:ascii="宋体" w:hAnsi="宋体"/>
          <w:color w:val="auto"/>
          <w:szCs w:val="21"/>
          <w:highlight w:val="none"/>
        </w:rPr>
        <w:t>节投标人须知前附表”中“资格证明文件组成”完整提供证明材料。</w:t>
      </w:r>
    </w:p>
    <w:p w14:paraId="7E763373">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 xml:space="preserve">2. </w:t>
      </w:r>
      <w:r>
        <w:rPr>
          <w:rFonts w:hint="eastAsia" w:ascii="宋体" w:hAnsi="宋体"/>
          <w:color w:val="auto"/>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3D25AC34">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3.经查询，在“信用中国”和“中国政府采购网”网站我方未被列入失信被执行人、重大税收违法案件当事人名单、政府采购严重违法失信行为记录名单。</w:t>
      </w:r>
    </w:p>
    <w:p w14:paraId="3DE1F8BE">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4.以上事项如有虚假或隐瞒，我方愿意承担一切后果，并不再寻求任何旨在减轻或免除法律责任的辩解。 </w:t>
      </w:r>
    </w:p>
    <w:p w14:paraId="6ADB4F55">
      <w:pPr>
        <w:tabs>
          <w:tab w:val="left" w:pos="7200"/>
        </w:tabs>
        <w:ind w:firstLine="315" w:firstLineChars="150"/>
        <w:rPr>
          <w:rFonts w:ascii="宋体" w:hAnsi="宋体"/>
          <w:color w:val="auto"/>
          <w:sz w:val="21"/>
          <w:szCs w:val="21"/>
          <w:highlight w:val="none"/>
        </w:rPr>
      </w:pPr>
      <w:r>
        <w:rPr>
          <w:rFonts w:hint="eastAsia" w:ascii="宋体" w:hAnsi="宋体"/>
          <w:color w:val="auto"/>
          <w:sz w:val="21"/>
          <w:szCs w:val="21"/>
          <w:highlight w:val="none"/>
        </w:rPr>
        <w:t>说明：</w:t>
      </w:r>
    </w:p>
    <w:p w14:paraId="15CBD17E">
      <w:pPr>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14:paraId="7971E620">
      <w:pPr>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938AAA3">
      <w:pPr>
        <w:snapToGrid w:val="0"/>
        <w:spacing w:before="50" w:afterLines="50"/>
        <w:jc w:val="left"/>
        <w:rPr>
          <w:rFonts w:ascii="宋体" w:hAnsi="宋体"/>
          <w:color w:val="auto"/>
          <w:sz w:val="18"/>
          <w:szCs w:val="18"/>
          <w:highlight w:val="none"/>
        </w:rPr>
      </w:pPr>
      <w:r>
        <w:rPr>
          <w:rFonts w:hint="eastAsia" w:ascii="宋体" w:hAnsi="宋体"/>
          <w:b/>
          <w:color w:val="auto"/>
          <w:sz w:val="18"/>
          <w:szCs w:val="18"/>
          <w:highlight w:val="none"/>
        </w:rPr>
        <w:t xml:space="preserve"> </w:t>
      </w:r>
    </w:p>
    <w:p w14:paraId="5ED8C2FC">
      <w:pPr>
        <w:snapToGrid w:val="0"/>
        <w:spacing w:before="50" w:afterLines="100" w:line="360" w:lineRule="auto"/>
        <w:jc w:val="left"/>
        <w:rPr>
          <w:rFonts w:ascii="宋体" w:hAnsi="宋体"/>
          <w:color w:val="auto"/>
          <w:sz w:val="24"/>
          <w:highlight w:val="none"/>
        </w:rPr>
      </w:pPr>
      <w:r>
        <w:rPr>
          <w:rFonts w:hint="eastAsia" w:asciiTheme="minorEastAsia" w:hAnsiTheme="minorEastAsia" w:eastAsiaTheme="minorEastAsia"/>
          <w:b/>
          <w:color w:val="auto"/>
          <w:szCs w:val="21"/>
        </w:rPr>
        <w:t xml:space="preserve"> 注： 如为联合体投标，盖章处须加盖联合体各方公章，否则</w:t>
      </w:r>
      <w:r>
        <w:rPr>
          <w:rFonts w:hint="eastAsia" w:cs="宋体" w:asciiTheme="minorEastAsia" w:hAnsiTheme="minorEastAsia" w:eastAsiaTheme="minorEastAsia"/>
          <w:b/>
          <w:bCs/>
          <w:color w:val="auto"/>
          <w:szCs w:val="21"/>
        </w:rPr>
        <w:t>其投标文件作无效响应处理</w:t>
      </w:r>
      <w:r>
        <w:rPr>
          <w:rFonts w:hint="eastAsia" w:asciiTheme="minorEastAsia" w:hAnsiTheme="minorEastAsia" w:eastAsiaTheme="minorEastAsia"/>
          <w:b/>
          <w:color w:val="auto"/>
          <w:szCs w:val="21"/>
        </w:rPr>
        <w:t>。</w:t>
      </w:r>
    </w:p>
    <w:p w14:paraId="15BD4A7E">
      <w:pPr>
        <w:snapToGrid w:val="0"/>
        <w:spacing w:before="50" w:afterLines="100" w:line="360" w:lineRule="auto"/>
        <w:ind w:left="7425" w:leftChars="2793" w:hanging="1560" w:hangingChars="65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投标人名称(电子签章)：</w:t>
      </w:r>
    </w:p>
    <w:p w14:paraId="5D382C30">
      <w:pPr>
        <w:snapToGrid w:val="0"/>
        <w:spacing w:before="50" w:afterLines="100" w:line="360" w:lineRule="auto"/>
        <w:ind w:left="7083" w:leftChars="2223" w:hanging="2415" w:hangingChars="1150"/>
        <w:jc w:val="left"/>
        <w:rPr>
          <w:rFonts w:ascii="仿宋_GB2312" w:hAnsi="仿宋" w:eastAsia="仿宋_GB2312" w:cs="仿宋_GB2312"/>
          <w:color w:val="auto"/>
          <w:kern w:val="0"/>
          <w:sz w:val="24"/>
          <w:highlight w:val="none"/>
          <w:lang w:val="zh-CN"/>
        </w:rPr>
      </w:pPr>
      <w:r>
        <w:rPr>
          <w:rFonts w:hint="eastAsia" w:ascii="宋体" w:hAnsi="宋体"/>
          <w:color w:val="auto"/>
          <w:szCs w:val="21"/>
          <w:highlight w:val="none"/>
        </w:rPr>
        <w:t xml:space="preserve">           </w:t>
      </w: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5FE892FA">
      <w:pPr>
        <w:pStyle w:val="13"/>
        <w:spacing w:line="600" w:lineRule="exact"/>
        <w:jc w:val="center"/>
        <w:rPr>
          <w:rFonts w:ascii="Times New Roman" w:hAnsi="Times New Roman"/>
          <w:b/>
          <w:bCs/>
          <w:color w:val="auto"/>
          <w:sz w:val="30"/>
          <w:szCs w:val="30"/>
          <w:highlight w:val="none"/>
        </w:rPr>
      </w:pPr>
    </w:p>
    <w:p w14:paraId="52F365CB">
      <w:pPr>
        <w:snapToGrid w:val="0"/>
        <w:spacing w:before="50" w:afterLines="50" w:line="360" w:lineRule="auto"/>
        <w:jc w:val="left"/>
        <w:rPr>
          <w:color w:val="auto"/>
          <w:sz w:val="20"/>
          <w:highlight w:val="none"/>
        </w:rPr>
      </w:pPr>
    </w:p>
    <w:p w14:paraId="5627DA28">
      <w:pPr>
        <w:pStyle w:val="10"/>
        <w:rPr>
          <w:color w:val="auto"/>
        </w:rPr>
        <w:sectPr>
          <w:pgSz w:w="11906" w:h="16838"/>
          <w:pgMar w:top="1134" w:right="1361" w:bottom="1134" w:left="1361" w:header="720" w:footer="720" w:gutter="0"/>
          <w:pgNumType w:fmt="decimal"/>
          <w:cols w:space="720" w:num="1"/>
          <w:docGrid w:type="lines" w:linePitch="331" w:charSpace="0"/>
        </w:sectPr>
      </w:pPr>
    </w:p>
    <w:p w14:paraId="2B5E95E4">
      <w:pPr>
        <w:pStyle w:val="7"/>
        <w:rPr>
          <w:rFonts w:hint="eastAsia" w:ascii="Times New Roman" w:hAnsi="Times New Roman"/>
          <w:b/>
          <w:bCs/>
          <w:color w:val="auto"/>
          <w:sz w:val="30"/>
          <w:szCs w:val="30"/>
          <w:highlight w:val="none"/>
          <w:lang w:val="en-US" w:eastAsia="zh-CN"/>
        </w:rPr>
      </w:pPr>
    </w:p>
    <w:p w14:paraId="30A52799">
      <w:pPr>
        <w:pStyle w:val="7"/>
        <w:ind w:left="0" w:leftChars="0" w:firstLine="0" w:firstLineChars="0"/>
        <w:rPr>
          <w:rFonts w:hint="eastAsia"/>
          <w:color w:val="auto"/>
          <w:lang w:val="en-US" w:eastAsia="zh-CN"/>
        </w:rPr>
      </w:pPr>
    </w:p>
    <w:p w14:paraId="74C8BC81">
      <w:pPr>
        <w:pStyle w:val="13"/>
        <w:numPr>
          <w:ilvl w:val="0"/>
          <w:numId w:val="0"/>
        </w:numPr>
        <w:spacing w:line="600" w:lineRule="exact"/>
        <w:jc w:val="both"/>
        <w:rPr>
          <w:rFonts w:ascii="Times New Roman" w:hAnsi="Times New Roman"/>
          <w:b/>
          <w:bCs/>
          <w:color w:val="auto"/>
          <w:sz w:val="30"/>
          <w:szCs w:val="30"/>
          <w:highlight w:val="none"/>
        </w:rPr>
      </w:pPr>
      <w:r>
        <w:rPr>
          <w:rFonts w:hint="eastAsia" w:ascii="Times New Roman" w:hAnsi="Times New Roman"/>
          <w:b/>
          <w:bCs/>
          <w:color w:val="auto"/>
          <w:sz w:val="30"/>
          <w:szCs w:val="30"/>
          <w:highlight w:val="none"/>
          <w:lang w:val="en-US" w:eastAsia="zh-CN"/>
        </w:rPr>
        <w:t>七、</w:t>
      </w:r>
      <w:r>
        <w:rPr>
          <w:rFonts w:hint="eastAsia" w:ascii="Times New Roman" w:hAnsi="Times New Roman"/>
          <w:b/>
          <w:bCs/>
          <w:color w:val="auto"/>
          <w:sz w:val="30"/>
          <w:szCs w:val="30"/>
          <w:highlight w:val="none"/>
        </w:rPr>
        <w:t>除招标文件规定必须提供以外，投标人认为需要提供的其他证明材料</w:t>
      </w:r>
    </w:p>
    <w:p w14:paraId="0B549BB3">
      <w:pPr>
        <w:pStyle w:val="13"/>
        <w:spacing w:line="600" w:lineRule="exact"/>
        <w:jc w:val="center"/>
        <w:rPr>
          <w:rFonts w:ascii="Times New Roman" w:hAnsi="Times New Roman"/>
          <w:b/>
          <w:bCs/>
          <w:color w:val="auto"/>
          <w:sz w:val="30"/>
          <w:szCs w:val="30"/>
          <w:highlight w:val="none"/>
        </w:rPr>
      </w:pPr>
    </w:p>
    <w:p w14:paraId="23A8528B">
      <w:pPr>
        <w:pStyle w:val="13"/>
        <w:spacing w:line="600" w:lineRule="exact"/>
        <w:jc w:val="center"/>
        <w:rPr>
          <w:rFonts w:ascii="Times New Roman" w:hAnsi="Times New Roman"/>
          <w:b/>
          <w:bCs/>
          <w:color w:val="auto"/>
          <w:sz w:val="30"/>
          <w:szCs w:val="30"/>
          <w:highlight w:val="none"/>
        </w:rPr>
      </w:pPr>
    </w:p>
    <w:p w14:paraId="5BF32871">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3A00A180">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15F72709">
      <w:pPr>
        <w:pStyle w:val="13"/>
        <w:spacing w:line="600" w:lineRule="exact"/>
        <w:jc w:val="center"/>
        <w:rPr>
          <w:rFonts w:ascii="Times New Roman" w:hAnsi="Times New Roman"/>
          <w:color w:val="auto"/>
          <w:highlight w:val="none"/>
        </w:rPr>
      </w:pPr>
    </w:p>
    <w:p w14:paraId="0489E6BE">
      <w:pPr>
        <w:autoSpaceDE w:val="0"/>
        <w:autoSpaceDN w:val="0"/>
        <w:adjustRightInd w:val="0"/>
        <w:spacing w:line="360" w:lineRule="auto"/>
        <w:jc w:val="left"/>
        <w:rPr>
          <w:rFonts w:hAnsi="宋体"/>
          <w:color w:val="auto"/>
          <w:szCs w:val="21"/>
          <w:highlight w:val="none"/>
        </w:rPr>
        <w:sectPr>
          <w:pgSz w:w="11906" w:h="16838"/>
          <w:pgMar w:top="1134" w:right="1134" w:bottom="1134" w:left="1134" w:header="720" w:footer="720" w:gutter="0"/>
          <w:pgNumType w:fmt="decimal"/>
          <w:cols w:space="720" w:num="1"/>
          <w:docGrid w:type="lines" w:linePitch="331" w:charSpace="0"/>
        </w:sectPr>
      </w:pPr>
    </w:p>
    <w:p w14:paraId="26130B5D">
      <w:pPr>
        <w:pStyle w:val="13"/>
        <w:jc w:val="center"/>
        <w:outlineLvl w:val="1"/>
        <w:rPr>
          <w:rFonts w:hAnsi="宋体"/>
          <w:color w:val="auto"/>
          <w:szCs w:val="21"/>
          <w:highlight w:val="none"/>
        </w:rPr>
      </w:pPr>
    </w:p>
    <w:p w14:paraId="6E4C5A32">
      <w:pPr>
        <w:pStyle w:val="13"/>
        <w:jc w:val="center"/>
        <w:outlineLvl w:val="1"/>
        <w:rPr>
          <w:rFonts w:hAnsi="宋体"/>
          <w:b/>
          <w:bCs/>
          <w:color w:val="auto"/>
          <w:sz w:val="28"/>
          <w:szCs w:val="28"/>
          <w:highlight w:val="none"/>
        </w:rPr>
      </w:pPr>
      <w:bookmarkStart w:id="165" w:name="_Toc19686838"/>
      <w:bookmarkStart w:id="166" w:name="_Toc89076012"/>
      <w:r>
        <w:rPr>
          <w:rFonts w:hint="eastAsia" w:hAnsi="宋体"/>
          <w:b/>
          <w:bCs/>
          <w:color w:val="auto"/>
          <w:sz w:val="28"/>
          <w:szCs w:val="28"/>
          <w:highlight w:val="none"/>
        </w:rPr>
        <w:t>第三节 商务文件格式</w:t>
      </w:r>
      <w:bookmarkEnd w:id="165"/>
      <w:bookmarkEnd w:id="166"/>
    </w:p>
    <w:p w14:paraId="39A7A0F6">
      <w:pPr>
        <w:snapToGrid w:val="0"/>
        <w:spacing w:beforeLines="50" w:after="50"/>
        <w:rPr>
          <w:rFonts w:ascii="宋体" w:hAnsi="宋体"/>
          <w:color w:val="auto"/>
          <w:sz w:val="30"/>
          <w:szCs w:val="20"/>
          <w:highlight w:val="none"/>
        </w:rPr>
      </w:pPr>
    </w:p>
    <w:p w14:paraId="69C419ED">
      <w:pPr>
        <w:snapToGrid w:val="0"/>
        <w:spacing w:beforeLines="50" w:after="50"/>
        <w:rPr>
          <w:rFonts w:ascii="宋体" w:hAnsi="宋体"/>
          <w:bCs/>
          <w:color w:val="auto"/>
          <w:sz w:val="32"/>
          <w:szCs w:val="20"/>
          <w:highlight w:val="none"/>
        </w:rPr>
      </w:pPr>
      <w:r>
        <w:rPr>
          <w:rFonts w:hint="eastAsia" w:ascii="宋体" w:hAnsi="宋体"/>
          <w:bCs/>
          <w:color w:val="auto"/>
          <w:highlight w:val="none"/>
        </w:rPr>
        <w:t xml:space="preserve">      电子投标文件</w:t>
      </w:r>
    </w:p>
    <w:p w14:paraId="7F13E044">
      <w:pPr>
        <w:snapToGrid w:val="0"/>
        <w:spacing w:beforeLines="50" w:after="50"/>
        <w:rPr>
          <w:rFonts w:ascii="宋体" w:hAnsi="宋体"/>
          <w:color w:val="auto"/>
          <w:sz w:val="24"/>
          <w:szCs w:val="20"/>
          <w:highlight w:val="none"/>
        </w:rPr>
      </w:pPr>
    </w:p>
    <w:p w14:paraId="28DA6DC2">
      <w:pPr>
        <w:snapToGrid w:val="0"/>
        <w:spacing w:beforeLines="50" w:after="50"/>
        <w:jc w:val="center"/>
        <w:rPr>
          <w:rFonts w:ascii="宋体" w:hAnsi="宋体"/>
          <w:b/>
          <w:color w:val="auto"/>
          <w:sz w:val="24"/>
          <w:szCs w:val="20"/>
          <w:highlight w:val="none"/>
        </w:rPr>
      </w:pPr>
      <w:r>
        <w:rPr>
          <w:rFonts w:hint="eastAsia" w:ascii="宋体" w:hAnsi="宋体"/>
          <w:b/>
          <w:color w:val="auto"/>
          <w:sz w:val="32"/>
          <w:szCs w:val="32"/>
          <w:highlight w:val="none"/>
        </w:rPr>
        <w:t>商务文件（封面）</w:t>
      </w:r>
    </w:p>
    <w:p w14:paraId="39F4E2F1">
      <w:pPr>
        <w:snapToGrid w:val="0"/>
        <w:spacing w:beforeLines="50" w:after="50"/>
        <w:rPr>
          <w:rFonts w:ascii="宋体" w:hAnsi="宋体"/>
          <w:bCs/>
          <w:color w:val="auto"/>
          <w:sz w:val="24"/>
          <w:szCs w:val="20"/>
          <w:highlight w:val="none"/>
        </w:rPr>
      </w:pPr>
    </w:p>
    <w:p w14:paraId="3A0D7B6C">
      <w:pPr>
        <w:snapToGrid w:val="0"/>
        <w:spacing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项目名称：</w:t>
      </w:r>
    </w:p>
    <w:p w14:paraId="322C2727">
      <w:pPr>
        <w:snapToGrid w:val="0"/>
        <w:spacing w:beforeLines="50" w:after="50"/>
        <w:ind w:firstLine="540" w:firstLineChars="225"/>
        <w:rPr>
          <w:rFonts w:ascii="宋体" w:hAnsi="宋体"/>
          <w:bCs/>
          <w:color w:val="auto"/>
          <w:sz w:val="24"/>
          <w:szCs w:val="20"/>
          <w:highlight w:val="none"/>
        </w:rPr>
      </w:pPr>
    </w:p>
    <w:p w14:paraId="50F1108A">
      <w:pPr>
        <w:snapToGrid w:val="0"/>
        <w:spacing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项目编号：</w:t>
      </w:r>
    </w:p>
    <w:p w14:paraId="3D065FC8">
      <w:pPr>
        <w:snapToGrid w:val="0"/>
        <w:spacing w:beforeLines="50" w:after="50"/>
        <w:ind w:firstLine="540" w:firstLineChars="225"/>
        <w:rPr>
          <w:rFonts w:ascii="宋体" w:hAnsi="宋体"/>
          <w:bCs/>
          <w:color w:val="auto"/>
          <w:sz w:val="24"/>
          <w:szCs w:val="20"/>
          <w:highlight w:val="none"/>
        </w:rPr>
      </w:pPr>
    </w:p>
    <w:p w14:paraId="14BC8483">
      <w:pPr>
        <w:snapToGrid w:val="0"/>
        <w:spacing w:beforeLines="50" w:after="50"/>
        <w:ind w:firstLine="540" w:firstLineChars="225"/>
        <w:rPr>
          <w:rFonts w:ascii="宋体" w:hAnsi="宋体"/>
          <w:bCs/>
          <w:color w:val="auto"/>
          <w:sz w:val="24"/>
          <w:highlight w:val="none"/>
        </w:rPr>
      </w:pPr>
      <w:r>
        <w:rPr>
          <w:rFonts w:hint="eastAsia" w:ascii="宋体" w:hAnsi="宋体"/>
          <w:bCs/>
          <w:color w:val="auto"/>
          <w:sz w:val="24"/>
          <w:highlight w:val="none"/>
        </w:rPr>
        <w:t>所投分标</w:t>
      </w:r>
      <w:r>
        <w:rPr>
          <w:rFonts w:hint="eastAsia" w:ascii="宋体" w:hAnsi="宋体" w:eastAsia="宋体" w:cs="宋体"/>
          <w:bCs/>
          <w:color w:val="auto"/>
          <w:sz w:val="24"/>
          <w:highlight w:val="none"/>
        </w:rPr>
        <w:t>（如有则填写，无分标时填写“无”或者留空）</w:t>
      </w:r>
      <w:r>
        <w:rPr>
          <w:rFonts w:hint="eastAsia" w:ascii="宋体" w:hAnsi="宋体"/>
          <w:bCs/>
          <w:color w:val="auto"/>
          <w:sz w:val="24"/>
          <w:highlight w:val="none"/>
        </w:rPr>
        <w:t>：</w:t>
      </w:r>
    </w:p>
    <w:p w14:paraId="41F0D99D">
      <w:pPr>
        <w:snapToGrid w:val="0"/>
        <w:spacing w:beforeLines="50" w:after="50"/>
        <w:ind w:firstLine="540" w:firstLineChars="225"/>
        <w:rPr>
          <w:rFonts w:ascii="宋体" w:hAnsi="宋体"/>
          <w:bCs/>
          <w:color w:val="auto"/>
          <w:sz w:val="24"/>
          <w:szCs w:val="20"/>
          <w:highlight w:val="none"/>
        </w:rPr>
      </w:pPr>
    </w:p>
    <w:p w14:paraId="49C01819">
      <w:pPr>
        <w:pStyle w:val="7"/>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投标人名称：</w:t>
      </w:r>
    </w:p>
    <w:p w14:paraId="17EEDF11">
      <w:pPr>
        <w:pStyle w:val="7"/>
        <w:snapToGrid w:val="0"/>
        <w:spacing w:before="50" w:after="50"/>
        <w:ind w:firstLine="540" w:firstLineChars="225"/>
        <w:rPr>
          <w:rFonts w:ascii="宋体" w:hAnsi="宋体"/>
          <w:bCs/>
          <w:color w:val="auto"/>
          <w:sz w:val="24"/>
          <w:szCs w:val="24"/>
          <w:highlight w:val="none"/>
        </w:rPr>
      </w:pPr>
    </w:p>
    <w:p w14:paraId="6244F4FE">
      <w:pPr>
        <w:pStyle w:val="7"/>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投标人地址：</w:t>
      </w:r>
    </w:p>
    <w:p w14:paraId="5A9C5B9F">
      <w:pPr>
        <w:pStyle w:val="7"/>
        <w:snapToGrid w:val="0"/>
        <w:spacing w:before="50" w:after="50"/>
        <w:ind w:firstLine="960" w:firstLineChars="400"/>
        <w:rPr>
          <w:rFonts w:ascii="宋体" w:hAnsi="宋体"/>
          <w:bCs/>
          <w:color w:val="auto"/>
          <w:sz w:val="24"/>
          <w:szCs w:val="24"/>
          <w:highlight w:val="none"/>
        </w:rPr>
      </w:pPr>
    </w:p>
    <w:p w14:paraId="3214B66A">
      <w:pPr>
        <w:snapToGrid w:val="0"/>
        <w:spacing w:beforeLines="50" w:after="50"/>
        <w:ind w:firstLine="645"/>
        <w:rPr>
          <w:rFonts w:ascii="宋体" w:hAnsi="宋体"/>
          <w:color w:val="auto"/>
          <w:sz w:val="24"/>
          <w:highlight w:val="none"/>
        </w:rPr>
      </w:pPr>
      <w:r>
        <w:rPr>
          <w:rFonts w:hint="eastAsia" w:ascii="宋体" w:hAnsi="宋体"/>
          <w:color w:val="auto"/>
          <w:sz w:val="24"/>
          <w:highlight w:val="none"/>
        </w:rPr>
        <w:t xml:space="preserve">                        年  月  日</w:t>
      </w:r>
    </w:p>
    <w:p w14:paraId="22FD9ACC">
      <w:pPr>
        <w:snapToGrid w:val="0"/>
        <w:spacing w:beforeLines="50" w:after="50"/>
        <w:rPr>
          <w:rFonts w:ascii="宋体" w:hAnsi="宋体"/>
          <w:color w:val="auto"/>
          <w:sz w:val="24"/>
          <w:szCs w:val="20"/>
          <w:highlight w:val="none"/>
        </w:rPr>
      </w:pPr>
    </w:p>
    <w:p w14:paraId="0F49E30F">
      <w:pPr>
        <w:spacing w:line="360" w:lineRule="auto"/>
        <w:ind w:right="420"/>
        <w:rPr>
          <w:rFonts w:ascii="宋体" w:hAnsi="宋体"/>
          <w:color w:val="auto"/>
          <w:sz w:val="24"/>
          <w:szCs w:val="20"/>
          <w:highlight w:val="none"/>
        </w:rPr>
      </w:pPr>
    </w:p>
    <w:p w14:paraId="40BE9608">
      <w:pPr>
        <w:spacing w:line="360" w:lineRule="auto"/>
        <w:ind w:right="420"/>
        <w:rPr>
          <w:rFonts w:ascii="宋体" w:hAnsi="宋体"/>
          <w:color w:val="auto"/>
          <w:sz w:val="24"/>
          <w:szCs w:val="20"/>
          <w:highlight w:val="none"/>
        </w:rPr>
      </w:pPr>
    </w:p>
    <w:p w14:paraId="1F16B3E6">
      <w:pPr>
        <w:spacing w:line="360" w:lineRule="auto"/>
        <w:ind w:right="420"/>
        <w:rPr>
          <w:rFonts w:ascii="宋体" w:hAnsi="宋体"/>
          <w:color w:val="auto"/>
          <w:sz w:val="24"/>
          <w:szCs w:val="20"/>
          <w:highlight w:val="none"/>
        </w:rPr>
      </w:pPr>
    </w:p>
    <w:p w14:paraId="56A3DC8D">
      <w:pPr>
        <w:spacing w:line="360" w:lineRule="auto"/>
        <w:ind w:right="420"/>
        <w:rPr>
          <w:rFonts w:ascii="宋体" w:hAnsi="宋体"/>
          <w:color w:val="auto"/>
          <w:sz w:val="24"/>
          <w:szCs w:val="20"/>
          <w:highlight w:val="none"/>
        </w:rPr>
      </w:pPr>
    </w:p>
    <w:p w14:paraId="717BAA35">
      <w:pPr>
        <w:spacing w:line="360" w:lineRule="auto"/>
        <w:ind w:right="420"/>
        <w:rPr>
          <w:rFonts w:ascii="宋体" w:hAnsi="宋体"/>
          <w:color w:val="auto"/>
          <w:sz w:val="24"/>
          <w:szCs w:val="20"/>
          <w:highlight w:val="none"/>
        </w:rPr>
      </w:pPr>
    </w:p>
    <w:p w14:paraId="5A34C252">
      <w:pPr>
        <w:spacing w:line="360" w:lineRule="auto"/>
        <w:ind w:right="420"/>
        <w:rPr>
          <w:rFonts w:ascii="宋体" w:hAnsi="宋体"/>
          <w:color w:val="auto"/>
          <w:sz w:val="24"/>
          <w:szCs w:val="20"/>
          <w:highlight w:val="none"/>
        </w:rPr>
      </w:pPr>
    </w:p>
    <w:p w14:paraId="1EB8FBEF">
      <w:pPr>
        <w:spacing w:line="360" w:lineRule="auto"/>
        <w:ind w:right="420"/>
        <w:rPr>
          <w:rFonts w:ascii="宋体" w:hAnsi="宋体"/>
          <w:color w:val="auto"/>
          <w:sz w:val="24"/>
          <w:szCs w:val="20"/>
          <w:highlight w:val="none"/>
        </w:rPr>
      </w:pPr>
    </w:p>
    <w:p w14:paraId="1D2DD364">
      <w:pPr>
        <w:spacing w:line="360" w:lineRule="auto"/>
        <w:ind w:right="420"/>
        <w:rPr>
          <w:rFonts w:ascii="宋体" w:hAnsi="宋体"/>
          <w:color w:val="auto"/>
          <w:sz w:val="24"/>
          <w:szCs w:val="20"/>
          <w:highlight w:val="none"/>
        </w:rPr>
      </w:pPr>
    </w:p>
    <w:p w14:paraId="6FDD4B6A">
      <w:pPr>
        <w:spacing w:line="360" w:lineRule="auto"/>
        <w:ind w:right="420"/>
        <w:rPr>
          <w:rFonts w:ascii="宋体" w:hAnsi="宋体"/>
          <w:color w:val="auto"/>
          <w:sz w:val="24"/>
          <w:szCs w:val="20"/>
          <w:highlight w:val="none"/>
        </w:rPr>
      </w:pPr>
    </w:p>
    <w:p w14:paraId="3DB7383B">
      <w:pPr>
        <w:spacing w:line="360" w:lineRule="auto"/>
        <w:ind w:right="420"/>
        <w:rPr>
          <w:rFonts w:ascii="仿宋_GB2312" w:hAnsi="仿宋" w:eastAsia="仿宋_GB2312" w:cs="仿宋_GB2312"/>
          <w:b/>
          <w:color w:val="auto"/>
          <w:kern w:val="0"/>
          <w:sz w:val="36"/>
          <w:szCs w:val="36"/>
          <w:highlight w:val="none"/>
        </w:rPr>
      </w:pPr>
    </w:p>
    <w:p w14:paraId="6D87917E">
      <w:pPr>
        <w:rPr>
          <w:rFonts w:ascii="仿宋_GB2312" w:hAnsi="仿宋" w:eastAsia="仿宋_GB2312" w:cs="仿宋_GB2312"/>
          <w:b/>
          <w:color w:val="auto"/>
          <w:kern w:val="0"/>
          <w:sz w:val="24"/>
          <w:highlight w:val="none"/>
        </w:rPr>
      </w:pPr>
    </w:p>
    <w:p w14:paraId="60CDD368">
      <w:pPr>
        <w:jc w:val="center"/>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商务文件目录</w:t>
      </w:r>
    </w:p>
    <w:p w14:paraId="4CC47684">
      <w:pPr>
        <w:pStyle w:val="60"/>
        <w:spacing w:line="360" w:lineRule="auto"/>
        <w:rPr>
          <w:rFonts w:cs="仿宋_GB2312"/>
          <w:color w:val="auto"/>
          <w:highlight w:val="none"/>
        </w:rPr>
      </w:pPr>
      <w:r>
        <w:rPr>
          <w:rFonts w:hint="eastAsia" w:cs="仿宋_GB2312"/>
          <w:color w:val="auto"/>
          <w:highlight w:val="none"/>
        </w:rPr>
        <w:t>一、</w:t>
      </w:r>
      <w:r>
        <w:rPr>
          <w:rFonts w:hint="eastAsia" w:ascii="宋体" w:hAnsi="宋体"/>
          <w:color w:val="auto"/>
          <w:szCs w:val="21"/>
          <w:highlight w:val="none"/>
        </w:rPr>
        <w:t>无串通投标行为的承诺函</w:t>
      </w:r>
      <w:r>
        <w:rPr>
          <w:rFonts w:hint="eastAsia" w:cs="仿宋_GB2312"/>
          <w:color w:val="auto"/>
          <w:highlight w:val="none"/>
        </w:rPr>
        <w:t>………………………………………………（页码）</w:t>
      </w:r>
    </w:p>
    <w:p w14:paraId="2601331B">
      <w:pPr>
        <w:pStyle w:val="60"/>
        <w:spacing w:line="360" w:lineRule="auto"/>
        <w:rPr>
          <w:rFonts w:cs="仿宋_GB2312"/>
          <w:color w:val="auto"/>
          <w:highlight w:val="none"/>
        </w:rPr>
      </w:pPr>
      <w:r>
        <w:rPr>
          <w:rFonts w:hint="eastAsia" w:cs="仿宋_GB2312"/>
          <w:color w:val="auto"/>
          <w:highlight w:val="none"/>
        </w:rPr>
        <w:t>二、法定代表人身份证明及法定代表人有效身份证正反面复印件………（页码）</w:t>
      </w:r>
    </w:p>
    <w:p w14:paraId="71BA4368">
      <w:pPr>
        <w:pStyle w:val="60"/>
        <w:spacing w:line="360" w:lineRule="auto"/>
        <w:rPr>
          <w:rFonts w:cs="仿宋_GB2312"/>
          <w:color w:val="auto"/>
          <w:highlight w:val="none"/>
        </w:rPr>
      </w:pPr>
      <w:r>
        <w:rPr>
          <w:rFonts w:hint="eastAsia" w:cs="仿宋_GB2312"/>
          <w:color w:val="auto"/>
          <w:highlight w:val="none"/>
        </w:rPr>
        <w:t>三、法定代表人授权委托书（如有委托时）………………………………（页码）</w:t>
      </w:r>
    </w:p>
    <w:p w14:paraId="75D089A1">
      <w:pPr>
        <w:pStyle w:val="60"/>
        <w:spacing w:line="360" w:lineRule="auto"/>
        <w:rPr>
          <w:rFonts w:cs="仿宋_GB2312"/>
          <w:color w:val="auto"/>
          <w:highlight w:val="none"/>
        </w:rPr>
      </w:pPr>
      <w:r>
        <w:rPr>
          <w:rFonts w:hint="eastAsia" w:cs="仿宋_GB2312"/>
          <w:color w:val="auto"/>
          <w:highlight w:val="none"/>
        </w:rPr>
        <w:t>四、</w:t>
      </w:r>
      <w:r>
        <w:rPr>
          <w:rFonts w:hint="eastAsia" w:cs="仿宋_GB2312"/>
          <w:color w:val="auto"/>
          <w:highlight w:val="none"/>
          <w:lang w:val="zh-CN"/>
        </w:rPr>
        <w:t>商务条款偏离表………………………………</w:t>
      </w:r>
      <w:r>
        <w:rPr>
          <w:rFonts w:hint="eastAsia" w:cs="仿宋_GB2312"/>
          <w:color w:val="auto"/>
          <w:highlight w:val="none"/>
        </w:rPr>
        <w:t>…………………………（页码）</w:t>
      </w:r>
    </w:p>
    <w:p w14:paraId="107EF7D9">
      <w:pPr>
        <w:pStyle w:val="60"/>
        <w:spacing w:line="360" w:lineRule="auto"/>
        <w:rPr>
          <w:rFonts w:ascii="宋体" w:hAnsi="宋体"/>
          <w:color w:val="auto"/>
          <w:szCs w:val="21"/>
          <w:highlight w:val="none"/>
        </w:rPr>
      </w:pPr>
      <w:bookmarkStart w:id="167" w:name="OLE_LINK6"/>
      <w:bookmarkStart w:id="168" w:name="OLE_LINK7"/>
      <w:bookmarkStart w:id="169" w:name="OLE_LINK5"/>
      <w:r>
        <w:rPr>
          <w:rFonts w:hint="eastAsia" w:cs="仿宋_GB2312"/>
          <w:color w:val="auto"/>
          <w:highlight w:val="none"/>
        </w:rPr>
        <w:t>五、</w:t>
      </w:r>
      <w:r>
        <w:rPr>
          <w:rFonts w:hint="eastAsia" w:ascii="宋体" w:hAnsi="宋体"/>
          <w:color w:val="auto"/>
          <w:szCs w:val="21"/>
          <w:highlight w:val="none"/>
        </w:rPr>
        <w:t>对应第二章“采购需求”商务条款中要求必须提供的文件资料</w:t>
      </w:r>
      <w:r>
        <w:rPr>
          <w:rFonts w:hint="eastAsia" w:cs="仿宋_GB2312"/>
          <w:color w:val="auto"/>
          <w:highlight w:val="none"/>
        </w:rPr>
        <w:t>……（页码）</w:t>
      </w:r>
    </w:p>
    <w:p w14:paraId="0059614A">
      <w:pPr>
        <w:pStyle w:val="60"/>
        <w:spacing w:line="360" w:lineRule="auto"/>
        <w:rPr>
          <w:rFonts w:cs="仿宋_GB2312"/>
          <w:color w:val="auto"/>
          <w:highlight w:val="none"/>
        </w:rPr>
      </w:pPr>
      <w:r>
        <w:rPr>
          <w:rFonts w:hint="eastAsia" w:cs="仿宋_GB2312"/>
          <w:color w:val="auto"/>
          <w:highlight w:val="none"/>
        </w:rPr>
        <w:t>六、投标人情况介绍</w:t>
      </w:r>
      <w:r>
        <w:rPr>
          <w:rFonts w:hint="eastAsia" w:cs="仿宋_GB2312"/>
          <w:color w:val="auto"/>
          <w:highlight w:val="none"/>
          <w:lang w:val="zh-CN"/>
        </w:rPr>
        <w:t>………………………………</w:t>
      </w:r>
      <w:r>
        <w:rPr>
          <w:rFonts w:hint="eastAsia" w:cs="仿宋_GB2312"/>
          <w:color w:val="auto"/>
          <w:highlight w:val="none"/>
        </w:rPr>
        <w:t>…………………………（页码）</w:t>
      </w:r>
    </w:p>
    <w:p w14:paraId="731B8DB8">
      <w:pPr>
        <w:pStyle w:val="60"/>
        <w:spacing w:line="360" w:lineRule="auto"/>
        <w:rPr>
          <w:rFonts w:cs="仿宋_GB2312"/>
          <w:color w:val="auto"/>
          <w:highlight w:val="none"/>
        </w:rPr>
      </w:pPr>
      <w:r>
        <w:rPr>
          <w:rFonts w:hint="eastAsia" w:cs="仿宋_GB2312"/>
          <w:color w:val="auto"/>
          <w:highlight w:val="none"/>
        </w:rPr>
        <w:t>七、投标人类似业绩的证明文件（如有要求）</w:t>
      </w:r>
      <w:r>
        <w:rPr>
          <w:rFonts w:hint="eastAsia" w:cs="仿宋_GB2312"/>
          <w:color w:val="auto"/>
          <w:highlight w:val="none"/>
          <w:lang w:val="zh-CN"/>
        </w:rPr>
        <w:t>……………………………</w:t>
      </w:r>
      <w:r>
        <w:rPr>
          <w:rFonts w:hint="eastAsia" w:cs="仿宋_GB2312"/>
          <w:color w:val="auto"/>
          <w:highlight w:val="none"/>
        </w:rPr>
        <w:t>（页码）</w:t>
      </w:r>
      <w:bookmarkEnd w:id="167"/>
      <w:bookmarkEnd w:id="168"/>
    </w:p>
    <w:p w14:paraId="6015DCBE">
      <w:pPr>
        <w:pStyle w:val="60"/>
        <w:spacing w:line="360" w:lineRule="auto"/>
        <w:rPr>
          <w:rFonts w:cs="仿宋_GB2312"/>
          <w:color w:val="auto"/>
          <w:highlight w:val="none"/>
        </w:rPr>
      </w:pPr>
      <w:r>
        <w:rPr>
          <w:rFonts w:hint="eastAsia" w:cs="仿宋_GB2312"/>
          <w:color w:val="auto"/>
          <w:highlight w:val="none"/>
        </w:rPr>
        <w:t>八、</w:t>
      </w:r>
      <w:r>
        <w:rPr>
          <w:rFonts w:hint="eastAsia" w:ascii="宋体" w:hAnsi="宋体"/>
          <w:color w:val="auto"/>
          <w:szCs w:val="21"/>
          <w:highlight w:val="none"/>
        </w:rPr>
        <w:t>除招标文件规定必须提供以外，投标人认为需要提供的其他证明材料。（投标人根据“第二章 采购需求”及“第四章 评标方法及评标标准”提供有关证明材料）。</w:t>
      </w:r>
      <w:r>
        <w:rPr>
          <w:rFonts w:hint="eastAsia" w:cs="仿宋_GB2312"/>
          <w:color w:val="auto"/>
          <w:highlight w:val="none"/>
          <w:lang w:val="zh-CN"/>
        </w:rPr>
        <w:t>………………………………………………………………………………</w:t>
      </w:r>
      <w:r>
        <w:rPr>
          <w:rFonts w:hint="eastAsia" w:cs="仿宋_GB2312"/>
          <w:color w:val="auto"/>
          <w:highlight w:val="none"/>
        </w:rPr>
        <w:t>（页码）</w:t>
      </w:r>
    </w:p>
    <w:bookmarkEnd w:id="169"/>
    <w:p w14:paraId="5E2F0DB1">
      <w:pPr>
        <w:spacing w:line="360" w:lineRule="auto"/>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注：以上目录是基本格式要求，各投标人可根据自身情况进一步向下增加内容或细化。</w:t>
      </w:r>
    </w:p>
    <w:p w14:paraId="5C1E9455">
      <w:pPr>
        <w:snapToGrid w:val="0"/>
        <w:spacing w:line="360" w:lineRule="auto"/>
        <w:ind w:firstLine="420" w:firstLineChars="200"/>
        <w:jc w:val="left"/>
        <w:rPr>
          <w:rFonts w:ascii="宋体" w:hAnsi="宋体"/>
          <w:color w:val="auto"/>
          <w:highlight w:val="none"/>
        </w:rPr>
        <w:sectPr>
          <w:pgSz w:w="11906" w:h="16838"/>
          <w:pgMar w:top="1134" w:right="1134" w:bottom="1134" w:left="1134" w:header="720" w:footer="720" w:gutter="0"/>
          <w:pgNumType w:fmt="decimal"/>
          <w:cols w:space="720" w:num="1"/>
          <w:docGrid w:type="lines" w:linePitch="331" w:charSpace="0"/>
        </w:sectPr>
      </w:pPr>
    </w:p>
    <w:p w14:paraId="24B73CD2">
      <w:pPr>
        <w:snapToGrid w:val="0"/>
        <w:spacing w:beforeLines="50" w:after="50"/>
        <w:ind w:left="420"/>
        <w:jc w:val="center"/>
        <w:rPr>
          <w:b/>
          <w:bCs/>
          <w:color w:val="auto"/>
          <w:sz w:val="30"/>
          <w:szCs w:val="30"/>
          <w:highlight w:val="none"/>
        </w:rPr>
      </w:pPr>
      <w:r>
        <w:rPr>
          <w:rFonts w:hint="eastAsia"/>
          <w:b/>
          <w:bCs/>
          <w:color w:val="auto"/>
          <w:sz w:val="30"/>
          <w:szCs w:val="30"/>
          <w:highlight w:val="none"/>
        </w:rPr>
        <w:t>一、无串通投标行为的承诺函</w:t>
      </w:r>
    </w:p>
    <w:p w14:paraId="44CFBD60">
      <w:pPr>
        <w:snapToGrid w:val="0"/>
        <w:spacing w:beforeLines="50" w:after="50"/>
        <w:ind w:left="420"/>
        <w:jc w:val="center"/>
        <w:rPr>
          <w:rFonts w:ascii="宋体" w:hAnsi="宋体"/>
          <w:b/>
          <w:color w:val="auto"/>
          <w:sz w:val="32"/>
          <w:szCs w:val="32"/>
          <w:highlight w:val="none"/>
        </w:rPr>
      </w:pPr>
      <w:r>
        <w:rPr>
          <w:rFonts w:hint="eastAsia" w:ascii="宋体" w:hAnsi="宋体"/>
          <w:b/>
          <w:color w:val="auto"/>
          <w:sz w:val="32"/>
          <w:szCs w:val="32"/>
          <w:highlight w:val="none"/>
        </w:rPr>
        <w:t>投标人参加本项目无围标串标行为的承诺函</w:t>
      </w:r>
    </w:p>
    <w:p w14:paraId="346E28FD">
      <w:pPr>
        <w:snapToGrid w:val="0"/>
        <w:spacing w:beforeLines="50" w:after="50"/>
        <w:rPr>
          <w:rFonts w:ascii="宋体" w:hAnsi="宋体"/>
          <w:b/>
          <w:color w:val="auto"/>
          <w:szCs w:val="21"/>
          <w:highlight w:val="none"/>
        </w:rPr>
      </w:pPr>
    </w:p>
    <w:p w14:paraId="6DFA2640">
      <w:pPr>
        <w:snapToGrid w:val="0"/>
        <w:spacing w:beforeLines="50" w:after="50" w:line="360" w:lineRule="auto"/>
        <w:jc w:val="left"/>
        <w:rPr>
          <w:rFonts w:ascii="宋体" w:hAnsi="宋体"/>
          <w:b/>
          <w:color w:val="auto"/>
          <w:szCs w:val="21"/>
          <w:highlight w:val="none"/>
        </w:rPr>
      </w:pPr>
      <w:r>
        <w:rPr>
          <w:rFonts w:hint="eastAsia" w:ascii="宋体" w:hAnsi="宋体"/>
          <w:b/>
          <w:color w:val="auto"/>
          <w:szCs w:val="21"/>
          <w:highlight w:val="none"/>
        </w:rPr>
        <w:t>一、我方承诺无下列相互串通投标的情形：</w:t>
      </w:r>
    </w:p>
    <w:p w14:paraId="1A1DF1E7">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1.不同投标人的投标文件由同一单位或者个人编制；或者不同投标人报名的IP地址一致的；或者编制标书硬件设备CPU编号、硬盘编号、网卡地址一致的情况。</w:t>
      </w:r>
    </w:p>
    <w:p w14:paraId="0A0DB939">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2.不同投标人委托同一单位或者个人办理投标事宜；</w:t>
      </w:r>
    </w:p>
    <w:p w14:paraId="41735CA3">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3.不同的投标人的投标文件载明的项目管理员为同一个人；</w:t>
      </w:r>
    </w:p>
    <w:p w14:paraId="0CD03DB2">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4.不同投标人的投标文件异常一致或者投标报价呈规律性差异；</w:t>
      </w:r>
    </w:p>
    <w:p w14:paraId="2AE02515">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5.不同投标人的投标文件相互混装；</w:t>
      </w:r>
    </w:p>
    <w:p w14:paraId="094735B7">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6.不同投标人的投标保证金从同一单位或者个人账户转出。</w:t>
      </w:r>
    </w:p>
    <w:p w14:paraId="0C16CB80">
      <w:pPr>
        <w:snapToGrid w:val="0"/>
        <w:spacing w:beforeLines="50" w:after="50" w:line="360" w:lineRule="auto"/>
        <w:jc w:val="left"/>
        <w:rPr>
          <w:rFonts w:ascii="宋体" w:hAnsi="宋体"/>
          <w:color w:val="auto"/>
          <w:szCs w:val="21"/>
          <w:highlight w:val="none"/>
        </w:rPr>
      </w:pPr>
      <w:r>
        <w:rPr>
          <w:rFonts w:hint="eastAsia" w:ascii="宋体" w:hAnsi="宋体"/>
          <w:b/>
          <w:color w:val="auto"/>
          <w:szCs w:val="21"/>
          <w:highlight w:val="none"/>
        </w:rPr>
        <w:t>二、我方承诺无下列恶意串通的情形：</w:t>
      </w:r>
    </w:p>
    <w:p w14:paraId="0FE73A66">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1.投标人直接或者间接从采购人或者采购代理机构处获得其他投标人的相关信息并修改其投标文件或者投标文件；</w:t>
      </w:r>
    </w:p>
    <w:p w14:paraId="3A7D4F7F">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2.投标人按照采购人或者采购代理机构的授意撤换、修改投标文件或者投标文件；</w:t>
      </w:r>
    </w:p>
    <w:p w14:paraId="4B317A08">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3.投标人之间协商报价、技术方案等投标文件或者投标文件的实质性内容；</w:t>
      </w:r>
    </w:p>
    <w:p w14:paraId="47E35024">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4.属于同一集团、协会、商会等组织成员的投标人按照该组织要求协同参加政府采购活动；</w:t>
      </w:r>
    </w:p>
    <w:p w14:paraId="01B1A1C4">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3AC3E65C">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6.投标人之间商定部分投标人放弃参加政府采购活动或者放弃中标；</w:t>
      </w:r>
    </w:p>
    <w:p w14:paraId="0210EF28">
      <w:pPr>
        <w:snapToGrid w:val="0"/>
        <w:spacing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7.投标人与采购人或者采购代理机构之间、投标人相互之间，为谋求特定投标人中标或者排斥其他投标人的其他串通行为。</w:t>
      </w:r>
    </w:p>
    <w:p w14:paraId="4267E0CA">
      <w:pPr>
        <w:snapToGrid w:val="0"/>
        <w:spacing w:beforeLines="50" w:after="50" w:line="360" w:lineRule="auto"/>
        <w:ind w:firstLine="413" w:firstLineChars="196"/>
        <w:jc w:val="left"/>
        <w:rPr>
          <w:rFonts w:ascii="宋体" w:hAnsi="宋体"/>
          <w:b/>
          <w:color w:val="auto"/>
          <w:szCs w:val="21"/>
          <w:highlight w:val="none"/>
        </w:rPr>
      </w:pPr>
      <w:r>
        <w:rPr>
          <w:rFonts w:hint="eastAsia" w:ascii="宋体" w:hAnsi="宋体"/>
          <w:b/>
          <w:color w:val="auto"/>
          <w:szCs w:val="21"/>
          <w:highlight w:val="none"/>
        </w:rPr>
        <w:t>以上情形一经核查属实，接受政府采购监管部门对我方认定存在围标串标行为，我方愿意承担一切后果，并不再寻求任何旨在减轻或者免除法律责任的辩解。</w:t>
      </w:r>
    </w:p>
    <w:p w14:paraId="281D7AD9">
      <w:pPr>
        <w:snapToGrid w:val="0"/>
        <w:spacing w:line="360" w:lineRule="auto"/>
        <w:ind w:firstLine="5640" w:firstLineChars="23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24CE4C26">
      <w:pPr>
        <w:snapToGrid w:val="0"/>
        <w:spacing w:line="360" w:lineRule="auto"/>
        <w:ind w:firstLine="5880" w:firstLineChars="24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2931CE60">
      <w:pPr>
        <w:pStyle w:val="13"/>
        <w:snapToGrid w:val="0"/>
        <w:spacing w:before="295" w:after="295" w:line="360" w:lineRule="auto"/>
        <w:jc w:val="center"/>
        <w:rPr>
          <w:rFonts w:hAnsi="宋体"/>
          <w:b/>
          <w:color w:val="auto"/>
          <w:sz w:val="24"/>
          <w:highlight w:val="none"/>
        </w:rPr>
      </w:pPr>
      <w:r>
        <w:rPr>
          <w:rFonts w:hAnsi="宋体"/>
          <w:b/>
          <w:color w:val="auto"/>
          <w:sz w:val="24"/>
          <w:highlight w:val="none"/>
        </w:rPr>
        <w:br w:type="page"/>
      </w:r>
      <w:r>
        <w:rPr>
          <w:rFonts w:hint="eastAsia" w:ascii="Times New Roman" w:hAnsi="Times New Roman"/>
          <w:b/>
          <w:bCs/>
          <w:color w:val="auto"/>
          <w:sz w:val="30"/>
          <w:szCs w:val="30"/>
          <w:highlight w:val="none"/>
        </w:rPr>
        <w:t>二、法定代表人身份证明</w:t>
      </w:r>
    </w:p>
    <w:p w14:paraId="0FC027DF">
      <w:pPr>
        <w:spacing w:beforeLines="100" w:afterLines="50"/>
        <w:ind w:left="540"/>
        <w:jc w:val="center"/>
        <w:rPr>
          <w:rFonts w:ascii="宋体" w:hAnsi="Courier New"/>
          <w:b/>
          <w:color w:val="auto"/>
          <w:sz w:val="32"/>
          <w:szCs w:val="32"/>
          <w:highlight w:val="none"/>
        </w:rPr>
      </w:pPr>
    </w:p>
    <w:p w14:paraId="7C62C179">
      <w:pPr>
        <w:spacing w:before="240" w:beforeLines="100" w:after="120" w:afterLines="50"/>
        <w:ind w:left="540"/>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法定代表人身份证明</w:t>
      </w:r>
    </w:p>
    <w:p w14:paraId="4D27718A">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投 标 人：</w:t>
      </w:r>
      <w:r>
        <w:rPr>
          <w:rFonts w:hint="eastAsia" w:ascii="宋体" w:hAnsi="宋体" w:eastAsia="宋体" w:cs="宋体"/>
          <w:color w:val="auto"/>
          <w:sz w:val="24"/>
          <w:highlight w:val="none"/>
          <w:u w:val="single"/>
        </w:rPr>
        <w:t xml:space="preserve">                                                        </w:t>
      </w:r>
    </w:p>
    <w:p w14:paraId="2AE35794">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75039C05">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42A62199">
      <w:pPr>
        <w:spacing w:line="500" w:lineRule="exact"/>
        <w:ind w:left="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2F580515">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2765C534">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（投标人名称）              </w:t>
      </w:r>
      <w:r>
        <w:rPr>
          <w:rFonts w:hint="eastAsia" w:ascii="宋体" w:hAnsi="宋体" w:eastAsia="宋体" w:cs="宋体"/>
          <w:color w:val="auto"/>
          <w:sz w:val="24"/>
          <w:highlight w:val="none"/>
        </w:rPr>
        <w:t>的法定代表人。</w:t>
      </w:r>
    </w:p>
    <w:p w14:paraId="757B54FB">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05C6BC4E">
      <w:pPr>
        <w:spacing w:line="500" w:lineRule="exact"/>
        <w:ind w:left="540"/>
        <w:rPr>
          <w:rFonts w:hint="eastAsia" w:ascii="宋体" w:hAnsi="宋体" w:eastAsia="宋体" w:cs="宋体"/>
          <w:color w:val="auto"/>
          <w:sz w:val="24"/>
          <w:highlight w:val="none"/>
        </w:rPr>
      </w:pPr>
    </w:p>
    <w:p w14:paraId="50954BC9">
      <w:pPr>
        <w:spacing w:line="500" w:lineRule="exact"/>
        <w:ind w:left="540"/>
        <w:rPr>
          <w:rFonts w:hint="eastAsia" w:ascii="宋体" w:hAnsi="宋体" w:eastAsia="宋体" w:cs="宋体"/>
          <w:color w:val="auto"/>
          <w:sz w:val="24"/>
          <w:highlight w:val="none"/>
        </w:rPr>
      </w:pPr>
    </w:p>
    <w:p w14:paraId="72702F86">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487BDC0A">
      <w:pPr>
        <w:spacing w:line="500" w:lineRule="exact"/>
        <w:ind w:left="540"/>
        <w:rPr>
          <w:rFonts w:hint="eastAsia" w:ascii="宋体" w:hAnsi="宋体" w:eastAsia="宋体" w:cs="宋体"/>
          <w:color w:val="auto"/>
          <w:sz w:val="24"/>
          <w:highlight w:val="none"/>
        </w:rPr>
      </w:pPr>
    </w:p>
    <w:p w14:paraId="02349A22">
      <w:pPr>
        <w:snapToGrid w:val="0"/>
        <w:spacing w:line="360" w:lineRule="auto"/>
        <w:ind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投标人名称(电子签章)：</w:t>
      </w:r>
    </w:p>
    <w:p w14:paraId="6EED8016">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5F58E94">
      <w:pPr>
        <w:snapToGrid w:val="0"/>
        <w:spacing w:before="120" w:beforeLines="50" w:after="50"/>
        <w:jc w:val="center"/>
        <w:rPr>
          <w:rFonts w:hint="eastAsia" w:ascii="宋体" w:hAnsi="宋体" w:eastAsia="宋体" w:cs="宋体"/>
          <w:b/>
          <w:color w:val="auto"/>
          <w:sz w:val="24"/>
          <w:highlight w:val="none"/>
        </w:rPr>
      </w:pPr>
    </w:p>
    <w:p w14:paraId="021ABEB9">
      <w:pPr>
        <w:snapToGrid w:val="0"/>
        <w:spacing w:before="120" w:beforeLines="50" w:after="50"/>
        <w:ind w:firstLine="600" w:firstLineChars="2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注：自然人投标的无需提供</w:t>
      </w:r>
    </w:p>
    <w:p w14:paraId="7B13A9D6">
      <w:pPr>
        <w:snapToGrid w:val="0"/>
        <w:spacing w:before="120" w:beforeLines="50" w:after="50"/>
        <w:ind w:firstLine="600" w:firstLineChars="250"/>
        <w:jc w:val="left"/>
        <w:rPr>
          <w:rFonts w:hint="eastAsia" w:ascii="宋体" w:hAnsi="宋体" w:eastAsia="宋体" w:cs="宋体"/>
          <w:color w:val="auto"/>
          <w:sz w:val="24"/>
          <w:highlight w:val="none"/>
        </w:rPr>
      </w:pPr>
    </w:p>
    <w:p w14:paraId="6CA68AE5">
      <w:pPr>
        <w:snapToGrid w:val="0"/>
        <w:spacing w:beforeLines="50" w:after="50"/>
        <w:ind w:firstLine="600" w:firstLineChars="250"/>
        <w:jc w:val="left"/>
        <w:rPr>
          <w:rFonts w:ascii="宋体" w:hAnsi="宋体"/>
          <w:color w:val="auto"/>
          <w:sz w:val="24"/>
          <w:highlight w:val="none"/>
        </w:rPr>
      </w:pPr>
    </w:p>
    <w:p w14:paraId="2F76E41A">
      <w:pPr>
        <w:snapToGrid w:val="0"/>
        <w:spacing w:beforeLines="50" w:after="50"/>
        <w:ind w:firstLine="602" w:firstLineChars="250"/>
        <w:jc w:val="left"/>
        <w:rPr>
          <w:rFonts w:ascii="宋体" w:hAnsi="宋体"/>
          <w:b/>
          <w:color w:val="auto"/>
          <w:sz w:val="24"/>
          <w:szCs w:val="20"/>
          <w:highlight w:val="none"/>
        </w:rPr>
      </w:pPr>
    </w:p>
    <w:tbl>
      <w:tblPr>
        <w:tblStyle w:val="28"/>
        <w:tblpPr w:leftFromText="180" w:rightFromText="180" w:vertAnchor="text" w:horzAnchor="page" w:tblpX="1582" w:tblpY="1126"/>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07317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noWrap/>
          </w:tcPr>
          <w:p w14:paraId="531972AF">
            <w:pPr>
              <w:spacing w:line="360" w:lineRule="auto"/>
              <w:rPr>
                <w:rFonts w:ascii="宋体"/>
                <w:b/>
                <w:color w:val="auto"/>
                <w:sz w:val="24"/>
                <w:highlight w:val="none"/>
              </w:rPr>
            </w:pPr>
          </w:p>
          <w:p w14:paraId="2BB5F96A">
            <w:pPr>
              <w:spacing w:line="360" w:lineRule="auto"/>
              <w:rPr>
                <w:rFonts w:ascii="宋体"/>
                <w:b/>
                <w:color w:val="auto"/>
                <w:sz w:val="24"/>
                <w:highlight w:val="none"/>
              </w:rPr>
            </w:pPr>
            <w:r>
              <w:rPr>
                <w:rFonts w:hint="eastAsia" w:ascii="宋体"/>
                <w:b/>
                <w:color w:val="auto"/>
                <w:sz w:val="24"/>
                <w:highlight w:val="none"/>
              </w:rPr>
              <w:t>法定代表身份证复印件粘帖处（正、反面）</w:t>
            </w:r>
          </w:p>
        </w:tc>
      </w:tr>
    </w:tbl>
    <w:p w14:paraId="0DD63B27">
      <w:pPr>
        <w:pStyle w:val="13"/>
        <w:snapToGrid w:val="0"/>
        <w:spacing w:before="295" w:after="295" w:line="360" w:lineRule="auto"/>
        <w:jc w:val="both"/>
        <w:rPr>
          <w:rFonts w:hAnsi="宋体"/>
          <w:b/>
          <w:color w:val="auto"/>
          <w:sz w:val="24"/>
          <w:highlight w:val="none"/>
        </w:rPr>
      </w:pPr>
      <w:r>
        <w:rPr>
          <w:rFonts w:hint="eastAsia" w:hAnsi="宋体"/>
          <w:b/>
          <w:color w:val="auto"/>
          <w:sz w:val="24"/>
          <w:highlight w:val="none"/>
        </w:rPr>
        <w:t>附件：</w:t>
      </w:r>
      <w:r>
        <w:rPr>
          <w:rFonts w:hAnsi="宋体"/>
          <w:b/>
          <w:color w:val="auto"/>
          <w:sz w:val="24"/>
          <w:highlight w:val="none"/>
        </w:rPr>
        <w:br w:type="page"/>
      </w:r>
    </w:p>
    <w:p w14:paraId="2570C53C">
      <w:pPr>
        <w:pStyle w:val="13"/>
        <w:snapToGrid w:val="0"/>
        <w:spacing w:before="295" w:after="295" w:line="360" w:lineRule="auto"/>
        <w:jc w:val="center"/>
        <w:rPr>
          <w:rFonts w:hAnsi="宋体"/>
          <w:b/>
          <w:color w:val="auto"/>
          <w:sz w:val="24"/>
          <w:highlight w:val="none"/>
        </w:rPr>
      </w:pPr>
    </w:p>
    <w:p w14:paraId="3B38B071">
      <w:pPr>
        <w:pStyle w:val="13"/>
        <w:snapToGrid w:val="0"/>
        <w:spacing w:before="295" w:after="295" w:line="360" w:lineRule="auto"/>
        <w:jc w:val="center"/>
        <w:rPr>
          <w:rFonts w:hAnsi="宋体"/>
          <w:b/>
          <w:color w:val="auto"/>
          <w:sz w:val="24"/>
          <w:highlight w:val="none"/>
        </w:rPr>
      </w:pPr>
      <w:r>
        <w:rPr>
          <w:rFonts w:hint="eastAsia" w:ascii="Times New Roman" w:hAnsi="Times New Roman"/>
          <w:b/>
          <w:bCs/>
          <w:color w:val="auto"/>
          <w:sz w:val="30"/>
          <w:szCs w:val="30"/>
          <w:highlight w:val="none"/>
        </w:rPr>
        <w:t>三、法定代表人授权委托书（如有委托时）</w:t>
      </w:r>
    </w:p>
    <w:p w14:paraId="48CD7995">
      <w:pPr>
        <w:snapToGrid w:val="0"/>
        <w:spacing w:beforeLines="50" w:after="50"/>
        <w:jc w:val="center"/>
        <w:rPr>
          <w:rFonts w:ascii="宋体" w:hAnsi="宋体"/>
          <w:b/>
          <w:color w:val="auto"/>
          <w:sz w:val="32"/>
          <w:szCs w:val="32"/>
          <w:highlight w:val="none"/>
        </w:rPr>
      </w:pPr>
      <w:r>
        <w:rPr>
          <w:rFonts w:hint="eastAsia" w:ascii="宋体" w:hAnsi="宋体"/>
          <w:b/>
          <w:color w:val="auto"/>
          <w:sz w:val="32"/>
          <w:szCs w:val="32"/>
          <w:highlight w:val="none"/>
        </w:rPr>
        <w:t>法定代表人授权委托书</w:t>
      </w:r>
    </w:p>
    <w:p w14:paraId="3B54DD62">
      <w:pPr>
        <w:snapToGrid w:val="0"/>
        <w:spacing w:beforeLines="50" w:after="50"/>
        <w:jc w:val="center"/>
        <w:rPr>
          <w:rFonts w:ascii="宋体" w:hAnsi="宋体"/>
          <w:b/>
          <w:color w:val="auto"/>
          <w:sz w:val="24"/>
          <w:highlight w:val="none"/>
        </w:rPr>
      </w:pPr>
    </w:p>
    <w:p w14:paraId="0D001E79">
      <w:pPr>
        <w:spacing w:line="360" w:lineRule="auto"/>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致：</w:t>
      </w:r>
      <w:r>
        <w:rPr>
          <w:rFonts w:hint="eastAsia" w:ascii="宋体" w:hAnsi="宋体" w:cs="仿宋_GB2312"/>
          <w:color w:val="auto"/>
          <w:sz w:val="22"/>
          <w:szCs w:val="22"/>
          <w:highlight w:val="none"/>
          <w:u w:val="single"/>
        </w:rPr>
        <w:t>（</w:t>
      </w:r>
      <w:r>
        <w:rPr>
          <w:rFonts w:hint="eastAsia" w:ascii="宋体" w:hAnsi="宋体" w:cs="仿宋_GB2312"/>
          <w:color w:val="auto"/>
          <w:sz w:val="22"/>
          <w:szCs w:val="22"/>
          <w:highlight w:val="none"/>
          <w:u w:val="single"/>
          <w:lang w:val="en-US" w:eastAsia="zh-CN"/>
        </w:rPr>
        <w:t>采购代理机构</w:t>
      </w:r>
      <w:r>
        <w:rPr>
          <w:rFonts w:hint="eastAsia" w:ascii="宋体" w:hAnsi="宋体" w:cs="仿宋_GB2312"/>
          <w:color w:val="auto"/>
          <w:sz w:val="22"/>
          <w:szCs w:val="22"/>
          <w:highlight w:val="none"/>
          <w:u w:val="single"/>
        </w:rPr>
        <w:t>名称）</w:t>
      </w:r>
      <w:r>
        <w:rPr>
          <w:rFonts w:hint="eastAsia" w:ascii="宋体" w:hAnsi="宋体" w:cs="仿宋_GB2312"/>
          <w:color w:val="auto"/>
          <w:sz w:val="22"/>
          <w:szCs w:val="22"/>
          <w:highlight w:val="none"/>
        </w:rPr>
        <w:t>：</w:t>
      </w:r>
    </w:p>
    <w:p w14:paraId="2C03B2F1">
      <w:pPr>
        <w:spacing w:line="360" w:lineRule="auto"/>
        <w:ind w:firstLine="440" w:firstLineChars="200"/>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我</w:t>
      </w:r>
      <w:r>
        <w:rPr>
          <w:rFonts w:hint="eastAsia" w:ascii="宋体" w:hAnsi="宋体" w:cs="仿宋_GB2312"/>
          <w:color w:val="auto"/>
          <w:sz w:val="22"/>
          <w:szCs w:val="22"/>
          <w:highlight w:val="none"/>
          <w:u w:val="single"/>
        </w:rPr>
        <w:t xml:space="preserve">  （姓名）  </w:t>
      </w:r>
      <w:r>
        <w:rPr>
          <w:rFonts w:hint="eastAsia" w:ascii="宋体" w:hAnsi="宋体" w:cs="仿宋_GB2312"/>
          <w:color w:val="auto"/>
          <w:sz w:val="22"/>
          <w:szCs w:val="22"/>
          <w:highlight w:val="none"/>
        </w:rPr>
        <w:t>系</w:t>
      </w:r>
      <w:r>
        <w:rPr>
          <w:rFonts w:hint="eastAsia" w:ascii="宋体" w:hAnsi="宋体" w:cs="仿宋_GB2312"/>
          <w:color w:val="auto"/>
          <w:sz w:val="22"/>
          <w:szCs w:val="22"/>
          <w:highlight w:val="none"/>
          <w:u w:val="single"/>
        </w:rPr>
        <w:t xml:space="preserve">  （投标人名称）  </w:t>
      </w:r>
      <w:r>
        <w:rPr>
          <w:rFonts w:hint="eastAsia" w:ascii="宋体" w:hAnsi="宋体" w:cs="仿宋_GB2312"/>
          <w:color w:val="auto"/>
          <w:sz w:val="22"/>
          <w:szCs w:val="22"/>
          <w:highlight w:val="none"/>
        </w:rPr>
        <w:t>的（</w:t>
      </w:r>
      <w:r>
        <w:rPr>
          <w:rFonts w:hint="eastAsia" w:ascii="宋体" w:hAnsi="宋体" w:cs="仿宋_GB2312"/>
          <w:color w:val="auto"/>
          <w:sz w:val="22"/>
          <w:szCs w:val="22"/>
          <w:highlight w:val="none"/>
          <w:u w:val="single"/>
        </w:rPr>
        <w:t>□法定代表人/□负责人/□自然人本人</w:t>
      </w:r>
      <w:r>
        <w:rPr>
          <w:rFonts w:hint="eastAsia" w:ascii="宋体" w:hAnsi="宋体" w:cs="仿宋_GB2312"/>
          <w:color w:val="auto"/>
          <w:sz w:val="22"/>
          <w:szCs w:val="22"/>
          <w:highlight w:val="none"/>
        </w:rPr>
        <w:t>），现授权</w:t>
      </w:r>
      <w:r>
        <w:rPr>
          <w:rFonts w:hint="eastAsia" w:ascii="宋体" w:hAnsi="宋体" w:cs="仿宋_GB2312"/>
          <w:color w:val="auto"/>
          <w:sz w:val="22"/>
          <w:szCs w:val="22"/>
          <w:highlight w:val="none"/>
          <w:u w:val="single"/>
        </w:rPr>
        <w:t xml:space="preserve"> （姓名） </w:t>
      </w:r>
      <w:r>
        <w:rPr>
          <w:rFonts w:hint="eastAsia" w:ascii="宋体" w:hAnsi="宋体" w:cs="仿宋_GB2312"/>
          <w:color w:val="auto"/>
          <w:sz w:val="22"/>
          <w:szCs w:val="22"/>
          <w:highlight w:val="none"/>
        </w:rPr>
        <w:t>以我方的名义参加</w:t>
      </w:r>
      <w:r>
        <w:rPr>
          <w:rFonts w:hint="eastAsia" w:ascii="宋体" w:hAnsi="宋体" w:cs="仿宋_GB2312"/>
          <w:color w:val="auto"/>
          <w:sz w:val="22"/>
          <w:szCs w:val="22"/>
          <w:highlight w:val="none"/>
          <w:u w:val="single"/>
        </w:rPr>
        <w:t xml:space="preserve">              </w:t>
      </w:r>
      <w:r>
        <w:rPr>
          <w:rFonts w:hint="eastAsia" w:ascii="宋体" w:hAnsi="宋体" w:cs="仿宋_GB2312"/>
          <w:color w:val="auto"/>
          <w:sz w:val="22"/>
          <w:szCs w:val="22"/>
          <w:highlight w:val="none"/>
        </w:rPr>
        <w:t>项目的</w:t>
      </w:r>
      <w:r>
        <w:rPr>
          <w:rFonts w:hint="eastAsia" w:ascii="宋体" w:hAnsi="宋体" w:cs="仿宋_GB2312"/>
          <w:color w:val="auto"/>
          <w:sz w:val="22"/>
          <w:szCs w:val="22"/>
          <w:highlight w:val="none"/>
          <w:lang w:val="en-US" w:eastAsia="zh-CN"/>
        </w:rPr>
        <w:t>投</w:t>
      </w:r>
      <w:r>
        <w:rPr>
          <w:rFonts w:hint="eastAsia" w:ascii="宋体" w:hAnsi="宋体" w:cs="仿宋_GB2312"/>
          <w:color w:val="auto"/>
          <w:sz w:val="22"/>
          <w:szCs w:val="22"/>
          <w:highlight w:val="none"/>
        </w:rPr>
        <w:t>标活动，并代表我方全权办理针对上述项目的所有采购程序和环节的具体事务和签署相关文件。</w:t>
      </w:r>
    </w:p>
    <w:p w14:paraId="6A7ED8F2">
      <w:pPr>
        <w:spacing w:line="360" w:lineRule="auto"/>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 xml:space="preserve">    我方对委托代理人的签字</w:t>
      </w:r>
      <w:r>
        <w:rPr>
          <w:rFonts w:hint="eastAsia" w:ascii="宋体" w:hAnsi="宋体"/>
          <w:color w:val="auto"/>
          <w:sz w:val="22"/>
          <w:szCs w:val="22"/>
          <w:highlight w:val="none"/>
        </w:rPr>
        <w:t>或者电子签名</w:t>
      </w:r>
      <w:r>
        <w:rPr>
          <w:rFonts w:hint="eastAsia" w:ascii="宋体" w:hAnsi="宋体" w:cs="仿宋_GB2312"/>
          <w:color w:val="auto"/>
          <w:sz w:val="22"/>
          <w:szCs w:val="22"/>
          <w:highlight w:val="none"/>
        </w:rPr>
        <w:t>事项负全部责任。</w:t>
      </w:r>
    </w:p>
    <w:p w14:paraId="287AB8AB">
      <w:pPr>
        <w:spacing w:line="360" w:lineRule="auto"/>
        <w:ind w:firstLine="440" w:firstLineChars="200"/>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本授权书自签署之日起生效，在撤销授权的书面通知以前，本授权书一直有效。委托代理人在授权书有效期内签署的所有文件不因授权的撤销而失效。</w:t>
      </w:r>
    </w:p>
    <w:p w14:paraId="45B179EE">
      <w:pPr>
        <w:spacing w:line="360" w:lineRule="auto"/>
        <w:ind w:firstLine="440" w:firstLineChars="200"/>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委托代理人无转委托权，特此委托。</w:t>
      </w:r>
    </w:p>
    <w:p w14:paraId="7BF0064E">
      <w:pPr>
        <w:spacing w:line="360" w:lineRule="auto"/>
        <w:ind w:firstLine="440" w:firstLineChars="200"/>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附：委托代理人有效身份证正反面复印件</w:t>
      </w:r>
    </w:p>
    <w:p w14:paraId="5FA45E0D">
      <w:pPr>
        <w:spacing w:line="360" w:lineRule="auto"/>
        <w:rPr>
          <w:rFonts w:hint="eastAsia" w:ascii="宋体" w:hAnsi="宋体" w:cs="仿宋_GB2312"/>
          <w:color w:val="auto"/>
          <w:sz w:val="22"/>
          <w:szCs w:val="22"/>
          <w:highlight w:val="none"/>
        </w:rPr>
      </w:pPr>
    </w:p>
    <w:p w14:paraId="4299F819">
      <w:pPr>
        <w:spacing w:line="360" w:lineRule="auto"/>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委托代理人（</w:t>
      </w:r>
      <w:r>
        <w:rPr>
          <w:rFonts w:hint="eastAsia" w:ascii="宋体" w:hAnsi="宋体" w:eastAsia="宋体" w:cs="宋体"/>
          <w:color w:val="auto"/>
          <w:sz w:val="22"/>
          <w:szCs w:val="22"/>
          <w:highlight w:val="none"/>
        </w:rPr>
        <w:t>签字</w:t>
      </w:r>
      <w:r>
        <w:rPr>
          <w:rFonts w:hint="eastAsia" w:ascii="宋体" w:hAnsi="宋体" w:cs="仿宋_GB2312"/>
          <w:color w:val="auto"/>
          <w:sz w:val="22"/>
          <w:szCs w:val="22"/>
          <w:highlight w:val="none"/>
        </w:rPr>
        <w:t xml:space="preserve">）：    </w:t>
      </w:r>
      <w:r>
        <w:rPr>
          <w:rFonts w:hint="eastAsia" w:ascii="宋体" w:hAnsi="宋体" w:cs="仿宋_GB2312"/>
          <w:color w:val="auto"/>
          <w:sz w:val="22"/>
          <w:szCs w:val="22"/>
          <w:highlight w:val="none"/>
          <w:lang w:val="en-US" w:eastAsia="zh-CN"/>
        </w:rPr>
        <w:t xml:space="preserve">                    </w:t>
      </w:r>
      <w:r>
        <w:rPr>
          <w:rFonts w:hint="eastAsia" w:ascii="宋体" w:hAnsi="宋体" w:cs="仿宋_GB2312"/>
          <w:color w:val="auto"/>
          <w:sz w:val="22"/>
          <w:szCs w:val="22"/>
          <w:highlight w:val="none"/>
        </w:rPr>
        <w:t xml:space="preserve"> 法定代表人（签字）：                    </w:t>
      </w:r>
    </w:p>
    <w:p w14:paraId="641FD652">
      <w:pPr>
        <w:spacing w:line="360" w:lineRule="auto"/>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 xml:space="preserve">委托代理人身份证号码：                              </w:t>
      </w:r>
    </w:p>
    <w:p w14:paraId="5E03B96A">
      <w:pPr>
        <w:spacing w:line="360" w:lineRule="auto"/>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 xml:space="preserve">               </w:t>
      </w:r>
    </w:p>
    <w:p w14:paraId="283D9D32">
      <w:pPr>
        <w:spacing w:line="360" w:lineRule="auto"/>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 xml:space="preserve">                 </w:t>
      </w:r>
    </w:p>
    <w:p w14:paraId="34376B8A">
      <w:pPr>
        <w:spacing w:line="360" w:lineRule="auto"/>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 xml:space="preserve">                  </w:t>
      </w:r>
      <w:r>
        <w:rPr>
          <w:rFonts w:hint="eastAsia" w:ascii="宋体" w:hAnsi="宋体" w:cs="仿宋_GB2312"/>
          <w:color w:val="auto"/>
          <w:sz w:val="21"/>
          <w:szCs w:val="21"/>
          <w:highlight w:val="none"/>
        </w:rPr>
        <w:t xml:space="preserve">    </w:t>
      </w:r>
      <w:r>
        <w:rPr>
          <w:rFonts w:hint="eastAsia" w:ascii="宋体" w:hAnsi="宋体" w:cs="仿宋_GB2312"/>
          <w:color w:val="auto"/>
          <w:sz w:val="21"/>
          <w:szCs w:val="21"/>
          <w:highlight w:val="none"/>
          <w:lang w:val="en-US" w:eastAsia="zh-CN"/>
        </w:rPr>
        <w:t xml:space="preserve">  </w:t>
      </w:r>
      <w:r>
        <w:rPr>
          <w:rFonts w:hint="eastAsia" w:ascii="宋体" w:hAnsi="宋体" w:cs="仿宋_GB2312"/>
          <w:color w:val="auto"/>
          <w:sz w:val="21"/>
          <w:szCs w:val="21"/>
          <w:highlight w:val="none"/>
        </w:rPr>
        <w:t xml:space="preserve">   </w:t>
      </w:r>
      <w:r>
        <w:rPr>
          <w:rFonts w:hint="eastAsia" w:ascii="宋体" w:hAnsi="宋体" w:cs="仿宋_GB2312"/>
          <w:color w:val="auto"/>
          <w:sz w:val="21"/>
          <w:szCs w:val="21"/>
          <w:highlight w:val="none"/>
          <w:lang w:val="en-US" w:eastAsia="zh-CN"/>
        </w:rPr>
        <w:t xml:space="preserve">                  </w:t>
      </w:r>
      <w:r>
        <w:rPr>
          <w:rFonts w:hint="eastAsia" w:ascii="宋体" w:hAnsi="宋体" w:cs="仿宋_GB2312"/>
          <w:color w:val="auto"/>
          <w:sz w:val="22"/>
          <w:szCs w:val="22"/>
          <w:highlight w:val="none"/>
          <w:lang w:val="zh-CN"/>
        </w:rPr>
        <w:t>投标人名称(电子签章)</w:t>
      </w:r>
      <w:r>
        <w:rPr>
          <w:rFonts w:hint="eastAsia" w:ascii="宋体" w:hAnsi="宋体" w:cs="仿宋_GB2312"/>
          <w:color w:val="auto"/>
          <w:sz w:val="22"/>
          <w:szCs w:val="22"/>
          <w:highlight w:val="none"/>
        </w:rPr>
        <w:t xml:space="preserve">： </w:t>
      </w:r>
      <w:r>
        <w:rPr>
          <w:rFonts w:hint="eastAsia" w:ascii="宋体" w:hAnsi="宋体" w:cs="仿宋_GB2312"/>
          <w:color w:val="auto"/>
          <w:sz w:val="21"/>
          <w:szCs w:val="21"/>
          <w:highlight w:val="none"/>
        </w:rPr>
        <w:t xml:space="preserve">  </w:t>
      </w:r>
      <w:r>
        <w:rPr>
          <w:rFonts w:hint="eastAsia" w:ascii="宋体" w:hAnsi="宋体" w:cs="仿宋_GB2312"/>
          <w:color w:val="auto"/>
          <w:sz w:val="22"/>
          <w:szCs w:val="22"/>
          <w:highlight w:val="none"/>
        </w:rPr>
        <w:t xml:space="preserve">                   </w:t>
      </w:r>
    </w:p>
    <w:p w14:paraId="38D4678F">
      <w:pPr>
        <w:spacing w:line="360" w:lineRule="auto"/>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 xml:space="preserve">                                         </w:t>
      </w:r>
      <w:r>
        <w:rPr>
          <w:rFonts w:hint="eastAsia" w:ascii="宋体" w:hAnsi="宋体" w:cs="仿宋_GB2312"/>
          <w:color w:val="auto"/>
          <w:sz w:val="22"/>
          <w:szCs w:val="22"/>
          <w:highlight w:val="none"/>
          <w:lang w:val="en-US" w:eastAsia="zh-CN"/>
        </w:rPr>
        <w:t xml:space="preserve">      </w:t>
      </w:r>
      <w:r>
        <w:rPr>
          <w:rFonts w:hint="eastAsia" w:ascii="宋体" w:hAnsi="宋体" w:cs="仿宋_GB2312"/>
          <w:color w:val="auto"/>
          <w:sz w:val="22"/>
          <w:szCs w:val="22"/>
          <w:highlight w:val="none"/>
        </w:rPr>
        <w:t>年    月    日</w:t>
      </w:r>
    </w:p>
    <w:p w14:paraId="0E30F282">
      <w:pPr>
        <w:spacing w:line="360" w:lineRule="auto"/>
        <w:rPr>
          <w:rFonts w:hint="eastAsia" w:ascii="宋体" w:hAnsi="宋体" w:cs="仿宋_GB2312"/>
          <w:color w:val="auto"/>
          <w:sz w:val="22"/>
          <w:szCs w:val="22"/>
          <w:highlight w:val="none"/>
        </w:rPr>
      </w:pPr>
    </w:p>
    <w:p w14:paraId="3115A8D5">
      <w:pPr>
        <w:spacing w:line="360" w:lineRule="auto"/>
        <w:rPr>
          <w:rFonts w:ascii="宋体" w:hAnsi="宋体" w:cs="仿宋_GB2312"/>
          <w:color w:val="auto"/>
          <w:sz w:val="22"/>
          <w:szCs w:val="22"/>
          <w:highlight w:val="none"/>
        </w:rPr>
      </w:pPr>
      <w:r>
        <w:rPr>
          <w:rFonts w:hint="eastAsia" w:ascii="宋体" w:hAnsi="宋体" w:cs="仿宋_GB2312"/>
          <w:color w:val="auto"/>
          <w:sz w:val="22"/>
          <w:szCs w:val="22"/>
          <w:highlight w:val="none"/>
        </w:rPr>
        <w:t>注：1. 法定代表人必须在授权委托书上签字或者盖章</w:t>
      </w:r>
      <w:r>
        <w:rPr>
          <w:rFonts w:hint="eastAsia" w:ascii="宋体" w:hAnsi="宋体"/>
          <w:color w:val="auto"/>
          <w:sz w:val="22"/>
          <w:szCs w:val="22"/>
          <w:highlight w:val="none"/>
        </w:rPr>
        <w:t>或者电子签名</w:t>
      </w:r>
      <w:r>
        <w:rPr>
          <w:rFonts w:hint="eastAsia" w:ascii="宋体" w:hAnsi="宋体" w:cs="仿宋_GB2312"/>
          <w:color w:val="auto"/>
          <w:sz w:val="22"/>
          <w:szCs w:val="22"/>
          <w:highlight w:val="none"/>
        </w:rPr>
        <w:t>，委托代理人必须在授权委托书上签字或者电子签名，</w:t>
      </w:r>
      <w:r>
        <w:rPr>
          <w:rFonts w:hint="eastAsia" w:ascii="宋体" w:hAnsi="宋体" w:cs="仿宋_GB2312"/>
          <w:b/>
          <w:color w:val="auto"/>
          <w:sz w:val="22"/>
          <w:szCs w:val="22"/>
          <w:highlight w:val="none"/>
        </w:rPr>
        <w:t>否则其</w:t>
      </w:r>
      <w:r>
        <w:rPr>
          <w:rFonts w:hint="eastAsia" w:ascii="宋体" w:hAnsi="宋体" w:cs="仿宋_GB2312"/>
          <w:b/>
          <w:color w:val="auto"/>
          <w:sz w:val="22"/>
          <w:szCs w:val="22"/>
          <w:highlight w:val="none"/>
          <w:lang w:val="en-US" w:eastAsia="zh-CN"/>
        </w:rPr>
        <w:t>投标</w:t>
      </w:r>
      <w:r>
        <w:rPr>
          <w:rFonts w:hint="eastAsia" w:ascii="宋体" w:hAnsi="宋体" w:cs="仿宋_GB2312"/>
          <w:b/>
          <w:color w:val="auto"/>
          <w:sz w:val="22"/>
          <w:szCs w:val="22"/>
          <w:highlight w:val="none"/>
        </w:rPr>
        <w:t>文件按无效响应处理。</w:t>
      </w:r>
    </w:p>
    <w:p w14:paraId="2BDB130B">
      <w:pPr>
        <w:spacing w:line="360" w:lineRule="auto"/>
        <w:ind w:firstLine="440" w:firstLineChars="200"/>
        <w:jc w:val="left"/>
        <w:rPr>
          <w:rFonts w:hint="eastAsia" w:ascii="宋体" w:hAnsi="宋体" w:cs="仿宋_GB2312"/>
          <w:color w:val="auto"/>
          <w:sz w:val="22"/>
          <w:szCs w:val="22"/>
          <w:highlight w:val="none"/>
        </w:rPr>
      </w:pPr>
      <w:r>
        <w:rPr>
          <w:rFonts w:ascii="宋体" w:hAnsi="宋体" w:cs="仿宋_GB2312"/>
          <w:color w:val="auto"/>
          <w:sz w:val="22"/>
          <w:szCs w:val="22"/>
          <w:highlight w:val="none"/>
        </w:rPr>
        <w:t>2.</w:t>
      </w:r>
      <w:bookmarkStart w:id="170" w:name="_Hlk65853109"/>
      <w:bookmarkStart w:id="171" w:name="_Hlk65853542"/>
      <w:r>
        <w:rPr>
          <w:rFonts w:hint="eastAsia" w:ascii="宋体" w:hAnsi="宋体" w:cs="仿宋_GB2312"/>
          <w:color w:val="auto"/>
          <w:sz w:val="22"/>
          <w:szCs w:val="22"/>
          <w:highlight w:val="none"/>
        </w:rPr>
        <w:t>法人、其他组织竞标时“我方”是指“我单位”，自然人竞标时“我方”是指“本人”。</w:t>
      </w:r>
      <w:bookmarkEnd w:id="170"/>
    </w:p>
    <w:bookmarkEnd w:id="171"/>
    <w:p w14:paraId="13DFF62A">
      <w:pPr>
        <w:spacing w:line="360" w:lineRule="auto"/>
        <w:rPr>
          <w:rFonts w:ascii="宋体"/>
          <w:b/>
          <w:color w:val="auto"/>
          <w:sz w:val="24"/>
          <w:highlight w:val="none"/>
        </w:rPr>
      </w:pPr>
    </w:p>
    <w:p w14:paraId="1C36F864">
      <w:pPr>
        <w:spacing w:line="360" w:lineRule="auto"/>
        <w:rPr>
          <w:rFonts w:ascii="宋体"/>
          <w:b/>
          <w:color w:val="auto"/>
          <w:sz w:val="24"/>
          <w:highlight w:val="none"/>
        </w:rPr>
      </w:pPr>
    </w:p>
    <w:p w14:paraId="55DD7950">
      <w:pPr>
        <w:spacing w:line="360" w:lineRule="auto"/>
        <w:rPr>
          <w:rFonts w:ascii="宋体"/>
          <w:b/>
          <w:color w:val="auto"/>
          <w:sz w:val="24"/>
          <w:highlight w:val="none"/>
        </w:rPr>
      </w:pPr>
    </w:p>
    <w:p w14:paraId="3B9C9B70">
      <w:pPr>
        <w:spacing w:line="360" w:lineRule="auto"/>
        <w:rPr>
          <w:rFonts w:ascii="宋体"/>
          <w:b/>
          <w:color w:val="auto"/>
          <w:sz w:val="24"/>
          <w:highlight w:val="none"/>
        </w:rPr>
      </w:pPr>
    </w:p>
    <w:p w14:paraId="2462F31B">
      <w:pPr>
        <w:pStyle w:val="10"/>
        <w:rPr>
          <w:rFonts w:ascii="宋体"/>
          <w:b/>
          <w:color w:val="auto"/>
          <w:sz w:val="24"/>
          <w:highlight w:val="none"/>
        </w:rPr>
      </w:pPr>
    </w:p>
    <w:p w14:paraId="5C2B25D8">
      <w:pPr>
        <w:rPr>
          <w:rFonts w:ascii="宋体"/>
          <w:b/>
          <w:color w:val="auto"/>
          <w:sz w:val="24"/>
          <w:highlight w:val="none"/>
        </w:rPr>
      </w:pPr>
    </w:p>
    <w:p w14:paraId="10215FAD">
      <w:pPr>
        <w:pStyle w:val="10"/>
        <w:rPr>
          <w:rFonts w:ascii="宋体"/>
          <w:b/>
          <w:color w:val="auto"/>
          <w:sz w:val="24"/>
          <w:highlight w:val="none"/>
        </w:rPr>
      </w:pPr>
    </w:p>
    <w:p w14:paraId="130D8A3C">
      <w:pPr>
        <w:spacing w:line="360" w:lineRule="auto"/>
        <w:rPr>
          <w:rFonts w:ascii="宋体"/>
          <w:b/>
          <w:color w:val="auto"/>
          <w:sz w:val="24"/>
          <w:highlight w:val="none"/>
        </w:rPr>
      </w:pPr>
    </w:p>
    <w:p w14:paraId="320A993F">
      <w:pPr>
        <w:spacing w:line="360" w:lineRule="auto"/>
        <w:rPr>
          <w:b/>
          <w:color w:val="auto"/>
          <w:sz w:val="24"/>
          <w:highlight w:val="none"/>
        </w:rPr>
      </w:pPr>
      <w:r>
        <w:rPr>
          <w:rFonts w:hint="eastAsia" w:ascii="宋体"/>
          <w:b/>
          <w:color w:val="auto"/>
          <w:sz w:val="24"/>
          <w:highlight w:val="none"/>
        </w:rPr>
        <w:t>附件：</w:t>
      </w:r>
    </w:p>
    <w:tbl>
      <w:tblPr>
        <w:tblStyle w:val="28"/>
        <w:tblpPr w:leftFromText="180" w:rightFromText="180" w:vertAnchor="text" w:horzAnchor="page" w:tblpX="1837" w:tblpY="760"/>
        <w:tblW w:w="7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14:paraId="68AA3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noWrap/>
          </w:tcPr>
          <w:p w14:paraId="3A078443">
            <w:pPr>
              <w:spacing w:line="360" w:lineRule="auto"/>
              <w:rPr>
                <w:rFonts w:ascii="宋体"/>
                <w:b/>
                <w:color w:val="auto"/>
                <w:sz w:val="24"/>
                <w:highlight w:val="none"/>
              </w:rPr>
            </w:pPr>
          </w:p>
          <w:p w14:paraId="65E49E36">
            <w:pPr>
              <w:spacing w:line="360" w:lineRule="auto"/>
              <w:rPr>
                <w:rFonts w:ascii="宋体"/>
                <w:b/>
                <w:color w:val="auto"/>
                <w:sz w:val="24"/>
                <w:highlight w:val="none"/>
              </w:rPr>
            </w:pPr>
            <w:r>
              <w:rPr>
                <w:rFonts w:hint="eastAsia" w:ascii="宋体" w:eastAsia="宋体" w:cs="Times New Roman"/>
                <w:b/>
                <w:color w:val="auto"/>
                <w:sz w:val="24"/>
                <w:highlight w:val="none"/>
              </w:rPr>
              <w:t>委托代理人有效身份证正反面</w:t>
            </w:r>
            <w:r>
              <w:rPr>
                <w:rFonts w:hint="eastAsia" w:ascii="宋体" w:eastAsia="宋体" w:cs="Times New Roman"/>
                <w:b/>
                <w:color w:val="auto"/>
                <w:sz w:val="24"/>
                <w:highlight w:val="none"/>
                <w:lang w:val="en-US" w:eastAsia="zh-CN"/>
              </w:rPr>
              <w:t>复印件</w:t>
            </w:r>
            <w:r>
              <w:rPr>
                <w:rFonts w:hint="eastAsia" w:ascii="宋体"/>
                <w:b/>
                <w:color w:val="auto"/>
                <w:sz w:val="24"/>
                <w:highlight w:val="none"/>
              </w:rPr>
              <w:t>粘帖处（正、反面）</w:t>
            </w:r>
          </w:p>
        </w:tc>
      </w:tr>
    </w:tbl>
    <w:p w14:paraId="5E35AFC3">
      <w:pPr>
        <w:snapToGrid w:val="0"/>
        <w:spacing w:before="50" w:afterLines="50" w:line="360" w:lineRule="auto"/>
        <w:jc w:val="left"/>
        <w:rPr>
          <w:rFonts w:ascii="仿宋_GB2312" w:hAnsi="仿宋_GB2312" w:eastAsia="仿宋_GB2312" w:cs="仿宋_GB2312"/>
          <w:color w:val="auto"/>
          <w:szCs w:val="21"/>
          <w:highlight w:val="none"/>
        </w:rPr>
      </w:pPr>
    </w:p>
    <w:p w14:paraId="099239C2">
      <w:pPr>
        <w:snapToGrid w:val="0"/>
        <w:spacing w:beforeLines="50" w:after="50"/>
        <w:ind w:firstLine="566" w:firstLineChars="236"/>
        <w:jc w:val="center"/>
        <w:rPr>
          <w:rFonts w:ascii="宋体" w:hAnsi="宋体"/>
          <w:color w:val="auto"/>
          <w:highlight w:val="none"/>
        </w:rPr>
      </w:pPr>
      <w:r>
        <w:rPr>
          <w:rFonts w:ascii="宋体" w:hAnsi="宋体"/>
          <w:color w:val="auto"/>
          <w:sz w:val="24"/>
          <w:highlight w:val="none"/>
        </w:rPr>
        <w:br w:type="page"/>
      </w:r>
    </w:p>
    <w:p w14:paraId="18840C6A">
      <w:pPr>
        <w:jc w:val="center"/>
        <w:rPr>
          <w:b/>
          <w:bCs/>
          <w:color w:val="auto"/>
          <w:sz w:val="30"/>
          <w:szCs w:val="30"/>
          <w:highlight w:val="none"/>
        </w:rPr>
      </w:pPr>
      <w:r>
        <w:rPr>
          <w:rFonts w:hint="eastAsia"/>
          <w:b/>
          <w:bCs/>
          <w:color w:val="auto"/>
          <w:sz w:val="30"/>
          <w:szCs w:val="30"/>
          <w:highlight w:val="none"/>
        </w:rPr>
        <w:t>四、商务条款偏离表</w:t>
      </w:r>
    </w:p>
    <w:p w14:paraId="24FD56B2">
      <w:pPr>
        <w:jc w:val="center"/>
        <w:rPr>
          <w:rFonts w:ascii="宋体" w:hAnsi="宋体"/>
          <w:b/>
          <w:color w:val="auto"/>
          <w:sz w:val="24"/>
          <w:szCs w:val="20"/>
          <w:highlight w:val="none"/>
        </w:rPr>
      </w:pPr>
      <w:r>
        <w:rPr>
          <w:rFonts w:hint="eastAsia" w:ascii="宋体" w:hAnsi="宋体"/>
          <w:color w:val="auto"/>
          <w:sz w:val="30"/>
          <w:szCs w:val="20"/>
          <w:highlight w:val="none"/>
        </w:rPr>
        <w:t>(注：按项目需求表具体项目修改)</w:t>
      </w:r>
    </w:p>
    <w:p w14:paraId="4CBDEBD9">
      <w:pPr>
        <w:snapToGrid w:val="0"/>
        <w:spacing w:before="50"/>
        <w:jc w:val="left"/>
        <w:rPr>
          <w:rFonts w:ascii="宋体" w:hAnsi="宋体"/>
          <w:color w:val="auto"/>
          <w:sz w:val="24"/>
          <w:highlight w:val="none"/>
        </w:rPr>
      </w:pPr>
    </w:p>
    <w:p w14:paraId="5817D754">
      <w:pPr>
        <w:pStyle w:val="13"/>
        <w:spacing w:line="360" w:lineRule="auto"/>
        <w:ind w:left="-424" w:leftChars="-202" w:firstLine="846"/>
        <w:rPr>
          <w:rFonts w:hAnsi="宋体"/>
          <w:color w:val="auto"/>
          <w:sz w:val="24"/>
          <w:highlight w:val="none"/>
        </w:rPr>
      </w:pPr>
      <w:r>
        <w:rPr>
          <w:rFonts w:hint="eastAsia" w:ascii="Times New Roman" w:hAnsi="Times New Roman"/>
          <w:color w:val="auto"/>
          <w:highlight w:val="none"/>
        </w:rPr>
        <w:t>请逐条对应本项目招标文件第二章“</w:t>
      </w:r>
      <w:r>
        <w:rPr>
          <w:rFonts w:hint="eastAsia" w:ascii="Times New Roman" w:hAnsi="Times New Roman"/>
          <w:color w:val="auto"/>
          <w:highlight w:val="none"/>
          <w:lang w:eastAsia="zh-CN"/>
        </w:rPr>
        <w:t>采购</w:t>
      </w:r>
      <w:r>
        <w:rPr>
          <w:rFonts w:hint="eastAsia" w:ascii="Times New Roman" w:hAnsi="Times New Roman"/>
          <w:color w:val="auto"/>
          <w:highlight w:val="none"/>
        </w:rPr>
        <w:t>需求”中“商务条款”的要求，详细填写相应的具体内容。“偏离说明”一栏应当选择“正偏离”、“负偏离”或“无偏离”进行填写。</w:t>
      </w:r>
    </w:p>
    <w:tbl>
      <w:tblPr>
        <w:tblStyle w:val="28"/>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1CA9C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ign w:val="center"/>
          </w:tcPr>
          <w:p w14:paraId="795ED360">
            <w:pPr>
              <w:spacing w:line="340" w:lineRule="exact"/>
              <w:jc w:val="center"/>
              <w:rPr>
                <w:rFonts w:ascii="宋体" w:hAnsi="宋体"/>
                <w:color w:val="auto"/>
                <w:szCs w:val="21"/>
                <w:highlight w:val="none"/>
              </w:rPr>
            </w:pPr>
            <w:r>
              <w:rPr>
                <w:rFonts w:hint="eastAsia" w:ascii="宋体" w:hAnsi="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ign w:val="center"/>
          </w:tcPr>
          <w:p w14:paraId="40785B29">
            <w:pPr>
              <w:spacing w:line="340" w:lineRule="exact"/>
              <w:jc w:val="center"/>
              <w:rPr>
                <w:rFonts w:ascii="宋体" w:hAnsi="宋体"/>
                <w:color w:val="auto"/>
                <w:szCs w:val="21"/>
                <w:highlight w:val="none"/>
              </w:rPr>
            </w:pPr>
            <w:r>
              <w:rPr>
                <w:rFonts w:hint="eastAsia" w:ascii="宋体" w:hAnsi="宋体"/>
                <w:color w:val="auto"/>
                <w:szCs w:val="21"/>
                <w:highlight w:val="none"/>
              </w:rPr>
              <w:t>招标文件的商务需求</w:t>
            </w:r>
          </w:p>
        </w:tc>
        <w:tc>
          <w:tcPr>
            <w:tcW w:w="3589" w:type="dxa"/>
            <w:tcBorders>
              <w:top w:val="single" w:color="auto" w:sz="4" w:space="0"/>
              <w:left w:val="single" w:color="auto" w:sz="4" w:space="0"/>
              <w:bottom w:val="single" w:color="auto" w:sz="4" w:space="0"/>
              <w:right w:val="single" w:color="auto" w:sz="4" w:space="0"/>
            </w:tcBorders>
            <w:noWrap/>
            <w:vAlign w:val="center"/>
          </w:tcPr>
          <w:p w14:paraId="4BD092AD">
            <w:pPr>
              <w:spacing w:line="340" w:lineRule="exact"/>
              <w:jc w:val="center"/>
              <w:rPr>
                <w:rFonts w:ascii="宋体" w:hAnsi="宋体"/>
                <w:color w:val="auto"/>
                <w:szCs w:val="21"/>
                <w:highlight w:val="none"/>
              </w:rPr>
            </w:pPr>
            <w:r>
              <w:rPr>
                <w:rFonts w:hint="eastAsia" w:ascii="宋体" w:hAnsi="宋体"/>
                <w:color w:val="auto"/>
                <w:szCs w:val="21"/>
                <w:highlight w:val="none"/>
              </w:rPr>
              <w:t>投标文件承诺的商务条款</w:t>
            </w:r>
          </w:p>
        </w:tc>
        <w:tc>
          <w:tcPr>
            <w:tcW w:w="1274" w:type="dxa"/>
            <w:tcBorders>
              <w:top w:val="single" w:color="auto" w:sz="4" w:space="0"/>
              <w:left w:val="single" w:color="auto" w:sz="4" w:space="0"/>
              <w:bottom w:val="single" w:color="auto" w:sz="4" w:space="0"/>
              <w:right w:val="single" w:color="auto" w:sz="4" w:space="0"/>
            </w:tcBorders>
            <w:noWrap/>
            <w:vAlign w:val="center"/>
          </w:tcPr>
          <w:p w14:paraId="0CA253F0">
            <w:pPr>
              <w:spacing w:line="340" w:lineRule="exact"/>
              <w:jc w:val="center"/>
              <w:rPr>
                <w:rFonts w:ascii="宋体" w:hAnsi="宋体"/>
                <w:color w:val="auto"/>
                <w:szCs w:val="21"/>
                <w:highlight w:val="none"/>
              </w:rPr>
            </w:pPr>
            <w:r>
              <w:rPr>
                <w:rFonts w:hint="eastAsia" w:ascii="宋体" w:hAnsi="宋体"/>
                <w:color w:val="auto"/>
                <w:szCs w:val="21"/>
                <w:highlight w:val="none"/>
              </w:rPr>
              <w:t>偏离说明</w:t>
            </w:r>
          </w:p>
        </w:tc>
      </w:tr>
      <w:tr w14:paraId="7227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tcPr>
          <w:p w14:paraId="6DBBFF0E">
            <w:pPr>
              <w:spacing w:line="340" w:lineRule="exact"/>
              <w:rPr>
                <w:rFonts w:ascii="宋体" w:hAnsi="宋体"/>
                <w:color w:val="auto"/>
                <w:szCs w:val="21"/>
                <w:highlight w:val="none"/>
              </w:rPr>
            </w:pPr>
            <w:r>
              <w:rPr>
                <w:rFonts w:hint="eastAsia" w:ascii="宋体" w:hAnsi="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tcPr>
          <w:p w14:paraId="563A7AE3">
            <w:pPr>
              <w:spacing w:line="340" w:lineRule="exact"/>
              <w:rPr>
                <w:rFonts w:ascii="宋体" w:hAnsi="宋体"/>
                <w:color w:val="auto"/>
                <w:szCs w:val="21"/>
                <w:highlight w:val="none"/>
              </w:rPr>
            </w:pPr>
            <w:r>
              <w:rPr>
                <w:rFonts w:hint="eastAsia" w:ascii="宋体" w:hAnsi="宋体"/>
                <w:color w:val="auto"/>
                <w:szCs w:val="21"/>
                <w:highlight w:val="none"/>
              </w:rPr>
              <w:t>1  ……</w:t>
            </w:r>
          </w:p>
          <w:p w14:paraId="08C49E61">
            <w:pPr>
              <w:spacing w:line="340" w:lineRule="exact"/>
              <w:rPr>
                <w:rFonts w:ascii="宋体" w:hAnsi="宋体"/>
                <w:color w:val="auto"/>
                <w:szCs w:val="21"/>
                <w:highlight w:val="none"/>
              </w:rPr>
            </w:pPr>
            <w:r>
              <w:rPr>
                <w:rFonts w:hint="eastAsia" w:ascii="宋体" w:hAnsi="宋体"/>
                <w:color w:val="auto"/>
                <w:szCs w:val="21"/>
                <w:highlight w:val="none"/>
              </w:rPr>
              <w:t>2  ……</w:t>
            </w:r>
          </w:p>
          <w:p w14:paraId="3CB26FE6">
            <w:pPr>
              <w:spacing w:line="340" w:lineRule="exact"/>
              <w:rPr>
                <w:rFonts w:ascii="宋体" w:hAnsi="宋体"/>
                <w:color w:val="auto"/>
                <w:szCs w:val="21"/>
                <w:highlight w:val="none"/>
              </w:rPr>
            </w:pPr>
            <w:r>
              <w:rPr>
                <w:rFonts w:hint="eastAsia" w:ascii="宋体" w:hAnsi="宋体"/>
                <w:color w:val="auto"/>
                <w:szCs w:val="21"/>
                <w:highlight w:val="none"/>
              </w:rPr>
              <w:t>3  ……</w:t>
            </w:r>
          </w:p>
          <w:p w14:paraId="3E9EF49C">
            <w:pPr>
              <w:spacing w:line="340" w:lineRule="exact"/>
              <w:rPr>
                <w:rFonts w:ascii="宋体" w:hAnsi="宋体"/>
                <w:color w:val="auto"/>
                <w:szCs w:val="21"/>
                <w:highlight w:val="none"/>
              </w:rPr>
            </w:pPr>
            <w:r>
              <w:rPr>
                <w:rFonts w:hint="eastAsia" w:ascii="宋体" w:hAnsi="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tcPr>
          <w:p w14:paraId="46C2EE22">
            <w:pPr>
              <w:spacing w:line="340" w:lineRule="exact"/>
              <w:rPr>
                <w:rFonts w:ascii="宋体" w:hAnsi="宋体"/>
                <w:color w:val="auto"/>
                <w:szCs w:val="21"/>
                <w:highlight w:val="none"/>
              </w:rPr>
            </w:pPr>
            <w:r>
              <w:rPr>
                <w:rFonts w:hint="eastAsia" w:ascii="宋体" w:hAnsi="宋体"/>
                <w:color w:val="auto"/>
                <w:szCs w:val="21"/>
                <w:highlight w:val="none"/>
              </w:rPr>
              <w:t>1  ……</w:t>
            </w:r>
          </w:p>
          <w:p w14:paraId="3AC5A634">
            <w:pPr>
              <w:spacing w:line="340" w:lineRule="exact"/>
              <w:rPr>
                <w:rFonts w:ascii="宋体" w:hAnsi="宋体"/>
                <w:color w:val="auto"/>
                <w:szCs w:val="21"/>
                <w:highlight w:val="none"/>
              </w:rPr>
            </w:pPr>
            <w:r>
              <w:rPr>
                <w:rFonts w:hint="eastAsia" w:ascii="宋体" w:hAnsi="宋体"/>
                <w:color w:val="auto"/>
                <w:szCs w:val="21"/>
                <w:highlight w:val="none"/>
              </w:rPr>
              <w:t>2  ……</w:t>
            </w:r>
          </w:p>
          <w:p w14:paraId="7E900AD0">
            <w:pPr>
              <w:spacing w:line="340" w:lineRule="exact"/>
              <w:rPr>
                <w:rFonts w:ascii="宋体" w:hAnsi="宋体"/>
                <w:color w:val="auto"/>
                <w:szCs w:val="21"/>
                <w:highlight w:val="none"/>
              </w:rPr>
            </w:pPr>
            <w:r>
              <w:rPr>
                <w:rFonts w:hint="eastAsia" w:ascii="宋体" w:hAnsi="宋体"/>
                <w:color w:val="auto"/>
                <w:szCs w:val="21"/>
                <w:highlight w:val="none"/>
              </w:rPr>
              <w:t>3  ……</w:t>
            </w:r>
          </w:p>
          <w:p w14:paraId="14D773CD">
            <w:pPr>
              <w:spacing w:line="340" w:lineRule="exact"/>
              <w:rPr>
                <w:rFonts w:ascii="宋体" w:hAnsi="宋体"/>
                <w:color w:val="auto"/>
                <w:szCs w:val="21"/>
                <w:highlight w:val="none"/>
              </w:rPr>
            </w:pPr>
            <w:r>
              <w:rPr>
                <w:rFonts w:hint="eastAsia" w:ascii="宋体" w:hAnsi="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tcPr>
          <w:p w14:paraId="4949B590">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tc>
      </w:tr>
      <w:tr w14:paraId="7676F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tcPr>
          <w:p w14:paraId="7E3CC8CF">
            <w:pPr>
              <w:spacing w:line="340" w:lineRule="exact"/>
              <w:rPr>
                <w:rFonts w:ascii="宋体" w:hAnsi="宋体"/>
                <w:color w:val="auto"/>
                <w:szCs w:val="21"/>
                <w:highlight w:val="none"/>
              </w:rPr>
            </w:pPr>
            <w:r>
              <w:rPr>
                <w:rFonts w:hint="eastAsia" w:ascii="宋体" w:hAnsi="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tcPr>
          <w:p w14:paraId="0D982C90">
            <w:pPr>
              <w:spacing w:line="340" w:lineRule="exact"/>
              <w:rPr>
                <w:rFonts w:ascii="宋体" w:hAnsi="宋体"/>
                <w:color w:val="auto"/>
                <w:szCs w:val="21"/>
                <w:highlight w:val="none"/>
              </w:rPr>
            </w:pPr>
            <w:r>
              <w:rPr>
                <w:rFonts w:hint="eastAsia" w:ascii="宋体" w:hAnsi="宋体"/>
                <w:color w:val="auto"/>
                <w:szCs w:val="21"/>
                <w:highlight w:val="none"/>
              </w:rPr>
              <w:t>1  ……</w:t>
            </w:r>
          </w:p>
          <w:p w14:paraId="639DE828">
            <w:pPr>
              <w:spacing w:line="340" w:lineRule="exact"/>
              <w:rPr>
                <w:rFonts w:ascii="宋体" w:hAnsi="宋体"/>
                <w:color w:val="auto"/>
                <w:szCs w:val="21"/>
                <w:highlight w:val="none"/>
              </w:rPr>
            </w:pPr>
            <w:r>
              <w:rPr>
                <w:rFonts w:hint="eastAsia" w:ascii="宋体" w:hAnsi="宋体"/>
                <w:color w:val="auto"/>
                <w:szCs w:val="21"/>
                <w:highlight w:val="none"/>
              </w:rPr>
              <w:t>2  ……</w:t>
            </w:r>
          </w:p>
          <w:p w14:paraId="246E466F">
            <w:pPr>
              <w:spacing w:line="340" w:lineRule="exact"/>
              <w:rPr>
                <w:rFonts w:ascii="宋体" w:hAnsi="宋体"/>
                <w:color w:val="auto"/>
                <w:szCs w:val="21"/>
                <w:highlight w:val="none"/>
              </w:rPr>
            </w:pPr>
            <w:r>
              <w:rPr>
                <w:rFonts w:hint="eastAsia" w:ascii="宋体" w:hAnsi="宋体"/>
                <w:color w:val="auto"/>
                <w:szCs w:val="21"/>
                <w:highlight w:val="none"/>
              </w:rPr>
              <w:t>3  ……</w:t>
            </w:r>
          </w:p>
          <w:p w14:paraId="1DB44961">
            <w:pPr>
              <w:spacing w:line="340" w:lineRule="exact"/>
              <w:rPr>
                <w:rFonts w:ascii="宋体" w:hAnsi="宋体"/>
                <w:color w:val="auto"/>
                <w:szCs w:val="21"/>
                <w:highlight w:val="none"/>
              </w:rPr>
            </w:pPr>
            <w:r>
              <w:rPr>
                <w:rFonts w:hint="eastAsia" w:ascii="宋体" w:hAnsi="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tcPr>
          <w:p w14:paraId="7EA0DA88">
            <w:pPr>
              <w:spacing w:line="340" w:lineRule="exact"/>
              <w:rPr>
                <w:rFonts w:ascii="宋体" w:hAnsi="宋体"/>
                <w:color w:val="auto"/>
                <w:szCs w:val="21"/>
                <w:highlight w:val="none"/>
              </w:rPr>
            </w:pPr>
            <w:r>
              <w:rPr>
                <w:rFonts w:hint="eastAsia" w:ascii="宋体" w:hAnsi="宋体"/>
                <w:color w:val="auto"/>
                <w:szCs w:val="21"/>
                <w:highlight w:val="none"/>
              </w:rPr>
              <w:t>1  ……</w:t>
            </w:r>
          </w:p>
          <w:p w14:paraId="1286CF20">
            <w:pPr>
              <w:spacing w:line="340" w:lineRule="exact"/>
              <w:rPr>
                <w:rFonts w:ascii="宋体" w:hAnsi="宋体"/>
                <w:color w:val="auto"/>
                <w:szCs w:val="21"/>
                <w:highlight w:val="none"/>
              </w:rPr>
            </w:pPr>
            <w:r>
              <w:rPr>
                <w:rFonts w:hint="eastAsia" w:ascii="宋体" w:hAnsi="宋体"/>
                <w:color w:val="auto"/>
                <w:szCs w:val="21"/>
                <w:highlight w:val="none"/>
              </w:rPr>
              <w:t>2  ……</w:t>
            </w:r>
          </w:p>
          <w:p w14:paraId="4A047D67">
            <w:pPr>
              <w:spacing w:line="340" w:lineRule="exact"/>
              <w:rPr>
                <w:rFonts w:ascii="宋体" w:hAnsi="宋体"/>
                <w:color w:val="auto"/>
                <w:szCs w:val="21"/>
                <w:highlight w:val="none"/>
              </w:rPr>
            </w:pPr>
            <w:r>
              <w:rPr>
                <w:rFonts w:hint="eastAsia" w:ascii="宋体" w:hAnsi="宋体"/>
                <w:color w:val="auto"/>
                <w:szCs w:val="21"/>
                <w:highlight w:val="none"/>
              </w:rPr>
              <w:t>3  ……</w:t>
            </w:r>
          </w:p>
          <w:p w14:paraId="24E69704">
            <w:pPr>
              <w:spacing w:line="340" w:lineRule="exact"/>
              <w:rPr>
                <w:rFonts w:ascii="宋体" w:hAnsi="宋体"/>
                <w:color w:val="auto"/>
                <w:szCs w:val="21"/>
                <w:highlight w:val="none"/>
              </w:rPr>
            </w:pPr>
            <w:r>
              <w:rPr>
                <w:rFonts w:hint="eastAsia" w:ascii="宋体" w:hAnsi="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tcPr>
          <w:p w14:paraId="242F482C">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tc>
      </w:tr>
      <w:tr w14:paraId="71426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tcPr>
          <w:p w14:paraId="69193EAB">
            <w:pPr>
              <w:spacing w:line="340" w:lineRule="exact"/>
              <w:rPr>
                <w:rFonts w:ascii="宋体" w:hAnsi="宋体"/>
                <w:color w:val="auto"/>
                <w:szCs w:val="21"/>
                <w:highlight w:val="none"/>
              </w:rPr>
            </w:pPr>
            <w:r>
              <w:rPr>
                <w:rFonts w:hint="eastAsia" w:ascii="宋体" w:hAnsi="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tcPr>
          <w:p w14:paraId="57EB4226">
            <w:pPr>
              <w:spacing w:line="340" w:lineRule="exact"/>
              <w:rPr>
                <w:rFonts w:ascii="宋体" w:hAnsi="宋体"/>
                <w:color w:val="auto"/>
                <w:szCs w:val="21"/>
                <w:highlight w:val="none"/>
              </w:rPr>
            </w:pPr>
            <w:r>
              <w:rPr>
                <w:rFonts w:hint="eastAsia" w:ascii="宋体" w:hAnsi="宋体"/>
                <w:color w:val="auto"/>
                <w:szCs w:val="21"/>
                <w:highlight w:val="none"/>
              </w:rPr>
              <w:t>1  ……</w:t>
            </w:r>
          </w:p>
          <w:p w14:paraId="1E417F09">
            <w:pPr>
              <w:spacing w:line="340" w:lineRule="exact"/>
              <w:rPr>
                <w:rFonts w:ascii="宋体" w:hAnsi="宋体"/>
                <w:color w:val="auto"/>
                <w:szCs w:val="21"/>
                <w:highlight w:val="none"/>
              </w:rPr>
            </w:pPr>
            <w:r>
              <w:rPr>
                <w:rFonts w:hint="eastAsia" w:ascii="宋体" w:hAnsi="宋体"/>
                <w:color w:val="auto"/>
                <w:szCs w:val="21"/>
                <w:highlight w:val="none"/>
              </w:rPr>
              <w:t>2  ……</w:t>
            </w:r>
          </w:p>
          <w:p w14:paraId="5FD47A23">
            <w:pPr>
              <w:spacing w:line="340" w:lineRule="exact"/>
              <w:rPr>
                <w:rFonts w:ascii="宋体" w:hAnsi="宋体"/>
                <w:color w:val="auto"/>
                <w:szCs w:val="21"/>
                <w:highlight w:val="none"/>
              </w:rPr>
            </w:pPr>
            <w:r>
              <w:rPr>
                <w:rFonts w:hint="eastAsia" w:ascii="宋体" w:hAnsi="宋体"/>
                <w:color w:val="auto"/>
                <w:szCs w:val="21"/>
                <w:highlight w:val="none"/>
              </w:rPr>
              <w:t>3  ……</w:t>
            </w:r>
          </w:p>
          <w:p w14:paraId="5733E318">
            <w:pPr>
              <w:spacing w:line="340" w:lineRule="exact"/>
              <w:rPr>
                <w:rFonts w:ascii="宋体" w:hAnsi="宋体"/>
                <w:color w:val="auto"/>
                <w:szCs w:val="21"/>
                <w:highlight w:val="none"/>
              </w:rPr>
            </w:pPr>
            <w:r>
              <w:rPr>
                <w:rFonts w:hint="eastAsia" w:ascii="宋体" w:hAnsi="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tcPr>
          <w:p w14:paraId="45D2A2F7">
            <w:pPr>
              <w:spacing w:line="340" w:lineRule="exact"/>
              <w:rPr>
                <w:rFonts w:ascii="宋体" w:hAnsi="宋体"/>
                <w:color w:val="auto"/>
                <w:szCs w:val="21"/>
                <w:highlight w:val="none"/>
              </w:rPr>
            </w:pPr>
            <w:r>
              <w:rPr>
                <w:rFonts w:hint="eastAsia" w:ascii="宋体" w:hAnsi="宋体"/>
                <w:color w:val="auto"/>
                <w:szCs w:val="21"/>
                <w:highlight w:val="none"/>
              </w:rPr>
              <w:t>1  ……</w:t>
            </w:r>
          </w:p>
          <w:p w14:paraId="69DA810E">
            <w:pPr>
              <w:spacing w:line="340" w:lineRule="exact"/>
              <w:rPr>
                <w:rFonts w:ascii="宋体" w:hAnsi="宋体"/>
                <w:color w:val="auto"/>
                <w:szCs w:val="21"/>
                <w:highlight w:val="none"/>
              </w:rPr>
            </w:pPr>
            <w:r>
              <w:rPr>
                <w:rFonts w:hint="eastAsia" w:ascii="宋体" w:hAnsi="宋体"/>
                <w:color w:val="auto"/>
                <w:szCs w:val="21"/>
                <w:highlight w:val="none"/>
              </w:rPr>
              <w:t>2  ……</w:t>
            </w:r>
          </w:p>
          <w:p w14:paraId="480A607C">
            <w:pPr>
              <w:spacing w:line="340" w:lineRule="exact"/>
              <w:rPr>
                <w:rFonts w:ascii="宋体" w:hAnsi="宋体"/>
                <w:color w:val="auto"/>
                <w:szCs w:val="21"/>
                <w:highlight w:val="none"/>
              </w:rPr>
            </w:pPr>
            <w:r>
              <w:rPr>
                <w:rFonts w:hint="eastAsia" w:ascii="宋体" w:hAnsi="宋体"/>
                <w:color w:val="auto"/>
                <w:szCs w:val="21"/>
                <w:highlight w:val="none"/>
              </w:rPr>
              <w:t>3  ……</w:t>
            </w:r>
          </w:p>
          <w:p w14:paraId="44439E32">
            <w:pPr>
              <w:spacing w:line="340" w:lineRule="exact"/>
              <w:rPr>
                <w:rFonts w:ascii="宋体" w:hAnsi="宋体"/>
                <w:color w:val="auto"/>
                <w:szCs w:val="21"/>
                <w:highlight w:val="none"/>
              </w:rPr>
            </w:pPr>
            <w:r>
              <w:rPr>
                <w:rFonts w:hint="eastAsia" w:ascii="宋体" w:hAnsi="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tcPr>
          <w:p w14:paraId="47E7A34E">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tc>
      </w:tr>
    </w:tbl>
    <w:p w14:paraId="56332BE2">
      <w:pPr>
        <w:pStyle w:val="13"/>
        <w:spacing w:line="360" w:lineRule="auto"/>
        <w:ind w:left="-708" w:leftChars="-337"/>
        <w:rPr>
          <w:rFonts w:ascii="Times New Roman" w:hAnsi="Times New Roman"/>
          <w:color w:val="auto"/>
          <w:highlight w:val="none"/>
        </w:rPr>
      </w:pPr>
    </w:p>
    <w:p w14:paraId="7E15C8A8">
      <w:pPr>
        <w:pStyle w:val="13"/>
        <w:spacing w:line="360" w:lineRule="auto"/>
        <w:ind w:left="-708" w:leftChars="-337"/>
        <w:rPr>
          <w:rFonts w:ascii="Times New Roman" w:hAnsi="Times New Roman"/>
          <w:color w:val="auto"/>
          <w:highlight w:val="none"/>
        </w:rPr>
      </w:pPr>
      <w:r>
        <w:rPr>
          <w:rFonts w:hint="eastAsia" w:ascii="Times New Roman" w:hAnsi="Times New Roman"/>
          <w:color w:val="auto"/>
          <w:highlight w:val="none"/>
        </w:rPr>
        <w:t>注：</w:t>
      </w:r>
    </w:p>
    <w:p w14:paraId="5D9C2E09">
      <w:pPr>
        <w:pStyle w:val="13"/>
        <w:spacing w:line="360" w:lineRule="auto"/>
        <w:ind w:left="-708" w:leftChars="-337" w:firstLine="420" w:firstLineChars="200"/>
        <w:rPr>
          <w:rFonts w:ascii="Times New Roman" w:hAnsi="Times New Roman"/>
          <w:color w:val="auto"/>
          <w:highlight w:val="none"/>
        </w:rPr>
      </w:pPr>
      <w:r>
        <w:rPr>
          <w:rFonts w:hint="eastAsia" w:ascii="Times New Roman" w:hAnsi="Times New Roman"/>
          <w:color w:val="auto"/>
          <w:highlight w:val="none"/>
        </w:rPr>
        <w:t>1.表格内容均需按要求填写并盖章，不得留空，否则按投标无效处理。</w:t>
      </w:r>
    </w:p>
    <w:p w14:paraId="426BFC86">
      <w:pPr>
        <w:pStyle w:val="13"/>
        <w:spacing w:line="360" w:lineRule="auto"/>
        <w:ind w:left="-603" w:leftChars="-287" w:firstLine="315" w:firstLineChars="150"/>
        <w:rPr>
          <w:rFonts w:ascii="Times New Roman" w:hAnsi="Times New Roman"/>
          <w:color w:val="auto"/>
          <w:highlight w:val="none"/>
        </w:rPr>
      </w:pPr>
      <w:r>
        <w:rPr>
          <w:rFonts w:hint="eastAsia" w:ascii="Times New Roman" w:hAnsi="Times New Roman"/>
          <w:color w:val="auto"/>
          <w:highlight w:val="none"/>
        </w:rPr>
        <w:t>2.如果招标文件需求为小于或大于某个数值标准时，投标文件承诺不得直接复制招标文件需求，投标文件承诺内容应当写明投标货物具体参数或商务响应承诺的具体数值，否则按投标无效处理。</w:t>
      </w:r>
    </w:p>
    <w:p w14:paraId="58897CE0">
      <w:pPr>
        <w:pStyle w:val="13"/>
        <w:spacing w:line="360" w:lineRule="auto"/>
        <w:ind w:left="-708" w:leftChars="-337" w:firstLine="420" w:firstLineChars="200"/>
        <w:rPr>
          <w:rFonts w:ascii="Times New Roman" w:hAnsi="Times New Roman"/>
          <w:color w:val="auto"/>
          <w:highlight w:val="none"/>
        </w:rPr>
      </w:pPr>
      <w:r>
        <w:rPr>
          <w:rFonts w:hint="eastAsia" w:ascii="Times New Roman" w:hAnsi="Times New Roman"/>
          <w:color w:val="auto"/>
          <w:highlight w:val="none"/>
        </w:rPr>
        <w:t>3.当投标文件的商务内容低于招标文件要求时，投标人应当如实写明“负偏离”，否则视为虚假应标。</w:t>
      </w:r>
    </w:p>
    <w:p w14:paraId="1070BA31">
      <w:pPr>
        <w:pStyle w:val="13"/>
        <w:spacing w:line="360" w:lineRule="auto"/>
        <w:ind w:left="-708" w:leftChars="-337" w:firstLine="420" w:firstLineChars="200"/>
        <w:rPr>
          <w:rFonts w:ascii="Times New Roman" w:hAnsi="Times New Roman"/>
          <w:color w:val="auto"/>
          <w:highlight w:val="none"/>
        </w:rPr>
      </w:pPr>
      <w:r>
        <w:rPr>
          <w:rFonts w:hint="eastAsia" w:hAnsi="宋体" w:cs="宋体"/>
          <w:color w:val="auto"/>
          <w:szCs w:val="21"/>
          <w:highlight w:val="none"/>
        </w:rPr>
        <w:t>4.采购需求中带“▲”的条款，也要分别在本表“</w:t>
      </w:r>
      <w:r>
        <w:rPr>
          <w:rFonts w:hint="eastAsia" w:hAnsi="宋体"/>
          <w:color w:val="auto"/>
          <w:szCs w:val="21"/>
          <w:highlight w:val="none"/>
        </w:rPr>
        <w:t>投标文件的商务需求</w:t>
      </w:r>
      <w:r>
        <w:rPr>
          <w:rFonts w:hint="eastAsia" w:hAnsi="宋体" w:cs="宋体"/>
          <w:color w:val="auto"/>
          <w:szCs w:val="21"/>
          <w:highlight w:val="none"/>
        </w:rPr>
        <w:t>”、“</w:t>
      </w:r>
      <w:r>
        <w:rPr>
          <w:rFonts w:hint="eastAsia" w:hAnsi="宋体"/>
          <w:color w:val="auto"/>
          <w:szCs w:val="21"/>
          <w:highlight w:val="none"/>
        </w:rPr>
        <w:t>投标文件承诺的商务条款</w:t>
      </w:r>
      <w:r>
        <w:rPr>
          <w:rFonts w:hint="eastAsia" w:hAnsi="宋体" w:cs="宋体"/>
          <w:color w:val="auto"/>
          <w:szCs w:val="21"/>
          <w:highlight w:val="none"/>
        </w:rPr>
        <w:t>”中标记。</w:t>
      </w:r>
    </w:p>
    <w:p w14:paraId="1378D689">
      <w:pPr>
        <w:snapToGrid w:val="0"/>
        <w:spacing w:before="50" w:after="50"/>
        <w:rPr>
          <w:rFonts w:ascii="宋体" w:hAnsi="宋体"/>
          <w:color w:val="auto"/>
          <w:sz w:val="24"/>
          <w:highlight w:val="none"/>
        </w:rPr>
      </w:pPr>
    </w:p>
    <w:p w14:paraId="7716D03E">
      <w:pPr>
        <w:snapToGrid w:val="0"/>
        <w:spacing w:line="360" w:lineRule="auto"/>
        <w:ind w:firstLine="5640" w:firstLineChars="23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00C53506">
      <w:pPr>
        <w:snapToGrid w:val="0"/>
        <w:spacing w:line="360" w:lineRule="auto"/>
        <w:ind w:firstLine="5880" w:firstLineChars="24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7C8AF601">
      <w:pPr>
        <w:snapToGrid w:val="0"/>
        <w:spacing w:beforeLines="50" w:after="50"/>
        <w:ind w:firstLine="3150" w:firstLineChars="1500"/>
        <w:jc w:val="left"/>
        <w:rPr>
          <w:rFonts w:ascii="宋体" w:hAnsi="宋体"/>
          <w:color w:val="auto"/>
          <w:szCs w:val="21"/>
          <w:highlight w:val="none"/>
        </w:rPr>
        <w:sectPr>
          <w:footerReference r:id="rId14" w:type="first"/>
          <w:footerReference r:id="rId12" w:type="default"/>
          <w:footerReference r:id="rId13" w:type="even"/>
          <w:pgSz w:w="11906" w:h="16838"/>
          <w:pgMar w:top="1134" w:right="1361" w:bottom="1134" w:left="1361" w:header="851" w:footer="992" w:gutter="0"/>
          <w:pgNumType w:fmt="decimal"/>
          <w:cols w:space="720" w:num="1"/>
          <w:docGrid w:linePitch="312" w:charSpace="0"/>
        </w:sectPr>
      </w:pPr>
    </w:p>
    <w:p w14:paraId="2461DD3E">
      <w:pPr>
        <w:snapToGrid w:val="0"/>
        <w:spacing w:beforeLines="50" w:after="50"/>
        <w:ind w:firstLine="602" w:firstLineChars="200"/>
        <w:jc w:val="center"/>
        <w:rPr>
          <w:b/>
          <w:bCs/>
          <w:color w:val="auto"/>
          <w:sz w:val="30"/>
          <w:szCs w:val="30"/>
          <w:highlight w:val="none"/>
        </w:rPr>
      </w:pPr>
      <w:r>
        <w:rPr>
          <w:rFonts w:hint="eastAsia"/>
          <w:b/>
          <w:bCs/>
          <w:color w:val="auto"/>
          <w:sz w:val="30"/>
          <w:szCs w:val="30"/>
          <w:highlight w:val="none"/>
        </w:rPr>
        <w:t>五、对应第二章“采购需求”商务条款中要求必须提供的文件资料</w:t>
      </w:r>
    </w:p>
    <w:p w14:paraId="691E76D5">
      <w:pPr>
        <w:snapToGrid w:val="0"/>
        <w:spacing w:beforeLines="50" w:after="50"/>
        <w:ind w:firstLine="602" w:firstLineChars="200"/>
        <w:jc w:val="center"/>
        <w:rPr>
          <w:b/>
          <w:bCs/>
          <w:color w:val="auto"/>
          <w:sz w:val="30"/>
          <w:szCs w:val="30"/>
          <w:highlight w:val="none"/>
        </w:rPr>
      </w:pPr>
    </w:p>
    <w:p w14:paraId="62AAB450">
      <w:pPr>
        <w:snapToGrid w:val="0"/>
        <w:spacing w:beforeLines="50" w:after="50"/>
        <w:ind w:firstLine="602" w:firstLineChars="200"/>
        <w:jc w:val="center"/>
        <w:rPr>
          <w:b/>
          <w:bCs/>
          <w:color w:val="auto"/>
          <w:sz w:val="30"/>
          <w:szCs w:val="30"/>
          <w:highlight w:val="none"/>
        </w:rPr>
      </w:pPr>
    </w:p>
    <w:p w14:paraId="15639D34">
      <w:pPr>
        <w:snapToGrid w:val="0"/>
        <w:spacing w:line="360" w:lineRule="auto"/>
        <w:ind w:firstLine="5640" w:firstLineChars="23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15485486">
      <w:pPr>
        <w:snapToGrid w:val="0"/>
        <w:spacing w:beforeLines="50" w:after="50"/>
        <w:ind w:firstLine="480" w:firstLineChars="200"/>
        <w:jc w:val="center"/>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16C97658">
      <w:pPr>
        <w:snapToGrid w:val="0"/>
        <w:spacing w:beforeLines="50" w:after="50"/>
        <w:ind w:firstLine="602" w:firstLineChars="200"/>
        <w:jc w:val="center"/>
        <w:rPr>
          <w:b/>
          <w:bCs/>
          <w:color w:val="auto"/>
          <w:sz w:val="30"/>
          <w:szCs w:val="30"/>
          <w:highlight w:val="none"/>
        </w:rPr>
      </w:pPr>
    </w:p>
    <w:p w14:paraId="0147B886">
      <w:pPr>
        <w:snapToGrid w:val="0"/>
        <w:spacing w:beforeLines="50" w:after="50"/>
        <w:ind w:firstLine="602" w:firstLineChars="200"/>
        <w:jc w:val="center"/>
        <w:rPr>
          <w:b/>
          <w:bCs/>
          <w:color w:val="auto"/>
          <w:sz w:val="30"/>
          <w:szCs w:val="30"/>
          <w:highlight w:val="none"/>
        </w:rPr>
      </w:pPr>
    </w:p>
    <w:p w14:paraId="6F464616">
      <w:pPr>
        <w:snapToGrid w:val="0"/>
        <w:spacing w:beforeLines="50" w:after="50"/>
        <w:ind w:firstLine="602" w:firstLineChars="200"/>
        <w:jc w:val="center"/>
        <w:rPr>
          <w:b/>
          <w:bCs/>
          <w:color w:val="auto"/>
          <w:sz w:val="30"/>
          <w:szCs w:val="30"/>
          <w:highlight w:val="none"/>
        </w:rPr>
      </w:pPr>
    </w:p>
    <w:p w14:paraId="467DC1BB">
      <w:pPr>
        <w:snapToGrid w:val="0"/>
        <w:spacing w:beforeLines="50" w:after="50"/>
        <w:ind w:firstLine="602" w:firstLineChars="200"/>
        <w:jc w:val="center"/>
        <w:rPr>
          <w:b/>
          <w:bCs/>
          <w:color w:val="auto"/>
          <w:sz w:val="30"/>
          <w:szCs w:val="30"/>
          <w:highlight w:val="none"/>
        </w:rPr>
      </w:pPr>
    </w:p>
    <w:p w14:paraId="3DE73394">
      <w:pPr>
        <w:snapToGrid w:val="0"/>
        <w:spacing w:beforeLines="50" w:after="50"/>
        <w:ind w:firstLine="602" w:firstLineChars="200"/>
        <w:jc w:val="center"/>
        <w:rPr>
          <w:b/>
          <w:bCs/>
          <w:color w:val="auto"/>
          <w:sz w:val="30"/>
          <w:szCs w:val="30"/>
          <w:highlight w:val="none"/>
        </w:rPr>
      </w:pPr>
      <w:r>
        <w:rPr>
          <w:rFonts w:hint="eastAsia"/>
          <w:b/>
          <w:bCs/>
          <w:color w:val="auto"/>
          <w:sz w:val="30"/>
          <w:szCs w:val="30"/>
          <w:highlight w:val="none"/>
        </w:rPr>
        <w:t>六、投标人情况介绍</w:t>
      </w:r>
    </w:p>
    <w:p w14:paraId="21C10FCC">
      <w:pPr>
        <w:spacing w:line="360" w:lineRule="auto"/>
        <w:ind w:firstLine="4048" w:firstLineChars="1687"/>
        <w:rPr>
          <w:rFonts w:ascii="仿宋_GB2312" w:hAnsi="仿宋" w:eastAsia="仿宋_GB2312" w:cs="仿宋_GB2312"/>
          <w:color w:val="auto"/>
          <w:kern w:val="0"/>
          <w:sz w:val="24"/>
          <w:highlight w:val="none"/>
        </w:rPr>
      </w:pPr>
      <w:r>
        <w:rPr>
          <w:rFonts w:hint="eastAsia" w:ascii="宋体" w:hAnsi="宋体"/>
          <w:color w:val="auto"/>
          <w:sz w:val="24"/>
          <w:highlight w:val="none"/>
        </w:rPr>
        <w:t>（格式自拟）</w:t>
      </w:r>
    </w:p>
    <w:p w14:paraId="1435A947">
      <w:pPr>
        <w:snapToGrid w:val="0"/>
        <w:spacing w:line="360" w:lineRule="auto"/>
        <w:ind w:firstLine="4935" w:firstLineChars="2350"/>
        <w:rPr>
          <w:rFonts w:hAnsi="宋体"/>
          <w:color w:val="auto"/>
          <w:szCs w:val="21"/>
          <w:highlight w:val="none"/>
        </w:rPr>
      </w:pPr>
    </w:p>
    <w:p w14:paraId="7E334E91">
      <w:pPr>
        <w:snapToGrid w:val="0"/>
        <w:spacing w:line="360" w:lineRule="auto"/>
        <w:ind w:firstLine="4935" w:firstLineChars="2350"/>
        <w:rPr>
          <w:rFonts w:hAnsi="宋体"/>
          <w:color w:val="auto"/>
          <w:szCs w:val="21"/>
          <w:highlight w:val="none"/>
        </w:rPr>
      </w:pPr>
    </w:p>
    <w:p w14:paraId="5AC0DC80">
      <w:pPr>
        <w:snapToGrid w:val="0"/>
        <w:spacing w:line="360" w:lineRule="auto"/>
        <w:ind w:firstLine="4935" w:firstLineChars="2350"/>
        <w:rPr>
          <w:rFonts w:hAnsi="宋体"/>
          <w:color w:val="auto"/>
          <w:szCs w:val="21"/>
          <w:highlight w:val="none"/>
        </w:rPr>
      </w:pPr>
    </w:p>
    <w:p w14:paraId="491DA85B">
      <w:pPr>
        <w:snapToGrid w:val="0"/>
        <w:spacing w:line="360" w:lineRule="auto"/>
        <w:ind w:firstLine="4935" w:firstLineChars="2350"/>
        <w:rPr>
          <w:rFonts w:hAnsi="宋体"/>
          <w:color w:val="auto"/>
          <w:szCs w:val="21"/>
          <w:highlight w:val="none"/>
        </w:rPr>
      </w:pPr>
    </w:p>
    <w:p w14:paraId="2FA96F75">
      <w:pPr>
        <w:snapToGrid w:val="0"/>
        <w:spacing w:line="360" w:lineRule="auto"/>
        <w:ind w:firstLine="5640" w:firstLineChars="23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22FE0F9B">
      <w:pPr>
        <w:snapToGrid w:val="0"/>
        <w:spacing w:beforeLines="50" w:after="50"/>
        <w:ind w:firstLine="480" w:firstLineChars="200"/>
        <w:jc w:val="center"/>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1190C560">
      <w:pPr>
        <w:snapToGrid w:val="0"/>
        <w:spacing w:beforeLines="50" w:after="50"/>
        <w:ind w:firstLine="480" w:firstLineChars="200"/>
        <w:jc w:val="center"/>
        <w:rPr>
          <w:rFonts w:ascii="仿宋_GB2312" w:hAnsi="仿宋" w:eastAsia="仿宋_GB2312" w:cs="仿宋_GB2312"/>
          <w:color w:val="auto"/>
          <w:kern w:val="0"/>
          <w:sz w:val="24"/>
          <w:highlight w:val="none"/>
          <w:lang w:val="zh-CN"/>
        </w:rPr>
      </w:pPr>
    </w:p>
    <w:p w14:paraId="1101EDD5">
      <w:pPr>
        <w:snapToGrid w:val="0"/>
        <w:spacing w:beforeLines="50" w:after="50"/>
        <w:ind w:firstLine="480" w:firstLineChars="200"/>
        <w:jc w:val="center"/>
        <w:rPr>
          <w:rFonts w:ascii="仿宋_GB2312" w:hAnsi="仿宋" w:eastAsia="仿宋_GB2312" w:cs="仿宋_GB2312"/>
          <w:color w:val="auto"/>
          <w:kern w:val="0"/>
          <w:sz w:val="24"/>
          <w:highlight w:val="none"/>
          <w:lang w:val="zh-CN"/>
        </w:rPr>
      </w:pPr>
    </w:p>
    <w:p w14:paraId="7EED4585">
      <w:pPr>
        <w:snapToGrid w:val="0"/>
        <w:spacing w:beforeLines="50" w:after="50"/>
        <w:ind w:firstLine="602" w:firstLineChars="200"/>
        <w:jc w:val="center"/>
        <w:rPr>
          <w:b/>
          <w:bCs/>
          <w:color w:val="auto"/>
          <w:sz w:val="30"/>
          <w:szCs w:val="30"/>
          <w:highlight w:val="none"/>
        </w:rPr>
      </w:pPr>
    </w:p>
    <w:p w14:paraId="2D9F00A5">
      <w:pPr>
        <w:snapToGrid w:val="0"/>
        <w:spacing w:beforeLines="50" w:after="50"/>
        <w:ind w:firstLine="602" w:firstLineChars="200"/>
        <w:jc w:val="center"/>
        <w:rPr>
          <w:b/>
          <w:bCs/>
          <w:color w:val="auto"/>
          <w:sz w:val="30"/>
          <w:szCs w:val="30"/>
          <w:highlight w:val="none"/>
        </w:rPr>
      </w:pPr>
    </w:p>
    <w:p w14:paraId="216D504E">
      <w:pPr>
        <w:snapToGrid w:val="0"/>
        <w:spacing w:beforeLines="50" w:after="50"/>
        <w:ind w:firstLine="602" w:firstLineChars="200"/>
        <w:jc w:val="center"/>
        <w:rPr>
          <w:b/>
          <w:bCs/>
          <w:color w:val="auto"/>
          <w:sz w:val="30"/>
          <w:szCs w:val="30"/>
          <w:highlight w:val="none"/>
        </w:rPr>
      </w:pPr>
    </w:p>
    <w:p w14:paraId="41443056">
      <w:pPr>
        <w:pStyle w:val="10"/>
        <w:rPr>
          <w:b/>
          <w:bCs/>
          <w:color w:val="auto"/>
          <w:sz w:val="30"/>
          <w:szCs w:val="30"/>
          <w:highlight w:val="none"/>
        </w:rPr>
      </w:pPr>
    </w:p>
    <w:p w14:paraId="070F3600">
      <w:pPr>
        <w:rPr>
          <w:b/>
          <w:bCs/>
          <w:color w:val="auto"/>
          <w:sz w:val="30"/>
          <w:szCs w:val="30"/>
          <w:highlight w:val="none"/>
        </w:rPr>
      </w:pPr>
    </w:p>
    <w:p w14:paraId="767722D6">
      <w:pPr>
        <w:pStyle w:val="10"/>
        <w:rPr>
          <w:b/>
          <w:bCs/>
          <w:color w:val="auto"/>
          <w:sz w:val="30"/>
          <w:szCs w:val="30"/>
          <w:highlight w:val="none"/>
        </w:rPr>
      </w:pPr>
    </w:p>
    <w:p w14:paraId="5A45483E">
      <w:pPr>
        <w:rPr>
          <w:b/>
          <w:bCs/>
          <w:color w:val="auto"/>
          <w:sz w:val="30"/>
          <w:szCs w:val="30"/>
          <w:highlight w:val="none"/>
        </w:rPr>
      </w:pPr>
    </w:p>
    <w:p w14:paraId="18D594F5">
      <w:pPr>
        <w:pStyle w:val="10"/>
        <w:rPr>
          <w:b/>
          <w:bCs/>
          <w:color w:val="auto"/>
          <w:sz w:val="30"/>
          <w:szCs w:val="30"/>
          <w:highlight w:val="none"/>
        </w:rPr>
      </w:pPr>
    </w:p>
    <w:p w14:paraId="510F6D02">
      <w:pPr>
        <w:snapToGrid w:val="0"/>
        <w:spacing w:beforeLines="50" w:after="50"/>
        <w:jc w:val="both"/>
        <w:rPr>
          <w:rFonts w:hint="eastAsia"/>
          <w:b/>
          <w:bCs/>
          <w:color w:val="auto"/>
          <w:sz w:val="30"/>
          <w:szCs w:val="30"/>
          <w:highlight w:val="none"/>
        </w:rPr>
      </w:pPr>
    </w:p>
    <w:p w14:paraId="39F61BA2">
      <w:pPr>
        <w:snapToGrid w:val="0"/>
        <w:spacing w:beforeLines="50" w:after="50"/>
        <w:ind w:firstLine="602" w:firstLineChars="200"/>
        <w:jc w:val="center"/>
        <w:rPr>
          <w:b/>
          <w:bCs/>
          <w:color w:val="auto"/>
          <w:sz w:val="30"/>
          <w:szCs w:val="30"/>
          <w:highlight w:val="none"/>
        </w:rPr>
      </w:pPr>
      <w:r>
        <w:rPr>
          <w:rFonts w:hint="eastAsia"/>
          <w:b/>
          <w:bCs/>
          <w:color w:val="auto"/>
          <w:sz w:val="30"/>
          <w:szCs w:val="30"/>
          <w:highlight w:val="none"/>
        </w:rPr>
        <w:t>七、投标人类似的业绩证明文件（如有要求）</w:t>
      </w:r>
    </w:p>
    <w:p w14:paraId="1F0B2C54">
      <w:pPr>
        <w:pStyle w:val="19"/>
        <w:snapToGrid w:val="0"/>
        <w:ind w:left="480" w:hanging="480"/>
        <w:rPr>
          <w:rFonts w:ascii="宋体" w:hAnsi="宋体"/>
          <w:color w:val="auto"/>
          <w:sz w:val="24"/>
          <w:highlight w:val="none"/>
        </w:rPr>
      </w:pPr>
    </w:p>
    <w:p w14:paraId="31C0A518">
      <w:pPr>
        <w:pStyle w:val="19"/>
        <w:snapToGrid w:val="0"/>
        <w:ind w:left="480" w:hanging="480"/>
        <w:rPr>
          <w:rFonts w:ascii="宋体" w:hAnsi="宋体"/>
          <w:color w:val="auto"/>
          <w:sz w:val="24"/>
          <w:highlight w:val="none"/>
        </w:rPr>
      </w:pPr>
    </w:p>
    <w:p w14:paraId="56252FF8">
      <w:pPr>
        <w:pStyle w:val="19"/>
        <w:snapToGrid w:val="0"/>
        <w:ind w:left="480" w:hanging="480"/>
        <w:rPr>
          <w:rFonts w:ascii="宋体" w:hAnsi="宋体"/>
          <w:color w:val="auto"/>
          <w:sz w:val="24"/>
          <w:highlight w:val="none"/>
        </w:rPr>
      </w:pPr>
    </w:p>
    <w:p w14:paraId="45C1EE2A">
      <w:pPr>
        <w:autoSpaceDE w:val="0"/>
        <w:autoSpaceDN w:val="0"/>
        <w:spacing w:line="360" w:lineRule="auto"/>
        <w:ind w:firstLine="120"/>
        <w:rPr>
          <w:rFonts w:ascii="宋体" w:hAnsi="宋体"/>
          <w:color w:val="auto"/>
          <w:sz w:val="24"/>
          <w:highlight w:val="none"/>
        </w:rPr>
      </w:pPr>
      <w:r>
        <w:rPr>
          <w:rFonts w:hint="eastAsia" w:ascii="仿宋_GB2312" w:hAnsi="仿宋" w:eastAsia="仿宋_GB2312" w:cs="仿宋_GB2312"/>
          <w:b/>
          <w:color w:val="auto"/>
          <w:sz w:val="24"/>
          <w:highlight w:val="none"/>
        </w:rPr>
        <w:t>附表 :相关项目业绩一览表（投标人同类项目合同复印件、用户验收报告、用户评价意见格式自拟）</w:t>
      </w:r>
    </w:p>
    <w:tbl>
      <w:tblPr>
        <w:tblStyle w:val="28"/>
        <w:tblW w:w="96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2"/>
        <w:gridCol w:w="1335"/>
        <w:gridCol w:w="1320"/>
        <w:gridCol w:w="1380"/>
        <w:gridCol w:w="1170"/>
        <w:gridCol w:w="1119"/>
        <w:gridCol w:w="1881"/>
      </w:tblGrid>
      <w:tr w14:paraId="6F02B1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9" w:hRule="atLeast"/>
        </w:trPr>
        <w:tc>
          <w:tcPr>
            <w:tcW w:w="1492" w:type="dxa"/>
            <w:vMerge w:val="restart"/>
            <w:tcBorders>
              <w:top w:val="single" w:color="auto" w:sz="4" w:space="0"/>
              <w:left w:val="single" w:color="auto" w:sz="4" w:space="0"/>
              <w:bottom w:val="single" w:color="auto" w:sz="4" w:space="0"/>
              <w:right w:val="single" w:color="auto" w:sz="4" w:space="0"/>
            </w:tcBorders>
            <w:noWrap/>
            <w:vAlign w:val="center"/>
          </w:tcPr>
          <w:p w14:paraId="096E988D">
            <w:pPr>
              <w:snapToGrid w:val="0"/>
              <w:spacing w:line="240" w:lineRule="exact"/>
              <w:jc w:val="center"/>
              <w:rPr>
                <w:rFonts w:ascii="宋体" w:hAnsi="宋体"/>
                <w:color w:val="auto"/>
                <w:sz w:val="24"/>
                <w:highlight w:val="none"/>
              </w:rPr>
            </w:pPr>
            <w:r>
              <w:rPr>
                <w:rFonts w:hint="eastAsia" w:ascii="宋体" w:hAnsi="宋体"/>
                <w:color w:val="auto"/>
                <w:sz w:val="24"/>
                <w:highlight w:val="none"/>
              </w:rPr>
              <w:t>采购人名称</w:t>
            </w:r>
          </w:p>
        </w:tc>
        <w:tc>
          <w:tcPr>
            <w:tcW w:w="1335" w:type="dxa"/>
            <w:vMerge w:val="restart"/>
            <w:tcBorders>
              <w:top w:val="single" w:color="auto" w:sz="4" w:space="0"/>
              <w:left w:val="single" w:color="auto" w:sz="4" w:space="0"/>
              <w:bottom w:val="single" w:color="auto" w:sz="4" w:space="0"/>
              <w:right w:val="single" w:color="auto" w:sz="4" w:space="0"/>
            </w:tcBorders>
            <w:noWrap/>
            <w:vAlign w:val="center"/>
          </w:tcPr>
          <w:p w14:paraId="19922BFE">
            <w:pPr>
              <w:snapToGrid w:val="0"/>
              <w:spacing w:line="240" w:lineRule="exact"/>
              <w:jc w:val="center"/>
              <w:rPr>
                <w:rFonts w:ascii="宋体" w:hAnsi="宋体"/>
                <w:color w:val="auto"/>
                <w:sz w:val="24"/>
                <w:highlight w:val="none"/>
              </w:rPr>
            </w:pPr>
            <w:r>
              <w:rPr>
                <w:rFonts w:hint="eastAsia" w:ascii="宋体" w:hAnsi="宋体"/>
                <w:color w:val="auto"/>
                <w:sz w:val="24"/>
                <w:highlight w:val="none"/>
              </w:rPr>
              <w:t>项目名称</w:t>
            </w:r>
          </w:p>
        </w:tc>
        <w:tc>
          <w:tcPr>
            <w:tcW w:w="1320" w:type="dxa"/>
            <w:vMerge w:val="restart"/>
            <w:tcBorders>
              <w:top w:val="single" w:color="auto" w:sz="4" w:space="0"/>
              <w:left w:val="single" w:color="auto" w:sz="4" w:space="0"/>
              <w:bottom w:val="single" w:color="auto" w:sz="4" w:space="0"/>
              <w:right w:val="single" w:color="auto" w:sz="4" w:space="0"/>
            </w:tcBorders>
            <w:noWrap/>
            <w:vAlign w:val="center"/>
          </w:tcPr>
          <w:p w14:paraId="7A723FA3">
            <w:pPr>
              <w:snapToGrid w:val="0"/>
              <w:spacing w:line="240" w:lineRule="exact"/>
              <w:jc w:val="center"/>
              <w:rPr>
                <w:rFonts w:ascii="宋体" w:hAnsi="宋体"/>
                <w:color w:val="auto"/>
                <w:sz w:val="24"/>
                <w:highlight w:val="none"/>
              </w:rPr>
            </w:pPr>
            <w:r>
              <w:rPr>
                <w:rFonts w:hint="eastAsia" w:ascii="宋体" w:hAnsi="宋体"/>
                <w:color w:val="auto"/>
                <w:sz w:val="24"/>
                <w:highlight w:val="none"/>
              </w:rPr>
              <w:t>合同</w:t>
            </w:r>
          </w:p>
          <w:p w14:paraId="18E3C5C8">
            <w:pPr>
              <w:snapToGrid w:val="0"/>
              <w:spacing w:line="240" w:lineRule="exact"/>
              <w:jc w:val="center"/>
              <w:rPr>
                <w:rFonts w:ascii="宋体" w:hAnsi="宋体"/>
                <w:color w:val="auto"/>
                <w:sz w:val="24"/>
                <w:highlight w:val="none"/>
              </w:rPr>
            </w:pPr>
            <w:r>
              <w:rPr>
                <w:rFonts w:hint="eastAsia" w:ascii="宋体" w:hAnsi="宋体"/>
                <w:color w:val="auto"/>
                <w:sz w:val="24"/>
                <w:highlight w:val="none"/>
              </w:rPr>
              <w:t>金额</w:t>
            </w:r>
          </w:p>
          <w:p w14:paraId="6628BA31">
            <w:pPr>
              <w:snapToGrid w:val="0"/>
              <w:spacing w:line="240" w:lineRule="exact"/>
              <w:jc w:val="center"/>
              <w:rPr>
                <w:rFonts w:ascii="宋体" w:hAnsi="宋体"/>
                <w:color w:val="auto"/>
                <w:sz w:val="24"/>
                <w:highlight w:val="none"/>
              </w:rPr>
            </w:pPr>
            <w:r>
              <w:rPr>
                <w:rFonts w:hint="eastAsia" w:ascii="宋体" w:hAnsi="宋体"/>
                <w:color w:val="auto"/>
                <w:sz w:val="24"/>
                <w:highlight w:val="none"/>
              </w:rPr>
              <w:t>（万元）</w:t>
            </w:r>
          </w:p>
        </w:tc>
        <w:tc>
          <w:tcPr>
            <w:tcW w:w="3669" w:type="dxa"/>
            <w:gridSpan w:val="3"/>
            <w:tcBorders>
              <w:top w:val="single" w:color="auto" w:sz="4" w:space="0"/>
              <w:left w:val="single" w:color="auto" w:sz="4" w:space="0"/>
              <w:bottom w:val="single" w:color="auto" w:sz="4" w:space="0"/>
              <w:right w:val="single" w:color="auto" w:sz="4" w:space="0"/>
            </w:tcBorders>
            <w:noWrap/>
            <w:vAlign w:val="center"/>
          </w:tcPr>
          <w:p w14:paraId="5DB071BD">
            <w:pPr>
              <w:snapToGrid w:val="0"/>
              <w:spacing w:line="240" w:lineRule="exact"/>
              <w:jc w:val="center"/>
              <w:rPr>
                <w:rFonts w:ascii="宋体" w:hAnsi="宋体"/>
                <w:color w:val="auto"/>
                <w:sz w:val="24"/>
                <w:highlight w:val="none"/>
              </w:rPr>
            </w:pPr>
            <w:r>
              <w:rPr>
                <w:rFonts w:hint="eastAsia" w:ascii="宋体" w:hAnsi="宋体"/>
                <w:color w:val="auto"/>
                <w:sz w:val="24"/>
                <w:highlight w:val="none"/>
              </w:rPr>
              <w:t>附件在投标文件中页码</w:t>
            </w:r>
          </w:p>
        </w:tc>
        <w:tc>
          <w:tcPr>
            <w:tcW w:w="1881" w:type="dxa"/>
            <w:vMerge w:val="restart"/>
            <w:tcBorders>
              <w:top w:val="single" w:color="auto" w:sz="4" w:space="0"/>
              <w:left w:val="single" w:color="auto" w:sz="4" w:space="0"/>
              <w:bottom w:val="single" w:color="auto" w:sz="4" w:space="0"/>
              <w:right w:val="single" w:color="auto" w:sz="4" w:space="0"/>
            </w:tcBorders>
            <w:noWrap/>
            <w:vAlign w:val="center"/>
          </w:tcPr>
          <w:p w14:paraId="082F3658">
            <w:pPr>
              <w:snapToGrid w:val="0"/>
              <w:spacing w:line="240" w:lineRule="exact"/>
              <w:jc w:val="center"/>
              <w:rPr>
                <w:rFonts w:ascii="宋体" w:hAnsi="宋体"/>
                <w:color w:val="auto"/>
                <w:sz w:val="24"/>
                <w:highlight w:val="none"/>
              </w:rPr>
            </w:pPr>
            <w:r>
              <w:rPr>
                <w:rFonts w:hint="eastAsia" w:ascii="宋体" w:hAnsi="宋体"/>
                <w:color w:val="auto"/>
                <w:sz w:val="24"/>
                <w:highlight w:val="none"/>
              </w:rPr>
              <w:t>采购人联系人及</w:t>
            </w:r>
          </w:p>
          <w:p w14:paraId="2B286358">
            <w:pPr>
              <w:snapToGrid w:val="0"/>
              <w:spacing w:line="240" w:lineRule="exact"/>
              <w:jc w:val="center"/>
              <w:rPr>
                <w:rFonts w:ascii="宋体" w:hAnsi="宋体"/>
                <w:color w:val="auto"/>
                <w:sz w:val="24"/>
                <w:highlight w:val="none"/>
              </w:rPr>
            </w:pPr>
            <w:r>
              <w:rPr>
                <w:rFonts w:hint="eastAsia" w:ascii="宋体" w:hAnsi="宋体"/>
                <w:color w:val="auto"/>
                <w:sz w:val="24"/>
                <w:highlight w:val="none"/>
              </w:rPr>
              <w:t>联系电话</w:t>
            </w:r>
          </w:p>
        </w:tc>
      </w:tr>
      <w:tr w14:paraId="28A84D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7" w:hRule="atLeast"/>
        </w:trPr>
        <w:tc>
          <w:tcPr>
            <w:tcW w:w="1492" w:type="dxa"/>
            <w:vMerge w:val="continue"/>
            <w:tcBorders>
              <w:top w:val="single" w:color="auto" w:sz="4" w:space="0"/>
              <w:left w:val="single" w:color="auto" w:sz="4" w:space="0"/>
              <w:bottom w:val="single" w:color="auto" w:sz="4" w:space="0"/>
              <w:right w:val="single" w:color="auto" w:sz="4" w:space="0"/>
            </w:tcBorders>
            <w:noWrap/>
            <w:vAlign w:val="center"/>
          </w:tcPr>
          <w:p w14:paraId="22D468CF">
            <w:pPr>
              <w:jc w:val="left"/>
              <w:rPr>
                <w:rFonts w:ascii="宋体" w:hAnsi="宋体"/>
                <w:color w:val="auto"/>
                <w:sz w:val="24"/>
                <w:highlight w:val="none"/>
              </w:rPr>
            </w:pPr>
          </w:p>
        </w:tc>
        <w:tc>
          <w:tcPr>
            <w:tcW w:w="1335" w:type="dxa"/>
            <w:vMerge w:val="continue"/>
            <w:tcBorders>
              <w:top w:val="single" w:color="auto" w:sz="4" w:space="0"/>
              <w:left w:val="single" w:color="auto" w:sz="4" w:space="0"/>
              <w:bottom w:val="single" w:color="auto" w:sz="4" w:space="0"/>
              <w:right w:val="single" w:color="auto" w:sz="4" w:space="0"/>
            </w:tcBorders>
            <w:noWrap/>
            <w:vAlign w:val="center"/>
          </w:tcPr>
          <w:p w14:paraId="75299B80">
            <w:pPr>
              <w:jc w:val="left"/>
              <w:rPr>
                <w:rFonts w:ascii="宋体" w:hAnsi="宋体"/>
                <w:color w:val="auto"/>
                <w:sz w:val="24"/>
                <w:highlight w:val="none"/>
              </w:rPr>
            </w:pPr>
          </w:p>
        </w:tc>
        <w:tc>
          <w:tcPr>
            <w:tcW w:w="1320" w:type="dxa"/>
            <w:vMerge w:val="continue"/>
            <w:tcBorders>
              <w:top w:val="single" w:color="auto" w:sz="4" w:space="0"/>
              <w:left w:val="single" w:color="auto" w:sz="4" w:space="0"/>
              <w:bottom w:val="single" w:color="auto" w:sz="4" w:space="0"/>
              <w:right w:val="single" w:color="auto" w:sz="4" w:space="0"/>
            </w:tcBorders>
            <w:noWrap/>
            <w:vAlign w:val="center"/>
          </w:tcPr>
          <w:p w14:paraId="3DDB9C5A">
            <w:pPr>
              <w:jc w:val="left"/>
              <w:rPr>
                <w:rFonts w:ascii="宋体" w:hAnsi="宋体"/>
                <w:color w:val="auto"/>
                <w:sz w:val="24"/>
                <w:highlight w:val="none"/>
              </w:rPr>
            </w:pPr>
          </w:p>
        </w:tc>
        <w:tc>
          <w:tcPr>
            <w:tcW w:w="1380" w:type="dxa"/>
            <w:tcBorders>
              <w:top w:val="single" w:color="auto" w:sz="4" w:space="0"/>
              <w:left w:val="single" w:color="auto" w:sz="4" w:space="0"/>
              <w:bottom w:val="single" w:color="auto" w:sz="4" w:space="0"/>
              <w:right w:val="single" w:color="auto" w:sz="4" w:space="0"/>
            </w:tcBorders>
            <w:noWrap/>
            <w:vAlign w:val="center"/>
          </w:tcPr>
          <w:p w14:paraId="5EFE6699">
            <w:pPr>
              <w:snapToGrid w:val="0"/>
              <w:spacing w:line="240" w:lineRule="exact"/>
              <w:jc w:val="center"/>
              <w:rPr>
                <w:rFonts w:ascii="宋体" w:hAnsi="宋体"/>
                <w:color w:val="auto"/>
                <w:sz w:val="24"/>
                <w:highlight w:val="none"/>
              </w:rPr>
            </w:pPr>
            <w:r>
              <w:rPr>
                <w:rFonts w:hint="eastAsia" w:ascii="宋体" w:hAnsi="宋体"/>
                <w:color w:val="auto"/>
                <w:sz w:val="24"/>
                <w:highlight w:val="none"/>
              </w:rPr>
              <w:t>合同</w:t>
            </w:r>
          </w:p>
        </w:tc>
        <w:tc>
          <w:tcPr>
            <w:tcW w:w="1170" w:type="dxa"/>
            <w:tcBorders>
              <w:top w:val="single" w:color="auto" w:sz="4" w:space="0"/>
              <w:left w:val="single" w:color="auto" w:sz="4" w:space="0"/>
              <w:bottom w:val="single" w:color="auto" w:sz="4" w:space="0"/>
              <w:right w:val="single" w:color="auto" w:sz="4" w:space="0"/>
            </w:tcBorders>
            <w:noWrap/>
            <w:vAlign w:val="center"/>
          </w:tcPr>
          <w:p w14:paraId="13EEEC62">
            <w:pPr>
              <w:snapToGrid w:val="0"/>
              <w:spacing w:line="240" w:lineRule="exact"/>
              <w:jc w:val="center"/>
              <w:rPr>
                <w:rFonts w:ascii="宋体" w:hAnsi="宋体"/>
                <w:color w:val="auto"/>
                <w:sz w:val="24"/>
                <w:highlight w:val="none"/>
              </w:rPr>
            </w:pPr>
            <w:r>
              <w:rPr>
                <w:rFonts w:hint="eastAsia" w:ascii="宋体" w:hAnsi="宋体"/>
                <w:color w:val="auto"/>
                <w:sz w:val="24"/>
                <w:highlight w:val="none"/>
              </w:rPr>
              <w:t>验收报告</w:t>
            </w:r>
          </w:p>
        </w:tc>
        <w:tc>
          <w:tcPr>
            <w:tcW w:w="1119" w:type="dxa"/>
            <w:tcBorders>
              <w:top w:val="single" w:color="auto" w:sz="4" w:space="0"/>
              <w:left w:val="single" w:color="auto" w:sz="4" w:space="0"/>
              <w:bottom w:val="single" w:color="auto" w:sz="4" w:space="0"/>
              <w:right w:val="single" w:color="auto" w:sz="4" w:space="0"/>
            </w:tcBorders>
            <w:noWrap/>
            <w:vAlign w:val="center"/>
          </w:tcPr>
          <w:p w14:paraId="1FDD0FB0">
            <w:pPr>
              <w:snapToGrid w:val="0"/>
              <w:spacing w:line="240" w:lineRule="exact"/>
              <w:jc w:val="center"/>
              <w:rPr>
                <w:rFonts w:ascii="宋体" w:hAnsi="宋体"/>
                <w:color w:val="auto"/>
                <w:sz w:val="24"/>
                <w:highlight w:val="none"/>
              </w:rPr>
            </w:pPr>
            <w:r>
              <w:rPr>
                <w:rFonts w:hint="eastAsia" w:ascii="宋体" w:hAnsi="宋体"/>
                <w:color w:val="auto"/>
                <w:sz w:val="24"/>
                <w:highlight w:val="none"/>
              </w:rPr>
              <w:t>用户评价</w:t>
            </w:r>
          </w:p>
        </w:tc>
        <w:tc>
          <w:tcPr>
            <w:tcW w:w="1881" w:type="dxa"/>
            <w:vMerge w:val="continue"/>
            <w:tcBorders>
              <w:top w:val="single" w:color="auto" w:sz="4" w:space="0"/>
              <w:left w:val="single" w:color="auto" w:sz="4" w:space="0"/>
              <w:bottom w:val="single" w:color="auto" w:sz="4" w:space="0"/>
              <w:right w:val="single" w:color="auto" w:sz="4" w:space="0"/>
            </w:tcBorders>
            <w:noWrap/>
            <w:vAlign w:val="center"/>
          </w:tcPr>
          <w:p w14:paraId="423F1E3C">
            <w:pPr>
              <w:jc w:val="left"/>
              <w:rPr>
                <w:rFonts w:ascii="宋体" w:hAnsi="宋体"/>
                <w:color w:val="auto"/>
                <w:sz w:val="24"/>
                <w:highlight w:val="none"/>
              </w:rPr>
            </w:pPr>
          </w:p>
        </w:tc>
      </w:tr>
      <w:tr w14:paraId="6FF734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1492" w:type="dxa"/>
            <w:tcBorders>
              <w:top w:val="single" w:color="auto" w:sz="4" w:space="0"/>
              <w:left w:val="single" w:color="auto" w:sz="4" w:space="0"/>
              <w:bottom w:val="single" w:color="auto" w:sz="4" w:space="0"/>
              <w:right w:val="single" w:color="auto" w:sz="4" w:space="0"/>
            </w:tcBorders>
            <w:noWrap/>
          </w:tcPr>
          <w:p w14:paraId="2C048B6F">
            <w:pPr>
              <w:snapToGrid w:val="0"/>
              <w:spacing w:line="240" w:lineRule="exact"/>
              <w:jc w:val="left"/>
              <w:rPr>
                <w:rFonts w:ascii="宋体" w:hAnsi="宋体"/>
                <w:color w:val="auto"/>
                <w:sz w:val="24"/>
                <w:highlight w:val="none"/>
              </w:rPr>
            </w:pPr>
          </w:p>
        </w:tc>
        <w:tc>
          <w:tcPr>
            <w:tcW w:w="1335" w:type="dxa"/>
            <w:tcBorders>
              <w:top w:val="single" w:color="auto" w:sz="4" w:space="0"/>
              <w:left w:val="single" w:color="auto" w:sz="4" w:space="0"/>
              <w:bottom w:val="single" w:color="auto" w:sz="4" w:space="0"/>
              <w:right w:val="single" w:color="auto" w:sz="4" w:space="0"/>
            </w:tcBorders>
            <w:noWrap/>
          </w:tcPr>
          <w:p w14:paraId="4DF50418">
            <w:pPr>
              <w:snapToGrid w:val="0"/>
              <w:spacing w:line="240" w:lineRule="exact"/>
              <w:jc w:val="left"/>
              <w:rPr>
                <w:rFonts w:ascii="宋体" w:hAnsi="宋体"/>
                <w:color w:val="auto"/>
                <w:sz w:val="24"/>
                <w:highlight w:val="none"/>
              </w:rPr>
            </w:pPr>
          </w:p>
        </w:tc>
        <w:tc>
          <w:tcPr>
            <w:tcW w:w="1320" w:type="dxa"/>
            <w:tcBorders>
              <w:top w:val="single" w:color="auto" w:sz="4" w:space="0"/>
              <w:left w:val="single" w:color="auto" w:sz="4" w:space="0"/>
              <w:bottom w:val="single" w:color="auto" w:sz="4" w:space="0"/>
              <w:right w:val="single" w:color="auto" w:sz="4" w:space="0"/>
            </w:tcBorders>
            <w:noWrap/>
          </w:tcPr>
          <w:p w14:paraId="0AB50598">
            <w:pPr>
              <w:snapToGrid w:val="0"/>
              <w:spacing w:line="240" w:lineRule="exact"/>
              <w:jc w:val="left"/>
              <w:rPr>
                <w:rFonts w:ascii="宋体" w:hAnsi="宋体"/>
                <w:color w:val="auto"/>
                <w:sz w:val="24"/>
                <w:highlight w:val="none"/>
              </w:rPr>
            </w:pPr>
          </w:p>
        </w:tc>
        <w:tc>
          <w:tcPr>
            <w:tcW w:w="1380" w:type="dxa"/>
            <w:tcBorders>
              <w:top w:val="single" w:color="auto" w:sz="4" w:space="0"/>
              <w:left w:val="single" w:color="auto" w:sz="4" w:space="0"/>
              <w:bottom w:val="single" w:color="auto" w:sz="4" w:space="0"/>
              <w:right w:val="single" w:color="auto" w:sz="4" w:space="0"/>
            </w:tcBorders>
            <w:noWrap/>
          </w:tcPr>
          <w:p w14:paraId="7396749D">
            <w:pPr>
              <w:snapToGrid w:val="0"/>
              <w:spacing w:line="240" w:lineRule="exact"/>
              <w:jc w:val="left"/>
              <w:rPr>
                <w:rFonts w:ascii="宋体" w:hAnsi="宋体"/>
                <w:color w:val="auto"/>
                <w:sz w:val="24"/>
                <w:highlight w:val="none"/>
              </w:rPr>
            </w:pPr>
          </w:p>
        </w:tc>
        <w:tc>
          <w:tcPr>
            <w:tcW w:w="1170" w:type="dxa"/>
            <w:tcBorders>
              <w:top w:val="single" w:color="auto" w:sz="4" w:space="0"/>
              <w:left w:val="single" w:color="auto" w:sz="4" w:space="0"/>
              <w:bottom w:val="single" w:color="auto" w:sz="4" w:space="0"/>
              <w:right w:val="single" w:color="auto" w:sz="4" w:space="0"/>
            </w:tcBorders>
            <w:noWrap/>
          </w:tcPr>
          <w:p w14:paraId="4DA72A97">
            <w:pPr>
              <w:snapToGrid w:val="0"/>
              <w:spacing w:line="240" w:lineRule="exact"/>
              <w:jc w:val="left"/>
              <w:rPr>
                <w:rFonts w:ascii="宋体" w:hAnsi="宋体"/>
                <w:color w:val="auto"/>
                <w:sz w:val="24"/>
                <w:highlight w:val="none"/>
              </w:rPr>
            </w:pPr>
          </w:p>
        </w:tc>
        <w:tc>
          <w:tcPr>
            <w:tcW w:w="1119" w:type="dxa"/>
            <w:tcBorders>
              <w:top w:val="single" w:color="auto" w:sz="4" w:space="0"/>
              <w:left w:val="single" w:color="auto" w:sz="4" w:space="0"/>
              <w:bottom w:val="single" w:color="auto" w:sz="4" w:space="0"/>
              <w:right w:val="single" w:color="auto" w:sz="4" w:space="0"/>
            </w:tcBorders>
            <w:noWrap/>
          </w:tcPr>
          <w:p w14:paraId="5C4B8D02">
            <w:pPr>
              <w:snapToGrid w:val="0"/>
              <w:spacing w:line="240" w:lineRule="exact"/>
              <w:jc w:val="left"/>
              <w:rPr>
                <w:rFonts w:ascii="宋体" w:hAnsi="宋体"/>
                <w:color w:val="auto"/>
                <w:sz w:val="24"/>
                <w:highlight w:val="none"/>
              </w:rPr>
            </w:pPr>
          </w:p>
        </w:tc>
        <w:tc>
          <w:tcPr>
            <w:tcW w:w="1881" w:type="dxa"/>
            <w:tcBorders>
              <w:top w:val="single" w:color="auto" w:sz="4" w:space="0"/>
              <w:left w:val="single" w:color="auto" w:sz="4" w:space="0"/>
              <w:bottom w:val="single" w:color="auto" w:sz="4" w:space="0"/>
              <w:right w:val="single" w:color="auto" w:sz="4" w:space="0"/>
            </w:tcBorders>
            <w:noWrap/>
          </w:tcPr>
          <w:p w14:paraId="0AD69839">
            <w:pPr>
              <w:snapToGrid w:val="0"/>
              <w:spacing w:line="240" w:lineRule="exact"/>
              <w:jc w:val="left"/>
              <w:rPr>
                <w:rFonts w:ascii="宋体" w:hAnsi="宋体"/>
                <w:color w:val="auto"/>
                <w:sz w:val="24"/>
                <w:highlight w:val="none"/>
              </w:rPr>
            </w:pPr>
          </w:p>
        </w:tc>
      </w:tr>
      <w:tr w14:paraId="10E538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492" w:type="dxa"/>
            <w:tcBorders>
              <w:top w:val="single" w:color="auto" w:sz="4" w:space="0"/>
              <w:left w:val="single" w:color="auto" w:sz="4" w:space="0"/>
              <w:bottom w:val="single" w:color="auto" w:sz="4" w:space="0"/>
              <w:right w:val="single" w:color="auto" w:sz="4" w:space="0"/>
            </w:tcBorders>
            <w:noWrap/>
          </w:tcPr>
          <w:p w14:paraId="7F88614F">
            <w:pPr>
              <w:snapToGrid w:val="0"/>
              <w:spacing w:before="50" w:afterLines="50" w:line="400" w:lineRule="exact"/>
              <w:jc w:val="left"/>
              <w:rPr>
                <w:rFonts w:ascii="宋体" w:hAnsi="宋体"/>
                <w:color w:val="auto"/>
                <w:sz w:val="24"/>
                <w:highlight w:val="none"/>
              </w:rPr>
            </w:pPr>
          </w:p>
        </w:tc>
        <w:tc>
          <w:tcPr>
            <w:tcW w:w="1335" w:type="dxa"/>
            <w:tcBorders>
              <w:top w:val="single" w:color="auto" w:sz="4" w:space="0"/>
              <w:left w:val="single" w:color="auto" w:sz="4" w:space="0"/>
              <w:bottom w:val="single" w:color="auto" w:sz="4" w:space="0"/>
              <w:right w:val="single" w:color="auto" w:sz="4" w:space="0"/>
            </w:tcBorders>
            <w:noWrap/>
          </w:tcPr>
          <w:p w14:paraId="7458CFE7">
            <w:pPr>
              <w:snapToGrid w:val="0"/>
              <w:spacing w:before="50" w:afterLines="50" w:line="400" w:lineRule="exact"/>
              <w:jc w:val="left"/>
              <w:rPr>
                <w:rFonts w:ascii="宋体" w:hAnsi="宋体"/>
                <w:color w:val="auto"/>
                <w:sz w:val="24"/>
                <w:highlight w:val="none"/>
              </w:rPr>
            </w:pPr>
          </w:p>
        </w:tc>
        <w:tc>
          <w:tcPr>
            <w:tcW w:w="1320" w:type="dxa"/>
            <w:tcBorders>
              <w:top w:val="single" w:color="auto" w:sz="4" w:space="0"/>
              <w:left w:val="single" w:color="auto" w:sz="4" w:space="0"/>
              <w:bottom w:val="single" w:color="auto" w:sz="4" w:space="0"/>
              <w:right w:val="single" w:color="auto" w:sz="4" w:space="0"/>
            </w:tcBorders>
            <w:noWrap/>
          </w:tcPr>
          <w:p w14:paraId="6AB20ACA">
            <w:pPr>
              <w:snapToGrid w:val="0"/>
              <w:spacing w:before="50" w:afterLines="50" w:line="400" w:lineRule="exact"/>
              <w:jc w:val="left"/>
              <w:rPr>
                <w:rFonts w:ascii="宋体" w:hAnsi="宋体"/>
                <w:color w:val="auto"/>
                <w:sz w:val="24"/>
                <w:highlight w:val="none"/>
              </w:rPr>
            </w:pPr>
          </w:p>
        </w:tc>
        <w:tc>
          <w:tcPr>
            <w:tcW w:w="1380" w:type="dxa"/>
            <w:tcBorders>
              <w:top w:val="single" w:color="auto" w:sz="4" w:space="0"/>
              <w:left w:val="single" w:color="auto" w:sz="4" w:space="0"/>
              <w:bottom w:val="single" w:color="auto" w:sz="4" w:space="0"/>
              <w:right w:val="single" w:color="auto" w:sz="4" w:space="0"/>
            </w:tcBorders>
            <w:noWrap/>
          </w:tcPr>
          <w:p w14:paraId="0A15A41A">
            <w:pPr>
              <w:snapToGrid w:val="0"/>
              <w:spacing w:before="50" w:afterLines="50" w:line="400" w:lineRule="exact"/>
              <w:jc w:val="left"/>
              <w:rPr>
                <w:rFonts w:ascii="宋体" w:hAnsi="宋体"/>
                <w:color w:val="auto"/>
                <w:sz w:val="24"/>
                <w:highlight w:val="none"/>
              </w:rPr>
            </w:pPr>
          </w:p>
        </w:tc>
        <w:tc>
          <w:tcPr>
            <w:tcW w:w="1170" w:type="dxa"/>
            <w:tcBorders>
              <w:top w:val="single" w:color="auto" w:sz="4" w:space="0"/>
              <w:left w:val="single" w:color="auto" w:sz="4" w:space="0"/>
              <w:bottom w:val="single" w:color="auto" w:sz="4" w:space="0"/>
              <w:right w:val="single" w:color="auto" w:sz="4" w:space="0"/>
            </w:tcBorders>
            <w:noWrap/>
          </w:tcPr>
          <w:p w14:paraId="6CEA007A">
            <w:pPr>
              <w:snapToGrid w:val="0"/>
              <w:spacing w:before="50" w:afterLines="50" w:line="400" w:lineRule="exact"/>
              <w:jc w:val="left"/>
              <w:rPr>
                <w:rFonts w:ascii="宋体" w:hAnsi="宋体"/>
                <w:color w:val="auto"/>
                <w:sz w:val="24"/>
                <w:highlight w:val="none"/>
              </w:rPr>
            </w:pPr>
          </w:p>
        </w:tc>
        <w:tc>
          <w:tcPr>
            <w:tcW w:w="1119" w:type="dxa"/>
            <w:tcBorders>
              <w:top w:val="single" w:color="auto" w:sz="4" w:space="0"/>
              <w:left w:val="single" w:color="auto" w:sz="4" w:space="0"/>
              <w:bottom w:val="single" w:color="auto" w:sz="4" w:space="0"/>
              <w:right w:val="single" w:color="auto" w:sz="4" w:space="0"/>
            </w:tcBorders>
            <w:noWrap/>
          </w:tcPr>
          <w:p w14:paraId="506D5734">
            <w:pPr>
              <w:snapToGrid w:val="0"/>
              <w:spacing w:before="50" w:afterLines="50" w:line="400" w:lineRule="exact"/>
              <w:jc w:val="left"/>
              <w:rPr>
                <w:rFonts w:ascii="宋体" w:hAnsi="宋体"/>
                <w:color w:val="auto"/>
                <w:sz w:val="24"/>
                <w:highlight w:val="none"/>
              </w:rPr>
            </w:pPr>
          </w:p>
        </w:tc>
        <w:tc>
          <w:tcPr>
            <w:tcW w:w="1881" w:type="dxa"/>
            <w:tcBorders>
              <w:top w:val="single" w:color="auto" w:sz="4" w:space="0"/>
              <w:left w:val="single" w:color="auto" w:sz="4" w:space="0"/>
              <w:bottom w:val="single" w:color="auto" w:sz="4" w:space="0"/>
              <w:right w:val="single" w:color="auto" w:sz="4" w:space="0"/>
            </w:tcBorders>
            <w:noWrap/>
          </w:tcPr>
          <w:p w14:paraId="7CB34000">
            <w:pPr>
              <w:snapToGrid w:val="0"/>
              <w:spacing w:before="50" w:afterLines="50" w:line="400" w:lineRule="exact"/>
              <w:jc w:val="left"/>
              <w:rPr>
                <w:rFonts w:ascii="宋体" w:hAnsi="宋体"/>
                <w:color w:val="auto"/>
                <w:sz w:val="24"/>
                <w:highlight w:val="none"/>
              </w:rPr>
            </w:pPr>
          </w:p>
        </w:tc>
      </w:tr>
      <w:tr w14:paraId="4282B8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492" w:type="dxa"/>
            <w:tcBorders>
              <w:top w:val="single" w:color="auto" w:sz="4" w:space="0"/>
              <w:left w:val="single" w:color="auto" w:sz="4" w:space="0"/>
              <w:bottom w:val="single" w:color="auto" w:sz="4" w:space="0"/>
              <w:right w:val="single" w:color="auto" w:sz="4" w:space="0"/>
            </w:tcBorders>
            <w:noWrap/>
          </w:tcPr>
          <w:p w14:paraId="7C314154">
            <w:pPr>
              <w:snapToGrid w:val="0"/>
              <w:spacing w:before="50" w:afterLines="50" w:line="400" w:lineRule="exact"/>
              <w:jc w:val="left"/>
              <w:rPr>
                <w:rFonts w:ascii="宋体" w:hAnsi="宋体"/>
                <w:color w:val="auto"/>
                <w:sz w:val="24"/>
                <w:highlight w:val="none"/>
              </w:rPr>
            </w:pPr>
          </w:p>
        </w:tc>
        <w:tc>
          <w:tcPr>
            <w:tcW w:w="1335" w:type="dxa"/>
            <w:tcBorders>
              <w:top w:val="single" w:color="auto" w:sz="4" w:space="0"/>
              <w:left w:val="single" w:color="auto" w:sz="4" w:space="0"/>
              <w:bottom w:val="single" w:color="auto" w:sz="4" w:space="0"/>
              <w:right w:val="single" w:color="auto" w:sz="4" w:space="0"/>
            </w:tcBorders>
            <w:noWrap/>
          </w:tcPr>
          <w:p w14:paraId="742DBF49">
            <w:pPr>
              <w:snapToGrid w:val="0"/>
              <w:spacing w:before="50" w:afterLines="50" w:line="400" w:lineRule="exact"/>
              <w:jc w:val="left"/>
              <w:rPr>
                <w:rFonts w:ascii="宋体" w:hAnsi="宋体"/>
                <w:color w:val="auto"/>
                <w:sz w:val="24"/>
                <w:highlight w:val="none"/>
              </w:rPr>
            </w:pPr>
          </w:p>
        </w:tc>
        <w:tc>
          <w:tcPr>
            <w:tcW w:w="1320" w:type="dxa"/>
            <w:tcBorders>
              <w:top w:val="single" w:color="auto" w:sz="4" w:space="0"/>
              <w:left w:val="single" w:color="auto" w:sz="4" w:space="0"/>
              <w:bottom w:val="single" w:color="auto" w:sz="4" w:space="0"/>
              <w:right w:val="single" w:color="auto" w:sz="4" w:space="0"/>
            </w:tcBorders>
            <w:noWrap/>
          </w:tcPr>
          <w:p w14:paraId="4E9C03F4">
            <w:pPr>
              <w:snapToGrid w:val="0"/>
              <w:spacing w:before="50" w:afterLines="50" w:line="400" w:lineRule="exact"/>
              <w:jc w:val="left"/>
              <w:rPr>
                <w:rFonts w:ascii="宋体" w:hAnsi="宋体"/>
                <w:color w:val="auto"/>
                <w:sz w:val="24"/>
                <w:highlight w:val="none"/>
              </w:rPr>
            </w:pPr>
          </w:p>
        </w:tc>
        <w:tc>
          <w:tcPr>
            <w:tcW w:w="1380" w:type="dxa"/>
            <w:tcBorders>
              <w:top w:val="single" w:color="auto" w:sz="4" w:space="0"/>
              <w:left w:val="single" w:color="auto" w:sz="4" w:space="0"/>
              <w:bottom w:val="single" w:color="auto" w:sz="4" w:space="0"/>
              <w:right w:val="single" w:color="auto" w:sz="4" w:space="0"/>
            </w:tcBorders>
            <w:noWrap/>
          </w:tcPr>
          <w:p w14:paraId="381C440A">
            <w:pPr>
              <w:snapToGrid w:val="0"/>
              <w:spacing w:before="50" w:afterLines="50" w:line="400" w:lineRule="exact"/>
              <w:jc w:val="left"/>
              <w:rPr>
                <w:rFonts w:ascii="宋体" w:hAnsi="宋体"/>
                <w:color w:val="auto"/>
                <w:sz w:val="24"/>
                <w:highlight w:val="none"/>
              </w:rPr>
            </w:pPr>
          </w:p>
        </w:tc>
        <w:tc>
          <w:tcPr>
            <w:tcW w:w="1170" w:type="dxa"/>
            <w:tcBorders>
              <w:top w:val="single" w:color="auto" w:sz="4" w:space="0"/>
              <w:left w:val="single" w:color="auto" w:sz="4" w:space="0"/>
              <w:bottom w:val="single" w:color="auto" w:sz="4" w:space="0"/>
              <w:right w:val="single" w:color="auto" w:sz="4" w:space="0"/>
            </w:tcBorders>
            <w:noWrap/>
          </w:tcPr>
          <w:p w14:paraId="0C7B68C7">
            <w:pPr>
              <w:snapToGrid w:val="0"/>
              <w:spacing w:before="50" w:afterLines="50" w:line="400" w:lineRule="exact"/>
              <w:jc w:val="left"/>
              <w:rPr>
                <w:rFonts w:ascii="宋体" w:hAnsi="宋体"/>
                <w:color w:val="auto"/>
                <w:sz w:val="24"/>
                <w:highlight w:val="none"/>
              </w:rPr>
            </w:pPr>
          </w:p>
        </w:tc>
        <w:tc>
          <w:tcPr>
            <w:tcW w:w="1119" w:type="dxa"/>
            <w:tcBorders>
              <w:top w:val="single" w:color="auto" w:sz="4" w:space="0"/>
              <w:left w:val="single" w:color="auto" w:sz="4" w:space="0"/>
              <w:bottom w:val="single" w:color="auto" w:sz="4" w:space="0"/>
              <w:right w:val="single" w:color="auto" w:sz="4" w:space="0"/>
            </w:tcBorders>
            <w:noWrap/>
          </w:tcPr>
          <w:p w14:paraId="4F70C9E8">
            <w:pPr>
              <w:snapToGrid w:val="0"/>
              <w:spacing w:before="50" w:afterLines="50" w:line="400" w:lineRule="exact"/>
              <w:jc w:val="left"/>
              <w:rPr>
                <w:rFonts w:ascii="宋体" w:hAnsi="宋体"/>
                <w:color w:val="auto"/>
                <w:sz w:val="24"/>
                <w:highlight w:val="none"/>
              </w:rPr>
            </w:pPr>
          </w:p>
        </w:tc>
        <w:tc>
          <w:tcPr>
            <w:tcW w:w="1881" w:type="dxa"/>
            <w:tcBorders>
              <w:top w:val="single" w:color="auto" w:sz="4" w:space="0"/>
              <w:left w:val="single" w:color="auto" w:sz="4" w:space="0"/>
              <w:bottom w:val="single" w:color="auto" w:sz="4" w:space="0"/>
              <w:right w:val="single" w:color="auto" w:sz="4" w:space="0"/>
            </w:tcBorders>
            <w:noWrap/>
          </w:tcPr>
          <w:p w14:paraId="51F9AE89">
            <w:pPr>
              <w:snapToGrid w:val="0"/>
              <w:spacing w:before="50" w:afterLines="50" w:line="400" w:lineRule="exact"/>
              <w:jc w:val="left"/>
              <w:rPr>
                <w:rFonts w:ascii="宋体" w:hAnsi="宋体"/>
                <w:color w:val="auto"/>
                <w:sz w:val="24"/>
                <w:highlight w:val="none"/>
              </w:rPr>
            </w:pPr>
          </w:p>
        </w:tc>
      </w:tr>
      <w:tr w14:paraId="5D1BC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492" w:type="dxa"/>
            <w:tcBorders>
              <w:top w:val="single" w:color="auto" w:sz="4" w:space="0"/>
              <w:left w:val="single" w:color="auto" w:sz="4" w:space="0"/>
              <w:bottom w:val="single" w:color="auto" w:sz="4" w:space="0"/>
              <w:right w:val="single" w:color="auto" w:sz="4" w:space="0"/>
            </w:tcBorders>
            <w:noWrap/>
          </w:tcPr>
          <w:p w14:paraId="5B31CB72">
            <w:pPr>
              <w:snapToGrid w:val="0"/>
              <w:spacing w:before="50" w:afterLines="50" w:line="400" w:lineRule="exact"/>
              <w:jc w:val="left"/>
              <w:rPr>
                <w:rFonts w:ascii="宋体" w:hAnsi="宋体"/>
                <w:color w:val="auto"/>
                <w:sz w:val="24"/>
                <w:highlight w:val="none"/>
              </w:rPr>
            </w:pPr>
          </w:p>
        </w:tc>
        <w:tc>
          <w:tcPr>
            <w:tcW w:w="1335" w:type="dxa"/>
            <w:tcBorders>
              <w:top w:val="single" w:color="auto" w:sz="4" w:space="0"/>
              <w:left w:val="single" w:color="auto" w:sz="4" w:space="0"/>
              <w:bottom w:val="single" w:color="auto" w:sz="4" w:space="0"/>
              <w:right w:val="single" w:color="auto" w:sz="4" w:space="0"/>
            </w:tcBorders>
            <w:noWrap/>
          </w:tcPr>
          <w:p w14:paraId="117D423C">
            <w:pPr>
              <w:snapToGrid w:val="0"/>
              <w:spacing w:before="50" w:afterLines="50" w:line="400" w:lineRule="exact"/>
              <w:jc w:val="left"/>
              <w:rPr>
                <w:rFonts w:ascii="宋体" w:hAnsi="宋体"/>
                <w:color w:val="auto"/>
                <w:sz w:val="24"/>
                <w:highlight w:val="none"/>
              </w:rPr>
            </w:pPr>
          </w:p>
        </w:tc>
        <w:tc>
          <w:tcPr>
            <w:tcW w:w="1320" w:type="dxa"/>
            <w:tcBorders>
              <w:top w:val="single" w:color="auto" w:sz="4" w:space="0"/>
              <w:left w:val="single" w:color="auto" w:sz="4" w:space="0"/>
              <w:bottom w:val="single" w:color="auto" w:sz="4" w:space="0"/>
              <w:right w:val="single" w:color="auto" w:sz="4" w:space="0"/>
            </w:tcBorders>
            <w:noWrap/>
          </w:tcPr>
          <w:p w14:paraId="62CEBAC5">
            <w:pPr>
              <w:snapToGrid w:val="0"/>
              <w:spacing w:before="50" w:afterLines="50" w:line="400" w:lineRule="exact"/>
              <w:jc w:val="left"/>
              <w:rPr>
                <w:rFonts w:ascii="宋体" w:hAnsi="宋体"/>
                <w:color w:val="auto"/>
                <w:sz w:val="24"/>
                <w:highlight w:val="none"/>
              </w:rPr>
            </w:pPr>
          </w:p>
        </w:tc>
        <w:tc>
          <w:tcPr>
            <w:tcW w:w="1380" w:type="dxa"/>
            <w:tcBorders>
              <w:top w:val="single" w:color="auto" w:sz="4" w:space="0"/>
              <w:left w:val="single" w:color="auto" w:sz="4" w:space="0"/>
              <w:bottom w:val="single" w:color="auto" w:sz="4" w:space="0"/>
              <w:right w:val="single" w:color="auto" w:sz="4" w:space="0"/>
            </w:tcBorders>
            <w:noWrap/>
          </w:tcPr>
          <w:p w14:paraId="015CB98A">
            <w:pPr>
              <w:snapToGrid w:val="0"/>
              <w:spacing w:before="50" w:afterLines="50" w:line="400" w:lineRule="exact"/>
              <w:jc w:val="left"/>
              <w:rPr>
                <w:rFonts w:ascii="宋体" w:hAnsi="宋体"/>
                <w:color w:val="auto"/>
                <w:sz w:val="24"/>
                <w:highlight w:val="none"/>
              </w:rPr>
            </w:pPr>
          </w:p>
        </w:tc>
        <w:tc>
          <w:tcPr>
            <w:tcW w:w="1170" w:type="dxa"/>
            <w:tcBorders>
              <w:top w:val="single" w:color="auto" w:sz="4" w:space="0"/>
              <w:left w:val="single" w:color="auto" w:sz="4" w:space="0"/>
              <w:bottom w:val="single" w:color="auto" w:sz="4" w:space="0"/>
              <w:right w:val="single" w:color="auto" w:sz="4" w:space="0"/>
            </w:tcBorders>
            <w:noWrap/>
          </w:tcPr>
          <w:p w14:paraId="6B9E12AF">
            <w:pPr>
              <w:snapToGrid w:val="0"/>
              <w:spacing w:before="50" w:afterLines="50" w:line="400" w:lineRule="exact"/>
              <w:jc w:val="left"/>
              <w:rPr>
                <w:rFonts w:ascii="宋体" w:hAnsi="宋体"/>
                <w:color w:val="auto"/>
                <w:sz w:val="24"/>
                <w:highlight w:val="none"/>
              </w:rPr>
            </w:pPr>
          </w:p>
        </w:tc>
        <w:tc>
          <w:tcPr>
            <w:tcW w:w="1119" w:type="dxa"/>
            <w:tcBorders>
              <w:top w:val="single" w:color="auto" w:sz="4" w:space="0"/>
              <w:left w:val="single" w:color="auto" w:sz="4" w:space="0"/>
              <w:bottom w:val="single" w:color="auto" w:sz="4" w:space="0"/>
              <w:right w:val="single" w:color="auto" w:sz="4" w:space="0"/>
            </w:tcBorders>
            <w:noWrap/>
          </w:tcPr>
          <w:p w14:paraId="10A18BAC">
            <w:pPr>
              <w:snapToGrid w:val="0"/>
              <w:spacing w:before="50" w:afterLines="50" w:line="400" w:lineRule="exact"/>
              <w:jc w:val="left"/>
              <w:rPr>
                <w:rFonts w:ascii="宋体" w:hAnsi="宋体"/>
                <w:color w:val="auto"/>
                <w:sz w:val="24"/>
                <w:highlight w:val="none"/>
              </w:rPr>
            </w:pPr>
          </w:p>
        </w:tc>
        <w:tc>
          <w:tcPr>
            <w:tcW w:w="1881" w:type="dxa"/>
            <w:tcBorders>
              <w:top w:val="single" w:color="auto" w:sz="4" w:space="0"/>
              <w:left w:val="single" w:color="auto" w:sz="4" w:space="0"/>
              <w:bottom w:val="single" w:color="auto" w:sz="4" w:space="0"/>
              <w:right w:val="single" w:color="auto" w:sz="4" w:space="0"/>
            </w:tcBorders>
            <w:noWrap/>
          </w:tcPr>
          <w:p w14:paraId="63DE1577">
            <w:pPr>
              <w:snapToGrid w:val="0"/>
              <w:spacing w:before="50" w:afterLines="50" w:line="400" w:lineRule="exact"/>
              <w:jc w:val="left"/>
              <w:rPr>
                <w:rFonts w:ascii="宋体" w:hAnsi="宋体"/>
                <w:color w:val="auto"/>
                <w:sz w:val="24"/>
                <w:highlight w:val="none"/>
              </w:rPr>
            </w:pPr>
          </w:p>
        </w:tc>
      </w:tr>
      <w:tr w14:paraId="4C0C87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492" w:type="dxa"/>
            <w:tcBorders>
              <w:top w:val="single" w:color="auto" w:sz="4" w:space="0"/>
              <w:left w:val="single" w:color="auto" w:sz="4" w:space="0"/>
              <w:bottom w:val="single" w:color="auto" w:sz="4" w:space="0"/>
              <w:right w:val="single" w:color="auto" w:sz="4" w:space="0"/>
            </w:tcBorders>
            <w:noWrap/>
          </w:tcPr>
          <w:p w14:paraId="7737A7B5">
            <w:pPr>
              <w:snapToGrid w:val="0"/>
              <w:spacing w:before="50" w:afterLines="50" w:line="400" w:lineRule="exact"/>
              <w:jc w:val="left"/>
              <w:rPr>
                <w:rFonts w:ascii="宋体" w:hAnsi="宋体"/>
                <w:color w:val="auto"/>
                <w:sz w:val="24"/>
                <w:highlight w:val="none"/>
              </w:rPr>
            </w:pPr>
          </w:p>
        </w:tc>
        <w:tc>
          <w:tcPr>
            <w:tcW w:w="1335" w:type="dxa"/>
            <w:tcBorders>
              <w:top w:val="single" w:color="auto" w:sz="4" w:space="0"/>
              <w:left w:val="single" w:color="auto" w:sz="4" w:space="0"/>
              <w:bottom w:val="single" w:color="auto" w:sz="4" w:space="0"/>
              <w:right w:val="single" w:color="auto" w:sz="4" w:space="0"/>
            </w:tcBorders>
            <w:noWrap/>
          </w:tcPr>
          <w:p w14:paraId="30F219E8">
            <w:pPr>
              <w:snapToGrid w:val="0"/>
              <w:spacing w:before="50" w:afterLines="50" w:line="400" w:lineRule="exact"/>
              <w:jc w:val="left"/>
              <w:rPr>
                <w:rFonts w:ascii="宋体" w:hAnsi="宋体"/>
                <w:color w:val="auto"/>
                <w:sz w:val="24"/>
                <w:highlight w:val="none"/>
              </w:rPr>
            </w:pPr>
          </w:p>
        </w:tc>
        <w:tc>
          <w:tcPr>
            <w:tcW w:w="1320" w:type="dxa"/>
            <w:tcBorders>
              <w:top w:val="single" w:color="auto" w:sz="4" w:space="0"/>
              <w:left w:val="single" w:color="auto" w:sz="4" w:space="0"/>
              <w:bottom w:val="single" w:color="auto" w:sz="4" w:space="0"/>
              <w:right w:val="single" w:color="auto" w:sz="4" w:space="0"/>
            </w:tcBorders>
            <w:noWrap/>
          </w:tcPr>
          <w:p w14:paraId="52B17567">
            <w:pPr>
              <w:snapToGrid w:val="0"/>
              <w:spacing w:before="50" w:afterLines="50" w:line="400" w:lineRule="exact"/>
              <w:jc w:val="left"/>
              <w:rPr>
                <w:rFonts w:ascii="宋体" w:hAnsi="宋体"/>
                <w:color w:val="auto"/>
                <w:sz w:val="24"/>
                <w:highlight w:val="none"/>
              </w:rPr>
            </w:pPr>
          </w:p>
        </w:tc>
        <w:tc>
          <w:tcPr>
            <w:tcW w:w="1380" w:type="dxa"/>
            <w:tcBorders>
              <w:top w:val="single" w:color="auto" w:sz="4" w:space="0"/>
              <w:left w:val="single" w:color="auto" w:sz="4" w:space="0"/>
              <w:bottom w:val="single" w:color="auto" w:sz="4" w:space="0"/>
              <w:right w:val="single" w:color="auto" w:sz="4" w:space="0"/>
            </w:tcBorders>
            <w:noWrap/>
          </w:tcPr>
          <w:p w14:paraId="4AF5E244">
            <w:pPr>
              <w:snapToGrid w:val="0"/>
              <w:spacing w:before="50" w:afterLines="50" w:line="400" w:lineRule="exact"/>
              <w:jc w:val="left"/>
              <w:rPr>
                <w:rFonts w:ascii="宋体" w:hAnsi="宋体"/>
                <w:color w:val="auto"/>
                <w:sz w:val="24"/>
                <w:highlight w:val="none"/>
              </w:rPr>
            </w:pPr>
          </w:p>
        </w:tc>
        <w:tc>
          <w:tcPr>
            <w:tcW w:w="1170" w:type="dxa"/>
            <w:tcBorders>
              <w:top w:val="single" w:color="auto" w:sz="4" w:space="0"/>
              <w:left w:val="single" w:color="auto" w:sz="4" w:space="0"/>
              <w:bottom w:val="single" w:color="auto" w:sz="4" w:space="0"/>
              <w:right w:val="single" w:color="auto" w:sz="4" w:space="0"/>
            </w:tcBorders>
            <w:noWrap/>
          </w:tcPr>
          <w:p w14:paraId="0BABC02F">
            <w:pPr>
              <w:snapToGrid w:val="0"/>
              <w:spacing w:before="50" w:afterLines="50" w:line="400" w:lineRule="exact"/>
              <w:jc w:val="left"/>
              <w:rPr>
                <w:rFonts w:ascii="宋体" w:hAnsi="宋体"/>
                <w:color w:val="auto"/>
                <w:sz w:val="24"/>
                <w:highlight w:val="none"/>
              </w:rPr>
            </w:pPr>
          </w:p>
        </w:tc>
        <w:tc>
          <w:tcPr>
            <w:tcW w:w="1119" w:type="dxa"/>
            <w:tcBorders>
              <w:top w:val="single" w:color="auto" w:sz="4" w:space="0"/>
              <w:left w:val="single" w:color="auto" w:sz="4" w:space="0"/>
              <w:bottom w:val="single" w:color="auto" w:sz="4" w:space="0"/>
              <w:right w:val="single" w:color="auto" w:sz="4" w:space="0"/>
            </w:tcBorders>
            <w:noWrap/>
          </w:tcPr>
          <w:p w14:paraId="16D34DFD">
            <w:pPr>
              <w:snapToGrid w:val="0"/>
              <w:spacing w:before="50" w:afterLines="50" w:line="400" w:lineRule="exact"/>
              <w:jc w:val="left"/>
              <w:rPr>
                <w:rFonts w:ascii="宋体" w:hAnsi="宋体"/>
                <w:color w:val="auto"/>
                <w:sz w:val="24"/>
                <w:highlight w:val="none"/>
              </w:rPr>
            </w:pPr>
          </w:p>
        </w:tc>
        <w:tc>
          <w:tcPr>
            <w:tcW w:w="1881" w:type="dxa"/>
            <w:tcBorders>
              <w:top w:val="single" w:color="auto" w:sz="4" w:space="0"/>
              <w:left w:val="single" w:color="auto" w:sz="4" w:space="0"/>
              <w:bottom w:val="single" w:color="auto" w:sz="4" w:space="0"/>
              <w:right w:val="single" w:color="auto" w:sz="4" w:space="0"/>
            </w:tcBorders>
            <w:noWrap/>
          </w:tcPr>
          <w:p w14:paraId="010203D8">
            <w:pPr>
              <w:snapToGrid w:val="0"/>
              <w:spacing w:before="50" w:afterLines="50" w:line="400" w:lineRule="exact"/>
              <w:jc w:val="left"/>
              <w:rPr>
                <w:rFonts w:ascii="宋体" w:hAnsi="宋体"/>
                <w:color w:val="auto"/>
                <w:sz w:val="24"/>
                <w:highlight w:val="none"/>
              </w:rPr>
            </w:pPr>
          </w:p>
        </w:tc>
      </w:tr>
    </w:tbl>
    <w:p w14:paraId="24484F5B">
      <w:pPr>
        <w:pStyle w:val="13"/>
        <w:spacing w:line="360" w:lineRule="auto"/>
        <w:ind w:left="72"/>
        <w:rPr>
          <w:rFonts w:ascii="Times New Roman" w:hAnsi="Times New Roman"/>
          <w:color w:val="auto"/>
          <w:highlight w:val="none"/>
        </w:rPr>
      </w:pPr>
      <w:r>
        <w:rPr>
          <w:rFonts w:hint="eastAsia" w:ascii="Times New Roman" w:hAnsi="Times New Roman"/>
          <w:color w:val="auto"/>
          <w:highlight w:val="none"/>
        </w:rPr>
        <w:t>注：投标人可按上述的格式自行编制，须随表提供合同或中标（成交）通知书复印件加盖公章作为证明材料。</w:t>
      </w:r>
    </w:p>
    <w:p w14:paraId="0AD55A2E">
      <w:pPr>
        <w:snapToGrid w:val="0"/>
        <w:spacing w:line="360" w:lineRule="auto"/>
        <w:ind w:firstLine="4935" w:firstLineChars="2350"/>
        <w:rPr>
          <w:rFonts w:hAnsi="宋体"/>
          <w:color w:val="auto"/>
          <w:szCs w:val="21"/>
          <w:highlight w:val="none"/>
        </w:rPr>
      </w:pPr>
    </w:p>
    <w:p w14:paraId="10B054C0">
      <w:pPr>
        <w:snapToGrid w:val="0"/>
        <w:spacing w:line="360" w:lineRule="auto"/>
        <w:ind w:firstLine="4935" w:firstLineChars="2350"/>
        <w:rPr>
          <w:rFonts w:hAnsi="宋体"/>
          <w:color w:val="auto"/>
          <w:szCs w:val="21"/>
          <w:highlight w:val="none"/>
        </w:rPr>
      </w:pPr>
    </w:p>
    <w:p w14:paraId="2576766F">
      <w:pPr>
        <w:snapToGrid w:val="0"/>
        <w:spacing w:line="360" w:lineRule="auto"/>
        <w:ind w:left="5267" w:leftChars="2508" w:firstLine="6240" w:firstLineChars="26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07B10830">
      <w:pPr>
        <w:snapToGrid w:val="0"/>
        <w:spacing w:line="360" w:lineRule="auto"/>
        <w:ind w:firstLine="5280" w:firstLineChars="2200"/>
        <w:rPr>
          <w:rFonts w:ascii="仿宋_GB2312" w:hAnsi="仿宋" w:eastAsia="仿宋_GB2312" w:cs="仿宋_GB2312"/>
          <w:color w:val="auto"/>
          <w:kern w:val="0"/>
          <w:sz w:val="24"/>
          <w:highlight w:val="none"/>
          <w:lang w:val="zh-CN"/>
        </w:rPr>
        <w:sectPr>
          <w:headerReference r:id="rId15" w:type="default"/>
          <w:footerReference r:id="rId16" w:type="default"/>
          <w:pgSz w:w="11906" w:h="16838"/>
          <w:pgMar w:top="1134" w:right="1134" w:bottom="1134" w:left="1134" w:header="720" w:footer="720" w:gutter="0"/>
          <w:pgNumType w:fmt="decimal"/>
          <w:cols w:space="720" w:num="1"/>
          <w:docGrid w:type="lines" w:linePitch="331" w:charSpace="0"/>
        </w:sectPr>
      </w:pPr>
      <w:r>
        <w:rPr>
          <w:rFonts w:hint="eastAsia" w:ascii="仿宋_GB2312" w:hAnsi="仿宋" w:eastAsia="仿宋_GB2312" w:cs="仿宋_GB2312"/>
          <w:color w:val="auto"/>
          <w:kern w:val="0"/>
          <w:sz w:val="24"/>
          <w:highlight w:val="none"/>
          <w:lang w:val="en-US" w:eastAsia="zh-CN"/>
        </w:rPr>
        <w:t>日</w:t>
      </w:r>
      <w:r>
        <w:rPr>
          <w:rFonts w:hint="eastAsia" w:ascii="仿宋_GB2312" w:hAnsi="仿宋" w:eastAsia="仿宋_GB2312" w:cs="仿宋_GB2312"/>
          <w:color w:val="auto"/>
          <w:kern w:val="0"/>
          <w:sz w:val="24"/>
          <w:highlight w:val="none"/>
          <w:lang w:val="zh-CN"/>
        </w:rPr>
        <w:t>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12A28703">
      <w:pPr>
        <w:snapToGrid w:val="0"/>
        <w:spacing w:beforeLines="50" w:after="50"/>
        <w:ind w:firstLine="602" w:firstLineChars="200"/>
        <w:jc w:val="center"/>
        <w:rPr>
          <w:b/>
          <w:bCs/>
          <w:color w:val="auto"/>
          <w:sz w:val="30"/>
          <w:szCs w:val="30"/>
          <w:highlight w:val="none"/>
        </w:rPr>
      </w:pPr>
      <w:bookmarkStart w:id="172" w:name="_Toc19686839"/>
      <w:bookmarkStart w:id="173" w:name="_Toc89076013"/>
      <w:r>
        <w:rPr>
          <w:rFonts w:hint="eastAsia"/>
          <w:b/>
          <w:bCs/>
          <w:color w:val="auto"/>
          <w:sz w:val="30"/>
          <w:szCs w:val="30"/>
          <w:highlight w:val="none"/>
        </w:rPr>
        <w:t>八、除招标文件规定必须提供以外，投标人认为需要提供的其他证明材料。（投标人根据“第二章 采购需求”及“第四章 评标方法及评标标准”提供有关证明材料）</w:t>
      </w:r>
    </w:p>
    <w:p w14:paraId="4934266C">
      <w:pPr>
        <w:snapToGrid w:val="0"/>
        <w:spacing w:beforeLines="50" w:after="50"/>
        <w:ind w:firstLine="602" w:firstLineChars="200"/>
        <w:jc w:val="center"/>
        <w:rPr>
          <w:b/>
          <w:bCs/>
          <w:color w:val="auto"/>
          <w:sz w:val="30"/>
          <w:szCs w:val="30"/>
          <w:highlight w:val="none"/>
        </w:rPr>
        <w:sectPr>
          <w:footerReference r:id="rId20" w:type="first"/>
          <w:headerReference r:id="rId17" w:type="default"/>
          <w:footerReference r:id="rId18" w:type="default"/>
          <w:footerReference r:id="rId19" w:type="even"/>
          <w:pgSz w:w="11906" w:h="16838"/>
          <w:pgMar w:top="1134" w:right="1134" w:bottom="1134" w:left="1134" w:header="720" w:footer="720" w:gutter="0"/>
          <w:pgNumType w:fmt="decimal"/>
          <w:cols w:space="720" w:num="1"/>
          <w:docGrid w:type="lines" w:linePitch="331" w:charSpace="0"/>
        </w:sectPr>
      </w:pPr>
    </w:p>
    <w:p w14:paraId="1F3430F4">
      <w:pPr>
        <w:pStyle w:val="13"/>
        <w:jc w:val="center"/>
        <w:outlineLvl w:val="1"/>
        <w:rPr>
          <w:rFonts w:hAnsi="宋体"/>
          <w:b/>
          <w:bCs/>
          <w:color w:val="auto"/>
          <w:sz w:val="28"/>
          <w:szCs w:val="28"/>
          <w:highlight w:val="none"/>
        </w:rPr>
      </w:pPr>
      <w:r>
        <w:rPr>
          <w:rFonts w:hint="eastAsia" w:hAnsi="宋体"/>
          <w:b/>
          <w:bCs/>
          <w:color w:val="auto"/>
          <w:sz w:val="28"/>
          <w:szCs w:val="28"/>
          <w:highlight w:val="none"/>
        </w:rPr>
        <w:t>第四节 技术文件格式</w:t>
      </w:r>
      <w:bookmarkEnd w:id="172"/>
      <w:bookmarkEnd w:id="173"/>
    </w:p>
    <w:p w14:paraId="69E3A626">
      <w:pPr>
        <w:snapToGrid w:val="0"/>
        <w:spacing w:beforeLines="50" w:after="50"/>
        <w:rPr>
          <w:rFonts w:ascii="宋体" w:hAnsi="宋体"/>
          <w:bCs/>
          <w:color w:val="auto"/>
          <w:sz w:val="32"/>
          <w:szCs w:val="20"/>
          <w:highlight w:val="none"/>
        </w:rPr>
      </w:pPr>
      <w:r>
        <w:rPr>
          <w:rFonts w:hint="eastAsia" w:ascii="宋体" w:hAnsi="宋体"/>
          <w:bCs/>
          <w:color w:val="auto"/>
          <w:highlight w:val="none"/>
        </w:rPr>
        <w:t>电子投标文件</w:t>
      </w:r>
    </w:p>
    <w:p w14:paraId="4022DF3A">
      <w:pPr>
        <w:snapToGrid w:val="0"/>
        <w:spacing w:beforeLines="50" w:after="50"/>
        <w:rPr>
          <w:rFonts w:ascii="宋体" w:hAnsi="宋体"/>
          <w:color w:val="auto"/>
          <w:sz w:val="24"/>
          <w:szCs w:val="20"/>
          <w:highlight w:val="none"/>
        </w:rPr>
      </w:pPr>
    </w:p>
    <w:p w14:paraId="276744C7">
      <w:pPr>
        <w:snapToGrid w:val="0"/>
        <w:spacing w:beforeLines="50" w:after="50"/>
        <w:jc w:val="center"/>
        <w:rPr>
          <w:rFonts w:ascii="宋体" w:hAnsi="宋体"/>
          <w:b/>
          <w:bCs/>
          <w:color w:val="auto"/>
          <w:sz w:val="32"/>
          <w:szCs w:val="32"/>
          <w:highlight w:val="none"/>
        </w:rPr>
      </w:pPr>
    </w:p>
    <w:p w14:paraId="6D47DD0D">
      <w:pPr>
        <w:snapToGrid w:val="0"/>
        <w:spacing w:beforeLines="50" w:after="50"/>
        <w:jc w:val="center"/>
        <w:rPr>
          <w:rFonts w:ascii="宋体" w:hAnsi="宋体"/>
          <w:b/>
          <w:bCs/>
          <w:color w:val="auto"/>
          <w:sz w:val="32"/>
          <w:szCs w:val="32"/>
          <w:highlight w:val="none"/>
        </w:rPr>
      </w:pPr>
    </w:p>
    <w:p w14:paraId="1F88C1D9">
      <w:pPr>
        <w:snapToGrid w:val="0"/>
        <w:spacing w:beforeLines="50" w:after="50"/>
        <w:jc w:val="center"/>
        <w:rPr>
          <w:rFonts w:ascii="宋体" w:hAnsi="宋体"/>
          <w:b/>
          <w:bCs/>
          <w:color w:val="auto"/>
          <w:sz w:val="32"/>
          <w:szCs w:val="32"/>
          <w:highlight w:val="none"/>
        </w:rPr>
      </w:pPr>
    </w:p>
    <w:p w14:paraId="4B016B74">
      <w:pPr>
        <w:snapToGrid w:val="0"/>
        <w:spacing w:beforeLines="50" w:after="50"/>
        <w:jc w:val="center"/>
        <w:rPr>
          <w:rFonts w:ascii="宋体" w:hAnsi="宋体"/>
          <w:b/>
          <w:bCs/>
          <w:color w:val="auto"/>
          <w:sz w:val="32"/>
          <w:szCs w:val="32"/>
          <w:highlight w:val="none"/>
        </w:rPr>
      </w:pPr>
      <w:r>
        <w:rPr>
          <w:rFonts w:hint="eastAsia" w:ascii="宋体" w:hAnsi="宋体"/>
          <w:b/>
          <w:bCs/>
          <w:color w:val="auto"/>
          <w:sz w:val="32"/>
          <w:szCs w:val="32"/>
          <w:highlight w:val="none"/>
        </w:rPr>
        <w:t>技术文件（封面）</w:t>
      </w:r>
    </w:p>
    <w:p w14:paraId="61D9AB68">
      <w:pPr>
        <w:snapToGrid w:val="0"/>
        <w:spacing w:beforeLines="50" w:after="50"/>
        <w:rPr>
          <w:rFonts w:ascii="宋体" w:hAnsi="宋体"/>
          <w:bCs/>
          <w:color w:val="auto"/>
          <w:sz w:val="24"/>
          <w:szCs w:val="20"/>
          <w:highlight w:val="none"/>
        </w:rPr>
      </w:pPr>
    </w:p>
    <w:p w14:paraId="486CB699">
      <w:pPr>
        <w:snapToGrid w:val="0"/>
        <w:spacing w:beforeLines="50" w:after="50" w:line="400" w:lineRule="exact"/>
        <w:ind w:firstLine="360" w:firstLineChars="150"/>
        <w:rPr>
          <w:rFonts w:ascii="宋体" w:hAnsi="宋体"/>
          <w:bCs/>
          <w:color w:val="auto"/>
          <w:sz w:val="24"/>
          <w:szCs w:val="20"/>
          <w:highlight w:val="none"/>
        </w:rPr>
      </w:pPr>
      <w:r>
        <w:rPr>
          <w:rFonts w:hint="eastAsia" w:ascii="宋体" w:hAnsi="宋体"/>
          <w:bCs/>
          <w:color w:val="auto"/>
          <w:sz w:val="24"/>
          <w:highlight w:val="none"/>
        </w:rPr>
        <w:t>项目名称：</w:t>
      </w:r>
    </w:p>
    <w:p w14:paraId="2140B862">
      <w:pPr>
        <w:snapToGrid w:val="0"/>
        <w:spacing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14:paraId="2A807AF4">
      <w:pPr>
        <w:snapToGrid w:val="0"/>
        <w:spacing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w:t>
      </w:r>
      <w:r>
        <w:rPr>
          <w:rFonts w:hint="eastAsia" w:ascii="宋体" w:hAnsi="宋体" w:eastAsia="宋体" w:cs="宋体"/>
          <w:bCs/>
          <w:color w:val="auto"/>
          <w:sz w:val="24"/>
          <w:highlight w:val="none"/>
        </w:rPr>
        <w:t>（如有则填写，无分标时填写“无”或者留空）</w:t>
      </w:r>
      <w:r>
        <w:rPr>
          <w:rFonts w:hint="eastAsia" w:ascii="宋体" w:hAnsi="宋体"/>
          <w:bCs/>
          <w:color w:val="auto"/>
          <w:sz w:val="24"/>
          <w:highlight w:val="none"/>
        </w:rPr>
        <w:t>：</w:t>
      </w:r>
    </w:p>
    <w:p w14:paraId="38E75E63">
      <w:pPr>
        <w:snapToGrid w:val="0"/>
        <w:spacing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14:paraId="20D285FC">
      <w:pPr>
        <w:snapToGrid w:val="0"/>
        <w:spacing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投标人地址：</w:t>
      </w:r>
    </w:p>
    <w:p w14:paraId="327AC6FD">
      <w:pPr>
        <w:snapToGrid w:val="0"/>
        <w:spacing w:beforeLines="50" w:after="50"/>
        <w:ind w:firstLine="645"/>
        <w:jc w:val="center"/>
        <w:rPr>
          <w:rFonts w:ascii="宋体" w:hAnsi="宋体"/>
          <w:color w:val="auto"/>
          <w:sz w:val="24"/>
          <w:highlight w:val="none"/>
        </w:rPr>
      </w:pPr>
      <w:r>
        <w:rPr>
          <w:rFonts w:hint="eastAsia" w:ascii="宋体" w:hAnsi="宋体"/>
          <w:color w:val="auto"/>
          <w:sz w:val="24"/>
          <w:highlight w:val="none"/>
        </w:rPr>
        <w:t xml:space="preserve">                        年    月    日</w:t>
      </w:r>
    </w:p>
    <w:p w14:paraId="62D31097">
      <w:pPr>
        <w:snapToGrid w:val="0"/>
        <w:spacing w:beforeLines="50" w:after="50"/>
        <w:ind w:firstLine="645"/>
        <w:jc w:val="center"/>
        <w:rPr>
          <w:rFonts w:ascii="宋体" w:hAnsi="宋体"/>
          <w:color w:val="auto"/>
          <w:sz w:val="24"/>
          <w:szCs w:val="20"/>
          <w:highlight w:val="none"/>
        </w:rPr>
      </w:pPr>
    </w:p>
    <w:p w14:paraId="7E6B29F1">
      <w:pPr>
        <w:jc w:val="center"/>
        <w:rPr>
          <w:rFonts w:ascii="仿宋_GB2312" w:hAnsi="仿宋" w:eastAsia="仿宋_GB2312" w:cs="仿宋_GB2312"/>
          <w:b/>
          <w:color w:val="auto"/>
          <w:kern w:val="0"/>
          <w:sz w:val="28"/>
          <w:szCs w:val="28"/>
          <w:highlight w:val="none"/>
        </w:rPr>
      </w:pPr>
      <w:r>
        <w:rPr>
          <w:rFonts w:ascii="宋体" w:hAnsi="宋体"/>
          <w:b/>
          <w:bCs/>
          <w:color w:val="auto"/>
          <w:sz w:val="24"/>
          <w:highlight w:val="none"/>
        </w:rPr>
        <w:br w:type="page"/>
      </w:r>
      <w:r>
        <w:rPr>
          <w:rFonts w:hint="eastAsia" w:ascii="仿宋_GB2312" w:hAnsi="仿宋" w:eastAsia="仿宋_GB2312" w:cs="仿宋_GB2312"/>
          <w:b/>
          <w:color w:val="auto"/>
          <w:kern w:val="0"/>
          <w:sz w:val="28"/>
          <w:szCs w:val="28"/>
          <w:highlight w:val="none"/>
        </w:rPr>
        <w:t>技术文件目录</w:t>
      </w:r>
    </w:p>
    <w:p w14:paraId="1F84134E">
      <w:pPr>
        <w:pStyle w:val="60"/>
        <w:spacing w:line="360" w:lineRule="auto"/>
        <w:rPr>
          <w:rFonts w:hint="eastAsia" w:eastAsia="仿宋_GB2312" w:cs="仿宋_GB2312"/>
          <w:color w:val="auto"/>
          <w:highlight w:val="none"/>
          <w:lang w:eastAsia="zh-CN"/>
        </w:rPr>
      </w:pPr>
      <w:r>
        <w:rPr>
          <w:rFonts w:hint="eastAsia" w:cs="仿宋_GB2312"/>
          <w:color w:val="auto"/>
          <w:highlight w:val="none"/>
        </w:rPr>
        <w:t>一、</w:t>
      </w:r>
      <w:r>
        <w:rPr>
          <w:rFonts w:hint="eastAsia" w:cs="仿宋_GB2312"/>
          <w:color w:val="auto"/>
          <w:highlight w:val="none"/>
          <w:lang w:eastAsia="zh-CN"/>
        </w:rPr>
        <w:t>配置清单</w:t>
      </w:r>
      <w:r>
        <w:rPr>
          <w:rFonts w:hint="eastAsia" w:cs="仿宋_GB2312"/>
          <w:color w:val="auto"/>
          <w:highlight w:val="none"/>
        </w:rPr>
        <w:t>……………………………………………………………………（页码）</w:t>
      </w:r>
    </w:p>
    <w:p w14:paraId="2C4FA139">
      <w:pPr>
        <w:pStyle w:val="60"/>
        <w:spacing w:line="360" w:lineRule="auto"/>
        <w:rPr>
          <w:rFonts w:cs="仿宋_GB2312"/>
          <w:color w:val="auto"/>
          <w:highlight w:val="none"/>
        </w:rPr>
      </w:pPr>
      <w:r>
        <w:rPr>
          <w:rFonts w:hint="eastAsia" w:cs="仿宋_GB2312"/>
          <w:color w:val="auto"/>
          <w:highlight w:val="none"/>
          <w:lang w:eastAsia="zh-CN"/>
        </w:rPr>
        <w:t>二、</w:t>
      </w:r>
      <w:r>
        <w:rPr>
          <w:rFonts w:hint="eastAsia" w:cs="仿宋_GB2312"/>
          <w:color w:val="auto"/>
          <w:highlight w:val="none"/>
        </w:rPr>
        <w:t>技术需求偏离表……………………………………………………………（页码）</w:t>
      </w:r>
    </w:p>
    <w:p w14:paraId="6107203A">
      <w:pPr>
        <w:pStyle w:val="60"/>
        <w:spacing w:line="360" w:lineRule="auto"/>
        <w:rPr>
          <w:rFonts w:cs="仿宋_GB2312"/>
          <w:color w:val="auto"/>
          <w:highlight w:val="none"/>
        </w:rPr>
      </w:pPr>
      <w:r>
        <w:rPr>
          <w:rFonts w:hint="eastAsia" w:cs="仿宋_GB2312"/>
          <w:color w:val="auto"/>
          <w:highlight w:val="none"/>
          <w:lang w:eastAsia="zh-CN"/>
        </w:rPr>
        <w:t>三</w:t>
      </w:r>
      <w:r>
        <w:rPr>
          <w:rFonts w:hint="eastAsia" w:cs="仿宋_GB2312"/>
          <w:color w:val="auto"/>
          <w:highlight w:val="none"/>
        </w:rPr>
        <w:t>、</w:t>
      </w:r>
      <w:r>
        <w:rPr>
          <w:rFonts w:hint="eastAsia" w:cs="仿宋_GB2312"/>
          <w:color w:val="auto"/>
          <w:highlight w:val="none"/>
          <w:lang w:val="en-US" w:eastAsia="zh-CN"/>
        </w:rPr>
        <w:t>技术方案</w:t>
      </w:r>
      <w:r>
        <w:rPr>
          <w:rFonts w:hint="eastAsia" w:cs="仿宋_GB2312"/>
          <w:color w:val="auto"/>
          <w:highlight w:val="none"/>
        </w:rPr>
        <w:t>……………………………………………………………………（页码）</w:t>
      </w:r>
    </w:p>
    <w:p w14:paraId="445BFD2C">
      <w:pPr>
        <w:pStyle w:val="60"/>
        <w:spacing w:line="360" w:lineRule="auto"/>
        <w:rPr>
          <w:rFonts w:cs="仿宋_GB2312"/>
          <w:color w:val="auto"/>
          <w:highlight w:val="none"/>
        </w:rPr>
      </w:pPr>
      <w:r>
        <w:rPr>
          <w:rFonts w:hint="eastAsia" w:cs="仿宋_GB2312"/>
          <w:color w:val="auto"/>
          <w:highlight w:val="none"/>
          <w:lang w:eastAsia="zh-CN"/>
        </w:rPr>
        <w:t>四</w:t>
      </w:r>
      <w:r>
        <w:rPr>
          <w:rFonts w:hint="eastAsia" w:cs="仿宋_GB2312"/>
          <w:color w:val="auto"/>
          <w:highlight w:val="none"/>
        </w:rPr>
        <w:t>、售后服务方案………………………………………………………………（页码）</w:t>
      </w:r>
    </w:p>
    <w:p w14:paraId="1E189143">
      <w:pPr>
        <w:pStyle w:val="60"/>
        <w:spacing w:line="360" w:lineRule="auto"/>
        <w:rPr>
          <w:rFonts w:cs="仿宋_GB2312"/>
          <w:color w:val="auto"/>
          <w:highlight w:val="none"/>
        </w:rPr>
      </w:pPr>
      <w:r>
        <w:rPr>
          <w:rFonts w:hint="eastAsia" w:cs="仿宋_GB2312"/>
          <w:color w:val="auto"/>
          <w:highlight w:val="none"/>
          <w:lang w:eastAsia="zh-CN"/>
        </w:rPr>
        <w:t>五</w:t>
      </w:r>
      <w:r>
        <w:rPr>
          <w:rFonts w:hint="eastAsia" w:cs="仿宋_GB2312"/>
          <w:color w:val="auto"/>
          <w:highlight w:val="none"/>
        </w:rPr>
        <w:t>、对应第二章“采购需求”技术参数中要求必须提供的文件资料………（页码）</w:t>
      </w:r>
    </w:p>
    <w:p w14:paraId="61E2184C">
      <w:pPr>
        <w:pStyle w:val="60"/>
        <w:spacing w:line="360" w:lineRule="auto"/>
        <w:rPr>
          <w:rFonts w:cs="仿宋_GB2312"/>
          <w:color w:val="auto"/>
          <w:highlight w:val="none"/>
        </w:rPr>
      </w:pPr>
      <w:r>
        <w:rPr>
          <w:rFonts w:hint="eastAsia" w:cs="仿宋_GB2312"/>
          <w:color w:val="auto"/>
          <w:highlight w:val="none"/>
          <w:lang w:eastAsia="zh-CN"/>
        </w:rPr>
        <w:t>六</w:t>
      </w:r>
      <w:r>
        <w:rPr>
          <w:rFonts w:hint="eastAsia" w:cs="仿宋_GB2312"/>
          <w:color w:val="auto"/>
          <w:highlight w:val="none"/>
        </w:rPr>
        <w:t>、对本项目总体要求的理解（如有要求）…………………………………（页码）</w:t>
      </w:r>
    </w:p>
    <w:p w14:paraId="036A0F3B">
      <w:pPr>
        <w:pStyle w:val="60"/>
        <w:spacing w:line="360" w:lineRule="auto"/>
        <w:rPr>
          <w:rFonts w:cs="仿宋_GB2312"/>
          <w:color w:val="auto"/>
          <w:highlight w:val="none"/>
        </w:rPr>
      </w:pPr>
      <w:r>
        <w:rPr>
          <w:rFonts w:hint="eastAsia" w:cs="仿宋_GB2312"/>
          <w:color w:val="auto"/>
          <w:highlight w:val="none"/>
          <w:lang w:eastAsia="zh-CN"/>
        </w:rPr>
        <w:t>七</w:t>
      </w:r>
      <w:r>
        <w:rPr>
          <w:rFonts w:hint="eastAsia" w:cs="仿宋_GB2312"/>
          <w:color w:val="auto"/>
          <w:highlight w:val="none"/>
        </w:rPr>
        <w:t>、</w:t>
      </w:r>
      <w:r>
        <w:rPr>
          <w:rFonts w:hint="eastAsia" w:cs="仿宋_GB2312"/>
          <w:color w:val="auto"/>
          <w:highlight w:val="none"/>
          <w:lang w:val="zh-CN"/>
        </w:rPr>
        <w:t>产品出产标准及质量检测报告……………………</w:t>
      </w:r>
      <w:r>
        <w:rPr>
          <w:rFonts w:hint="eastAsia" w:cs="仿宋_GB2312"/>
          <w:color w:val="auto"/>
          <w:highlight w:val="none"/>
        </w:rPr>
        <w:t>………………………（页码）</w:t>
      </w:r>
    </w:p>
    <w:p w14:paraId="33BEDDA0">
      <w:pPr>
        <w:pStyle w:val="60"/>
        <w:spacing w:line="360" w:lineRule="auto"/>
        <w:rPr>
          <w:rFonts w:cs="仿宋_GB2312"/>
          <w:color w:val="auto"/>
          <w:highlight w:val="none"/>
        </w:rPr>
      </w:pPr>
      <w:r>
        <w:rPr>
          <w:rFonts w:hint="eastAsia" w:cs="仿宋_GB2312"/>
          <w:color w:val="auto"/>
          <w:highlight w:val="none"/>
          <w:lang w:eastAsia="zh-CN"/>
        </w:rPr>
        <w:t>八</w:t>
      </w:r>
      <w:r>
        <w:rPr>
          <w:rFonts w:hint="eastAsia" w:cs="仿宋_GB2312"/>
          <w:color w:val="auto"/>
          <w:highlight w:val="none"/>
        </w:rPr>
        <w:t>、优惠条件及特殊承诺（如有要求）</w:t>
      </w:r>
      <w:r>
        <w:rPr>
          <w:rFonts w:hint="eastAsia" w:cs="仿宋_GB2312"/>
          <w:color w:val="auto"/>
          <w:highlight w:val="none"/>
          <w:lang w:val="zh-CN"/>
        </w:rPr>
        <w:t>…………………………</w:t>
      </w:r>
      <w:r>
        <w:rPr>
          <w:rFonts w:hint="eastAsia" w:cs="仿宋_GB2312"/>
          <w:color w:val="auto"/>
          <w:highlight w:val="none"/>
        </w:rPr>
        <w:t>……………（页码）</w:t>
      </w:r>
    </w:p>
    <w:p w14:paraId="32677960">
      <w:pPr>
        <w:pStyle w:val="60"/>
        <w:spacing w:line="360" w:lineRule="auto"/>
        <w:rPr>
          <w:rFonts w:cs="仿宋_GB2312"/>
          <w:color w:val="auto"/>
          <w:highlight w:val="none"/>
        </w:rPr>
      </w:pPr>
      <w:r>
        <w:rPr>
          <w:rFonts w:hint="eastAsia" w:cs="仿宋_GB2312"/>
          <w:color w:val="auto"/>
          <w:highlight w:val="none"/>
          <w:lang w:eastAsia="zh-CN"/>
        </w:rPr>
        <w:t>九</w:t>
      </w:r>
      <w:r>
        <w:rPr>
          <w:rFonts w:hint="eastAsia" w:cs="仿宋_GB2312"/>
          <w:color w:val="auto"/>
          <w:highlight w:val="none"/>
        </w:rPr>
        <w:t>、对项目的合理化建议和改进措施</w:t>
      </w:r>
      <w:r>
        <w:rPr>
          <w:rFonts w:hint="eastAsia" w:cs="仿宋_GB2312"/>
          <w:color w:val="auto"/>
          <w:highlight w:val="none"/>
          <w:lang w:val="zh-CN"/>
        </w:rPr>
        <w:t>…………………………………………</w:t>
      </w:r>
      <w:r>
        <w:rPr>
          <w:rFonts w:hint="eastAsia" w:cs="仿宋_GB2312"/>
          <w:color w:val="auto"/>
          <w:highlight w:val="none"/>
        </w:rPr>
        <w:t>（页码）</w:t>
      </w:r>
    </w:p>
    <w:p w14:paraId="19D6A055">
      <w:pPr>
        <w:pStyle w:val="60"/>
        <w:spacing w:line="360" w:lineRule="auto"/>
        <w:rPr>
          <w:rFonts w:cs="仿宋_GB2312"/>
          <w:color w:val="auto"/>
          <w:highlight w:val="none"/>
        </w:rPr>
      </w:pPr>
      <w:r>
        <w:rPr>
          <w:rFonts w:hint="eastAsia" w:cs="仿宋_GB2312"/>
          <w:color w:val="auto"/>
          <w:highlight w:val="none"/>
          <w:lang w:eastAsia="zh-CN"/>
        </w:rPr>
        <w:t>十</w:t>
      </w:r>
      <w:r>
        <w:rPr>
          <w:rFonts w:hint="eastAsia" w:cs="仿宋_GB2312"/>
          <w:color w:val="auto"/>
          <w:highlight w:val="none"/>
        </w:rPr>
        <w:t>、认为需要的其他技术文件或说明（如有）</w:t>
      </w:r>
      <w:r>
        <w:rPr>
          <w:rFonts w:hint="eastAsia" w:cs="仿宋_GB2312"/>
          <w:color w:val="auto"/>
          <w:highlight w:val="none"/>
          <w:lang w:val="zh-CN"/>
        </w:rPr>
        <w:t>………………………………</w:t>
      </w:r>
      <w:r>
        <w:rPr>
          <w:rFonts w:hint="eastAsia" w:cs="仿宋_GB2312"/>
          <w:color w:val="auto"/>
          <w:highlight w:val="none"/>
        </w:rPr>
        <w:t>（页码）</w:t>
      </w:r>
    </w:p>
    <w:p w14:paraId="5A6AF253">
      <w:pPr>
        <w:spacing w:line="360" w:lineRule="auto"/>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注：以上目录是基本格式要求，各投标人可根据自身情况进一步向下增加内容或细化。</w:t>
      </w:r>
    </w:p>
    <w:p w14:paraId="6010D422">
      <w:pPr>
        <w:snapToGrid w:val="0"/>
        <w:spacing w:beforeLines="50" w:after="50"/>
        <w:ind w:left="143" w:leftChars="68" w:firstLine="472" w:firstLineChars="196"/>
        <w:jc w:val="left"/>
        <w:rPr>
          <w:rFonts w:ascii="宋体" w:hAnsi="宋体"/>
          <w:b/>
          <w:color w:val="auto"/>
          <w:sz w:val="24"/>
          <w:highlight w:val="none"/>
        </w:rPr>
      </w:pPr>
    </w:p>
    <w:p w14:paraId="05760301">
      <w:pPr>
        <w:snapToGrid w:val="0"/>
        <w:spacing w:beforeLines="50" w:after="50"/>
        <w:ind w:left="143" w:leftChars="68" w:firstLine="472" w:firstLineChars="196"/>
        <w:jc w:val="left"/>
        <w:rPr>
          <w:rFonts w:ascii="宋体" w:hAnsi="宋体"/>
          <w:b/>
          <w:color w:val="auto"/>
          <w:sz w:val="24"/>
          <w:highlight w:val="none"/>
        </w:rPr>
      </w:pPr>
      <w:r>
        <w:rPr>
          <w:rFonts w:ascii="宋体" w:hAnsi="宋体"/>
          <w:b/>
          <w:color w:val="auto"/>
          <w:sz w:val="24"/>
          <w:highlight w:val="none"/>
        </w:rPr>
        <w:br w:type="page"/>
      </w:r>
    </w:p>
    <w:p w14:paraId="67300294">
      <w:pPr>
        <w:pStyle w:val="13"/>
        <w:spacing w:line="500" w:lineRule="exact"/>
        <w:jc w:val="center"/>
        <w:rPr>
          <w:rFonts w:hint="eastAsia" w:ascii="Times New Roman" w:hAnsi="Times New Roman"/>
          <w:b/>
          <w:bCs/>
          <w:color w:val="auto"/>
          <w:sz w:val="30"/>
          <w:szCs w:val="30"/>
          <w:highlight w:val="none"/>
          <w:lang w:val="en-US" w:eastAsia="zh-CN"/>
        </w:rPr>
      </w:pPr>
    </w:p>
    <w:p w14:paraId="2BFCE67B">
      <w:pPr>
        <w:pStyle w:val="13"/>
        <w:spacing w:line="500" w:lineRule="exact"/>
        <w:jc w:val="center"/>
        <w:rPr>
          <w:rFonts w:hint="eastAsia" w:ascii="Times New Roman" w:hAnsi="Times New Roman"/>
          <w:b/>
          <w:bCs/>
          <w:color w:val="auto"/>
          <w:sz w:val="30"/>
          <w:szCs w:val="30"/>
          <w:highlight w:val="none"/>
        </w:rPr>
      </w:pPr>
      <w:r>
        <w:rPr>
          <w:rFonts w:hint="eastAsia" w:ascii="Times New Roman" w:hAnsi="Times New Roman"/>
          <w:b/>
          <w:bCs/>
          <w:color w:val="auto"/>
          <w:sz w:val="30"/>
          <w:szCs w:val="30"/>
          <w:highlight w:val="none"/>
          <w:lang w:val="en-US" w:eastAsia="zh-CN"/>
        </w:rPr>
        <w:t>一、配置清单</w:t>
      </w:r>
    </w:p>
    <w:p w14:paraId="67177924">
      <w:pPr>
        <w:pStyle w:val="13"/>
        <w:spacing w:line="500" w:lineRule="exact"/>
        <w:jc w:val="center"/>
        <w:rPr>
          <w:rFonts w:hint="eastAsia" w:ascii="Times New Roman" w:hAnsi="Times New Roman"/>
          <w:b/>
          <w:bCs/>
          <w:color w:val="auto"/>
          <w:sz w:val="30"/>
          <w:szCs w:val="30"/>
          <w:highlight w:val="none"/>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3164"/>
        <w:gridCol w:w="1923"/>
        <w:gridCol w:w="1445"/>
        <w:gridCol w:w="1827"/>
      </w:tblGrid>
      <w:tr w14:paraId="45CE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102" w:type="dxa"/>
            <w:vAlign w:val="center"/>
          </w:tcPr>
          <w:p w14:paraId="66A2046B">
            <w:pPr>
              <w:pStyle w:val="44"/>
              <w:ind w:left="0" w:leftChars="0" w:firstLine="0" w:firstLineChars="0"/>
              <w:jc w:val="center"/>
              <w:rPr>
                <w:rFonts w:hint="eastAsia" w:eastAsia="宋体"/>
                <w:b w:val="0"/>
                <w:bCs w:val="0"/>
                <w:color w:val="auto"/>
                <w:sz w:val="24"/>
                <w:szCs w:val="24"/>
                <w:vertAlign w:val="baseline"/>
                <w:lang w:eastAsia="zh-CN"/>
              </w:rPr>
            </w:pPr>
            <w:r>
              <w:rPr>
                <w:rFonts w:hint="eastAsia"/>
                <w:b w:val="0"/>
                <w:bCs w:val="0"/>
                <w:color w:val="auto"/>
                <w:sz w:val="24"/>
                <w:szCs w:val="24"/>
                <w:vertAlign w:val="baseline"/>
                <w:lang w:eastAsia="zh-CN"/>
              </w:rPr>
              <w:t>序号</w:t>
            </w:r>
          </w:p>
        </w:tc>
        <w:tc>
          <w:tcPr>
            <w:tcW w:w="3164" w:type="dxa"/>
            <w:vAlign w:val="center"/>
          </w:tcPr>
          <w:p w14:paraId="29426AA6">
            <w:pPr>
              <w:pStyle w:val="44"/>
              <w:jc w:val="center"/>
              <w:rPr>
                <w:rFonts w:hint="eastAsia" w:eastAsia="宋体"/>
                <w:b w:val="0"/>
                <w:bCs w:val="0"/>
                <w:color w:val="auto"/>
                <w:sz w:val="24"/>
                <w:szCs w:val="24"/>
                <w:vertAlign w:val="baseline"/>
                <w:lang w:eastAsia="zh-CN"/>
              </w:rPr>
            </w:pPr>
            <w:r>
              <w:rPr>
                <w:rFonts w:hint="eastAsia"/>
                <w:b w:val="0"/>
                <w:bCs w:val="0"/>
                <w:color w:val="auto"/>
                <w:sz w:val="24"/>
                <w:szCs w:val="24"/>
                <w:vertAlign w:val="baseline"/>
                <w:lang w:eastAsia="zh-CN"/>
              </w:rPr>
              <w:t>名称</w:t>
            </w:r>
          </w:p>
        </w:tc>
        <w:tc>
          <w:tcPr>
            <w:tcW w:w="1923" w:type="dxa"/>
            <w:vAlign w:val="center"/>
          </w:tcPr>
          <w:p w14:paraId="76BA991B">
            <w:pPr>
              <w:pStyle w:val="44"/>
              <w:ind w:left="240" w:leftChars="0"/>
              <w:jc w:val="center"/>
              <w:rPr>
                <w:rFonts w:hint="eastAsia" w:eastAsia="宋体"/>
                <w:b w:val="0"/>
                <w:bCs w:val="0"/>
                <w:color w:val="auto"/>
                <w:sz w:val="24"/>
                <w:szCs w:val="24"/>
                <w:vertAlign w:val="baseline"/>
                <w:lang w:eastAsia="zh-CN"/>
              </w:rPr>
            </w:pPr>
            <w:r>
              <w:rPr>
                <w:rFonts w:hint="eastAsia"/>
                <w:b w:val="0"/>
                <w:bCs w:val="0"/>
                <w:color w:val="auto"/>
                <w:sz w:val="24"/>
                <w:szCs w:val="24"/>
                <w:vertAlign w:val="baseline"/>
                <w:lang w:eastAsia="zh-CN"/>
              </w:rPr>
              <w:t>数量</w:t>
            </w:r>
          </w:p>
        </w:tc>
        <w:tc>
          <w:tcPr>
            <w:tcW w:w="1445" w:type="dxa"/>
            <w:vAlign w:val="center"/>
          </w:tcPr>
          <w:p w14:paraId="4C3A73C4">
            <w:pPr>
              <w:pStyle w:val="44"/>
              <w:ind w:left="240" w:leftChars="0"/>
              <w:jc w:val="center"/>
              <w:rPr>
                <w:rFonts w:hint="eastAsia" w:eastAsia="宋体"/>
                <w:b w:val="0"/>
                <w:bCs w:val="0"/>
                <w:color w:val="auto"/>
                <w:sz w:val="24"/>
                <w:szCs w:val="24"/>
                <w:vertAlign w:val="baseline"/>
                <w:lang w:eastAsia="zh-CN"/>
              </w:rPr>
            </w:pPr>
            <w:r>
              <w:rPr>
                <w:rFonts w:hint="eastAsia"/>
                <w:b w:val="0"/>
                <w:bCs w:val="0"/>
                <w:color w:val="auto"/>
                <w:sz w:val="24"/>
                <w:szCs w:val="24"/>
                <w:vertAlign w:val="baseline"/>
                <w:lang w:eastAsia="zh-CN"/>
              </w:rPr>
              <w:t>单位</w:t>
            </w:r>
          </w:p>
        </w:tc>
        <w:tc>
          <w:tcPr>
            <w:tcW w:w="1827" w:type="dxa"/>
            <w:vAlign w:val="center"/>
          </w:tcPr>
          <w:p w14:paraId="0017E96D">
            <w:pPr>
              <w:pStyle w:val="44"/>
              <w:ind w:left="240" w:leftChars="0"/>
              <w:jc w:val="center"/>
              <w:rPr>
                <w:rFonts w:hint="eastAsia"/>
                <w:b w:val="0"/>
                <w:bCs w:val="0"/>
                <w:color w:val="auto"/>
                <w:sz w:val="24"/>
                <w:szCs w:val="24"/>
                <w:vertAlign w:val="baseline"/>
                <w:lang w:eastAsia="zh-CN"/>
              </w:rPr>
            </w:pPr>
            <w:r>
              <w:rPr>
                <w:rFonts w:hint="eastAsia"/>
                <w:b w:val="0"/>
                <w:bCs w:val="0"/>
                <w:color w:val="auto"/>
                <w:sz w:val="24"/>
                <w:szCs w:val="24"/>
                <w:vertAlign w:val="baseline"/>
                <w:lang w:eastAsia="zh-CN"/>
              </w:rPr>
              <w:t>备注</w:t>
            </w:r>
          </w:p>
        </w:tc>
      </w:tr>
      <w:tr w14:paraId="7049E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02" w:type="dxa"/>
            <w:vAlign w:val="center"/>
          </w:tcPr>
          <w:p w14:paraId="496DCA6D">
            <w:pPr>
              <w:pStyle w:val="44"/>
              <w:rPr>
                <w:rFonts w:hint="eastAsia" w:eastAsia="宋体"/>
                <w:b w:val="0"/>
                <w:bCs w:val="0"/>
                <w:color w:val="auto"/>
                <w:sz w:val="24"/>
                <w:szCs w:val="24"/>
                <w:vertAlign w:val="baseline"/>
                <w:lang w:val="en-US" w:eastAsia="zh-CN"/>
              </w:rPr>
            </w:pPr>
            <w:r>
              <w:rPr>
                <w:rFonts w:hint="eastAsia"/>
                <w:b w:val="0"/>
                <w:bCs w:val="0"/>
                <w:color w:val="auto"/>
                <w:sz w:val="24"/>
                <w:szCs w:val="24"/>
                <w:vertAlign w:val="baseline"/>
                <w:lang w:val="en-US" w:eastAsia="zh-CN"/>
              </w:rPr>
              <w:t>1</w:t>
            </w:r>
          </w:p>
        </w:tc>
        <w:tc>
          <w:tcPr>
            <w:tcW w:w="3164" w:type="dxa"/>
            <w:vAlign w:val="center"/>
          </w:tcPr>
          <w:p w14:paraId="381699E4">
            <w:pPr>
              <w:rPr>
                <w:b w:val="0"/>
                <w:bCs w:val="0"/>
                <w:color w:val="auto"/>
                <w:sz w:val="24"/>
                <w:szCs w:val="24"/>
                <w:vertAlign w:val="baseline"/>
              </w:rPr>
            </w:pPr>
          </w:p>
        </w:tc>
        <w:tc>
          <w:tcPr>
            <w:tcW w:w="1923" w:type="dxa"/>
            <w:vAlign w:val="center"/>
          </w:tcPr>
          <w:p w14:paraId="6E181840">
            <w:pPr>
              <w:pStyle w:val="44"/>
              <w:rPr>
                <w:color w:val="auto"/>
                <w:vertAlign w:val="baseline"/>
              </w:rPr>
            </w:pPr>
          </w:p>
        </w:tc>
        <w:tc>
          <w:tcPr>
            <w:tcW w:w="1445" w:type="dxa"/>
            <w:vAlign w:val="center"/>
          </w:tcPr>
          <w:p w14:paraId="03B4F7A4">
            <w:pPr>
              <w:pStyle w:val="44"/>
              <w:rPr>
                <w:color w:val="auto"/>
                <w:vertAlign w:val="baseline"/>
              </w:rPr>
            </w:pPr>
          </w:p>
        </w:tc>
        <w:tc>
          <w:tcPr>
            <w:tcW w:w="1827" w:type="dxa"/>
            <w:vAlign w:val="center"/>
          </w:tcPr>
          <w:p w14:paraId="1CF18A71">
            <w:pPr>
              <w:pStyle w:val="44"/>
              <w:rPr>
                <w:color w:val="auto"/>
                <w:vertAlign w:val="baseline"/>
              </w:rPr>
            </w:pPr>
          </w:p>
        </w:tc>
      </w:tr>
      <w:tr w14:paraId="4FDC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02" w:type="dxa"/>
            <w:vAlign w:val="center"/>
          </w:tcPr>
          <w:p w14:paraId="62519812">
            <w:pPr>
              <w:pStyle w:val="44"/>
              <w:rPr>
                <w:rFonts w:hint="eastAsia" w:eastAsia="宋体"/>
                <w:b w:val="0"/>
                <w:bCs w:val="0"/>
                <w:color w:val="auto"/>
                <w:sz w:val="24"/>
                <w:szCs w:val="24"/>
                <w:vertAlign w:val="baseline"/>
                <w:lang w:val="en-US" w:eastAsia="zh-CN"/>
              </w:rPr>
            </w:pPr>
            <w:r>
              <w:rPr>
                <w:rFonts w:hint="eastAsia"/>
                <w:b w:val="0"/>
                <w:bCs w:val="0"/>
                <w:color w:val="auto"/>
                <w:sz w:val="24"/>
                <w:szCs w:val="24"/>
                <w:vertAlign w:val="baseline"/>
                <w:lang w:val="en-US" w:eastAsia="zh-CN"/>
              </w:rPr>
              <w:t>2</w:t>
            </w:r>
          </w:p>
        </w:tc>
        <w:tc>
          <w:tcPr>
            <w:tcW w:w="3164" w:type="dxa"/>
            <w:vAlign w:val="center"/>
          </w:tcPr>
          <w:p w14:paraId="2973A9CC">
            <w:pPr>
              <w:rPr>
                <w:b w:val="0"/>
                <w:bCs w:val="0"/>
                <w:color w:val="auto"/>
                <w:sz w:val="24"/>
                <w:szCs w:val="24"/>
                <w:vertAlign w:val="baseline"/>
              </w:rPr>
            </w:pPr>
          </w:p>
        </w:tc>
        <w:tc>
          <w:tcPr>
            <w:tcW w:w="1923" w:type="dxa"/>
            <w:vAlign w:val="center"/>
          </w:tcPr>
          <w:p w14:paraId="61FC17C3">
            <w:pPr>
              <w:pStyle w:val="44"/>
              <w:rPr>
                <w:color w:val="auto"/>
                <w:vertAlign w:val="baseline"/>
              </w:rPr>
            </w:pPr>
          </w:p>
        </w:tc>
        <w:tc>
          <w:tcPr>
            <w:tcW w:w="1445" w:type="dxa"/>
            <w:vAlign w:val="center"/>
          </w:tcPr>
          <w:p w14:paraId="00A0D318">
            <w:pPr>
              <w:pStyle w:val="44"/>
              <w:rPr>
                <w:color w:val="auto"/>
                <w:vertAlign w:val="baseline"/>
              </w:rPr>
            </w:pPr>
          </w:p>
        </w:tc>
        <w:tc>
          <w:tcPr>
            <w:tcW w:w="1827" w:type="dxa"/>
            <w:vAlign w:val="center"/>
          </w:tcPr>
          <w:p w14:paraId="3F232DED">
            <w:pPr>
              <w:pStyle w:val="44"/>
              <w:rPr>
                <w:color w:val="auto"/>
                <w:vertAlign w:val="baseline"/>
              </w:rPr>
            </w:pPr>
          </w:p>
        </w:tc>
      </w:tr>
      <w:tr w14:paraId="6DAA0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02" w:type="dxa"/>
            <w:vAlign w:val="center"/>
          </w:tcPr>
          <w:p w14:paraId="29C05B7C">
            <w:pPr>
              <w:pStyle w:val="44"/>
              <w:rPr>
                <w:rFonts w:hint="eastAsia" w:eastAsia="宋体"/>
                <w:b w:val="0"/>
                <w:bCs w:val="0"/>
                <w:color w:val="auto"/>
                <w:sz w:val="24"/>
                <w:szCs w:val="24"/>
                <w:vertAlign w:val="baseline"/>
                <w:lang w:val="en-US" w:eastAsia="zh-CN"/>
              </w:rPr>
            </w:pPr>
            <w:r>
              <w:rPr>
                <w:rFonts w:hint="eastAsia"/>
                <w:b w:val="0"/>
                <w:bCs w:val="0"/>
                <w:color w:val="auto"/>
                <w:sz w:val="24"/>
                <w:szCs w:val="24"/>
                <w:vertAlign w:val="baseline"/>
                <w:lang w:val="en-US" w:eastAsia="zh-CN"/>
              </w:rPr>
              <w:t>3</w:t>
            </w:r>
          </w:p>
        </w:tc>
        <w:tc>
          <w:tcPr>
            <w:tcW w:w="3164" w:type="dxa"/>
            <w:vAlign w:val="center"/>
          </w:tcPr>
          <w:p w14:paraId="790C1AFC">
            <w:pPr>
              <w:rPr>
                <w:b w:val="0"/>
                <w:bCs w:val="0"/>
                <w:color w:val="auto"/>
                <w:sz w:val="24"/>
                <w:szCs w:val="24"/>
                <w:vertAlign w:val="baseline"/>
              </w:rPr>
            </w:pPr>
          </w:p>
        </w:tc>
        <w:tc>
          <w:tcPr>
            <w:tcW w:w="1923" w:type="dxa"/>
            <w:vAlign w:val="center"/>
          </w:tcPr>
          <w:p w14:paraId="06EC1094">
            <w:pPr>
              <w:pStyle w:val="44"/>
              <w:rPr>
                <w:color w:val="auto"/>
                <w:vertAlign w:val="baseline"/>
              </w:rPr>
            </w:pPr>
          </w:p>
        </w:tc>
        <w:tc>
          <w:tcPr>
            <w:tcW w:w="1445" w:type="dxa"/>
            <w:vAlign w:val="center"/>
          </w:tcPr>
          <w:p w14:paraId="6F7C4A1C">
            <w:pPr>
              <w:pStyle w:val="44"/>
              <w:rPr>
                <w:color w:val="auto"/>
                <w:vertAlign w:val="baseline"/>
              </w:rPr>
            </w:pPr>
          </w:p>
        </w:tc>
        <w:tc>
          <w:tcPr>
            <w:tcW w:w="1827" w:type="dxa"/>
            <w:vAlign w:val="center"/>
          </w:tcPr>
          <w:p w14:paraId="4579C9F9">
            <w:pPr>
              <w:pStyle w:val="44"/>
              <w:rPr>
                <w:color w:val="auto"/>
                <w:vertAlign w:val="baseline"/>
              </w:rPr>
            </w:pPr>
          </w:p>
        </w:tc>
      </w:tr>
      <w:tr w14:paraId="43E17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02" w:type="dxa"/>
            <w:vAlign w:val="center"/>
          </w:tcPr>
          <w:p w14:paraId="3CCEF015">
            <w:pPr>
              <w:pStyle w:val="44"/>
              <w:rPr>
                <w:rFonts w:hint="default" w:eastAsia="宋体"/>
                <w:b w:val="0"/>
                <w:bCs w:val="0"/>
                <w:color w:val="auto"/>
                <w:sz w:val="24"/>
                <w:szCs w:val="24"/>
                <w:vertAlign w:val="baseline"/>
                <w:lang w:val="en-US" w:eastAsia="zh-CN"/>
              </w:rPr>
            </w:pPr>
            <w:r>
              <w:rPr>
                <w:rFonts w:hint="eastAsia"/>
                <w:b w:val="0"/>
                <w:bCs w:val="0"/>
                <w:color w:val="auto"/>
                <w:sz w:val="24"/>
                <w:szCs w:val="24"/>
                <w:vertAlign w:val="baseline"/>
                <w:lang w:val="en-US" w:eastAsia="zh-CN"/>
              </w:rPr>
              <w:t>...</w:t>
            </w:r>
          </w:p>
        </w:tc>
        <w:tc>
          <w:tcPr>
            <w:tcW w:w="3164" w:type="dxa"/>
            <w:vAlign w:val="center"/>
          </w:tcPr>
          <w:p w14:paraId="24A11FEC">
            <w:pPr>
              <w:rPr>
                <w:b w:val="0"/>
                <w:bCs w:val="0"/>
                <w:color w:val="auto"/>
                <w:sz w:val="24"/>
                <w:szCs w:val="24"/>
                <w:vertAlign w:val="baseline"/>
              </w:rPr>
            </w:pPr>
          </w:p>
        </w:tc>
        <w:tc>
          <w:tcPr>
            <w:tcW w:w="1923" w:type="dxa"/>
            <w:vAlign w:val="center"/>
          </w:tcPr>
          <w:p w14:paraId="4FDB25E1">
            <w:pPr>
              <w:pStyle w:val="44"/>
              <w:rPr>
                <w:color w:val="auto"/>
                <w:vertAlign w:val="baseline"/>
              </w:rPr>
            </w:pPr>
          </w:p>
        </w:tc>
        <w:tc>
          <w:tcPr>
            <w:tcW w:w="1445" w:type="dxa"/>
            <w:vAlign w:val="center"/>
          </w:tcPr>
          <w:p w14:paraId="21AC066E">
            <w:pPr>
              <w:pStyle w:val="44"/>
              <w:rPr>
                <w:color w:val="auto"/>
                <w:vertAlign w:val="baseline"/>
              </w:rPr>
            </w:pPr>
          </w:p>
        </w:tc>
        <w:tc>
          <w:tcPr>
            <w:tcW w:w="1827" w:type="dxa"/>
            <w:vAlign w:val="center"/>
          </w:tcPr>
          <w:p w14:paraId="542A6AFD">
            <w:pPr>
              <w:pStyle w:val="44"/>
              <w:rPr>
                <w:color w:val="auto"/>
                <w:vertAlign w:val="baseline"/>
              </w:rPr>
            </w:pPr>
          </w:p>
        </w:tc>
      </w:tr>
    </w:tbl>
    <w:p w14:paraId="69F0B4E7">
      <w:pPr>
        <w:rPr>
          <w:rFonts w:hint="eastAsia" w:ascii="Times New Roman" w:hAnsi="Times New Roman"/>
          <w:b/>
          <w:bCs/>
          <w:color w:val="auto"/>
          <w:sz w:val="30"/>
          <w:szCs w:val="30"/>
          <w:highlight w:val="none"/>
        </w:rPr>
      </w:pPr>
    </w:p>
    <w:p w14:paraId="6315BD82">
      <w:pPr>
        <w:pStyle w:val="43"/>
        <w:rPr>
          <w:rFonts w:hint="eastAsia" w:ascii="Times New Roman" w:hAnsi="Times New Roman"/>
          <w:b/>
          <w:bCs/>
          <w:color w:val="auto"/>
          <w:sz w:val="30"/>
          <w:szCs w:val="30"/>
          <w:highlight w:val="none"/>
        </w:rPr>
      </w:pPr>
    </w:p>
    <w:p w14:paraId="344D449F">
      <w:pPr>
        <w:snapToGrid w:val="0"/>
        <w:spacing w:line="360" w:lineRule="auto"/>
        <w:ind w:firstLine="4560" w:firstLineChars="19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21A8A83A">
      <w:pPr>
        <w:snapToGrid w:val="0"/>
        <w:spacing w:line="360" w:lineRule="auto"/>
        <w:ind w:firstLine="4560" w:firstLineChars="19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3000527E">
      <w:pPr>
        <w:pStyle w:val="43"/>
        <w:rPr>
          <w:rFonts w:hint="eastAsia"/>
          <w:color w:val="auto"/>
          <w:highlight w:val="none"/>
        </w:rPr>
      </w:pPr>
    </w:p>
    <w:p w14:paraId="2EAE3C25">
      <w:pPr>
        <w:pStyle w:val="44"/>
        <w:rPr>
          <w:rFonts w:hint="eastAsia"/>
          <w:color w:val="auto"/>
          <w:highlight w:val="none"/>
        </w:rPr>
      </w:pPr>
    </w:p>
    <w:p w14:paraId="01ACCA31">
      <w:pPr>
        <w:rPr>
          <w:rFonts w:hint="eastAsia"/>
          <w:color w:val="auto"/>
          <w:highlight w:val="none"/>
        </w:rPr>
      </w:pPr>
    </w:p>
    <w:p w14:paraId="534FAA2F">
      <w:pPr>
        <w:pStyle w:val="43"/>
        <w:rPr>
          <w:rFonts w:hint="eastAsia"/>
          <w:color w:val="auto"/>
          <w:highlight w:val="none"/>
        </w:rPr>
      </w:pPr>
    </w:p>
    <w:p w14:paraId="5F3AE8B9">
      <w:pPr>
        <w:pStyle w:val="44"/>
        <w:ind w:left="0" w:leftChars="0" w:firstLine="0" w:firstLineChars="0"/>
        <w:rPr>
          <w:rFonts w:hint="eastAsia"/>
          <w:color w:val="auto"/>
          <w:highlight w:val="none"/>
        </w:rPr>
      </w:pPr>
    </w:p>
    <w:p w14:paraId="57BCD7BB">
      <w:pPr>
        <w:rPr>
          <w:rFonts w:hint="eastAsia"/>
          <w:color w:val="auto"/>
          <w:highlight w:val="none"/>
        </w:rPr>
      </w:pPr>
    </w:p>
    <w:p w14:paraId="7E72020F">
      <w:pPr>
        <w:pStyle w:val="43"/>
        <w:rPr>
          <w:rFonts w:hint="eastAsia"/>
          <w:color w:val="auto"/>
          <w:highlight w:val="none"/>
        </w:rPr>
      </w:pPr>
    </w:p>
    <w:p w14:paraId="4324F8E7">
      <w:pPr>
        <w:pStyle w:val="44"/>
        <w:rPr>
          <w:rFonts w:hint="eastAsia"/>
          <w:color w:val="auto"/>
          <w:highlight w:val="none"/>
        </w:rPr>
      </w:pPr>
    </w:p>
    <w:p w14:paraId="69374AD0">
      <w:pPr>
        <w:rPr>
          <w:rFonts w:hint="eastAsia"/>
          <w:color w:val="auto"/>
          <w:highlight w:val="none"/>
        </w:rPr>
      </w:pPr>
    </w:p>
    <w:p w14:paraId="19778353">
      <w:pPr>
        <w:pStyle w:val="43"/>
        <w:rPr>
          <w:rFonts w:hint="eastAsia"/>
          <w:color w:val="auto"/>
          <w:highlight w:val="none"/>
        </w:rPr>
      </w:pPr>
    </w:p>
    <w:p w14:paraId="16904562">
      <w:pPr>
        <w:pStyle w:val="44"/>
        <w:rPr>
          <w:rFonts w:hint="eastAsia"/>
          <w:color w:val="auto"/>
          <w:highlight w:val="none"/>
        </w:rPr>
      </w:pPr>
    </w:p>
    <w:p w14:paraId="7D896DED">
      <w:pPr>
        <w:rPr>
          <w:rFonts w:hint="eastAsia"/>
          <w:color w:val="auto"/>
          <w:highlight w:val="none"/>
        </w:rPr>
      </w:pPr>
    </w:p>
    <w:p w14:paraId="6DC936F5">
      <w:pPr>
        <w:pStyle w:val="43"/>
        <w:rPr>
          <w:rFonts w:hint="eastAsia"/>
          <w:color w:val="auto"/>
          <w:highlight w:val="none"/>
        </w:rPr>
      </w:pPr>
    </w:p>
    <w:p w14:paraId="33939D7F">
      <w:pPr>
        <w:pStyle w:val="44"/>
        <w:rPr>
          <w:rFonts w:hint="eastAsia"/>
          <w:color w:val="auto"/>
          <w:highlight w:val="none"/>
        </w:rPr>
      </w:pPr>
    </w:p>
    <w:p w14:paraId="5D155F92">
      <w:pPr>
        <w:rPr>
          <w:rFonts w:hint="eastAsia"/>
          <w:color w:val="auto"/>
          <w:highlight w:val="none"/>
        </w:rPr>
      </w:pPr>
    </w:p>
    <w:p w14:paraId="6E0C6BF1">
      <w:pPr>
        <w:pStyle w:val="43"/>
        <w:rPr>
          <w:rFonts w:hint="eastAsia"/>
          <w:color w:val="auto"/>
        </w:rPr>
      </w:pPr>
    </w:p>
    <w:p w14:paraId="0B5C01CF">
      <w:pPr>
        <w:rPr>
          <w:rFonts w:hint="eastAsia"/>
          <w:color w:val="auto"/>
        </w:rPr>
      </w:pPr>
    </w:p>
    <w:p w14:paraId="282129E2">
      <w:pPr>
        <w:pStyle w:val="13"/>
        <w:spacing w:line="500" w:lineRule="exact"/>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lang w:eastAsia="zh-CN"/>
        </w:rPr>
        <w:t>二</w:t>
      </w:r>
      <w:r>
        <w:rPr>
          <w:rFonts w:hint="eastAsia" w:ascii="Times New Roman" w:hAnsi="Times New Roman"/>
          <w:b/>
          <w:bCs/>
          <w:color w:val="auto"/>
          <w:sz w:val="30"/>
          <w:szCs w:val="30"/>
          <w:highlight w:val="none"/>
        </w:rPr>
        <w:t>、技术需求偏离表</w:t>
      </w:r>
    </w:p>
    <w:p w14:paraId="4A2AE2D1">
      <w:pPr>
        <w:pStyle w:val="13"/>
        <w:spacing w:line="440" w:lineRule="exact"/>
        <w:ind w:firstLine="420" w:firstLineChars="200"/>
        <w:rPr>
          <w:color w:val="auto"/>
          <w:highlight w:val="none"/>
        </w:rPr>
      </w:pPr>
    </w:p>
    <w:p w14:paraId="1A59C31A">
      <w:pPr>
        <w:pStyle w:val="13"/>
        <w:spacing w:line="600" w:lineRule="exact"/>
        <w:ind w:firstLine="480" w:firstLineChars="200"/>
        <w:rPr>
          <w:rFonts w:hAnsi="宋体"/>
          <w:color w:val="auto"/>
          <w:sz w:val="24"/>
          <w:highlight w:val="none"/>
        </w:rPr>
      </w:pPr>
      <w:r>
        <w:rPr>
          <w:rFonts w:hint="eastAsia" w:hAnsi="宋体"/>
          <w:color w:val="auto"/>
          <w:sz w:val="24"/>
          <w:highlight w:val="none"/>
        </w:rPr>
        <w:t>请根据所投货物的实际技术参数，逐条对应本项目招标文件第二章</w:t>
      </w:r>
      <w:r>
        <w:rPr>
          <w:rFonts w:hAnsi="宋体"/>
          <w:color w:val="auto"/>
          <w:sz w:val="24"/>
          <w:highlight w:val="none"/>
        </w:rPr>
        <w:t>“</w:t>
      </w:r>
      <w:r>
        <w:rPr>
          <w:rFonts w:hint="eastAsia" w:hAnsi="宋体"/>
          <w:color w:val="auto"/>
          <w:sz w:val="24"/>
          <w:highlight w:val="none"/>
          <w:lang w:eastAsia="zh-CN"/>
        </w:rPr>
        <w:t>采购需求</w:t>
      </w:r>
      <w:r>
        <w:rPr>
          <w:rFonts w:hAnsi="宋体"/>
          <w:color w:val="auto"/>
          <w:sz w:val="24"/>
          <w:highlight w:val="none"/>
        </w:rPr>
        <w:t>”</w:t>
      </w:r>
      <w:r>
        <w:rPr>
          <w:rFonts w:hint="eastAsia" w:hAnsi="宋体"/>
          <w:color w:val="auto"/>
          <w:sz w:val="24"/>
          <w:highlight w:val="none"/>
        </w:rPr>
        <w:t>中的采购清单及货物参数详细填写相应的具体内容。</w:t>
      </w:r>
      <w:r>
        <w:rPr>
          <w:rFonts w:hAnsi="宋体"/>
          <w:color w:val="auto"/>
          <w:sz w:val="24"/>
          <w:highlight w:val="none"/>
        </w:rPr>
        <w:t>“</w:t>
      </w:r>
      <w:r>
        <w:rPr>
          <w:rFonts w:hint="eastAsia" w:hAnsi="宋体"/>
          <w:color w:val="auto"/>
          <w:sz w:val="24"/>
          <w:highlight w:val="none"/>
        </w:rPr>
        <w:t>偏离说明</w:t>
      </w:r>
      <w:r>
        <w:rPr>
          <w:rFonts w:hAnsi="宋体"/>
          <w:color w:val="auto"/>
          <w:sz w:val="24"/>
          <w:highlight w:val="none"/>
        </w:rPr>
        <w:t>”</w:t>
      </w:r>
      <w:r>
        <w:rPr>
          <w:rFonts w:hint="eastAsia" w:hAnsi="宋体"/>
          <w:color w:val="auto"/>
          <w:sz w:val="24"/>
          <w:highlight w:val="none"/>
        </w:rPr>
        <w:t>一栏应当选择</w:t>
      </w:r>
      <w:r>
        <w:rPr>
          <w:rFonts w:hAnsi="宋体"/>
          <w:color w:val="auto"/>
          <w:sz w:val="24"/>
          <w:highlight w:val="none"/>
        </w:rPr>
        <w:t>“</w:t>
      </w:r>
      <w:r>
        <w:rPr>
          <w:rFonts w:hint="eastAsia" w:hAnsi="宋体"/>
          <w:color w:val="auto"/>
          <w:sz w:val="24"/>
          <w:highlight w:val="none"/>
        </w:rPr>
        <w:t>正偏离</w:t>
      </w:r>
      <w:r>
        <w:rPr>
          <w:rFonts w:hAnsi="宋体"/>
          <w:color w:val="auto"/>
          <w:sz w:val="24"/>
          <w:highlight w:val="none"/>
        </w:rPr>
        <w:t>”</w:t>
      </w:r>
      <w:r>
        <w:rPr>
          <w:rFonts w:hint="eastAsia" w:hAnsi="宋体"/>
          <w:color w:val="auto"/>
          <w:sz w:val="24"/>
          <w:highlight w:val="none"/>
        </w:rPr>
        <w:t>、</w:t>
      </w:r>
      <w:r>
        <w:rPr>
          <w:rFonts w:hAnsi="宋体"/>
          <w:color w:val="auto"/>
          <w:sz w:val="24"/>
          <w:highlight w:val="none"/>
        </w:rPr>
        <w:t>“</w:t>
      </w:r>
      <w:r>
        <w:rPr>
          <w:rFonts w:hint="eastAsia" w:hAnsi="宋体"/>
          <w:color w:val="auto"/>
          <w:sz w:val="24"/>
          <w:highlight w:val="none"/>
        </w:rPr>
        <w:t>负偏离</w:t>
      </w:r>
      <w:r>
        <w:rPr>
          <w:rFonts w:hAnsi="宋体"/>
          <w:color w:val="auto"/>
          <w:sz w:val="24"/>
          <w:highlight w:val="none"/>
        </w:rPr>
        <w:t>”</w:t>
      </w:r>
      <w:r>
        <w:rPr>
          <w:rFonts w:hint="eastAsia" w:hAnsi="宋体"/>
          <w:color w:val="auto"/>
          <w:sz w:val="24"/>
          <w:highlight w:val="none"/>
        </w:rPr>
        <w:t>或</w:t>
      </w:r>
      <w:r>
        <w:rPr>
          <w:rFonts w:hAnsi="宋体"/>
          <w:color w:val="auto"/>
          <w:sz w:val="24"/>
          <w:highlight w:val="none"/>
        </w:rPr>
        <w:t>“</w:t>
      </w:r>
      <w:r>
        <w:rPr>
          <w:rFonts w:hint="eastAsia" w:hAnsi="宋体"/>
          <w:color w:val="auto"/>
          <w:sz w:val="24"/>
          <w:highlight w:val="none"/>
        </w:rPr>
        <w:t>无偏离</w:t>
      </w:r>
      <w:r>
        <w:rPr>
          <w:rFonts w:hAnsi="宋体"/>
          <w:color w:val="auto"/>
          <w:sz w:val="24"/>
          <w:highlight w:val="none"/>
        </w:rPr>
        <w:t>”</w:t>
      </w:r>
      <w:r>
        <w:rPr>
          <w:rFonts w:hint="eastAsia" w:hAnsi="宋体"/>
          <w:color w:val="auto"/>
          <w:sz w:val="24"/>
          <w:highlight w:val="none"/>
        </w:rPr>
        <w:t>进行填写。</w:t>
      </w:r>
    </w:p>
    <w:tbl>
      <w:tblPr>
        <w:tblStyle w:val="28"/>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4D3C1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ign w:val="center"/>
          </w:tcPr>
          <w:p w14:paraId="1CD642D1">
            <w:pPr>
              <w:rPr>
                <w:rFonts w:ascii="宋体" w:hAnsi="宋体"/>
                <w:color w:val="auto"/>
                <w:szCs w:val="21"/>
                <w:highlight w:val="none"/>
              </w:rPr>
            </w:pPr>
            <w:r>
              <w:rPr>
                <w:rFonts w:hint="eastAsia" w:ascii="宋体" w:hAnsi="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noWrap/>
            <w:vAlign w:val="center"/>
          </w:tcPr>
          <w:p w14:paraId="3D4FF36A">
            <w:pPr>
              <w:jc w:val="center"/>
              <w:rPr>
                <w:rFonts w:ascii="宋体" w:hAnsi="宋体"/>
                <w:color w:val="auto"/>
                <w:szCs w:val="21"/>
                <w:highlight w:val="none"/>
              </w:rPr>
            </w:pPr>
            <w:r>
              <w:rPr>
                <w:rFonts w:hint="eastAsia" w:ascii="宋体" w:hAnsi="宋体"/>
                <w:color w:val="auto"/>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noWrap/>
            <w:vAlign w:val="center"/>
          </w:tcPr>
          <w:p w14:paraId="4E30CCDC">
            <w:pPr>
              <w:jc w:val="center"/>
              <w:rPr>
                <w:rFonts w:ascii="宋体" w:hAnsi="宋体"/>
                <w:color w:val="auto"/>
                <w:szCs w:val="21"/>
                <w:highlight w:val="none"/>
              </w:rPr>
            </w:pPr>
            <w:r>
              <w:rPr>
                <w:rFonts w:hint="eastAsia" w:ascii="宋体" w:hAnsi="宋体"/>
                <w:color w:val="auto"/>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noWrap/>
            <w:vAlign w:val="center"/>
          </w:tcPr>
          <w:p w14:paraId="690865ED">
            <w:pPr>
              <w:rPr>
                <w:rFonts w:ascii="宋体" w:hAnsi="宋体"/>
                <w:color w:val="auto"/>
                <w:szCs w:val="21"/>
                <w:highlight w:val="none"/>
              </w:rPr>
            </w:pPr>
            <w:r>
              <w:rPr>
                <w:rFonts w:hint="eastAsia" w:ascii="宋体" w:hAnsi="宋体"/>
                <w:color w:val="auto"/>
                <w:szCs w:val="21"/>
                <w:highlight w:val="none"/>
              </w:rPr>
              <w:t>偏离说明</w:t>
            </w:r>
          </w:p>
        </w:tc>
      </w:tr>
      <w:tr w14:paraId="2D4AE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ign w:val="center"/>
          </w:tcPr>
          <w:p w14:paraId="567D2F9C">
            <w:pPr>
              <w:widowControl/>
              <w:jc w:val="left"/>
              <w:rPr>
                <w:rFonts w:ascii="宋体" w:hAnsi="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7E603821">
            <w:pPr>
              <w:jc w:val="center"/>
              <w:rPr>
                <w:rFonts w:ascii="宋体" w:hAnsi="宋体"/>
                <w:color w:val="auto"/>
                <w:szCs w:val="21"/>
                <w:highlight w:val="none"/>
              </w:rPr>
            </w:pPr>
            <w:r>
              <w:rPr>
                <w:rFonts w:hint="eastAsia" w:ascii="宋体" w:hAnsi="宋体"/>
                <w:color w:val="auto"/>
                <w:szCs w:val="21"/>
                <w:highlight w:val="none"/>
                <w:lang w:val="en-US" w:eastAsia="zh-CN"/>
              </w:rPr>
              <w:t>标的</w:t>
            </w:r>
            <w:r>
              <w:rPr>
                <w:rFonts w:hint="eastAsia" w:ascii="宋体" w:hAnsi="宋体"/>
                <w:color w:val="auto"/>
                <w:szCs w:val="21"/>
                <w:highlight w:val="none"/>
              </w:rPr>
              <w:t>名称</w:t>
            </w:r>
          </w:p>
        </w:tc>
        <w:tc>
          <w:tcPr>
            <w:tcW w:w="2310" w:type="dxa"/>
            <w:tcBorders>
              <w:top w:val="single" w:color="auto" w:sz="4" w:space="0"/>
              <w:left w:val="single" w:color="auto" w:sz="4" w:space="0"/>
              <w:bottom w:val="single" w:color="auto" w:sz="4" w:space="0"/>
              <w:right w:val="single" w:color="auto" w:sz="4" w:space="0"/>
            </w:tcBorders>
            <w:noWrap/>
            <w:vAlign w:val="center"/>
          </w:tcPr>
          <w:p w14:paraId="2E2CCE64">
            <w:pPr>
              <w:jc w:val="center"/>
              <w:rPr>
                <w:rFonts w:ascii="宋体" w:hAnsi="宋体"/>
                <w:color w:val="auto"/>
                <w:szCs w:val="21"/>
                <w:highlight w:val="none"/>
              </w:rPr>
            </w:pPr>
            <w:r>
              <w:rPr>
                <w:rFonts w:hint="eastAsia" w:ascii="宋体" w:hAnsi="宋体"/>
                <w:color w:val="auto"/>
                <w:szCs w:val="21"/>
                <w:highlight w:val="none"/>
              </w:rPr>
              <w:t>货物参数</w:t>
            </w:r>
          </w:p>
        </w:tc>
        <w:tc>
          <w:tcPr>
            <w:tcW w:w="1516" w:type="dxa"/>
            <w:tcBorders>
              <w:top w:val="single" w:color="auto" w:sz="4" w:space="0"/>
              <w:left w:val="single" w:color="auto" w:sz="4" w:space="0"/>
              <w:bottom w:val="single" w:color="auto" w:sz="4" w:space="0"/>
              <w:right w:val="single" w:color="auto" w:sz="4" w:space="0"/>
            </w:tcBorders>
            <w:noWrap/>
            <w:vAlign w:val="center"/>
          </w:tcPr>
          <w:p w14:paraId="25F023C2">
            <w:pPr>
              <w:jc w:val="center"/>
              <w:rPr>
                <w:rFonts w:ascii="宋体" w:hAnsi="宋体"/>
                <w:color w:val="auto"/>
                <w:szCs w:val="21"/>
                <w:highlight w:val="none"/>
              </w:rPr>
            </w:pPr>
            <w:r>
              <w:rPr>
                <w:rFonts w:hint="eastAsia" w:ascii="宋体" w:hAnsi="宋体"/>
                <w:color w:val="auto"/>
                <w:szCs w:val="21"/>
                <w:highlight w:val="none"/>
                <w:lang w:val="en-US" w:eastAsia="zh-CN"/>
              </w:rPr>
              <w:t>标的</w:t>
            </w:r>
            <w:r>
              <w:rPr>
                <w:rFonts w:hint="eastAsia" w:ascii="宋体" w:hAnsi="宋体"/>
                <w:color w:val="auto"/>
                <w:szCs w:val="21"/>
                <w:highlight w:val="none"/>
              </w:rPr>
              <w:t>名称</w:t>
            </w:r>
          </w:p>
        </w:tc>
        <w:tc>
          <w:tcPr>
            <w:tcW w:w="3297" w:type="dxa"/>
            <w:tcBorders>
              <w:top w:val="single" w:color="auto" w:sz="4" w:space="0"/>
              <w:left w:val="single" w:color="auto" w:sz="4" w:space="0"/>
              <w:bottom w:val="single" w:color="auto" w:sz="4" w:space="0"/>
              <w:right w:val="single" w:color="auto" w:sz="4" w:space="0"/>
            </w:tcBorders>
            <w:noWrap/>
            <w:vAlign w:val="center"/>
          </w:tcPr>
          <w:p w14:paraId="7FED0CF1">
            <w:pPr>
              <w:jc w:val="center"/>
              <w:rPr>
                <w:rFonts w:ascii="宋体" w:hAnsi="宋体"/>
                <w:color w:val="auto"/>
                <w:szCs w:val="21"/>
                <w:highlight w:val="none"/>
              </w:rPr>
            </w:pPr>
            <w:r>
              <w:rPr>
                <w:rFonts w:hint="eastAsia" w:ascii="宋体" w:hAnsi="宋体"/>
                <w:color w:val="auto"/>
                <w:szCs w:val="21"/>
                <w:highlight w:val="none"/>
              </w:rPr>
              <w:t>所提供货物的内容</w:t>
            </w:r>
          </w:p>
        </w:tc>
        <w:tc>
          <w:tcPr>
            <w:tcW w:w="1168" w:type="dxa"/>
            <w:vMerge w:val="continue"/>
            <w:tcBorders>
              <w:top w:val="single" w:color="auto" w:sz="4" w:space="0"/>
              <w:left w:val="single" w:color="auto" w:sz="4" w:space="0"/>
              <w:bottom w:val="single" w:color="auto" w:sz="4" w:space="0"/>
              <w:right w:val="single" w:color="auto" w:sz="4" w:space="0"/>
            </w:tcBorders>
            <w:noWrap/>
            <w:vAlign w:val="center"/>
          </w:tcPr>
          <w:p w14:paraId="28F7D3FC">
            <w:pPr>
              <w:widowControl/>
              <w:jc w:val="left"/>
              <w:rPr>
                <w:rFonts w:ascii="宋体" w:hAnsi="宋体"/>
                <w:color w:val="auto"/>
                <w:szCs w:val="21"/>
                <w:highlight w:val="none"/>
              </w:rPr>
            </w:pPr>
          </w:p>
        </w:tc>
      </w:tr>
      <w:tr w14:paraId="67424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ign w:val="center"/>
          </w:tcPr>
          <w:p w14:paraId="509C5787">
            <w:pPr>
              <w:rPr>
                <w:rFonts w:ascii="宋体" w:hAnsi="宋体"/>
                <w:color w:val="auto"/>
                <w:szCs w:val="21"/>
                <w:highlight w:val="none"/>
              </w:rPr>
            </w:pPr>
            <w:r>
              <w:rPr>
                <w:rFonts w:ascii="宋体" w:hAnsi="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noWrap/>
            <w:vAlign w:val="center"/>
          </w:tcPr>
          <w:p w14:paraId="54F45EA8">
            <w:pPr>
              <w:rPr>
                <w:rFonts w:ascii="宋体" w:hAnsi="宋体"/>
                <w:color w:val="auto"/>
                <w:szCs w:val="21"/>
                <w:highlight w:val="none"/>
              </w:rPr>
            </w:pPr>
            <w:r>
              <w:rPr>
                <w:rFonts w:ascii="宋体" w:hAnsi="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ign w:val="center"/>
          </w:tcPr>
          <w:p w14:paraId="450F68C0">
            <w:pPr>
              <w:rPr>
                <w:rFonts w:ascii="宋体" w:hAnsi="宋体"/>
                <w:color w:val="auto"/>
                <w:szCs w:val="21"/>
                <w:highlight w:val="none"/>
              </w:rPr>
            </w:pPr>
            <w:r>
              <w:rPr>
                <w:rFonts w:ascii="宋体" w:hAnsi="宋体"/>
                <w:color w:val="auto"/>
                <w:szCs w:val="21"/>
                <w:highlight w:val="none"/>
              </w:rPr>
              <w:t>1  ……</w:t>
            </w:r>
          </w:p>
          <w:p w14:paraId="6DBB89E0">
            <w:pPr>
              <w:rPr>
                <w:rFonts w:ascii="宋体" w:hAnsi="宋体"/>
                <w:color w:val="auto"/>
                <w:szCs w:val="21"/>
                <w:highlight w:val="none"/>
              </w:rPr>
            </w:pPr>
            <w:r>
              <w:rPr>
                <w:rFonts w:ascii="宋体" w:hAnsi="宋体"/>
                <w:color w:val="auto"/>
                <w:szCs w:val="21"/>
                <w:highlight w:val="none"/>
              </w:rPr>
              <w:t>2  ……</w:t>
            </w:r>
          </w:p>
          <w:p w14:paraId="0C8F11F8">
            <w:pPr>
              <w:rPr>
                <w:rFonts w:ascii="宋体" w:hAnsi="宋体"/>
                <w:color w:val="auto"/>
                <w:szCs w:val="21"/>
                <w:highlight w:val="none"/>
              </w:rPr>
            </w:pPr>
            <w:r>
              <w:rPr>
                <w:rFonts w:ascii="宋体" w:hAnsi="宋体"/>
                <w:color w:val="auto"/>
                <w:szCs w:val="21"/>
                <w:highlight w:val="none"/>
              </w:rPr>
              <w:t>3  ……</w:t>
            </w:r>
          </w:p>
          <w:p w14:paraId="2E9D845F">
            <w:pPr>
              <w:rPr>
                <w:rFonts w:ascii="宋体" w:hAnsi="宋体"/>
                <w:color w:val="auto"/>
                <w:szCs w:val="21"/>
                <w:highlight w:val="none"/>
              </w:rPr>
            </w:pPr>
            <w:r>
              <w:rPr>
                <w:rFonts w:ascii="宋体" w:hAnsi="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ign w:val="center"/>
          </w:tcPr>
          <w:p w14:paraId="2B1B6ED9">
            <w:pPr>
              <w:rPr>
                <w:rFonts w:ascii="宋体" w:hAnsi="宋体"/>
                <w:color w:val="auto"/>
                <w:szCs w:val="21"/>
                <w:highlight w:val="none"/>
              </w:rPr>
            </w:pPr>
            <w:r>
              <w:rPr>
                <w:rFonts w:ascii="宋体" w:hAnsi="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noWrap/>
            <w:vAlign w:val="center"/>
          </w:tcPr>
          <w:p w14:paraId="59664E93">
            <w:pPr>
              <w:rPr>
                <w:rFonts w:ascii="宋体" w:hAnsi="宋体"/>
                <w:color w:val="auto"/>
                <w:szCs w:val="21"/>
                <w:highlight w:val="none"/>
              </w:rPr>
            </w:pPr>
            <w:r>
              <w:rPr>
                <w:rFonts w:ascii="宋体" w:hAnsi="宋体"/>
                <w:color w:val="auto"/>
                <w:szCs w:val="21"/>
                <w:highlight w:val="none"/>
              </w:rPr>
              <w:t>1  ……</w:t>
            </w:r>
          </w:p>
          <w:p w14:paraId="10E8326B">
            <w:pPr>
              <w:rPr>
                <w:rFonts w:ascii="宋体" w:hAnsi="宋体"/>
                <w:color w:val="auto"/>
                <w:szCs w:val="21"/>
                <w:highlight w:val="none"/>
              </w:rPr>
            </w:pPr>
            <w:r>
              <w:rPr>
                <w:rFonts w:ascii="宋体" w:hAnsi="宋体"/>
                <w:color w:val="auto"/>
                <w:szCs w:val="21"/>
                <w:highlight w:val="none"/>
              </w:rPr>
              <w:t>2  ……</w:t>
            </w:r>
          </w:p>
          <w:p w14:paraId="6DAC4AA4">
            <w:pPr>
              <w:rPr>
                <w:rFonts w:ascii="宋体" w:hAnsi="宋体"/>
                <w:color w:val="auto"/>
                <w:szCs w:val="21"/>
                <w:highlight w:val="none"/>
              </w:rPr>
            </w:pPr>
            <w:r>
              <w:rPr>
                <w:rFonts w:ascii="宋体" w:hAnsi="宋体"/>
                <w:color w:val="auto"/>
                <w:szCs w:val="21"/>
                <w:highlight w:val="none"/>
              </w:rPr>
              <w:t>3  ……</w:t>
            </w:r>
          </w:p>
          <w:p w14:paraId="246AC330">
            <w:pPr>
              <w:rPr>
                <w:rFonts w:ascii="宋体" w:hAnsi="宋体"/>
                <w:color w:val="auto"/>
                <w:szCs w:val="21"/>
                <w:highlight w:val="none"/>
              </w:rPr>
            </w:pPr>
            <w:r>
              <w:rPr>
                <w:rFonts w:ascii="宋体" w:hAnsi="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ign w:val="center"/>
          </w:tcPr>
          <w:p w14:paraId="06E24CA3">
            <w:pPr>
              <w:rPr>
                <w:rFonts w:ascii="宋体" w:hAnsi="宋体"/>
                <w:color w:val="auto"/>
                <w:szCs w:val="21"/>
                <w:highlight w:val="none"/>
              </w:rPr>
            </w:pPr>
            <w:r>
              <w:rPr>
                <w:rFonts w:hint="eastAsia" w:ascii="宋体" w:hAnsi="宋体"/>
                <w:color w:val="auto"/>
                <w:szCs w:val="21"/>
                <w:highlight w:val="none"/>
              </w:rPr>
              <w:t>正偏离（负偏离或无偏离）</w:t>
            </w:r>
          </w:p>
        </w:tc>
      </w:tr>
      <w:tr w14:paraId="38414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ign w:val="center"/>
          </w:tcPr>
          <w:p w14:paraId="0AB5DD9D">
            <w:pPr>
              <w:rPr>
                <w:rFonts w:ascii="宋体" w:hAnsi="宋体"/>
                <w:color w:val="auto"/>
                <w:szCs w:val="21"/>
                <w:highlight w:val="none"/>
              </w:rPr>
            </w:pPr>
            <w:r>
              <w:rPr>
                <w:rFonts w:ascii="宋体" w:hAnsi="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noWrap/>
            <w:vAlign w:val="center"/>
          </w:tcPr>
          <w:p w14:paraId="0562BF7C">
            <w:pPr>
              <w:rPr>
                <w:rFonts w:ascii="宋体" w:hAnsi="宋体"/>
                <w:color w:val="auto"/>
                <w:szCs w:val="21"/>
                <w:highlight w:val="none"/>
              </w:rPr>
            </w:pPr>
            <w:r>
              <w:rPr>
                <w:rFonts w:ascii="宋体" w:hAnsi="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ign w:val="center"/>
          </w:tcPr>
          <w:p w14:paraId="0C1B0A35">
            <w:pPr>
              <w:rPr>
                <w:rFonts w:ascii="宋体" w:hAnsi="宋体"/>
                <w:color w:val="auto"/>
                <w:szCs w:val="21"/>
                <w:highlight w:val="none"/>
              </w:rPr>
            </w:pPr>
            <w:r>
              <w:rPr>
                <w:rFonts w:ascii="宋体" w:hAnsi="宋体"/>
                <w:color w:val="auto"/>
                <w:szCs w:val="21"/>
                <w:highlight w:val="none"/>
              </w:rPr>
              <w:t>1  ……</w:t>
            </w:r>
          </w:p>
          <w:p w14:paraId="4EBEA753">
            <w:pPr>
              <w:rPr>
                <w:rFonts w:ascii="宋体" w:hAnsi="宋体"/>
                <w:color w:val="auto"/>
                <w:szCs w:val="21"/>
                <w:highlight w:val="none"/>
              </w:rPr>
            </w:pPr>
            <w:r>
              <w:rPr>
                <w:rFonts w:ascii="宋体" w:hAnsi="宋体"/>
                <w:color w:val="auto"/>
                <w:szCs w:val="21"/>
                <w:highlight w:val="none"/>
              </w:rPr>
              <w:t>2  ……</w:t>
            </w:r>
          </w:p>
          <w:p w14:paraId="416E2B1D">
            <w:pPr>
              <w:rPr>
                <w:rFonts w:ascii="宋体" w:hAnsi="宋体"/>
                <w:color w:val="auto"/>
                <w:szCs w:val="21"/>
                <w:highlight w:val="none"/>
              </w:rPr>
            </w:pPr>
            <w:r>
              <w:rPr>
                <w:rFonts w:ascii="宋体" w:hAnsi="宋体"/>
                <w:color w:val="auto"/>
                <w:szCs w:val="21"/>
                <w:highlight w:val="none"/>
              </w:rPr>
              <w:t>3  ……</w:t>
            </w:r>
          </w:p>
          <w:p w14:paraId="73A1FD66">
            <w:pPr>
              <w:rPr>
                <w:rFonts w:ascii="宋体" w:hAnsi="宋体"/>
                <w:color w:val="auto"/>
                <w:szCs w:val="21"/>
                <w:highlight w:val="none"/>
              </w:rPr>
            </w:pPr>
            <w:r>
              <w:rPr>
                <w:rFonts w:ascii="宋体" w:hAnsi="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ign w:val="center"/>
          </w:tcPr>
          <w:p w14:paraId="15F6D463">
            <w:pPr>
              <w:rPr>
                <w:rFonts w:ascii="宋体" w:hAnsi="宋体"/>
                <w:color w:val="auto"/>
                <w:szCs w:val="21"/>
                <w:highlight w:val="none"/>
              </w:rPr>
            </w:pPr>
            <w:r>
              <w:rPr>
                <w:rFonts w:ascii="宋体" w:hAnsi="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noWrap/>
            <w:vAlign w:val="center"/>
          </w:tcPr>
          <w:p w14:paraId="5A36C063">
            <w:pPr>
              <w:rPr>
                <w:rFonts w:ascii="宋体" w:hAnsi="宋体"/>
                <w:color w:val="auto"/>
                <w:szCs w:val="21"/>
                <w:highlight w:val="none"/>
              </w:rPr>
            </w:pPr>
            <w:r>
              <w:rPr>
                <w:rFonts w:ascii="宋体" w:hAnsi="宋体"/>
                <w:color w:val="auto"/>
                <w:szCs w:val="21"/>
                <w:highlight w:val="none"/>
              </w:rPr>
              <w:t>1  ……</w:t>
            </w:r>
          </w:p>
          <w:p w14:paraId="41A4CC71">
            <w:pPr>
              <w:rPr>
                <w:rFonts w:ascii="宋体" w:hAnsi="宋体"/>
                <w:color w:val="auto"/>
                <w:szCs w:val="21"/>
                <w:highlight w:val="none"/>
              </w:rPr>
            </w:pPr>
            <w:r>
              <w:rPr>
                <w:rFonts w:ascii="宋体" w:hAnsi="宋体"/>
                <w:color w:val="auto"/>
                <w:szCs w:val="21"/>
                <w:highlight w:val="none"/>
              </w:rPr>
              <w:t>2  ……</w:t>
            </w:r>
          </w:p>
          <w:p w14:paraId="1ADBDABC">
            <w:pPr>
              <w:rPr>
                <w:rFonts w:ascii="宋体" w:hAnsi="宋体"/>
                <w:color w:val="auto"/>
                <w:szCs w:val="21"/>
                <w:highlight w:val="none"/>
              </w:rPr>
            </w:pPr>
            <w:r>
              <w:rPr>
                <w:rFonts w:ascii="宋体" w:hAnsi="宋体"/>
                <w:color w:val="auto"/>
                <w:szCs w:val="21"/>
                <w:highlight w:val="none"/>
              </w:rPr>
              <w:t>3  ……</w:t>
            </w:r>
          </w:p>
          <w:p w14:paraId="52043951">
            <w:pPr>
              <w:rPr>
                <w:rFonts w:ascii="宋体" w:hAnsi="宋体"/>
                <w:color w:val="auto"/>
                <w:szCs w:val="21"/>
                <w:highlight w:val="none"/>
              </w:rPr>
            </w:pPr>
            <w:r>
              <w:rPr>
                <w:rFonts w:ascii="宋体" w:hAnsi="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ign w:val="center"/>
          </w:tcPr>
          <w:p w14:paraId="4161715D">
            <w:pPr>
              <w:rPr>
                <w:rFonts w:ascii="宋体" w:hAnsi="宋体"/>
                <w:color w:val="auto"/>
                <w:szCs w:val="21"/>
                <w:highlight w:val="none"/>
              </w:rPr>
            </w:pPr>
            <w:r>
              <w:rPr>
                <w:rFonts w:hint="eastAsia" w:ascii="宋体" w:hAnsi="宋体"/>
                <w:color w:val="auto"/>
                <w:szCs w:val="21"/>
                <w:highlight w:val="none"/>
              </w:rPr>
              <w:t>正偏离（负偏离或无偏离）</w:t>
            </w:r>
          </w:p>
        </w:tc>
      </w:tr>
      <w:tr w14:paraId="13F2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ign w:val="center"/>
          </w:tcPr>
          <w:p w14:paraId="31765204">
            <w:pPr>
              <w:rPr>
                <w:rFonts w:ascii="宋体" w:hAnsi="宋体"/>
                <w:color w:val="auto"/>
                <w:szCs w:val="21"/>
                <w:highlight w:val="none"/>
              </w:rPr>
            </w:pPr>
            <w:r>
              <w:rPr>
                <w:rFonts w:ascii="宋体" w:hAnsi="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noWrap/>
            <w:vAlign w:val="center"/>
          </w:tcPr>
          <w:p w14:paraId="0738630E">
            <w:pPr>
              <w:rPr>
                <w:rFonts w:ascii="宋体" w:hAnsi="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noWrap/>
            <w:vAlign w:val="center"/>
          </w:tcPr>
          <w:p w14:paraId="1B68A901">
            <w:pPr>
              <w:rPr>
                <w:rFonts w:ascii="宋体" w:hAnsi="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ign w:val="center"/>
          </w:tcPr>
          <w:p w14:paraId="2332D93D">
            <w:pPr>
              <w:rPr>
                <w:rFonts w:ascii="宋体" w:hAnsi="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noWrap/>
            <w:vAlign w:val="center"/>
          </w:tcPr>
          <w:p w14:paraId="6FD42A8D">
            <w:pPr>
              <w:rPr>
                <w:rFonts w:ascii="宋体" w:hAnsi="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ign w:val="center"/>
          </w:tcPr>
          <w:p w14:paraId="55E9B89A">
            <w:pPr>
              <w:rPr>
                <w:rFonts w:ascii="宋体" w:hAnsi="宋体"/>
                <w:color w:val="auto"/>
                <w:szCs w:val="21"/>
                <w:highlight w:val="none"/>
              </w:rPr>
            </w:pPr>
          </w:p>
        </w:tc>
      </w:tr>
    </w:tbl>
    <w:p w14:paraId="24BA297D">
      <w:pPr>
        <w:pStyle w:val="13"/>
        <w:spacing w:line="360" w:lineRule="auto"/>
        <w:rPr>
          <w:rFonts w:hAnsi="宋体"/>
          <w:color w:val="auto"/>
          <w:szCs w:val="21"/>
          <w:highlight w:val="none"/>
        </w:rPr>
      </w:pPr>
      <w:r>
        <w:rPr>
          <w:rFonts w:hint="eastAsia" w:hAnsi="宋体"/>
          <w:color w:val="auto"/>
          <w:szCs w:val="21"/>
          <w:highlight w:val="none"/>
        </w:rPr>
        <w:t>注：</w:t>
      </w:r>
    </w:p>
    <w:p w14:paraId="0715A669">
      <w:pPr>
        <w:pStyle w:val="13"/>
        <w:spacing w:line="360" w:lineRule="auto"/>
        <w:rPr>
          <w:rFonts w:hAnsi="宋体"/>
          <w:color w:val="auto"/>
          <w:szCs w:val="21"/>
          <w:highlight w:val="none"/>
        </w:rPr>
      </w:pPr>
      <w:r>
        <w:rPr>
          <w:rFonts w:hint="eastAsia" w:hAnsi="宋体" w:cs="宋体"/>
          <w:color w:val="auto"/>
          <w:szCs w:val="21"/>
          <w:highlight w:val="none"/>
        </w:rPr>
        <w:t>1.</w:t>
      </w:r>
      <w:r>
        <w:rPr>
          <w:rFonts w:hint="eastAsia" w:hAnsi="宋体"/>
          <w:color w:val="auto"/>
          <w:szCs w:val="21"/>
          <w:highlight w:val="none"/>
        </w:rPr>
        <w:t>表格内容均需按要求填写并盖章，不得留空，</w:t>
      </w:r>
      <w:r>
        <w:rPr>
          <w:rFonts w:hint="eastAsia" w:hAnsi="宋体"/>
          <w:bCs/>
          <w:color w:val="auto"/>
          <w:szCs w:val="21"/>
          <w:highlight w:val="none"/>
        </w:rPr>
        <w:t>否则按投标无效处理</w:t>
      </w:r>
      <w:r>
        <w:rPr>
          <w:rFonts w:hint="eastAsia" w:hAnsi="宋体"/>
          <w:color w:val="auto"/>
          <w:szCs w:val="21"/>
          <w:highlight w:val="none"/>
        </w:rPr>
        <w:t>。</w:t>
      </w:r>
    </w:p>
    <w:p w14:paraId="63015470">
      <w:pPr>
        <w:pStyle w:val="13"/>
        <w:spacing w:line="360" w:lineRule="auto"/>
        <w:rPr>
          <w:rFonts w:hAnsi="宋体"/>
          <w:color w:val="auto"/>
          <w:szCs w:val="21"/>
          <w:highlight w:val="none"/>
        </w:rPr>
      </w:pPr>
      <w:r>
        <w:rPr>
          <w:rFonts w:hint="eastAsia" w:hAnsi="宋体"/>
          <w:bCs/>
          <w:color w:val="auto"/>
          <w:szCs w:val="21"/>
          <w:highlight w:val="none"/>
        </w:rPr>
        <w:t>2.当投标文件的货物内容低于招标文件要求时，投标人应当如实写明</w:t>
      </w:r>
      <w:r>
        <w:rPr>
          <w:rFonts w:hAnsi="宋体"/>
          <w:bCs/>
          <w:color w:val="auto"/>
          <w:szCs w:val="21"/>
          <w:highlight w:val="none"/>
        </w:rPr>
        <w:t>“</w:t>
      </w:r>
      <w:r>
        <w:rPr>
          <w:rFonts w:hint="eastAsia" w:hAnsi="宋体"/>
          <w:bCs/>
          <w:color w:val="auto"/>
          <w:szCs w:val="21"/>
          <w:highlight w:val="none"/>
        </w:rPr>
        <w:t>负偏离</w:t>
      </w:r>
      <w:r>
        <w:rPr>
          <w:rFonts w:hAnsi="宋体"/>
          <w:bCs/>
          <w:color w:val="auto"/>
          <w:szCs w:val="21"/>
          <w:highlight w:val="none"/>
        </w:rPr>
        <w:t>”</w:t>
      </w:r>
      <w:r>
        <w:rPr>
          <w:rFonts w:hint="eastAsia" w:hAnsi="宋体"/>
          <w:bCs/>
          <w:color w:val="auto"/>
          <w:szCs w:val="21"/>
          <w:highlight w:val="none"/>
        </w:rPr>
        <w:t>，否则视为虚假应标。</w:t>
      </w:r>
    </w:p>
    <w:p w14:paraId="00FA8B36">
      <w:pPr>
        <w:pStyle w:val="13"/>
        <w:spacing w:line="360" w:lineRule="auto"/>
        <w:rPr>
          <w:rFonts w:hint="eastAsia" w:ascii="宋体" w:hAnsi="宋体" w:eastAsia="宋体"/>
          <w:color w:val="auto"/>
          <w:sz w:val="24"/>
          <w:szCs w:val="24"/>
        </w:rPr>
      </w:pPr>
      <w:r>
        <w:rPr>
          <w:rFonts w:hint="eastAsia"/>
          <w:color w:val="auto"/>
          <w:highlight w:val="none"/>
        </w:rPr>
        <w:t>3.</w:t>
      </w:r>
      <w:r>
        <w:rPr>
          <w:rFonts w:hint="eastAsia" w:hAnsi="宋体" w:cs="宋体"/>
          <w:color w:val="auto"/>
          <w:szCs w:val="21"/>
          <w:highlight w:val="none"/>
        </w:rPr>
        <w:t>采购需求中带“▲”的条款，也要分别在本表“</w:t>
      </w:r>
      <w:r>
        <w:rPr>
          <w:rFonts w:hint="eastAsia" w:hAnsi="宋体"/>
          <w:color w:val="auto"/>
          <w:szCs w:val="21"/>
          <w:highlight w:val="none"/>
        </w:rPr>
        <w:t>货物参数</w:t>
      </w:r>
      <w:r>
        <w:rPr>
          <w:rFonts w:hint="eastAsia" w:hAnsi="宋体" w:cs="宋体"/>
          <w:color w:val="auto"/>
          <w:szCs w:val="21"/>
          <w:highlight w:val="none"/>
        </w:rPr>
        <w:t>”、“</w:t>
      </w:r>
      <w:r>
        <w:rPr>
          <w:rFonts w:hint="eastAsia" w:hAnsi="宋体"/>
          <w:color w:val="auto"/>
          <w:szCs w:val="21"/>
          <w:highlight w:val="none"/>
        </w:rPr>
        <w:t>所提供货物的内容</w:t>
      </w:r>
      <w:r>
        <w:rPr>
          <w:rFonts w:hint="eastAsia" w:hAnsi="宋体" w:cs="宋体"/>
          <w:color w:val="auto"/>
          <w:szCs w:val="21"/>
          <w:highlight w:val="none"/>
        </w:rPr>
        <w:t>”中标记。</w:t>
      </w:r>
    </w:p>
    <w:p w14:paraId="123376C3">
      <w:pPr>
        <w:pStyle w:val="11"/>
        <w:spacing w:line="360" w:lineRule="auto"/>
        <w:ind w:firstLine="0" w:firstLineChars="0"/>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4.投标人认为其投标响应有正偏离的，请在技术偏离表中列明，且在投标文件中提供投标产品的彩页或第三方检测报告复印件或产品生产厂家出具的技术参数说明证明作为佐证，以上佐证材料均需加盖生产厂家或代理商（附生产厂家授权资料）公章。</w:t>
      </w:r>
    </w:p>
    <w:p w14:paraId="0824EB25">
      <w:pPr>
        <w:pStyle w:val="11"/>
        <w:spacing w:line="360" w:lineRule="auto"/>
        <w:ind w:firstLine="0" w:firstLineChars="0"/>
        <w:rPr>
          <w:rFonts w:hint="default"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5.投标人应根据自身实际情况如实响应招标文件，技术需求偏离表中标注产品实际参数数值，不得仅将招标文件内容简单复制粘贴作为投标响应，不注明实际数值的视为未响应，将作无效响应处理（定制采购项目不适用本条款）。验收时采购人按投标人实际响应的参数进行验收。</w:t>
      </w:r>
    </w:p>
    <w:p w14:paraId="5D455C27">
      <w:pPr>
        <w:pStyle w:val="11"/>
        <w:spacing w:line="360" w:lineRule="auto"/>
        <w:ind w:firstLine="0" w:firstLineChars="0"/>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6.如技术偏离表中的投标响应与佐证材料不一致的，以佐证材料为准。</w:t>
      </w:r>
    </w:p>
    <w:p w14:paraId="20E4CD5E">
      <w:pPr>
        <w:pStyle w:val="11"/>
        <w:spacing w:line="360" w:lineRule="auto"/>
        <w:ind w:firstLine="0" w:firstLineChars="0"/>
        <w:rPr>
          <w:rFonts w:hint="eastAsia" w:ascii="宋体" w:hAnsi="宋体" w:eastAsia="宋体" w:cs="Times New Roman"/>
          <w:bCs/>
          <w:color w:val="auto"/>
          <w:kern w:val="2"/>
          <w:sz w:val="21"/>
          <w:szCs w:val="21"/>
          <w:highlight w:val="none"/>
          <w:lang w:val="en-US" w:eastAsia="zh-CN" w:bidi="ar-SA"/>
        </w:rPr>
      </w:pPr>
    </w:p>
    <w:p w14:paraId="53309645">
      <w:pPr>
        <w:snapToGrid w:val="0"/>
        <w:spacing w:line="360" w:lineRule="auto"/>
        <w:ind w:firstLine="5640" w:firstLineChars="2350"/>
        <w:rPr>
          <w:rFonts w:ascii="仿宋_GB2312" w:hAnsi="仿宋" w:eastAsia="仿宋_GB2312" w:cs="仿宋_GB2312"/>
          <w:color w:val="auto"/>
          <w:kern w:val="0"/>
          <w:sz w:val="24"/>
          <w:highlight w:val="none"/>
          <w:lang w:val="zh-CN"/>
        </w:rPr>
      </w:pPr>
    </w:p>
    <w:p w14:paraId="2E62EBCC">
      <w:pPr>
        <w:snapToGrid w:val="0"/>
        <w:spacing w:line="360" w:lineRule="auto"/>
        <w:ind w:firstLine="5640" w:firstLineChars="23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370F6554">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2327E7F5">
      <w:pPr>
        <w:snapToGrid w:val="0"/>
        <w:spacing w:beforeLines="50" w:after="50"/>
        <w:ind w:left="143" w:leftChars="68" w:firstLine="600" w:firstLineChars="200"/>
        <w:jc w:val="left"/>
        <w:rPr>
          <w:rFonts w:ascii="宋体" w:hAnsi="宋体"/>
          <w:color w:val="auto"/>
          <w:sz w:val="30"/>
          <w:szCs w:val="20"/>
          <w:highlight w:val="none"/>
        </w:rPr>
        <w:sectPr>
          <w:footerReference r:id="rId23" w:type="first"/>
          <w:footerReference r:id="rId21" w:type="default"/>
          <w:footerReference r:id="rId22" w:type="even"/>
          <w:pgSz w:w="11906" w:h="16838"/>
          <w:pgMar w:top="1134" w:right="1134" w:bottom="1134" w:left="1134" w:header="720" w:footer="720" w:gutter="0"/>
          <w:pgNumType w:fmt="decimal"/>
          <w:cols w:space="720" w:num="1"/>
          <w:docGrid w:type="lines" w:linePitch="331" w:charSpace="0"/>
        </w:sectPr>
      </w:pPr>
    </w:p>
    <w:p w14:paraId="70934378">
      <w:pPr>
        <w:snapToGrid w:val="0"/>
        <w:spacing w:beforeLines="50" w:after="50"/>
        <w:jc w:val="center"/>
        <w:rPr>
          <w:b/>
          <w:bCs/>
          <w:color w:val="auto"/>
          <w:sz w:val="30"/>
          <w:szCs w:val="30"/>
          <w:highlight w:val="none"/>
        </w:rPr>
      </w:pPr>
      <w:r>
        <w:rPr>
          <w:rFonts w:hint="eastAsia"/>
          <w:b/>
          <w:bCs/>
          <w:color w:val="auto"/>
          <w:sz w:val="30"/>
          <w:szCs w:val="30"/>
          <w:highlight w:val="none"/>
          <w:lang w:eastAsia="zh-CN"/>
        </w:rPr>
        <w:t>三</w:t>
      </w:r>
      <w:r>
        <w:rPr>
          <w:rFonts w:hint="eastAsia"/>
          <w:b/>
          <w:bCs/>
          <w:color w:val="auto"/>
          <w:sz w:val="30"/>
          <w:szCs w:val="30"/>
          <w:highlight w:val="none"/>
        </w:rPr>
        <w:t>、</w:t>
      </w:r>
      <w:r>
        <w:rPr>
          <w:rFonts w:hint="eastAsia"/>
          <w:b/>
          <w:bCs/>
          <w:color w:val="auto"/>
          <w:sz w:val="30"/>
          <w:szCs w:val="30"/>
          <w:highlight w:val="none"/>
          <w:lang w:val="en-US" w:eastAsia="zh-CN"/>
        </w:rPr>
        <w:t>技术</w:t>
      </w:r>
      <w:r>
        <w:rPr>
          <w:rFonts w:hint="eastAsia"/>
          <w:b/>
          <w:bCs/>
          <w:color w:val="auto"/>
          <w:sz w:val="30"/>
          <w:szCs w:val="30"/>
          <w:highlight w:val="none"/>
        </w:rPr>
        <w:t>方案</w:t>
      </w:r>
    </w:p>
    <w:p w14:paraId="1136C7E7">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（由投标人根据采购需求及招标文件要求编制）</w:t>
      </w:r>
    </w:p>
    <w:p w14:paraId="2B3FA649">
      <w:pPr>
        <w:rPr>
          <w:rFonts w:ascii="仿宋_GB2312" w:hAnsi="仿宋" w:eastAsia="仿宋_GB2312" w:cs="仿宋_GB2312"/>
          <w:b/>
          <w:bCs/>
          <w:color w:val="auto"/>
          <w:kern w:val="0"/>
          <w:sz w:val="24"/>
          <w:highlight w:val="none"/>
          <w:lang w:val="zh-CN"/>
        </w:rPr>
      </w:pPr>
    </w:p>
    <w:p w14:paraId="52F4DB62">
      <w:pPr>
        <w:rPr>
          <w:rFonts w:ascii="仿宋_GB2312" w:hAnsi="仿宋" w:eastAsia="仿宋_GB2312" w:cs="仿宋_GB2312"/>
          <w:b/>
          <w:bCs/>
          <w:color w:val="auto"/>
          <w:kern w:val="0"/>
          <w:sz w:val="24"/>
          <w:highlight w:val="none"/>
          <w:lang w:val="zh-CN"/>
        </w:rPr>
      </w:pPr>
    </w:p>
    <w:p w14:paraId="54550868">
      <w:pPr>
        <w:pStyle w:val="27"/>
        <w:ind w:firstLine="0" w:firstLineChars="0"/>
        <w:rPr>
          <w:b/>
          <w:color w:val="auto"/>
          <w:sz w:val="24"/>
          <w:highlight w:val="none"/>
        </w:rPr>
      </w:pPr>
      <w:r>
        <w:rPr>
          <w:rFonts w:hint="eastAsia"/>
          <w:b/>
          <w:color w:val="auto"/>
          <w:sz w:val="24"/>
          <w:highlight w:val="none"/>
        </w:rPr>
        <w:t>项目实施人员一览表格式（格式）</w:t>
      </w:r>
    </w:p>
    <w:tbl>
      <w:tblPr>
        <w:tblStyle w:val="28"/>
        <w:tblpPr w:leftFromText="180" w:rightFromText="180" w:vertAnchor="text" w:horzAnchor="page" w:tblpX="1427" w:tblpY="266"/>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0"/>
        <w:gridCol w:w="1185"/>
        <w:gridCol w:w="3030"/>
        <w:gridCol w:w="1215"/>
        <w:gridCol w:w="1605"/>
      </w:tblGrid>
      <w:tr w14:paraId="7487B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2" w:hRule="atLeast"/>
        </w:trPr>
        <w:tc>
          <w:tcPr>
            <w:tcW w:w="1930" w:type="dxa"/>
            <w:noWrap/>
          </w:tcPr>
          <w:p w14:paraId="29733A73">
            <w:pPr>
              <w:pStyle w:val="57"/>
              <w:rPr>
                <w:color w:val="auto"/>
                <w:sz w:val="24"/>
                <w:highlight w:val="none"/>
                <w:lang w:eastAsia="zh-CN"/>
              </w:rPr>
            </w:pPr>
          </w:p>
          <w:p w14:paraId="2D977DD0">
            <w:pPr>
              <w:pStyle w:val="57"/>
              <w:spacing w:before="10"/>
              <w:rPr>
                <w:color w:val="auto"/>
                <w:sz w:val="27"/>
                <w:highlight w:val="none"/>
                <w:lang w:eastAsia="zh-CN"/>
              </w:rPr>
            </w:pPr>
          </w:p>
          <w:p w14:paraId="0293174D">
            <w:pPr>
              <w:pStyle w:val="57"/>
              <w:ind w:left="281"/>
              <w:rPr>
                <w:color w:val="auto"/>
                <w:sz w:val="24"/>
                <w:highlight w:val="none"/>
              </w:rPr>
            </w:pPr>
            <w:r>
              <w:rPr>
                <w:color w:val="auto"/>
                <w:sz w:val="24"/>
                <w:highlight w:val="none"/>
              </w:rPr>
              <w:t>姓名</w:t>
            </w:r>
          </w:p>
        </w:tc>
        <w:tc>
          <w:tcPr>
            <w:tcW w:w="1185" w:type="dxa"/>
            <w:noWrap/>
          </w:tcPr>
          <w:p w14:paraId="2B1CE656">
            <w:pPr>
              <w:pStyle w:val="57"/>
              <w:rPr>
                <w:color w:val="auto"/>
                <w:sz w:val="24"/>
                <w:highlight w:val="none"/>
              </w:rPr>
            </w:pPr>
          </w:p>
          <w:p w14:paraId="1A4F19C5">
            <w:pPr>
              <w:pStyle w:val="57"/>
              <w:spacing w:before="10"/>
              <w:rPr>
                <w:color w:val="auto"/>
                <w:sz w:val="27"/>
                <w:highlight w:val="none"/>
              </w:rPr>
            </w:pPr>
          </w:p>
          <w:p w14:paraId="2A73F900">
            <w:pPr>
              <w:pStyle w:val="57"/>
              <w:ind w:left="201"/>
              <w:rPr>
                <w:color w:val="auto"/>
                <w:sz w:val="24"/>
                <w:highlight w:val="none"/>
              </w:rPr>
            </w:pPr>
            <w:r>
              <w:rPr>
                <w:color w:val="auto"/>
                <w:sz w:val="24"/>
                <w:highlight w:val="none"/>
              </w:rPr>
              <w:t>职务</w:t>
            </w:r>
          </w:p>
        </w:tc>
        <w:tc>
          <w:tcPr>
            <w:tcW w:w="3030" w:type="dxa"/>
            <w:noWrap/>
          </w:tcPr>
          <w:p w14:paraId="47330016">
            <w:pPr>
              <w:pStyle w:val="57"/>
              <w:spacing w:before="92" w:line="440" w:lineRule="atLeast"/>
              <w:ind w:left="107" w:right="96"/>
              <w:jc w:val="center"/>
              <w:rPr>
                <w:color w:val="auto"/>
                <w:sz w:val="24"/>
                <w:highlight w:val="none"/>
                <w:lang w:eastAsia="zh-CN"/>
              </w:rPr>
            </w:pPr>
            <w:r>
              <w:rPr>
                <w:color w:val="auto"/>
                <w:spacing w:val="-8"/>
                <w:sz w:val="24"/>
                <w:highlight w:val="none"/>
                <w:lang w:eastAsia="zh-CN"/>
              </w:rPr>
              <w:t>专业技术资格</w:t>
            </w:r>
            <w:r>
              <w:rPr>
                <w:color w:val="auto"/>
                <w:sz w:val="24"/>
                <w:highlight w:val="none"/>
                <w:lang w:eastAsia="zh-CN"/>
              </w:rPr>
              <w:t>（职称</w:t>
            </w:r>
            <w:r>
              <w:rPr>
                <w:color w:val="auto"/>
                <w:spacing w:val="-48"/>
                <w:sz w:val="24"/>
                <w:highlight w:val="none"/>
                <w:lang w:eastAsia="zh-CN"/>
              </w:rPr>
              <w:t>）</w:t>
            </w:r>
            <w:r>
              <w:rPr>
                <w:color w:val="auto"/>
                <w:sz w:val="24"/>
                <w:highlight w:val="none"/>
                <w:lang w:eastAsia="zh-CN"/>
              </w:rPr>
              <w:t>或者职业资格或者执业资格证或者其他证书</w:t>
            </w:r>
          </w:p>
        </w:tc>
        <w:tc>
          <w:tcPr>
            <w:tcW w:w="1215" w:type="dxa"/>
            <w:noWrap/>
          </w:tcPr>
          <w:p w14:paraId="74632F3A">
            <w:pPr>
              <w:pStyle w:val="57"/>
              <w:rPr>
                <w:color w:val="auto"/>
                <w:sz w:val="24"/>
                <w:highlight w:val="none"/>
                <w:lang w:eastAsia="zh-CN"/>
              </w:rPr>
            </w:pPr>
          </w:p>
          <w:p w14:paraId="27E0A58F">
            <w:pPr>
              <w:pStyle w:val="57"/>
              <w:spacing w:before="10"/>
              <w:rPr>
                <w:color w:val="auto"/>
                <w:sz w:val="27"/>
                <w:highlight w:val="none"/>
                <w:lang w:eastAsia="zh-CN"/>
              </w:rPr>
            </w:pPr>
          </w:p>
          <w:p w14:paraId="5EDBCEE3">
            <w:pPr>
              <w:pStyle w:val="57"/>
              <w:ind w:left="194"/>
              <w:rPr>
                <w:color w:val="auto"/>
                <w:sz w:val="24"/>
                <w:highlight w:val="none"/>
              </w:rPr>
            </w:pPr>
            <w:r>
              <w:rPr>
                <w:color w:val="auto"/>
                <w:sz w:val="24"/>
                <w:highlight w:val="none"/>
              </w:rPr>
              <w:t>证书编号</w:t>
            </w:r>
          </w:p>
        </w:tc>
        <w:tc>
          <w:tcPr>
            <w:tcW w:w="1605" w:type="dxa"/>
            <w:noWrap/>
            <w:vAlign w:val="center"/>
          </w:tcPr>
          <w:p w14:paraId="0454DF52">
            <w:pPr>
              <w:pStyle w:val="57"/>
              <w:spacing w:line="345" w:lineRule="auto"/>
              <w:ind w:right="179"/>
              <w:jc w:val="center"/>
              <w:rPr>
                <w:color w:val="auto"/>
                <w:sz w:val="24"/>
                <w:highlight w:val="none"/>
              </w:rPr>
            </w:pPr>
            <w:r>
              <w:rPr>
                <w:color w:val="auto"/>
                <w:sz w:val="24"/>
                <w:highlight w:val="none"/>
              </w:rPr>
              <w:t>参加本单位工作时间</w:t>
            </w:r>
          </w:p>
        </w:tc>
      </w:tr>
      <w:tr w14:paraId="5DDD9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930" w:type="dxa"/>
            <w:noWrap/>
          </w:tcPr>
          <w:p w14:paraId="1B3DF26B">
            <w:pPr>
              <w:pStyle w:val="57"/>
              <w:rPr>
                <w:rFonts w:ascii="Times New Roman"/>
                <w:color w:val="auto"/>
                <w:sz w:val="24"/>
                <w:highlight w:val="none"/>
              </w:rPr>
            </w:pPr>
          </w:p>
        </w:tc>
        <w:tc>
          <w:tcPr>
            <w:tcW w:w="1185" w:type="dxa"/>
            <w:noWrap/>
          </w:tcPr>
          <w:p w14:paraId="3612B28C">
            <w:pPr>
              <w:pStyle w:val="57"/>
              <w:rPr>
                <w:rFonts w:ascii="Times New Roman"/>
                <w:color w:val="auto"/>
                <w:sz w:val="24"/>
                <w:highlight w:val="none"/>
              </w:rPr>
            </w:pPr>
          </w:p>
        </w:tc>
        <w:tc>
          <w:tcPr>
            <w:tcW w:w="3030" w:type="dxa"/>
            <w:noWrap/>
          </w:tcPr>
          <w:p w14:paraId="6C3FC695">
            <w:pPr>
              <w:pStyle w:val="57"/>
              <w:rPr>
                <w:rFonts w:ascii="Times New Roman"/>
                <w:color w:val="auto"/>
                <w:sz w:val="24"/>
                <w:highlight w:val="none"/>
              </w:rPr>
            </w:pPr>
          </w:p>
        </w:tc>
        <w:tc>
          <w:tcPr>
            <w:tcW w:w="1215" w:type="dxa"/>
            <w:noWrap/>
          </w:tcPr>
          <w:p w14:paraId="1CDE7D9C">
            <w:pPr>
              <w:pStyle w:val="57"/>
              <w:rPr>
                <w:rFonts w:ascii="Times New Roman"/>
                <w:color w:val="auto"/>
                <w:sz w:val="24"/>
                <w:highlight w:val="none"/>
              </w:rPr>
            </w:pPr>
          </w:p>
        </w:tc>
        <w:tc>
          <w:tcPr>
            <w:tcW w:w="1605" w:type="dxa"/>
            <w:noWrap/>
          </w:tcPr>
          <w:p w14:paraId="6ADBAEDA">
            <w:pPr>
              <w:pStyle w:val="57"/>
              <w:rPr>
                <w:rFonts w:ascii="Times New Roman"/>
                <w:color w:val="auto"/>
                <w:sz w:val="24"/>
                <w:highlight w:val="none"/>
              </w:rPr>
            </w:pPr>
          </w:p>
        </w:tc>
      </w:tr>
      <w:tr w14:paraId="28D95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930" w:type="dxa"/>
            <w:noWrap/>
          </w:tcPr>
          <w:p w14:paraId="0224AB23">
            <w:pPr>
              <w:pStyle w:val="57"/>
              <w:rPr>
                <w:rFonts w:ascii="Times New Roman"/>
                <w:color w:val="auto"/>
                <w:sz w:val="24"/>
                <w:highlight w:val="none"/>
              </w:rPr>
            </w:pPr>
          </w:p>
        </w:tc>
        <w:tc>
          <w:tcPr>
            <w:tcW w:w="1185" w:type="dxa"/>
            <w:noWrap/>
          </w:tcPr>
          <w:p w14:paraId="56DE1B50">
            <w:pPr>
              <w:pStyle w:val="57"/>
              <w:rPr>
                <w:rFonts w:ascii="Times New Roman"/>
                <w:color w:val="auto"/>
                <w:sz w:val="24"/>
                <w:highlight w:val="none"/>
              </w:rPr>
            </w:pPr>
          </w:p>
        </w:tc>
        <w:tc>
          <w:tcPr>
            <w:tcW w:w="3030" w:type="dxa"/>
            <w:noWrap/>
          </w:tcPr>
          <w:p w14:paraId="1233C1A1">
            <w:pPr>
              <w:pStyle w:val="57"/>
              <w:rPr>
                <w:rFonts w:ascii="Times New Roman"/>
                <w:color w:val="auto"/>
                <w:sz w:val="24"/>
                <w:highlight w:val="none"/>
              </w:rPr>
            </w:pPr>
          </w:p>
        </w:tc>
        <w:tc>
          <w:tcPr>
            <w:tcW w:w="1215" w:type="dxa"/>
            <w:noWrap/>
          </w:tcPr>
          <w:p w14:paraId="42AE2D10">
            <w:pPr>
              <w:pStyle w:val="57"/>
              <w:rPr>
                <w:rFonts w:ascii="Times New Roman"/>
                <w:color w:val="auto"/>
                <w:sz w:val="24"/>
                <w:highlight w:val="none"/>
              </w:rPr>
            </w:pPr>
          </w:p>
        </w:tc>
        <w:tc>
          <w:tcPr>
            <w:tcW w:w="1605" w:type="dxa"/>
            <w:noWrap/>
          </w:tcPr>
          <w:p w14:paraId="2C973991">
            <w:pPr>
              <w:pStyle w:val="57"/>
              <w:rPr>
                <w:rFonts w:ascii="Times New Roman"/>
                <w:color w:val="auto"/>
                <w:sz w:val="24"/>
                <w:highlight w:val="none"/>
              </w:rPr>
            </w:pPr>
          </w:p>
        </w:tc>
      </w:tr>
      <w:tr w14:paraId="78F1D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1930" w:type="dxa"/>
            <w:noWrap/>
          </w:tcPr>
          <w:p w14:paraId="3CE5BD09">
            <w:pPr>
              <w:pStyle w:val="57"/>
              <w:rPr>
                <w:rFonts w:ascii="Times New Roman"/>
                <w:color w:val="auto"/>
                <w:sz w:val="24"/>
                <w:highlight w:val="none"/>
              </w:rPr>
            </w:pPr>
          </w:p>
        </w:tc>
        <w:tc>
          <w:tcPr>
            <w:tcW w:w="1185" w:type="dxa"/>
            <w:noWrap/>
          </w:tcPr>
          <w:p w14:paraId="7FB116DB">
            <w:pPr>
              <w:pStyle w:val="57"/>
              <w:rPr>
                <w:rFonts w:ascii="Times New Roman"/>
                <w:color w:val="auto"/>
                <w:sz w:val="24"/>
                <w:highlight w:val="none"/>
              </w:rPr>
            </w:pPr>
          </w:p>
        </w:tc>
        <w:tc>
          <w:tcPr>
            <w:tcW w:w="3030" w:type="dxa"/>
            <w:noWrap/>
          </w:tcPr>
          <w:p w14:paraId="62432390">
            <w:pPr>
              <w:pStyle w:val="57"/>
              <w:rPr>
                <w:rFonts w:ascii="Times New Roman"/>
                <w:color w:val="auto"/>
                <w:sz w:val="24"/>
                <w:highlight w:val="none"/>
              </w:rPr>
            </w:pPr>
          </w:p>
        </w:tc>
        <w:tc>
          <w:tcPr>
            <w:tcW w:w="1215" w:type="dxa"/>
            <w:noWrap/>
          </w:tcPr>
          <w:p w14:paraId="18257729">
            <w:pPr>
              <w:pStyle w:val="57"/>
              <w:rPr>
                <w:rFonts w:ascii="Times New Roman"/>
                <w:color w:val="auto"/>
                <w:sz w:val="24"/>
                <w:highlight w:val="none"/>
              </w:rPr>
            </w:pPr>
          </w:p>
        </w:tc>
        <w:tc>
          <w:tcPr>
            <w:tcW w:w="1605" w:type="dxa"/>
            <w:noWrap/>
          </w:tcPr>
          <w:p w14:paraId="7DC5EA47">
            <w:pPr>
              <w:pStyle w:val="57"/>
              <w:rPr>
                <w:rFonts w:ascii="Times New Roman"/>
                <w:color w:val="auto"/>
                <w:sz w:val="24"/>
                <w:highlight w:val="none"/>
              </w:rPr>
            </w:pPr>
          </w:p>
        </w:tc>
      </w:tr>
    </w:tbl>
    <w:p w14:paraId="44DC2C2A">
      <w:pPr>
        <w:pStyle w:val="10"/>
        <w:spacing w:before="132"/>
        <w:jc w:val="both"/>
        <w:rPr>
          <w:color w:val="auto"/>
          <w:highlight w:val="none"/>
        </w:rPr>
      </w:pPr>
    </w:p>
    <w:p w14:paraId="182E5BA0">
      <w:pPr>
        <w:pStyle w:val="10"/>
        <w:spacing w:before="132"/>
        <w:jc w:val="left"/>
        <w:rPr>
          <w:color w:val="auto"/>
          <w:highlight w:val="none"/>
        </w:rPr>
      </w:pPr>
      <w:r>
        <w:rPr>
          <w:rFonts w:hint="eastAsia"/>
          <w:color w:val="auto"/>
          <w:highlight w:val="none"/>
        </w:rPr>
        <w:t>注：</w:t>
      </w:r>
    </w:p>
    <w:p w14:paraId="1E0946B2">
      <w:pPr>
        <w:pStyle w:val="10"/>
        <w:spacing w:before="132"/>
        <w:jc w:val="both"/>
        <w:rPr>
          <w:rFonts w:ascii="宋体" w:hAnsi="宋体" w:cs="宋体"/>
          <w:color w:val="auto"/>
          <w:szCs w:val="21"/>
          <w:highlight w:val="none"/>
        </w:rPr>
      </w:pPr>
      <w:r>
        <w:rPr>
          <w:rFonts w:hint="eastAsia" w:ascii="宋体" w:hAnsi="宋体" w:cs="宋体"/>
          <w:color w:val="auto"/>
          <w:szCs w:val="21"/>
          <w:highlight w:val="none"/>
        </w:rPr>
        <w:t>1.在填写时，如本表格不适合投标单位的实际情况，可根据本表格式自行制表填写。</w:t>
      </w:r>
    </w:p>
    <w:p w14:paraId="279EE592">
      <w:pPr>
        <w:pStyle w:val="27"/>
        <w:ind w:left="0" w:leftChars="0"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2.投标人应当附本表所列证书的复印件并加盖投标人电子签章。</w:t>
      </w:r>
    </w:p>
    <w:p w14:paraId="1F814819">
      <w:pPr>
        <w:pStyle w:val="27"/>
        <w:ind w:firstLine="0" w:firstLineChars="0"/>
        <w:rPr>
          <w:rFonts w:ascii="宋体" w:hAnsi="宋体" w:cs="宋体"/>
          <w:color w:val="auto"/>
          <w:sz w:val="21"/>
          <w:szCs w:val="21"/>
          <w:highlight w:val="none"/>
        </w:rPr>
      </w:pPr>
    </w:p>
    <w:p w14:paraId="4A82F470">
      <w:pPr>
        <w:snapToGrid w:val="0"/>
        <w:spacing w:line="360" w:lineRule="auto"/>
        <w:ind w:firstLine="5040" w:firstLineChars="2100"/>
        <w:rPr>
          <w:rFonts w:ascii="仿宋_GB2312" w:hAnsi="仿宋" w:eastAsia="仿宋_GB2312" w:cs="仿宋_GB2312"/>
          <w:color w:val="auto"/>
          <w:kern w:val="0"/>
          <w:sz w:val="24"/>
          <w:highlight w:val="none"/>
          <w:lang w:val="zh-CN"/>
        </w:rPr>
      </w:pPr>
    </w:p>
    <w:p w14:paraId="16CE65B9">
      <w:pPr>
        <w:pStyle w:val="45"/>
        <w:rPr>
          <w:color w:val="auto"/>
          <w:highlight w:val="none"/>
          <w:lang w:val="zh-CN"/>
        </w:rPr>
      </w:pPr>
    </w:p>
    <w:p w14:paraId="5EB52E86">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0F22A0E0">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5430087D">
      <w:pPr>
        <w:pStyle w:val="5"/>
        <w:ind w:left="412" w:leftChars="196" w:firstLine="3614" w:firstLineChars="1200"/>
        <w:rPr>
          <w:rFonts w:ascii="Calibri" w:hAnsi="Calibri"/>
          <w:color w:val="auto"/>
          <w:sz w:val="30"/>
          <w:szCs w:val="30"/>
          <w:highlight w:val="none"/>
        </w:rPr>
      </w:pPr>
    </w:p>
    <w:p w14:paraId="3F2B7599">
      <w:pPr>
        <w:pStyle w:val="5"/>
        <w:ind w:left="0" w:firstLine="3915" w:firstLineChars="1300"/>
        <w:rPr>
          <w:rFonts w:ascii="Calibri" w:hAnsi="Calibri"/>
          <w:color w:val="auto"/>
          <w:sz w:val="30"/>
          <w:szCs w:val="30"/>
          <w:highlight w:val="none"/>
        </w:rPr>
      </w:pPr>
      <w:r>
        <w:rPr>
          <w:rFonts w:hint="eastAsia" w:ascii="Calibri" w:hAnsi="Calibri"/>
          <w:color w:val="auto"/>
          <w:sz w:val="30"/>
          <w:szCs w:val="30"/>
          <w:highlight w:val="none"/>
          <w:lang w:eastAsia="zh-CN"/>
        </w:rPr>
        <w:t>四</w:t>
      </w:r>
      <w:r>
        <w:rPr>
          <w:rFonts w:hint="eastAsia" w:ascii="Calibri" w:hAnsi="Calibri"/>
          <w:color w:val="auto"/>
          <w:sz w:val="30"/>
          <w:szCs w:val="30"/>
          <w:highlight w:val="none"/>
        </w:rPr>
        <w:t>、</w:t>
      </w:r>
      <w:r>
        <w:rPr>
          <w:rFonts w:hint="eastAsia" w:ascii="Calibri" w:hAnsi="Calibri"/>
          <w:color w:val="auto"/>
          <w:sz w:val="30"/>
          <w:szCs w:val="30"/>
          <w:highlight w:val="none"/>
          <w:lang w:val="zh-CN"/>
        </w:rPr>
        <w:t>售后服务</w:t>
      </w:r>
      <w:r>
        <w:rPr>
          <w:rFonts w:hint="eastAsia" w:ascii="Calibri" w:hAnsi="Calibri"/>
          <w:color w:val="auto"/>
          <w:sz w:val="30"/>
          <w:szCs w:val="30"/>
          <w:highlight w:val="none"/>
        </w:rPr>
        <w:t>方案</w:t>
      </w:r>
    </w:p>
    <w:p w14:paraId="47F235B5">
      <w:pPr>
        <w:autoSpaceDE w:val="0"/>
        <w:autoSpaceDN w:val="0"/>
        <w:spacing w:line="360" w:lineRule="auto"/>
        <w:ind w:firstLine="1200" w:firstLineChars="50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（由投标人根据采购需求及招标文件要求编制，需包含售后服务承诺书）</w:t>
      </w:r>
    </w:p>
    <w:p w14:paraId="16F8D686">
      <w:pPr>
        <w:snapToGrid w:val="0"/>
        <w:spacing w:line="360" w:lineRule="auto"/>
        <w:rPr>
          <w:rFonts w:ascii="仿宋_GB2312" w:hAnsi="仿宋" w:eastAsia="仿宋_GB2312" w:cs="仿宋_GB2312"/>
          <w:b/>
          <w:bCs/>
          <w:color w:val="auto"/>
          <w:kern w:val="0"/>
          <w:sz w:val="24"/>
          <w:highlight w:val="none"/>
        </w:rPr>
      </w:pPr>
    </w:p>
    <w:p w14:paraId="12482F36">
      <w:pPr>
        <w:snapToGrid w:val="0"/>
        <w:spacing w:line="360" w:lineRule="auto"/>
        <w:ind w:firstLine="4935" w:firstLineChars="2350"/>
        <w:rPr>
          <w:rFonts w:hAnsi="宋体"/>
          <w:color w:val="auto"/>
          <w:szCs w:val="21"/>
          <w:highlight w:val="none"/>
        </w:rPr>
      </w:pPr>
    </w:p>
    <w:p w14:paraId="61EA5AA3">
      <w:pPr>
        <w:pStyle w:val="45"/>
        <w:rPr>
          <w:color w:val="auto"/>
          <w:highlight w:val="none"/>
        </w:rPr>
      </w:pPr>
    </w:p>
    <w:p w14:paraId="437308A8">
      <w:pPr>
        <w:spacing w:line="360" w:lineRule="auto"/>
        <w:jc w:val="center"/>
        <w:rPr>
          <w:rFonts w:ascii="仿宋_GB2312" w:hAnsi="仿宋" w:eastAsia="仿宋_GB2312" w:cs="仿宋_GB2312"/>
          <w:color w:val="auto"/>
          <w:sz w:val="18"/>
          <w:szCs w:val="18"/>
          <w:highlight w:val="none"/>
        </w:rPr>
      </w:pPr>
    </w:p>
    <w:p w14:paraId="3C9D7CB3">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6843A41A">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526FD62F">
      <w:pPr>
        <w:snapToGrid w:val="0"/>
        <w:spacing w:beforeLines="50" w:after="50"/>
        <w:jc w:val="left"/>
        <w:rPr>
          <w:rFonts w:ascii="宋体" w:hAnsi="宋体"/>
          <w:b/>
          <w:color w:val="auto"/>
          <w:sz w:val="32"/>
          <w:szCs w:val="32"/>
          <w:highlight w:val="none"/>
        </w:rPr>
      </w:pPr>
      <w:r>
        <w:rPr>
          <w:rFonts w:hint="eastAsia" w:ascii="宋体" w:hAnsi="宋体"/>
          <w:b/>
          <w:color w:val="auto"/>
          <w:sz w:val="32"/>
          <w:szCs w:val="32"/>
          <w:highlight w:val="none"/>
          <w:lang w:eastAsia="zh-CN"/>
        </w:rPr>
        <w:t>五</w:t>
      </w:r>
      <w:r>
        <w:rPr>
          <w:rFonts w:hint="eastAsia" w:ascii="宋体" w:hAnsi="宋体"/>
          <w:b/>
          <w:color w:val="auto"/>
          <w:sz w:val="32"/>
          <w:szCs w:val="32"/>
          <w:highlight w:val="none"/>
        </w:rPr>
        <w:t>、 对应第二章“采购需求”技术参数中要求必须提供的文件资料</w:t>
      </w:r>
    </w:p>
    <w:p w14:paraId="1004444D">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14:paraId="14782ADE">
      <w:pPr>
        <w:snapToGrid w:val="0"/>
        <w:spacing w:line="360" w:lineRule="auto"/>
        <w:ind w:firstLine="5160" w:firstLineChars="21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0DDF5159">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6B352C3B">
      <w:pPr>
        <w:pStyle w:val="5"/>
        <w:rPr>
          <w:color w:val="auto"/>
          <w:highlight w:val="none"/>
        </w:rPr>
      </w:pPr>
    </w:p>
    <w:p w14:paraId="137DEA71">
      <w:pPr>
        <w:snapToGrid w:val="0"/>
        <w:spacing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lang w:eastAsia="zh-CN"/>
        </w:rPr>
        <w:t>六</w:t>
      </w:r>
      <w:r>
        <w:rPr>
          <w:rFonts w:hint="eastAsia" w:ascii="宋体" w:hAnsi="宋体"/>
          <w:b/>
          <w:color w:val="auto"/>
          <w:sz w:val="32"/>
          <w:szCs w:val="32"/>
          <w:highlight w:val="none"/>
        </w:rPr>
        <w:t>、对本项目总体要求的理解（如有要求）</w:t>
      </w:r>
    </w:p>
    <w:p w14:paraId="2D80F75E">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14:paraId="2AE3805D">
      <w:pPr>
        <w:snapToGrid w:val="0"/>
        <w:spacing w:line="360" w:lineRule="auto"/>
        <w:ind w:firstLine="5160" w:firstLineChars="2150"/>
        <w:rPr>
          <w:rFonts w:ascii="仿宋_GB2312" w:hAnsi="仿宋" w:eastAsia="仿宋_GB2312" w:cs="仿宋_GB2312"/>
          <w:color w:val="auto"/>
          <w:kern w:val="0"/>
          <w:sz w:val="24"/>
          <w:highlight w:val="none"/>
          <w:lang w:val="zh-CN"/>
        </w:rPr>
      </w:pPr>
    </w:p>
    <w:p w14:paraId="16703B6C">
      <w:pPr>
        <w:snapToGrid w:val="0"/>
        <w:spacing w:line="360" w:lineRule="auto"/>
        <w:ind w:firstLine="5160" w:firstLineChars="21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56542935">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390952FC">
      <w:pPr>
        <w:snapToGrid w:val="0"/>
        <w:spacing w:beforeLines="50" w:after="50"/>
        <w:ind w:left="142"/>
        <w:jc w:val="center"/>
        <w:rPr>
          <w:rFonts w:ascii="宋体" w:hAnsi="宋体"/>
          <w:b/>
          <w:color w:val="auto"/>
          <w:sz w:val="32"/>
          <w:szCs w:val="32"/>
          <w:highlight w:val="none"/>
        </w:rPr>
      </w:pPr>
    </w:p>
    <w:p w14:paraId="6509A41B">
      <w:pPr>
        <w:snapToGrid w:val="0"/>
        <w:spacing w:beforeLines="50" w:after="50"/>
        <w:rPr>
          <w:rFonts w:ascii="宋体" w:hAnsi="宋体"/>
          <w:b/>
          <w:color w:val="auto"/>
          <w:sz w:val="32"/>
          <w:szCs w:val="32"/>
          <w:highlight w:val="none"/>
        </w:rPr>
      </w:pPr>
    </w:p>
    <w:p w14:paraId="7C5C2330">
      <w:pPr>
        <w:snapToGrid w:val="0"/>
        <w:spacing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lang w:eastAsia="zh-CN"/>
        </w:rPr>
        <w:t>七</w:t>
      </w:r>
      <w:r>
        <w:rPr>
          <w:rFonts w:hint="eastAsia" w:ascii="宋体" w:hAnsi="宋体"/>
          <w:b/>
          <w:color w:val="auto"/>
          <w:sz w:val="32"/>
          <w:szCs w:val="32"/>
          <w:highlight w:val="none"/>
        </w:rPr>
        <w:t>、产品出厂标准、质量检测报告</w:t>
      </w:r>
    </w:p>
    <w:p w14:paraId="43AD7C5C">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14:paraId="5AD5B9FE">
      <w:pPr>
        <w:snapToGrid w:val="0"/>
        <w:spacing w:beforeLines="50" w:after="50"/>
        <w:ind w:left="142"/>
        <w:jc w:val="center"/>
        <w:rPr>
          <w:rFonts w:ascii="宋体" w:hAnsi="宋体"/>
          <w:b/>
          <w:color w:val="auto"/>
          <w:sz w:val="32"/>
          <w:szCs w:val="32"/>
          <w:highlight w:val="none"/>
        </w:rPr>
      </w:pPr>
    </w:p>
    <w:p w14:paraId="411CF468">
      <w:pPr>
        <w:snapToGrid w:val="0"/>
        <w:spacing w:line="360" w:lineRule="auto"/>
        <w:ind w:firstLine="5160" w:firstLineChars="21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373CAFC9">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17469D0A">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lang w:eastAsia="zh-CN"/>
        </w:rPr>
        <w:t>八</w:t>
      </w:r>
      <w:r>
        <w:rPr>
          <w:rFonts w:hint="eastAsia" w:ascii="宋体" w:hAnsi="宋体"/>
          <w:b/>
          <w:color w:val="auto"/>
          <w:sz w:val="32"/>
          <w:szCs w:val="32"/>
          <w:highlight w:val="none"/>
        </w:rPr>
        <w:t>、优惠条件及特殊承诺</w:t>
      </w:r>
    </w:p>
    <w:p w14:paraId="1E738C7B">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14:paraId="48D6E807">
      <w:pPr>
        <w:spacing w:line="360" w:lineRule="auto"/>
        <w:jc w:val="center"/>
        <w:rPr>
          <w:rFonts w:ascii="仿宋_GB2312" w:hAnsi="仿宋" w:eastAsia="仿宋_GB2312" w:cs="仿宋_GB2312"/>
          <w:color w:val="auto"/>
          <w:sz w:val="18"/>
          <w:szCs w:val="18"/>
          <w:highlight w:val="none"/>
        </w:rPr>
      </w:pPr>
    </w:p>
    <w:p w14:paraId="2966F1F3">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4FD98404">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7AAEADA7">
      <w:pPr>
        <w:snapToGrid w:val="0"/>
        <w:spacing w:beforeLines="50" w:after="50"/>
        <w:ind w:left="142"/>
        <w:jc w:val="center"/>
        <w:rPr>
          <w:rFonts w:ascii="宋体" w:hAnsi="宋体"/>
          <w:b/>
          <w:color w:val="auto"/>
          <w:sz w:val="32"/>
          <w:szCs w:val="32"/>
          <w:highlight w:val="none"/>
        </w:rPr>
      </w:pPr>
    </w:p>
    <w:p w14:paraId="133F4AD5">
      <w:pPr>
        <w:snapToGrid w:val="0"/>
        <w:spacing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lang w:eastAsia="zh-CN"/>
        </w:rPr>
        <w:t>九</w:t>
      </w:r>
      <w:r>
        <w:rPr>
          <w:rFonts w:hint="eastAsia" w:ascii="宋体" w:hAnsi="宋体"/>
          <w:b/>
          <w:color w:val="auto"/>
          <w:sz w:val="32"/>
          <w:szCs w:val="32"/>
          <w:highlight w:val="none"/>
        </w:rPr>
        <w:t>、投标人对项目的合理化建议和改进措施</w:t>
      </w:r>
    </w:p>
    <w:p w14:paraId="72460266">
      <w:pPr>
        <w:spacing w:line="360" w:lineRule="auto"/>
        <w:ind w:firstLine="4048" w:firstLineChars="1687"/>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（格式自拟）</w:t>
      </w:r>
    </w:p>
    <w:p w14:paraId="3519E256">
      <w:pPr>
        <w:snapToGrid w:val="0"/>
        <w:spacing w:line="360" w:lineRule="auto"/>
        <w:ind w:firstLine="4935" w:firstLineChars="2350"/>
        <w:rPr>
          <w:rFonts w:hAnsi="宋体"/>
          <w:color w:val="auto"/>
          <w:szCs w:val="21"/>
          <w:highlight w:val="none"/>
        </w:rPr>
      </w:pPr>
    </w:p>
    <w:p w14:paraId="2E48CAC1">
      <w:pPr>
        <w:snapToGrid w:val="0"/>
        <w:spacing w:line="360" w:lineRule="auto"/>
        <w:rPr>
          <w:rFonts w:hAnsi="宋体"/>
          <w:color w:val="auto"/>
          <w:szCs w:val="21"/>
          <w:highlight w:val="none"/>
        </w:rPr>
      </w:pPr>
    </w:p>
    <w:p w14:paraId="111DD19F">
      <w:pPr>
        <w:snapToGrid w:val="0"/>
        <w:spacing w:line="360" w:lineRule="auto"/>
        <w:ind w:firstLine="5640" w:firstLineChars="23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397C906C">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754ED616">
      <w:pPr>
        <w:autoSpaceDE w:val="0"/>
        <w:autoSpaceDN w:val="0"/>
        <w:spacing w:line="360" w:lineRule="auto"/>
        <w:ind w:firstLine="120"/>
        <w:rPr>
          <w:rFonts w:ascii="仿宋_GB2312" w:hAnsi="仿宋" w:eastAsia="仿宋_GB2312" w:cs="仿宋_GB2312"/>
          <w:color w:val="auto"/>
          <w:sz w:val="24"/>
          <w:highlight w:val="none"/>
        </w:rPr>
      </w:pPr>
    </w:p>
    <w:p w14:paraId="77832B10">
      <w:pPr>
        <w:spacing w:line="360" w:lineRule="auto"/>
        <w:rPr>
          <w:rFonts w:ascii="宋体" w:hAnsi="宋体"/>
          <w:b/>
          <w:color w:val="auto"/>
          <w:sz w:val="32"/>
          <w:szCs w:val="32"/>
          <w:highlight w:val="none"/>
        </w:rPr>
      </w:pPr>
      <w:r>
        <w:rPr>
          <w:rFonts w:hint="eastAsia" w:ascii="宋体" w:hAnsi="宋体"/>
          <w:b/>
          <w:color w:val="auto"/>
          <w:sz w:val="32"/>
          <w:szCs w:val="32"/>
          <w:highlight w:val="none"/>
        </w:rPr>
        <w:t xml:space="preserve">           </w:t>
      </w:r>
      <w:r>
        <w:rPr>
          <w:rFonts w:hint="eastAsia" w:ascii="宋体" w:hAnsi="宋体"/>
          <w:b/>
          <w:color w:val="auto"/>
          <w:sz w:val="32"/>
          <w:szCs w:val="32"/>
          <w:highlight w:val="none"/>
          <w:lang w:eastAsia="zh-CN"/>
        </w:rPr>
        <w:t>十</w:t>
      </w:r>
      <w:r>
        <w:rPr>
          <w:rFonts w:hint="eastAsia" w:ascii="宋体" w:hAnsi="宋体"/>
          <w:b/>
          <w:color w:val="auto"/>
          <w:sz w:val="32"/>
          <w:szCs w:val="32"/>
          <w:highlight w:val="none"/>
        </w:rPr>
        <w:t>、认为需要的其他技术文件或说明（如有）</w:t>
      </w:r>
    </w:p>
    <w:p w14:paraId="11419895">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（格式自拟）</w:t>
      </w:r>
    </w:p>
    <w:p w14:paraId="3193ED8F">
      <w:pPr>
        <w:snapToGrid w:val="0"/>
        <w:spacing w:beforeLines="50" w:after="50"/>
        <w:ind w:left="142"/>
        <w:jc w:val="center"/>
        <w:rPr>
          <w:rFonts w:ascii="宋体" w:hAnsi="宋体"/>
          <w:b/>
          <w:color w:val="auto"/>
          <w:sz w:val="32"/>
          <w:szCs w:val="32"/>
          <w:highlight w:val="none"/>
        </w:rPr>
      </w:pPr>
    </w:p>
    <w:p w14:paraId="567640B4">
      <w:pPr>
        <w:snapToGrid w:val="0"/>
        <w:spacing w:line="360" w:lineRule="auto"/>
        <w:ind w:firstLine="5640" w:firstLineChars="23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689BC45E">
      <w:pPr>
        <w:snapToGrid w:val="0"/>
        <w:spacing w:line="360" w:lineRule="auto"/>
        <w:ind w:firstLine="5880" w:firstLineChars="24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2F0BB4B2">
      <w:pPr>
        <w:pStyle w:val="5"/>
        <w:rPr>
          <w:color w:val="auto"/>
          <w:highlight w:val="none"/>
        </w:rPr>
        <w:sectPr>
          <w:pgSz w:w="11906" w:h="16838"/>
          <w:pgMar w:top="1134" w:right="1134" w:bottom="1134" w:left="1134" w:header="720" w:footer="720" w:gutter="0"/>
          <w:pgNumType w:fmt="decimal"/>
          <w:cols w:space="720" w:num="1"/>
          <w:docGrid w:type="lines" w:linePitch="331" w:charSpace="0"/>
        </w:sectPr>
      </w:pPr>
    </w:p>
    <w:p w14:paraId="47B2BF43">
      <w:pPr>
        <w:pStyle w:val="13"/>
        <w:jc w:val="center"/>
        <w:outlineLvl w:val="1"/>
        <w:rPr>
          <w:rFonts w:hAnsi="宋体"/>
          <w:b/>
          <w:bCs/>
          <w:color w:val="auto"/>
          <w:sz w:val="28"/>
          <w:szCs w:val="28"/>
          <w:highlight w:val="none"/>
        </w:rPr>
      </w:pPr>
      <w:bookmarkStart w:id="174" w:name="_Toc89076014"/>
      <w:r>
        <w:rPr>
          <w:rFonts w:hint="eastAsia" w:hAnsi="宋体"/>
          <w:b/>
          <w:bCs/>
          <w:color w:val="auto"/>
          <w:sz w:val="28"/>
          <w:szCs w:val="28"/>
          <w:highlight w:val="none"/>
        </w:rPr>
        <w:t>第五节 报价文件格式</w:t>
      </w:r>
      <w:bookmarkEnd w:id="174"/>
    </w:p>
    <w:p w14:paraId="4C64BCA6">
      <w:pPr>
        <w:snapToGrid w:val="0"/>
        <w:spacing w:beforeLines="50" w:after="50" w:line="400" w:lineRule="exact"/>
        <w:rPr>
          <w:rFonts w:ascii="宋体" w:hAnsi="宋体"/>
          <w:bCs/>
          <w:color w:val="auto"/>
          <w:sz w:val="32"/>
          <w:szCs w:val="20"/>
          <w:highlight w:val="none"/>
        </w:rPr>
      </w:pPr>
      <w:r>
        <w:rPr>
          <w:rFonts w:hint="eastAsia" w:ascii="宋体" w:hAnsi="宋体"/>
          <w:bCs/>
          <w:color w:val="auto"/>
          <w:highlight w:val="none"/>
        </w:rPr>
        <w:t>电子投标文件</w:t>
      </w:r>
    </w:p>
    <w:p w14:paraId="2F2F4A84">
      <w:pPr>
        <w:snapToGrid w:val="0"/>
        <w:spacing w:beforeLines="50" w:after="50" w:line="400" w:lineRule="exact"/>
        <w:jc w:val="center"/>
        <w:rPr>
          <w:rFonts w:ascii="宋体" w:hAnsi="宋体"/>
          <w:bCs/>
          <w:color w:val="auto"/>
          <w:sz w:val="24"/>
          <w:szCs w:val="20"/>
          <w:highlight w:val="none"/>
        </w:rPr>
      </w:pPr>
    </w:p>
    <w:p w14:paraId="430F06BE">
      <w:pPr>
        <w:snapToGrid w:val="0"/>
        <w:spacing w:beforeLines="50" w:after="50"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报价文件（封面）</w:t>
      </w:r>
    </w:p>
    <w:p w14:paraId="35F2907C">
      <w:pPr>
        <w:snapToGrid w:val="0"/>
        <w:spacing w:beforeLines="50" w:after="50" w:line="400" w:lineRule="exact"/>
        <w:rPr>
          <w:rFonts w:ascii="宋体" w:hAnsi="宋体"/>
          <w:bCs/>
          <w:color w:val="auto"/>
          <w:sz w:val="24"/>
          <w:szCs w:val="20"/>
          <w:highlight w:val="none"/>
        </w:rPr>
      </w:pPr>
    </w:p>
    <w:p w14:paraId="7C25745B">
      <w:pPr>
        <w:snapToGrid w:val="0"/>
        <w:spacing w:beforeLines="50" w:after="50" w:line="400" w:lineRule="exact"/>
        <w:rPr>
          <w:rFonts w:ascii="宋体" w:hAnsi="宋体"/>
          <w:bCs/>
          <w:color w:val="auto"/>
          <w:sz w:val="24"/>
          <w:szCs w:val="20"/>
          <w:highlight w:val="none"/>
        </w:rPr>
      </w:pPr>
    </w:p>
    <w:p w14:paraId="0799E08A">
      <w:pPr>
        <w:snapToGrid w:val="0"/>
        <w:spacing w:beforeLines="50" w:after="50" w:line="400" w:lineRule="exact"/>
        <w:rPr>
          <w:rFonts w:ascii="宋体" w:hAnsi="宋体"/>
          <w:bCs/>
          <w:color w:val="auto"/>
          <w:sz w:val="24"/>
          <w:szCs w:val="20"/>
          <w:highlight w:val="none"/>
        </w:rPr>
      </w:pPr>
    </w:p>
    <w:p w14:paraId="6BC118A7">
      <w:pPr>
        <w:snapToGrid w:val="0"/>
        <w:spacing w:beforeLines="50" w:after="50" w:line="400" w:lineRule="exact"/>
        <w:rPr>
          <w:rFonts w:ascii="宋体" w:hAnsi="宋体"/>
          <w:bCs/>
          <w:color w:val="auto"/>
          <w:sz w:val="24"/>
          <w:szCs w:val="20"/>
          <w:highlight w:val="none"/>
        </w:rPr>
      </w:pPr>
    </w:p>
    <w:p w14:paraId="4FF8E6A2">
      <w:pPr>
        <w:snapToGrid w:val="0"/>
        <w:spacing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p>
    <w:p w14:paraId="21DF4369">
      <w:pPr>
        <w:snapToGrid w:val="0"/>
        <w:spacing w:beforeLines="50" w:after="50" w:line="400" w:lineRule="exact"/>
        <w:ind w:firstLine="360" w:firstLineChars="150"/>
        <w:rPr>
          <w:rFonts w:ascii="宋体" w:hAnsi="宋体"/>
          <w:bCs/>
          <w:color w:val="auto"/>
          <w:sz w:val="24"/>
          <w:highlight w:val="none"/>
        </w:rPr>
      </w:pPr>
    </w:p>
    <w:p w14:paraId="5B251BCD">
      <w:pPr>
        <w:snapToGrid w:val="0"/>
        <w:spacing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14:paraId="27896C62">
      <w:pPr>
        <w:snapToGrid w:val="0"/>
        <w:spacing w:beforeLines="50" w:after="50" w:line="400" w:lineRule="exact"/>
        <w:ind w:firstLine="360" w:firstLineChars="150"/>
        <w:rPr>
          <w:rFonts w:ascii="宋体" w:hAnsi="宋体"/>
          <w:bCs/>
          <w:color w:val="auto"/>
          <w:sz w:val="24"/>
          <w:highlight w:val="none"/>
        </w:rPr>
      </w:pPr>
    </w:p>
    <w:p w14:paraId="5CE54DE9">
      <w:pPr>
        <w:snapToGrid w:val="0"/>
        <w:spacing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w:t>
      </w:r>
      <w:r>
        <w:rPr>
          <w:rFonts w:hint="eastAsia" w:ascii="宋体" w:hAnsi="宋体" w:eastAsia="宋体" w:cs="宋体"/>
          <w:bCs/>
          <w:color w:val="auto"/>
          <w:sz w:val="24"/>
          <w:highlight w:val="none"/>
        </w:rPr>
        <w:t>（如有则填写，无分标时填写“无”或者留空）</w:t>
      </w:r>
      <w:r>
        <w:rPr>
          <w:rFonts w:hint="eastAsia" w:ascii="宋体" w:hAnsi="宋体"/>
          <w:bCs/>
          <w:color w:val="auto"/>
          <w:sz w:val="24"/>
          <w:highlight w:val="none"/>
        </w:rPr>
        <w:t>：</w:t>
      </w:r>
    </w:p>
    <w:p w14:paraId="77A9C615">
      <w:pPr>
        <w:snapToGrid w:val="0"/>
        <w:spacing w:beforeLines="50" w:after="50" w:line="400" w:lineRule="exact"/>
        <w:ind w:firstLine="360" w:firstLineChars="150"/>
        <w:rPr>
          <w:rFonts w:ascii="宋体" w:hAnsi="宋体"/>
          <w:bCs/>
          <w:color w:val="auto"/>
          <w:sz w:val="24"/>
          <w:highlight w:val="none"/>
        </w:rPr>
      </w:pPr>
    </w:p>
    <w:p w14:paraId="6DA614DA">
      <w:pPr>
        <w:snapToGrid w:val="0"/>
        <w:spacing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14:paraId="66BCD801">
      <w:pPr>
        <w:snapToGrid w:val="0"/>
        <w:spacing w:beforeLines="50" w:after="50" w:line="400" w:lineRule="exact"/>
        <w:ind w:firstLine="360" w:firstLineChars="150"/>
        <w:rPr>
          <w:rFonts w:ascii="宋体" w:hAnsi="宋体"/>
          <w:bCs/>
          <w:color w:val="auto"/>
          <w:sz w:val="24"/>
          <w:highlight w:val="none"/>
        </w:rPr>
      </w:pPr>
    </w:p>
    <w:p w14:paraId="3FC7BB0A">
      <w:pPr>
        <w:snapToGrid w:val="0"/>
        <w:spacing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投标人地址：</w:t>
      </w:r>
    </w:p>
    <w:p w14:paraId="583E4916">
      <w:pPr>
        <w:pStyle w:val="7"/>
        <w:snapToGrid w:val="0"/>
        <w:spacing w:before="50" w:after="50" w:line="400" w:lineRule="exact"/>
        <w:ind w:firstLine="960" w:firstLineChars="400"/>
        <w:rPr>
          <w:rFonts w:ascii="宋体" w:hAnsi="宋体"/>
          <w:bCs/>
          <w:color w:val="auto"/>
          <w:sz w:val="24"/>
          <w:szCs w:val="24"/>
          <w:highlight w:val="none"/>
        </w:rPr>
      </w:pPr>
    </w:p>
    <w:p w14:paraId="21428616">
      <w:pPr>
        <w:snapToGrid w:val="0"/>
        <w:spacing w:beforeLines="50" w:after="50" w:line="400" w:lineRule="exact"/>
        <w:rPr>
          <w:rFonts w:ascii="宋体" w:hAnsi="宋体"/>
          <w:color w:val="auto"/>
          <w:sz w:val="24"/>
          <w:highlight w:val="none"/>
        </w:rPr>
        <w:sectPr>
          <w:pgSz w:w="11906" w:h="16838"/>
          <w:pgMar w:top="1134" w:right="1134" w:bottom="1134" w:left="1134" w:header="720" w:footer="720" w:gutter="0"/>
          <w:pgNumType w:fmt="decimal"/>
          <w:cols w:space="720" w:num="1"/>
          <w:docGrid w:type="lines" w:linePitch="331" w:charSpace="0"/>
        </w:sectPr>
      </w:pPr>
      <w:r>
        <w:rPr>
          <w:rFonts w:hint="eastAsia" w:ascii="宋体" w:hAnsi="宋体"/>
          <w:color w:val="auto"/>
          <w:sz w:val="24"/>
          <w:highlight w:val="none"/>
        </w:rPr>
        <w:t xml:space="preserve">                                                       年  月  日</w:t>
      </w:r>
    </w:p>
    <w:p w14:paraId="7740CCDA">
      <w:pPr>
        <w:rPr>
          <w:rFonts w:ascii="宋体" w:hAnsi="宋体" w:cs="宋体"/>
          <w:color w:val="auto"/>
          <w:highlight w:val="none"/>
        </w:rPr>
      </w:pPr>
    </w:p>
    <w:p w14:paraId="35AAB9EE">
      <w:pPr>
        <w:snapToGrid w:val="0"/>
        <w:spacing w:beforeLines="50" w:after="50"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报价文件目录</w:t>
      </w:r>
    </w:p>
    <w:p w14:paraId="26644892">
      <w:pPr>
        <w:rPr>
          <w:rFonts w:ascii="宋体" w:hAnsi="宋体" w:cs="宋体"/>
          <w:color w:val="auto"/>
          <w:highlight w:val="none"/>
        </w:rPr>
      </w:pPr>
    </w:p>
    <w:p w14:paraId="00791944">
      <w:pP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一、投标函………………………………………………………（页码）</w:t>
      </w:r>
    </w:p>
    <w:p w14:paraId="6645EFC9">
      <w:pPr>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二、开标一览表…………………………………………………（页码）</w:t>
      </w:r>
    </w:p>
    <w:p w14:paraId="03147341">
      <w:pPr>
        <w:pStyle w:val="10"/>
        <w:jc w:val="both"/>
        <w:rPr>
          <w:rFonts w:hint="eastAsia" w:eastAsia="仿宋_GB2312"/>
          <w:color w:val="auto"/>
          <w:lang w:val="en-US" w:eastAsia="zh-CN"/>
        </w:rPr>
      </w:pPr>
      <w:r>
        <w:rPr>
          <w:rFonts w:hint="eastAsia" w:ascii="仿宋_GB2312" w:hAnsi="仿宋" w:eastAsia="仿宋_GB2312" w:cs="仿宋_GB2312"/>
          <w:color w:val="auto"/>
          <w:kern w:val="0"/>
          <w:sz w:val="24"/>
          <w:highlight w:val="none"/>
          <w:lang w:val="en-US" w:eastAsia="zh-CN"/>
        </w:rPr>
        <w:t>三、中小企业声明函或残疾人福利性单位声明函或省级以上监狱管理局、戒毒管理局（含新疆生产建设兵团）出具的属于监狱企业的证明文件（如有）</w:t>
      </w:r>
      <w:r>
        <w:rPr>
          <w:rFonts w:hint="eastAsia" w:ascii="仿宋_GB2312" w:hAnsi="仿宋" w:eastAsia="仿宋_GB2312" w:cs="仿宋_GB2312"/>
          <w:color w:val="auto"/>
          <w:kern w:val="0"/>
          <w:sz w:val="24"/>
          <w:highlight w:val="none"/>
        </w:rPr>
        <w:t>…………（页码）</w:t>
      </w:r>
    </w:p>
    <w:p w14:paraId="5F6FB67D">
      <w:pPr>
        <w:pStyle w:val="43"/>
        <w:rPr>
          <w:rFonts w:hint="eastAsia" w:ascii="仿宋_GB2312" w:hAnsi="仿宋" w:eastAsia="仿宋_GB2312" w:cs="仿宋_GB2312"/>
          <w:color w:val="auto"/>
          <w:kern w:val="0"/>
          <w:sz w:val="24"/>
          <w:szCs w:val="24"/>
          <w:highlight w:val="none"/>
          <w:lang w:val="en-US" w:eastAsia="zh-CN" w:bidi="ar-SA"/>
        </w:rPr>
        <w:sectPr>
          <w:pgSz w:w="11906" w:h="16838"/>
          <w:pgMar w:top="1134" w:right="1134" w:bottom="1134" w:left="1134" w:header="720" w:footer="720" w:gutter="0"/>
          <w:pgNumType w:fmt="decimal"/>
          <w:cols w:space="720" w:num="1"/>
          <w:docGrid w:type="lines" w:linePitch="331" w:charSpace="0"/>
        </w:sectPr>
      </w:pPr>
      <w:r>
        <w:rPr>
          <w:rFonts w:hint="eastAsia" w:ascii="仿宋_GB2312" w:hAnsi="仿宋" w:eastAsia="仿宋_GB2312" w:cs="仿宋_GB2312"/>
          <w:color w:val="auto"/>
          <w:kern w:val="0"/>
          <w:sz w:val="24"/>
          <w:szCs w:val="24"/>
          <w:highlight w:val="none"/>
          <w:lang w:val="en-US" w:eastAsia="zh-CN" w:bidi="ar-SA"/>
        </w:rPr>
        <w:t>四、投标人针对报价需要说明的其他文件和说明</w:t>
      </w:r>
      <w:r>
        <w:rPr>
          <w:rFonts w:hint="eastAsia" w:ascii="仿宋_GB2312" w:hAnsi="仿宋" w:eastAsia="仿宋_GB2312" w:cs="仿宋_GB2312"/>
          <w:color w:val="auto"/>
          <w:kern w:val="0"/>
          <w:sz w:val="24"/>
          <w:highlight w:val="none"/>
        </w:rPr>
        <w:t>……………（页码）</w:t>
      </w:r>
    </w:p>
    <w:p w14:paraId="04E79B7D">
      <w:pPr>
        <w:pStyle w:val="13"/>
        <w:spacing w:line="500" w:lineRule="exact"/>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一、投标函</w:t>
      </w:r>
    </w:p>
    <w:p w14:paraId="207CAC1D">
      <w:pPr>
        <w:pStyle w:val="13"/>
        <w:spacing w:line="440" w:lineRule="exact"/>
        <w:ind w:firstLine="420" w:firstLineChars="200"/>
        <w:rPr>
          <w:rFonts w:ascii="Times New Roman" w:hAnsi="Times New Roman"/>
          <w:color w:val="auto"/>
          <w:highlight w:val="none"/>
          <w:u w:val="single"/>
        </w:rPr>
      </w:pPr>
      <w:r>
        <w:rPr>
          <w:rFonts w:hint="eastAsia" w:ascii="Times New Roman" w:hAnsi="Times New Roman"/>
          <w:color w:val="auto"/>
          <w:highlight w:val="none"/>
        </w:rPr>
        <w:t>致：</w:t>
      </w:r>
      <w:r>
        <w:rPr>
          <w:rFonts w:hint="eastAsia" w:ascii="宋体" w:hAnsi="宋体"/>
          <w:color w:val="auto"/>
          <w:szCs w:val="21"/>
          <w:highlight w:val="none"/>
          <w:u w:val="single"/>
          <w:lang w:val="en-US" w:eastAsia="zh-CN"/>
        </w:rPr>
        <w:t xml:space="preserve">   （采购人全称）        </w:t>
      </w:r>
    </w:p>
    <w:p w14:paraId="5CBC69C8">
      <w:pPr>
        <w:pStyle w:val="13"/>
        <w:spacing w:line="440" w:lineRule="exact"/>
        <w:ind w:firstLine="420" w:firstLineChars="200"/>
        <w:rPr>
          <w:color w:val="auto"/>
          <w:highlight w:val="none"/>
        </w:rPr>
      </w:pPr>
      <w:r>
        <w:rPr>
          <w:rFonts w:hint="eastAsia"/>
          <w:color w:val="auto"/>
          <w:highlight w:val="none"/>
        </w:rPr>
        <w:t>我方已仔细阅读了贵方组织的</w:t>
      </w:r>
      <w:r>
        <w:rPr>
          <w:rFonts w:hint="eastAsia"/>
          <w:color w:val="auto"/>
          <w:highlight w:val="none"/>
          <w:u w:val="single"/>
          <w:lang w:val="en-US" w:eastAsia="zh-CN"/>
        </w:rPr>
        <w:t xml:space="preserve">            </w:t>
      </w:r>
      <w:r>
        <w:rPr>
          <w:rFonts w:hint="eastAsia"/>
          <w:color w:val="auto"/>
          <w:highlight w:val="none"/>
        </w:rPr>
        <w:t>项目（项目编号：</w:t>
      </w:r>
      <w:r>
        <w:rPr>
          <w:rFonts w:hint="eastAsia"/>
          <w:color w:val="auto"/>
          <w:highlight w:val="none"/>
          <w:u w:val="single"/>
          <w:lang w:val="en-US" w:eastAsia="zh-CN"/>
        </w:rPr>
        <w:t xml:space="preserve">        </w:t>
      </w:r>
      <w:r>
        <w:rPr>
          <w:rFonts w:hint="eastAsia"/>
          <w:color w:val="auto"/>
          <w:highlight w:val="none"/>
        </w:rPr>
        <w:t>）的招标文件的全部内容，授权</w:t>
      </w:r>
      <w:r>
        <w:rPr>
          <w:rFonts w:hint="eastAsia"/>
          <w:color w:val="auto"/>
          <w:highlight w:val="none"/>
          <w:u w:val="single"/>
          <w:lang w:val="en-US" w:eastAsia="zh-CN"/>
        </w:rPr>
        <w:t xml:space="preserve">  </w:t>
      </w:r>
      <w:r>
        <w:rPr>
          <w:rFonts w:hint="eastAsia"/>
          <w:color w:val="auto"/>
          <w:highlight w:val="none"/>
          <w:u w:val="single"/>
        </w:rPr>
        <w:t>(全权代表姓名) (职务、职称)</w:t>
      </w:r>
      <w:r>
        <w:rPr>
          <w:rFonts w:hint="eastAsia"/>
          <w:color w:val="auto"/>
          <w:highlight w:val="none"/>
          <w:u w:val="single"/>
          <w:lang w:val="en-US" w:eastAsia="zh-CN"/>
        </w:rPr>
        <w:t xml:space="preserve">   </w:t>
      </w:r>
      <w:r>
        <w:rPr>
          <w:rFonts w:hint="eastAsia"/>
          <w:color w:val="auto"/>
          <w:highlight w:val="none"/>
        </w:rPr>
        <w:t xml:space="preserve">为全权代表，现正式递交下述文件参加贵方组织的本次政府采购活动： </w:t>
      </w:r>
    </w:p>
    <w:p w14:paraId="556DAE0D">
      <w:pPr>
        <w:pStyle w:val="13"/>
        <w:spacing w:line="440" w:lineRule="exact"/>
        <w:ind w:firstLine="420" w:firstLineChars="200"/>
        <w:rPr>
          <w:color w:val="auto"/>
          <w:highlight w:val="none"/>
        </w:rPr>
      </w:pPr>
      <w:r>
        <w:rPr>
          <w:rFonts w:hint="eastAsia"/>
          <w:color w:val="auto"/>
          <w:highlight w:val="none"/>
        </w:rPr>
        <w:t>一、报价文件电子版一份（包含按投标人须知前附表要求提交的全部文件）；</w:t>
      </w:r>
    </w:p>
    <w:p w14:paraId="6629C7E1">
      <w:pPr>
        <w:pStyle w:val="13"/>
        <w:spacing w:line="440" w:lineRule="exact"/>
        <w:ind w:firstLine="482"/>
        <w:rPr>
          <w:color w:val="auto"/>
          <w:highlight w:val="none"/>
        </w:rPr>
      </w:pPr>
      <w:r>
        <w:rPr>
          <w:rFonts w:hint="eastAsia"/>
          <w:color w:val="auto"/>
          <w:highlight w:val="none"/>
        </w:rPr>
        <w:t>二、资格证明文件电子版一份（包含按投标人须知前附表要求提交的全部文件）；</w:t>
      </w:r>
    </w:p>
    <w:p w14:paraId="1BEAE1A1">
      <w:pPr>
        <w:pStyle w:val="13"/>
        <w:spacing w:line="440" w:lineRule="exact"/>
        <w:ind w:firstLine="482"/>
        <w:rPr>
          <w:color w:val="auto"/>
          <w:highlight w:val="none"/>
        </w:rPr>
      </w:pPr>
      <w:r>
        <w:rPr>
          <w:rFonts w:hint="eastAsia"/>
          <w:color w:val="auto"/>
          <w:highlight w:val="none"/>
        </w:rPr>
        <w:t>三、</w:t>
      </w:r>
      <w:r>
        <w:rPr>
          <w:rFonts w:hint="eastAsia" w:hAnsi="宋体"/>
          <w:color w:val="auto"/>
          <w:highlight w:val="none"/>
        </w:rPr>
        <w:t>技术</w:t>
      </w:r>
      <w:r>
        <w:rPr>
          <w:rFonts w:hint="eastAsia"/>
          <w:color w:val="auto"/>
          <w:highlight w:val="none"/>
        </w:rPr>
        <w:t>文件电子版一份（包含按投标人须知前附表要求提交的全部文件）；</w:t>
      </w:r>
    </w:p>
    <w:p w14:paraId="1AEAF56C">
      <w:pPr>
        <w:pStyle w:val="13"/>
        <w:spacing w:line="440" w:lineRule="exact"/>
        <w:ind w:firstLine="482"/>
        <w:rPr>
          <w:color w:val="auto"/>
          <w:highlight w:val="none"/>
        </w:rPr>
      </w:pPr>
      <w:r>
        <w:rPr>
          <w:rFonts w:hint="eastAsia" w:hAnsi="宋体"/>
          <w:color w:val="auto"/>
          <w:highlight w:val="none"/>
        </w:rPr>
        <w:t>四、</w:t>
      </w:r>
      <w:r>
        <w:rPr>
          <w:rFonts w:hint="eastAsia"/>
          <w:color w:val="auto"/>
          <w:highlight w:val="none"/>
        </w:rPr>
        <w:t>商务</w:t>
      </w:r>
      <w:r>
        <w:rPr>
          <w:rFonts w:hint="eastAsia" w:hAnsi="宋体"/>
          <w:color w:val="auto"/>
          <w:highlight w:val="none"/>
        </w:rPr>
        <w:t>文件</w:t>
      </w:r>
      <w:r>
        <w:rPr>
          <w:rFonts w:hint="eastAsia"/>
          <w:color w:val="auto"/>
          <w:highlight w:val="none"/>
        </w:rPr>
        <w:t>电子版一份（包含按投标人须知前附表要求提交的全部文件）；</w:t>
      </w:r>
    </w:p>
    <w:p w14:paraId="662A918E">
      <w:pPr>
        <w:pStyle w:val="13"/>
        <w:spacing w:line="440" w:lineRule="exact"/>
        <w:ind w:firstLine="482"/>
        <w:rPr>
          <w:rFonts w:ascii="Times New Roman" w:hAnsi="Times New Roman"/>
          <w:color w:val="auto"/>
          <w:highlight w:val="none"/>
        </w:rPr>
      </w:pPr>
      <w:r>
        <w:rPr>
          <w:rFonts w:hint="eastAsia"/>
          <w:color w:val="auto"/>
          <w:highlight w:val="none"/>
        </w:rPr>
        <w:t>据此函，签字人兹宣布：</w:t>
      </w:r>
    </w:p>
    <w:p w14:paraId="3E0C10EF">
      <w:pPr>
        <w:pStyle w:val="13"/>
        <w:spacing w:line="440" w:lineRule="exact"/>
        <w:ind w:firstLine="420" w:firstLineChars="200"/>
        <w:rPr>
          <w:rFonts w:ascii="Times New Roman" w:hAnsi="Times New Roman"/>
          <w:color w:val="auto"/>
          <w:highlight w:val="none"/>
        </w:rPr>
      </w:pPr>
      <w:r>
        <w:rPr>
          <w:rFonts w:hint="eastAsia"/>
          <w:color w:val="auto"/>
          <w:highlight w:val="none"/>
        </w:rPr>
        <w:t>1、我方愿意以</w:t>
      </w:r>
      <w:r>
        <w:rPr>
          <w:rFonts w:hint="eastAsia"/>
          <w:color w:val="auto"/>
          <w:highlight w:val="none"/>
          <w:u w:val="none"/>
        </w:rPr>
        <w:t>（大写）</w:t>
      </w:r>
      <w:r>
        <w:rPr>
          <w:rFonts w:hint="eastAsia"/>
          <w:color w:val="auto"/>
          <w:highlight w:val="none"/>
        </w:rPr>
        <w:t>人民币</w:t>
      </w:r>
      <w:r>
        <w:rPr>
          <w:rFonts w:hint="eastAsia"/>
          <w:color w:val="auto"/>
          <w:highlight w:val="none"/>
          <w:u w:val="single"/>
          <w:lang w:val="en-US" w:eastAsia="zh-CN"/>
        </w:rPr>
        <w:t xml:space="preserve">        </w:t>
      </w:r>
      <w:r>
        <w:rPr>
          <w:rFonts w:hint="eastAsia"/>
          <w:color w:val="auto"/>
          <w:highlight w:val="none"/>
        </w:rPr>
        <w:t>(￥</w:t>
      </w:r>
      <w:r>
        <w:rPr>
          <w:rFonts w:hint="eastAsia"/>
          <w:color w:val="auto"/>
          <w:highlight w:val="none"/>
          <w:u w:val="single"/>
          <w:lang w:val="en-US" w:eastAsia="zh-CN"/>
        </w:rPr>
        <w:t xml:space="preserve">      </w:t>
      </w:r>
      <w:r>
        <w:rPr>
          <w:rFonts w:hint="eastAsia"/>
          <w:color w:val="auto"/>
          <w:highlight w:val="none"/>
        </w:rPr>
        <w:t>元)的投标总报价，</w:t>
      </w:r>
      <w:r>
        <w:rPr>
          <w:rFonts w:hint="eastAsia"/>
          <w:color w:val="auto"/>
          <w:highlight w:val="none"/>
          <w:lang w:eastAsia="zh-CN"/>
        </w:rPr>
        <w:t>交</w:t>
      </w:r>
      <w:r>
        <w:rPr>
          <w:rFonts w:hint="eastAsia"/>
          <w:color w:val="auto"/>
          <w:highlight w:val="none"/>
          <w:lang w:val="en-US" w:eastAsia="zh-CN"/>
        </w:rPr>
        <w:t>货</w:t>
      </w:r>
      <w:r>
        <w:rPr>
          <w:rFonts w:hint="eastAsia"/>
          <w:color w:val="auto"/>
          <w:highlight w:val="none"/>
        </w:rPr>
        <w:t>时间：</w:t>
      </w:r>
      <w:r>
        <w:rPr>
          <w:rFonts w:hint="eastAsia"/>
          <w:color w:val="auto"/>
          <w:highlight w:val="none"/>
          <w:u w:val="single"/>
          <w:lang w:val="en-US" w:eastAsia="zh-CN"/>
        </w:rPr>
        <w:t xml:space="preserve">      </w:t>
      </w:r>
      <w:r>
        <w:rPr>
          <w:rFonts w:hint="eastAsia"/>
          <w:color w:val="auto"/>
          <w:highlight w:val="none"/>
          <w:lang w:val="en-US" w:eastAsia="zh-CN"/>
        </w:rPr>
        <w:t xml:space="preserve"> </w:t>
      </w:r>
      <w:r>
        <w:rPr>
          <w:rFonts w:hint="eastAsia"/>
          <w:color w:val="auto"/>
          <w:highlight w:val="none"/>
        </w:rPr>
        <w:t>，提供本项目</w:t>
      </w:r>
      <w:r>
        <w:rPr>
          <w:rFonts w:hint="eastAsia" w:hAnsi="Times New Roman"/>
          <w:color w:val="auto"/>
          <w:highlight w:val="none"/>
        </w:rPr>
        <w:t>招标文件第二章</w:t>
      </w:r>
      <w:r>
        <w:rPr>
          <w:rFonts w:hint="eastAsia"/>
          <w:color w:val="auto"/>
          <w:highlight w:val="none"/>
        </w:rPr>
        <w:t>“</w:t>
      </w:r>
      <w:r>
        <w:rPr>
          <w:rFonts w:hint="eastAsia"/>
          <w:color w:val="auto"/>
          <w:highlight w:val="none"/>
          <w:lang w:eastAsia="zh-CN"/>
        </w:rPr>
        <w:t>采购</w:t>
      </w:r>
      <w:r>
        <w:rPr>
          <w:rFonts w:hint="eastAsia"/>
          <w:color w:val="auto"/>
          <w:highlight w:val="none"/>
        </w:rPr>
        <w:t>需求”中的相应的采购内容。</w:t>
      </w:r>
    </w:p>
    <w:p w14:paraId="51A611DA">
      <w:pPr>
        <w:pStyle w:val="13"/>
        <w:spacing w:line="360" w:lineRule="exact"/>
        <w:ind w:firstLine="420" w:firstLineChars="200"/>
        <w:rPr>
          <w:color w:val="auto"/>
          <w:highlight w:val="none"/>
          <w:u w:val="single"/>
        </w:rPr>
      </w:pPr>
      <w:r>
        <w:rPr>
          <w:rFonts w:hint="eastAsia"/>
          <w:color w:val="auto"/>
          <w:highlight w:val="none"/>
        </w:rPr>
        <w:t>2、我方同意自本项目招标文件“第三章 投标人须知”第一节 投标人须知前附表 第21.</w:t>
      </w:r>
      <w:r>
        <w:rPr>
          <w:rFonts w:hint="eastAsia"/>
          <w:color w:val="auto"/>
          <w:highlight w:val="none"/>
          <w:lang w:val="en-US" w:eastAsia="zh-CN"/>
        </w:rPr>
        <w:t>1</w:t>
      </w:r>
      <w:r>
        <w:rPr>
          <w:rFonts w:hint="eastAsia"/>
          <w:color w:val="auto"/>
          <w:highlight w:val="none"/>
        </w:rPr>
        <w:t>项规定的投标截止时间（开标时间）起遵循</w:t>
      </w:r>
      <w:r>
        <w:rPr>
          <w:rFonts w:hint="eastAsia" w:hAnsi="宋体"/>
          <w:color w:val="auto"/>
          <w:highlight w:val="none"/>
        </w:rPr>
        <w:t>本投标函</w:t>
      </w:r>
      <w:r>
        <w:rPr>
          <w:rFonts w:hint="eastAsia"/>
          <w:color w:val="auto"/>
          <w:highlight w:val="none"/>
        </w:rPr>
        <w:t>，并承诺在“投标人须知前附表”第17.2项规定的投标有效期内不修改、撤销投标文件。</w:t>
      </w:r>
    </w:p>
    <w:p w14:paraId="7CB8CF94">
      <w:pPr>
        <w:pStyle w:val="13"/>
        <w:spacing w:line="360" w:lineRule="exact"/>
        <w:ind w:firstLine="420" w:firstLineChars="200"/>
        <w:rPr>
          <w:color w:val="auto"/>
          <w:highlight w:val="none"/>
          <w:u w:val="single"/>
        </w:rPr>
      </w:pPr>
      <w:r>
        <w:rPr>
          <w:rFonts w:hint="eastAsia"/>
          <w:color w:val="auto"/>
          <w:highlight w:val="none"/>
        </w:rPr>
        <w:t>3、我方所递交的投标文件及有关资料都是内容完整、真实和准确的。</w:t>
      </w:r>
    </w:p>
    <w:p w14:paraId="5F53A64B">
      <w:pPr>
        <w:pStyle w:val="13"/>
        <w:spacing w:line="440" w:lineRule="exact"/>
        <w:ind w:firstLine="482"/>
        <w:rPr>
          <w:color w:val="auto"/>
          <w:highlight w:val="none"/>
        </w:rPr>
      </w:pPr>
      <w:r>
        <w:rPr>
          <w:rFonts w:hint="eastAsia"/>
          <w:color w:val="auto"/>
          <w:highlight w:val="none"/>
        </w:rPr>
        <w:t>4、</w:t>
      </w:r>
      <w:r>
        <w:rPr>
          <w:rFonts w:hint="eastAsia"/>
          <w:color w:val="auto"/>
          <w:szCs w:val="21"/>
          <w:highlight w:val="none"/>
        </w:rPr>
        <w:t>如本项目采购内容涉及须符合国家强制规定的，我方承诺我方本次投标（包括资格条件和所投产品）均符合国家有关强制规定。</w:t>
      </w:r>
    </w:p>
    <w:p w14:paraId="6912D84C">
      <w:pPr>
        <w:pStyle w:val="13"/>
        <w:spacing w:line="440" w:lineRule="exact"/>
        <w:ind w:firstLine="420" w:firstLineChars="200"/>
        <w:rPr>
          <w:color w:val="auto"/>
          <w:highlight w:val="none"/>
        </w:rPr>
      </w:pPr>
      <w:r>
        <w:rPr>
          <w:rFonts w:hint="eastAsia"/>
          <w:color w:val="auto"/>
          <w:highlight w:val="none"/>
        </w:rPr>
        <w:t>5、如我方中标，我方承诺在收到中标通知书后，在中标通知书规定的期限内，</w:t>
      </w:r>
      <w:r>
        <w:rPr>
          <w:rFonts w:hint="eastAsia" w:hAnsi="宋体"/>
          <w:color w:val="auto"/>
          <w:highlight w:val="none"/>
        </w:rPr>
        <w:t>根据招标文件、我方的投标文件及有关澄清承诺书的要求按第五章“拟签订的合同文本”与采购人订立书面合同，并按照合同约定</w:t>
      </w:r>
      <w:r>
        <w:rPr>
          <w:rFonts w:hint="eastAsia"/>
          <w:color w:val="auto"/>
          <w:highlight w:val="none"/>
        </w:rPr>
        <w:t>承担完成合同的责任和义务。</w:t>
      </w:r>
    </w:p>
    <w:p w14:paraId="44D1D1CF">
      <w:pPr>
        <w:pStyle w:val="13"/>
        <w:spacing w:line="440" w:lineRule="exact"/>
        <w:ind w:firstLine="420" w:firstLineChars="200"/>
        <w:rPr>
          <w:color w:val="auto"/>
          <w:highlight w:val="none"/>
        </w:rPr>
      </w:pPr>
      <w:r>
        <w:rPr>
          <w:rFonts w:hint="eastAsia"/>
          <w:color w:val="auto"/>
          <w:highlight w:val="none"/>
        </w:rPr>
        <w:t>6、我方已详细审核招标文件，我方知道必须放弃提出含糊不清或误解问题的权利。</w:t>
      </w:r>
    </w:p>
    <w:p w14:paraId="69D49DDB">
      <w:pPr>
        <w:pStyle w:val="13"/>
        <w:spacing w:line="440" w:lineRule="exact"/>
        <w:ind w:firstLine="420" w:firstLineChars="200"/>
        <w:rPr>
          <w:color w:val="auto"/>
          <w:highlight w:val="none"/>
        </w:rPr>
      </w:pPr>
      <w:r>
        <w:rPr>
          <w:rFonts w:hint="eastAsia"/>
          <w:color w:val="auto"/>
          <w:highlight w:val="none"/>
        </w:rPr>
        <w:t>7、我方同意应贵方要求提供与本投标有关的任何数据或资料。若贵方需要，我方愿意提供我方作出的一切承诺的证明材料。</w:t>
      </w:r>
    </w:p>
    <w:p w14:paraId="274EF9D1">
      <w:pPr>
        <w:pStyle w:val="13"/>
        <w:spacing w:line="440" w:lineRule="exact"/>
        <w:ind w:firstLine="420" w:firstLineChars="200"/>
        <w:rPr>
          <w:color w:val="auto"/>
          <w:highlight w:val="none"/>
        </w:rPr>
      </w:pPr>
      <w:r>
        <w:rPr>
          <w:rFonts w:hint="eastAsia"/>
          <w:color w:val="auto"/>
          <w:highlight w:val="none"/>
        </w:rPr>
        <w:t>8、我方完全理解贵方不一定接受投标报价最低的投标人为中标供应商的行为。</w:t>
      </w:r>
    </w:p>
    <w:p w14:paraId="02F2553A">
      <w:pPr>
        <w:pStyle w:val="13"/>
        <w:spacing w:line="440" w:lineRule="exact"/>
        <w:ind w:firstLine="420" w:firstLineChars="200"/>
        <w:rPr>
          <w:color w:val="auto"/>
          <w:highlight w:val="none"/>
        </w:rPr>
      </w:pPr>
      <w:r>
        <w:rPr>
          <w:rFonts w:hint="eastAsia"/>
          <w:color w:val="auto"/>
          <w:highlight w:val="none"/>
        </w:rPr>
        <w:t>9、我方将严格遵守《中华人民共和国政府采购法》第七十七条的规定，即供应商有下列情形之一的，处以采购金额千分之五以上千分之十</w:t>
      </w:r>
      <w:r>
        <w:rPr>
          <w:rFonts w:hint="eastAsia" w:hAnsi="宋体"/>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14BFB6A3">
      <w:pPr>
        <w:pStyle w:val="13"/>
        <w:numPr>
          <w:ilvl w:val="0"/>
          <w:numId w:val="6"/>
        </w:numPr>
        <w:spacing w:line="440" w:lineRule="exact"/>
        <w:rPr>
          <w:rFonts w:hAnsi="宋体"/>
          <w:color w:val="auto"/>
          <w:highlight w:val="none"/>
        </w:rPr>
      </w:pPr>
      <w:r>
        <w:rPr>
          <w:rFonts w:hint="eastAsia" w:hAnsi="宋体"/>
          <w:color w:val="auto"/>
          <w:highlight w:val="none"/>
        </w:rPr>
        <w:t>提供虚假材料谋取中标、成交的；</w:t>
      </w:r>
    </w:p>
    <w:p w14:paraId="3F9469EF">
      <w:pPr>
        <w:pStyle w:val="13"/>
        <w:numPr>
          <w:ilvl w:val="0"/>
          <w:numId w:val="6"/>
        </w:numPr>
        <w:spacing w:line="440" w:lineRule="exact"/>
        <w:rPr>
          <w:rFonts w:hAnsi="宋体"/>
          <w:color w:val="auto"/>
          <w:highlight w:val="none"/>
        </w:rPr>
      </w:pPr>
      <w:r>
        <w:rPr>
          <w:rFonts w:hint="eastAsia" w:hAnsi="宋体"/>
          <w:color w:val="auto"/>
          <w:highlight w:val="none"/>
        </w:rPr>
        <w:t>采取不正当手段诋毁、排挤其他供应商的；</w:t>
      </w:r>
    </w:p>
    <w:p w14:paraId="2485AB9D">
      <w:pPr>
        <w:pStyle w:val="13"/>
        <w:numPr>
          <w:ilvl w:val="0"/>
          <w:numId w:val="6"/>
        </w:numPr>
        <w:spacing w:line="440" w:lineRule="exact"/>
        <w:rPr>
          <w:color w:val="auto"/>
          <w:highlight w:val="none"/>
        </w:rPr>
      </w:pPr>
      <w:r>
        <w:rPr>
          <w:rFonts w:hint="eastAsia" w:hAnsi="宋体"/>
          <w:color w:val="auto"/>
          <w:highlight w:val="none"/>
        </w:rPr>
        <w:t>与采购人、其他供应商或者采购代理机构恶意串通的；</w:t>
      </w:r>
    </w:p>
    <w:p w14:paraId="03C0169A">
      <w:pPr>
        <w:pStyle w:val="13"/>
        <w:numPr>
          <w:ilvl w:val="0"/>
          <w:numId w:val="6"/>
        </w:numPr>
        <w:spacing w:line="440" w:lineRule="exact"/>
        <w:rPr>
          <w:color w:val="auto"/>
          <w:highlight w:val="none"/>
        </w:rPr>
      </w:pPr>
      <w:r>
        <w:rPr>
          <w:rFonts w:hint="eastAsia" w:hAnsi="宋体"/>
          <w:color w:val="auto"/>
          <w:highlight w:val="none"/>
        </w:rPr>
        <w:t>向采购人、采购代理机构行贿或者提供其他不正当利益的；</w:t>
      </w:r>
    </w:p>
    <w:p w14:paraId="49B94F81">
      <w:pPr>
        <w:pStyle w:val="13"/>
        <w:numPr>
          <w:ilvl w:val="0"/>
          <w:numId w:val="6"/>
        </w:numPr>
        <w:spacing w:line="440" w:lineRule="exact"/>
        <w:rPr>
          <w:color w:val="auto"/>
          <w:highlight w:val="none"/>
        </w:rPr>
      </w:pPr>
      <w:r>
        <w:rPr>
          <w:rFonts w:hint="eastAsia" w:hAnsi="宋体"/>
          <w:color w:val="auto"/>
          <w:highlight w:val="none"/>
        </w:rPr>
        <w:t>在招标采购过程中与采购人进行协商谈判的；</w:t>
      </w:r>
    </w:p>
    <w:p w14:paraId="771E4806">
      <w:pPr>
        <w:pStyle w:val="13"/>
        <w:numPr>
          <w:ilvl w:val="0"/>
          <w:numId w:val="6"/>
        </w:numPr>
        <w:spacing w:line="440" w:lineRule="exact"/>
        <w:rPr>
          <w:color w:val="auto"/>
          <w:highlight w:val="none"/>
        </w:rPr>
      </w:pPr>
      <w:r>
        <w:rPr>
          <w:rFonts w:hint="eastAsia" w:hAnsi="宋体"/>
          <w:color w:val="auto"/>
          <w:highlight w:val="none"/>
        </w:rPr>
        <w:t>拒绝有关部门监督检查或提供虚假情况的。</w:t>
      </w:r>
    </w:p>
    <w:p w14:paraId="1CA2ACBC">
      <w:pPr>
        <w:pStyle w:val="13"/>
        <w:spacing w:line="440" w:lineRule="exact"/>
        <w:ind w:left="420"/>
        <w:rPr>
          <w:color w:val="auto"/>
          <w:highlight w:val="none"/>
        </w:rPr>
      </w:pPr>
      <w:r>
        <w:rPr>
          <w:rFonts w:hint="eastAsia"/>
          <w:color w:val="auto"/>
          <w:highlight w:val="none"/>
        </w:rPr>
        <w:t>10、我方及由本人担任法定代表人的其他机构最近三年内被处罚的违法行为有：</w:t>
      </w:r>
    </w:p>
    <w:p w14:paraId="2DA5A3F4">
      <w:pPr>
        <w:pStyle w:val="13"/>
        <w:spacing w:line="440" w:lineRule="exact"/>
        <w:ind w:left="420"/>
        <w:rPr>
          <w:color w:val="auto"/>
          <w:highlight w:val="none"/>
        </w:rPr>
      </w:pPr>
    </w:p>
    <w:p w14:paraId="4136E75F">
      <w:pPr>
        <w:pStyle w:val="13"/>
        <w:spacing w:line="360" w:lineRule="auto"/>
        <w:ind w:firstLine="420"/>
        <w:rPr>
          <w:color w:val="auto"/>
          <w:highlight w:val="none"/>
        </w:rPr>
      </w:pPr>
      <w:r>
        <w:rPr>
          <w:rFonts w:hint="eastAsia"/>
          <w:color w:val="auto"/>
          <w:highlight w:val="none"/>
        </w:rPr>
        <w:t>11、以上事项如有虚假或隐瞒，我方愿意承担一切后果，并不再寻求任何旨在减轻或免除法律责任的辩解。</w:t>
      </w:r>
    </w:p>
    <w:p w14:paraId="22843AA9">
      <w:pPr>
        <w:pStyle w:val="13"/>
        <w:spacing w:line="360" w:lineRule="auto"/>
        <w:ind w:firstLine="420"/>
        <w:rPr>
          <w:color w:val="auto"/>
          <w:highlight w:val="none"/>
        </w:rPr>
      </w:pPr>
      <w:r>
        <w:rPr>
          <w:rFonts w:hint="eastAsia"/>
          <w:color w:val="auto"/>
          <w:highlight w:val="none"/>
        </w:rPr>
        <w:t>12、与本投标有关的一切正式往来信函请寄：</w:t>
      </w:r>
    </w:p>
    <w:p w14:paraId="3B9CD0BD">
      <w:pPr>
        <w:pStyle w:val="13"/>
        <w:spacing w:line="360" w:lineRule="auto"/>
        <w:ind w:firstLine="420"/>
        <w:rPr>
          <w:color w:val="auto"/>
          <w:highlight w:val="none"/>
        </w:rPr>
      </w:pPr>
      <w:r>
        <w:rPr>
          <w:rFonts w:hint="eastAsia"/>
          <w:color w:val="auto"/>
          <w:highlight w:val="none"/>
        </w:rPr>
        <w:t>地址：</w:t>
      </w:r>
      <w:r>
        <w:rPr>
          <w:rFonts w:hint="eastAsia"/>
          <w:color w:val="auto"/>
          <w:highlight w:val="none"/>
          <w:u w:val="single"/>
        </w:rPr>
        <w:t xml:space="preserve">                                      　　　　　　　　　</w:t>
      </w:r>
    </w:p>
    <w:p w14:paraId="0788D8E9">
      <w:pPr>
        <w:pStyle w:val="13"/>
        <w:spacing w:line="360" w:lineRule="auto"/>
        <w:ind w:firstLine="420"/>
        <w:rPr>
          <w:color w:val="auto"/>
          <w:highlight w:val="none"/>
          <w:u w:val="single"/>
        </w:rPr>
      </w:pPr>
      <w:r>
        <w:rPr>
          <w:rFonts w:hint="eastAsia"/>
          <w:color w:val="auto"/>
          <w:highlight w:val="none"/>
        </w:rPr>
        <w:t>电话：</w:t>
      </w:r>
      <w:r>
        <w:rPr>
          <w:rFonts w:hint="eastAsia"/>
          <w:color w:val="auto"/>
          <w:highlight w:val="none"/>
          <w:u w:val="single"/>
        </w:rPr>
        <w:t xml:space="preserve">                                      　　　　　　　　　</w:t>
      </w:r>
    </w:p>
    <w:p w14:paraId="22468B8A">
      <w:pPr>
        <w:pStyle w:val="13"/>
        <w:spacing w:line="360" w:lineRule="auto"/>
        <w:ind w:firstLine="420"/>
        <w:rPr>
          <w:color w:val="auto"/>
          <w:highlight w:val="none"/>
        </w:rPr>
      </w:pPr>
      <w:r>
        <w:rPr>
          <w:rFonts w:hint="eastAsia"/>
          <w:color w:val="auto"/>
          <w:highlight w:val="none"/>
        </w:rPr>
        <w:t>传真：</w:t>
      </w:r>
      <w:r>
        <w:rPr>
          <w:rFonts w:hint="eastAsia"/>
          <w:color w:val="auto"/>
          <w:highlight w:val="none"/>
          <w:u w:val="single"/>
        </w:rPr>
        <w:t>　　　　　　　　　　　　　　　　　　　　　　　　　　　　</w:t>
      </w:r>
    </w:p>
    <w:p w14:paraId="2A4B538C">
      <w:pPr>
        <w:pStyle w:val="13"/>
        <w:spacing w:line="360" w:lineRule="auto"/>
        <w:ind w:firstLine="420"/>
        <w:rPr>
          <w:color w:val="auto"/>
          <w:highlight w:val="none"/>
          <w:u w:val="single"/>
        </w:rPr>
      </w:pPr>
      <w:r>
        <w:rPr>
          <w:rFonts w:hint="eastAsia"/>
          <w:color w:val="auto"/>
          <w:highlight w:val="none"/>
        </w:rPr>
        <w:t>邮政编码：</w:t>
      </w:r>
      <w:r>
        <w:rPr>
          <w:rFonts w:hint="eastAsia"/>
          <w:color w:val="auto"/>
          <w:highlight w:val="none"/>
          <w:u w:val="single"/>
        </w:rPr>
        <w:t xml:space="preserve">                                      　　　　　　　　　</w:t>
      </w:r>
    </w:p>
    <w:p w14:paraId="7EFE15C7">
      <w:pPr>
        <w:pStyle w:val="13"/>
        <w:spacing w:line="360" w:lineRule="auto"/>
        <w:ind w:firstLine="420"/>
        <w:rPr>
          <w:color w:val="auto"/>
          <w:highlight w:val="none"/>
          <w:u w:val="single"/>
        </w:rPr>
      </w:pPr>
      <w:r>
        <w:rPr>
          <w:rFonts w:hint="eastAsia"/>
          <w:color w:val="auto"/>
          <w:highlight w:val="none"/>
        </w:rPr>
        <w:t>开户名称：</w:t>
      </w:r>
      <w:r>
        <w:rPr>
          <w:rFonts w:hint="eastAsia"/>
          <w:color w:val="auto"/>
          <w:highlight w:val="none"/>
          <w:u w:val="single"/>
        </w:rPr>
        <w:t xml:space="preserve">                                      　　　　　　　　　</w:t>
      </w:r>
    </w:p>
    <w:p w14:paraId="55E09443">
      <w:pPr>
        <w:pStyle w:val="13"/>
        <w:spacing w:line="360" w:lineRule="auto"/>
        <w:ind w:firstLine="420"/>
        <w:rPr>
          <w:color w:val="auto"/>
          <w:highlight w:val="none"/>
          <w:u w:val="single"/>
        </w:rPr>
      </w:pPr>
      <w:r>
        <w:rPr>
          <w:rFonts w:hint="eastAsia"/>
          <w:color w:val="auto"/>
          <w:highlight w:val="none"/>
        </w:rPr>
        <w:t>开户银行：</w:t>
      </w:r>
      <w:r>
        <w:rPr>
          <w:rFonts w:hint="eastAsia"/>
          <w:color w:val="auto"/>
          <w:highlight w:val="none"/>
          <w:u w:val="single"/>
        </w:rPr>
        <w:t xml:space="preserve">                                      　　　　　　　　　</w:t>
      </w:r>
    </w:p>
    <w:p w14:paraId="0E2897E1">
      <w:pPr>
        <w:pStyle w:val="13"/>
        <w:spacing w:line="360" w:lineRule="auto"/>
        <w:ind w:firstLine="420"/>
        <w:rPr>
          <w:color w:val="auto"/>
          <w:highlight w:val="none"/>
          <w:u w:val="single"/>
        </w:rPr>
      </w:pPr>
      <w:r>
        <w:rPr>
          <w:rFonts w:hint="eastAsia"/>
          <w:color w:val="auto"/>
          <w:highlight w:val="none"/>
        </w:rPr>
        <w:t>银行账号：</w:t>
      </w:r>
      <w:r>
        <w:rPr>
          <w:rFonts w:hint="eastAsia"/>
          <w:color w:val="auto"/>
          <w:highlight w:val="none"/>
          <w:u w:val="single"/>
        </w:rPr>
        <w:t xml:space="preserve">                                      　　　　　　　　　</w:t>
      </w:r>
    </w:p>
    <w:p w14:paraId="532E85F0">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05F1708F">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5334BC79">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42A2ECB2">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5552214C">
      <w:pPr>
        <w:snapToGrid w:val="0"/>
        <w:spacing w:line="360" w:lineRule="auto"/>
        <w:ind w:firstLine="5160" w:firstLineChars="2150"/>
        <w:rPr>
          <w:rFonts w:ascii="仿宋_GB2312" w:hAnsi="仿宋" w:eastAsia="仿宋_GB2312" w:cs="仿宋_GB2312"/>
          <w:color w:val="auto"/>
          <w:kern w:val="0"/>
          <w:sz w:val="24"/>
          <w:highlight w:val="none"/>
          <w:lang w:val="zh-CN"/>
        </w:rPr>
        <w:sectPr>
          <w:pgSz w:w="11906" w:h="16838"/>
          <w:pgMar w:top="1134" w:right="1134" w:bottom="1134" w:left="1134" w:header="720" w:footer="720" w:gutter="0"/>
          <w:pgNumType w:fmt="decimal"/>
          <w:cols w:space="720" w:num="1"/>
          <w:docGrid w:type="lines" w:linePitch="331" w:charSpace="0"/>
        </w:sectPr>
      </w:pPr>
    </w:p>
    <w:p w14:paraId="56B0F0E7">
      <w:pPr>
        <w:pStyle w:val="13"/>
        <w:spacing w:line="360" w:lineRule="auto"/>
        <w:jc w:val="center"/>
        <w:rPr>
          <w:b/>
          <w:color w:val="auto"/>
          <w:sz w:val="30"/>
          <w:szCs w:val="30"/>
          <w:highlight w:val="none"/>
        </w:rPr>
      </w:pPr>
      <w:r>
        <w:rPr>
          <w:rFonts w:hint="eastAsia" w:hAnsi="宋体"/>
          <w:color w:val="auto"/>
          <w:sz w:val="30"/>
          <w:highlight w:val="none"/>
        </w:rPr>
        <w:t>二、</w:t>
      </w:r>
      <w:r>
        <w:rPr>
          <w:rFonts w:hint="eastAsia"/>
          <w:b/>
          <w:color w:val="auto"/>
          <w:sz w:val="30"/>
          <w:szCs w:val="30"/>
          <w:highlight w:val="none"/>
        </w:rPr>
        <w:t>开标一览表</w:t>
      </w:r>
      <w:r>
        <w:rPr>
          <w:rFonts w:hint="eastAsia" w:ascii="仿宋_GB2312" w:hAnsi="仿宋" w:eastAsia="仿宋_GB2312" w:cs="仿宋_GB2312"/>
          <w:b/>
          <w:color w:val="auto"/>
          <w:kern w:val="0"/>
          <w:sz w:val="24"/>
          <w:highlight w:val="none"/>
          <w:lang w:val="zh-CN"/>
        </w:rPr>
        <w:t>(单位均为人民币元)</w:t>
      </w:r>
    </w:p>
    <w:p w14:paraId="22D985ED">
      <w:pPr>
        <w:snapToGrid w:val="0"/>
        <w:spacing w:before="50" w:after="50" w:line="360" w:lineRule="auto"/>
        <w:rPr>
          <w:rFonts w:ascii="宋体" w:hAnsi="宋体"/>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lang w:val="en-US" w:eastAsia="zh-CN"/>
        </w:rPr>
        <w:t xml:space="preserve">                                      </w:t>
      </w:r>
      <w:r>
        <w:rPr>
          <w:rFonts w:hint="eastAsia" w:ascii="宋体" w:hAnsi="宋体"/>
          <w:color w:val="auto"/>
          <w:sz w:val="24"/>
          <w:highlight w:val="none"/>
        </w:rPr>
        <w:t>项目编号：</w:t>
      </w:r>
    </w:p>
    <w:p w14:paraId="47EA6B8B">
      <w:pPr>
        <w:pStyle w:val="13"/>
        <w:spacing w:line="360" w:lineRule="auto"/>
        <w:rPr>
          <w:b/>
          <w:color w:val="auto"/>
          <w:sz w:val="32"/>
          <w:highlight w:val="none"/>
        </w:rPr>
      </w:pPr>
      <w:r>
        <w:rPr>
          <w:rFonts w:hint="eastAsia" w:hAnsi="宋体"/>
          <w:color w:val="auto"/>
          <w:sz w:val="24"/>
          <w:highlight w:val="none"/>
        </w:rPr>
        <w:t>投标人名称：</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336"/>
        <w:gridCol w:w="1065"/>
        <w:gridCol w:w="1650"/>
        <w:gridCol w:w="1020"/>
        <w:gridCol w:w="1380"/>
        <w:gridCol w:w="1665"/>
        <w:gridCol w:w="978"/>
      </w:tblGrid>
      <w:tr w14:paraId="6B5AF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ign w:val="center"/>
          </w:tcPr>
          <w:p w14:paraId="6D2DE325">
            <w:pPr>
              <w:rPr>
                <w:rFonts w:ascii="宋体" w:hAnsi="宋体"/>
                <w:color w:val="auto"/>
                <w:szCs w:val="22"/>
                <w:highlight w:val="none"/>
              </w:rPr>
            </w:pPr>
            <w:r>
              <w:rPr>
                <w:rFonts w:hint="eastAsia" w:ascii="宋体" w:hAnsi="宋体"/>
                <w:color w:val="auto"/>
                <w:szCs w:val="22"/>
                <w:highlight w:val="none"/>
              </w:rPr>
              <w:t>序号</w:t>
            </w:r>
          </w:p>
        </w:tc>
        <w:tc>
          <w:tcPr>
            <w:tcW w:w="1336" w:type="dxa"/>
            <w:tcBorders>
              <w:top w:val="single" w:color="auto" w:sz="4" w:space="0"/>
              <w:left w:val="single" w:color="auto" w:sz="4" w:space="0"/>
              <w:bottom w:val="single" w:color="auto" w:sz="4" w:space="0"/>
              <w:right w:val="single" w:color="auto" w:sz="4" w:space="0"/>
            </w:tcBorders>
            <w:noWrap/>
            <w:vAlign w:val="center"/>
          </w:tcPr>
          <w:p w14:paraId="2D122023">
            <w:pPr>
              <w:rPr>
                <w:rFonts w:ascii="宋体" w:hAnsi="宋体"/>
                <w:color w:val="auto"/>
                <w:szCs w:val="22"/>
                <w:highlight w:val="none"/>
              </w:rPr>
            </w:pPr>
            <w:r>
              <w:rPr>
                <w:rFonts w:hint="eastAsia" w:ascii="宋体" w:hAnsi="宋体"/>
                <w:color w:val="auto"/>
                <w:szCs w:val="21"/>
                <w:highlight w:val="none"/>
                <w:lang w:val="en-US" w:eastAsia="zh-CN"/>
              </w:rPr>
              <w:t>标的</w:t>
            </w:r>
            <w:r>
              <w:rPr>
                <w:rFonts w:hint="eastAsia" w:ascii="宋体" w:hAnsi="宋体"/>
                <w:color w:val="auto"/>
                <w:szCs w:val="21"/>
                <w:highlight w:val="none"/>
              </w:rPr>
              <w:t>名称</w:t>
            </w:r>
          </w:p>
        </w:tc>
        <w:tc>
          <w:tcPr>
            <w:tcW w:w="1065" w:type="dxa"/>
            <w:tcBorders>
              <w:top w:val="single" w:color="auto" w:sz="4" w:space="0"/>
              <w:left w:val="single" w:color="auto" w:sz="4" w:space="0"/>
              <w:bottom w:val="single" w:color="auto" w:sz="4" w:space="0"/>
              <w:right w:val="single" w:color="auto" w:sz="4" w:space="0"/>
            </w:tcBorders>
            <w:noWrap/>
            <w:vAlign w:val="center"/>
          </w:tcPr>
          <w:p w14:paraId="465EB9D2">
            <w:pPr>
              <w:jc w:val="center"/>
              <w:rPr>
                <w:rFonts w:ascii="宋体" w:hAnsi="宋体"/>
                <w:color w:val="auto"/>
                <w:szCs w:val="22"/>
                <w:highlight w:val="none"/>
              </w:rPr>
            </w:pPr>
            <w:r>
              <w:rPr>
                <w:rFonts w:hint="eastAsia" w:ascii="宋体" w:hAnsi="宋体"/>
                <w:color w:val="auto"/>
                <w:szCs w:val="22"/>
                <w:highlight w:val="none"/>
              </w:rPr>
              <w:t>品牌</w:t>
            </w:r>
          </w:p>
        </w:tc>
        <w:tc>
          <w:tcPr>
            <w:tcW w:w="1650" w:type="dxa"/>
            <w:tcBorders>
              <w:top w:val="single" w:color="auto" w:sz="4" w:space="0"/>
              <w:left w:val="single" w:color="auto" w:sz="4" w:space="0"/>
              <w:bottom w:val="single" w:color="auto" w:sz="4" w:space="0"/>
              <w:right w:val="single" w:color="auto" w:sz="4" w:space="0"/>
            </w:tcBorders>
            <w:noWrap/>
            <w:vAlign w:val="center"/>
          </w:tcPr>
          <w:p w14:paraId="62BFAC89">
            <w:pPr>
              <w:jc w:val="center"/>
              <w:rPr>
                <w:rFonts w:ascii="宋体" w:hAnsi="宋体"/>
                <w:color w:val="auto"/>
                <w:szCs w:val="22"/>
                <w:highlight w:val="none"/>
              </w:rPr>
            </w:pPr>
            <w:r>
              <w:rPr>
                <w:rFonts w:hint="eastAsia" w:ascii="宋体" w:hAnsi="宋体"/>
                <w:color w:val="auto"/>
                <w:szCs w:val="22"/>
                <w:highlight w:val="none"/>
              </w:rPr>
              <w:t>规格型号</w:t>
            </w:r>
          </w:p>
        </w:tc>
        <w:tc>
          <w:tcPr>
            <w:tcW w:w="1020" w:type="dxa"/>
            <w:tcBorders>
              <w:top w:val="single" w:color="auto" w:sz="4" w:space="0"/>
              <w:left w:val="single" w:color="auto" w:sz="4" w:space="0"/>
              <w:bottom w:val="single" w:color="auto" w:sz="4" w:space="0"/>
              <w:right w:val="single" w:color="auto" w:sz="4" w:space="0"/>
            </w:tcBorders>
            <w:noWrap/>
            <w:vAlign w:val="center"/>
          </w:tcPr>
          <w:p w14:paraId="3F554E9A">
            <w:pPr>
              <w:jc w:val="center"/>
              <w:rPr>
                <w:rFonts w:ascii="宋体" w:hAnsi="宋体"/>
                <w:color w:val="auto"/>
                <w:szCs w:val="22"/>
                <w:highlight w:val="none"/>
              </w:rPr>
            </w:pPr>
            <w:r>
              <w:rPr>
                <w:rFonts w:hint="eastAsia" w:ascii="宋体" w:hAnsi="宋体"/>
                <w:color w:val="auto"/>
                <w:szCs w:val="22"/>
                <w:highlight w:val="none"/>
              </w:rPr>
              <w:t>数量及单位</w:t>
            </w:r>
            <w:r>
              <w:rPr>
                <w:rFonts w:ascii="宋体" w:hAnsi="宋体"/>
                <w:color w:val="auto"/>
                <w:szCs w:val="22"/>
                <w:highlight w:val="none"/>
              </w:rPr>
              <w:t>①</w:t>
            </w:r>
          </w:p>
        </w:tc>
        <w:tc>
          <w:tcPr>
            <w:tcW w:w="1380" w:type="dxa"/>
            <w:tcBorders>
              <w:top w:val="single" w:color="auto" w:sz="4" w:space="0"/>
              <w:left w:val="single" w:color="auto" w:sz="4" w:space="0"/>
              <w:bottom w:val="single" w:color="auto" w:sz="4" w:space="0"/>
              <w:right w:val="single" w:color="auto" w:sz="4" w:space="0"/>
            </w:tcBorders>
            <w:noWrap/>
            <w:vAlign w:val="center"/>
          </w:tcPr>
          <w:p w14:paraId="6A87BBC9">
            <w:pPr>
              <w:rPr>
                <w:rFonts w:ascii="宋体" w:hAnsi="宋体"/>
                <w:color w:val="auto"/>
                <w:szCs w:val="22"/>
                <w:highlight w:val="none"/>
              </w:rPr>
            </w:pPr>
            <w:r>
              <w:rPr>
                <w:rFonts w:hint="eastAsia" w:ascii="宋体" w:hAnsi="宋体"/>
                <w:color w:val="auto"/>
                <w:szCs w:val="22"/>
                <w:highlight w:val="none"/>
              </w:rPr>
              <w:t>单价</w:t>
            </w:r>
            <w:r>
              <w:rPr>
                <w:rFonts w:ascii="宋体" w:hAnsi="宋体"/>
                <w:color w:val="auto"/>
                <w:szCs w:val="22"/>
                <w:highlight w:val="none"/>
              </w:rPr>
              <w:t>(</w:t>
            </w:r>
            <w:r>
              <w:rPr>
                <w:rFonts w:hint="eastAsia" w:ascii="宋体" w:hAnsi="宋体"/>
                <w:color w:val="auto"/>
                <w:szCs w:val="22"/>
                <w:highlight w:val="none"/>
              </w:rPr>
              <w:t>元</w:t>
            </w:r>
            <w:r>
              <w:rPr>
                <w:rFonts w:ascii="宋体" w:hAnsi="宋体"/>
                <w:color w:val="auto"/>
                <w:szCs w:val="22"/>
                <w:highlight w:val="none"/>
              </w:rPr>
              <w:t>)②</w:t>
            </w:r>
          </w:p>
        </w:tc>
        <w:tc>
          <w:tcPr>
            <w:tcW w:w="1665" w:type="dxa"/>
            <w:tcBorders>
              <w:top w:val="single" w:color="auto" w:sz="4" w:space="0"/>
              <w:left w:val="single" w:color="auto" w:sz="4" w:space="0"/>
              <w:bottom w:val="single" w:color="auto" w:sz="4" w:space="0"/>
              <w:right w:val="single" w:color="auto" w:sz="4" w:space="0"/>
            </w:tcBorders>
            <w:noWrap/>
            <w:vAlign w:val="center"/>
          </w:tcPr>
          <w:p w14:paraId="2F4E2293">
            <w:pPr>
              <w:rPr>
                <w:rFonts w:ascii="宋体" w:hAnsi="宋体"/>
                <w:color w:val="auto"/>
                <w:szCs w:val="22"/>
                <w:highlight w:val="none"/>
              </w:rPr>
            </w:pPr>
            <w:r>
              <w:rPr>
                <w:rFonts w:hint="eastAsia" w:ascii="宋体" w:hAnsi="宋体"/>
                <w:color w:val="auto"/>
                <w:szCs w:val="22"/>
                <w:highlight w:val="none"/>
              </w:rPr>
              <w:t>单项合价（元）</w:t>
            </w:r>
          </w:p>
          <w:p w14:paraId="20F4797B">
            <w:pPr>
              <w:rPr>
                <w:rFonts w:ascii="宋体" w:hAnsi="宋体"/>
                <w:color w:val="auto"/>
                <w:szCs w:val="22"/>
                <w:highlight w:val="none"/>
              </w:rPr>
            </w:pPr>
            <w:r>
              <w:rPr>
                <w:rFonts w:ascii="宋体" w:hAnsi="宋体"/>
                <w:color w:val="auto"/>
                <w:szCs w:val="22"/>
                <w:highlight w:val="none"/>
              </w:rPr>
              <w:t>③</w:t>
            </w:r>
            <w:r>
              <w:rPr>
                <w:rFonts w:hint="eastAsia" w:ascii="宋体" w:hAnsi="宋体"/>
                <w:color w:val="auto"/>
                <w:szCs w:val="22"/>
                <w:highlight w:val="none"/>
              </w:rPr>
              <w:t>＝</w:t>
            </w:r>
            <w:r>
              <w:rPr>
                <w:rFonts w:ascii="宋体" w:hAnsi="宋体"/>
                <w:color w:val="auto"/>
                <w:szCs w:val="22"/>
                <w:highlight w:val="none"/>
              </w:rPr>
              <w:t>①×②</w:t>
            </w:r>
          </w:p>
        </w:tc>
        <w:tc>
          <w:tcPr>
            <w:tcW w:w="978" w:type="dxa"/>
            <w:tcBorders>
              <w:top w:val="single" w:color="auto" w:sz="4" w:space="0"/>
              <w:left w:val="single" w:color="auto" w:sz="4" w:space="0"/>
              <w:bottom w:val="single" w:color="auto" w:sz="4" w:space="0"/>
              <w:right w:val="single" w:color="auto" w:sz="4" w:space="0"/>
            </w:tcBorders>
            <w:noWrap/>
          </w:tcPr>
          <w:p w14:paraId="6219A831">
            <w:pPr>
              <w:spacing w:line="360" w:lineRule="auto"/>
              <w:jc w:val="center"/>
              <w:rPr>
                <w:rFonts w:ascii="宋体" w:hAnsi="宋体"/>
                <w:color w:val="auto"/>
                <w:szCs w:val="22"/>
                <w:highlight w:val="none"/>
              </w:rPr>
            </w:pPr>
            <w:r>
              <w:rPr>
                <w:rFonts w:hint="eastAsia" w:ascii="宋体" w:hAnsi="宋体"/>
                <w:color w:val="auto"/>
                <w:szCs w:val="22"/>
                <w:highlight w:val="none"/>
              </w:rPr>
              <w:t>备注</w:t>
            </w:r>
          </w:p>
        </w:tc>
      </w:tr>
      <w:tr w14:paraId="7C2C0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noWrap/>
            <w:vAlign w:val="center"/>
          </w:tcPr>
          <w:p w14:paraId="2FF503AC">
            <w:pPr>
              <w:rPr>
                <w:rFonts w:ascii="宋体" w:hAnsi="宋体"/>
                <w:color w:val="auto"/>
                <w:szCs w:val="22"/>
                <w:highlight w:val="none"/>
              </w:rPr>
            </w:pPr>
            <w:r>
              <w:rPr>
                <w:rFonts w:ascii="宋体" w:hAnsi="宋体"/>
                <w:color w:val="auto"/>
                <w:szCs w:val="22"/>
                <w:highlight w:val="none"/>
              </w:rPr>
              <w:t>1</w:t>
            </w:r>
          </w:p>
        </w:tc>
        <w:tc>
          <w:tcPr>
            <w:tcW w:w="1336" w:type="dxa"/>
            <w:tcBorders>
              <w:top w:val="single" w:color="auto" w:sz="4" w:space="0"/>
              <w:left w:val="single" w:color="auto" w:sz="4" w:space="0"/>
              <w:bottom w:val="single" w:color="auto" w:sz="4" w:space="0"/>
              <w:right w:val="single" w:color="auto" w:sz="4" w:space="0"/>
            </w:tcBorders>
            <w:noWrap/>
            <w:vAlign w:val="center"/>
          </w:tcPr>
          <w:p w14:paraId="76EE388D">
            <w:pPr>
              <w:rPr>
                <w:rFonts w:ascii="宋体" w:hAnsi="宋体"/>
                <w:color w:val="auto"/>
                <w:szCs w:val="22"/>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177DCA6E">
            <w:pPr>
              <w:rPr>
                <w:rFonts w:ascii="宋体" w:hAnsi="宋体"/>
                <w:color w:val="auto"/>
                <w:szCs w:val="22"/>
                <w:highlight w:val="none"/>
              </w:rPr>
            </w:pPr>
          </w:p>
        </w:tc>
        <w:tc>
          <w:tcPr>
            <w:tcW w:w="1650" w:type="dxa"/>
            <w:tcBorders>
              <w:top w:val="single" w:color="auto" w:sz="4" w:space="0"/>
              <w:left w:val="single" w:color="auto" w:sz="4" w:space="0"/>
              <w:bottom w:val="single" w:color="auto" w:sz="4" w:space="0"/>
              <w:right w:val="single" w:color="auto" w:sz="4" w:space="0"/>
            </w:tcBorders>
            <w:noWrap/>
            <w:vAlign w:val="center"/>
          </w:tcPr>
          <w:p w14:paraId="612A4C9E">
            <w:pPr>
              <w:rPr>
                <w:rFonts w:ascii="宋体" w:hAnsi="宋体"/>
                <w:color w:val="auto"/>
                <w:szCs w:val="22"/>
                <w:highlight w:val="none"/>
              </w:rPr>
            </w:pPr>
          </w:p>
        </w:tc>
        <w:tc>
          <w:tcPr>
            <w:tcW w:w="1020" w:type="dxa"/>
            <w:tcBorders>
              <w:top w:val="single" w:color="auto" w:sz="4" w:space="0"/>
              <w:left w:val="single" w:color="auto" w:sz="4" w:space="0"/>
              <w:bottom w:val="single" w:color="auto" w:sz="4" w:space="0"/>
              <w:right w:val="single" w:color="auto" w:sz="4" w:space="0"/>
            </w:tcBorders>
            <w:noWrap/>
            <w:vAlign w:val="center"/>
          </w:tcPr>
          <w:p w14:paraId="0688086E">
            <w:pPr>
              <w:rPr>
                <w:rFonts w:ascii="宋体" w:hAnsi="宋体"/>
                <w:color w:val="auto"/>
                <w:szCs w:val="22"/>
                <w:highlight w:val="none"/>
              </w:rPr>
            </w:pPr>
          </w:p>
        </w:tc>
        <w:tc>
          <w:tcPr>
            <w:tcW w:w="1380" w:type="dxa"/>
            <w:tcBorders>
              <w:top w:val="single" w:color="auto" w:sz="4" w:space="0"/>
              <w:left w:val="single" w:color="auto" w:sz="4" w:space="0"/>
              <w:bottom w:val="single" w:color="auto" w:sz="4" w:space="0"/>
              <w:right w:val="single" w:color="auto" w:sz="4" w:space="0"/>
            </w:tcBorders>
            <w:noWrap/>
            <w:vAlign w:val="center"/>
          </w:tcPr>
          <w:p w14:paraId="08679994">
            <w:pPr>
              <w:rPr>
                <w:rFonts w:ascii="宋体" w:hAnsi="宋体"/>
                <w:color w:val="auto"/>
                <w:szCs w:val="22"/>
                <w:highlight w:val="none"/>
              </w:rPr>
            </w:pPr>
          </w:p>
        </w:tc>
        <w:tc>
          <w:tcPr>
            <w:tcW w:w="1665" w:type="dxa"/>
            <w:tcBorders>
              <w:top w:val="single" w:color="auto" w:sz="4" w:space="0"/>
              <w:left w:val="single" w:color="auto" w:sz="4" w:space="0"/>
              <w:bottom w:val="single" w:color="auto" w:sz="4" w:space="0"/>
              <w:right w:val="single" w:color="auto" w:sz="4" w:space="0"/>
            </w:tcBorders>
            <w:noWrap/>
            <w:vAlign w:val="center"/>
          </w:tcPr>
          <w:p w14:paraId="63D013E1">
            <w:pPr>
              <w:rPr>
                <w:rFonts w:ascii="宋体" w:hAnsi="宋体"/>
                <w:color w:val="auto"/>
                <w:szCs w:val="22"/>
                <w:highlight w:val="none"/>
              </w:rPr>
            </w:pPr>
          </w:p>
        </w:tc>
        <w:tc>
          <w:tcPr>
            <w:tcW w:w="978" w:type="dxa"/>
            <w:tcBorders>
              <w:top w:val="single" w:color="auto" w:sz="4" w:space="0"/>
              <w:left w:val="single" w:color="auto" w:sz="4" w:space="0"/>
              <w:bottom w:val="single" w:color="auto" w:sz="4" w:space="0"/>
              <w:right w:val="single" w:color="auto" w:sz="4" w:space="0"/>
            </w:tcBorders>
            <w:noWrap/>
          </w:tcPr>
          <w:p w14:paraId="0A19E1A8">
            <w:pPr>
              <w:rPr>
                <w:rFonts w:ascii="宋体" w:hAnsi="宋体"/>
                <w:color w:val="auto"/>
                <w:szCs w:val="22"/>
                <w:highlight w:val="none"/>
              </w:rPr>
            </w:pPr>
          </w:p>
        </w:tc>
      </w:tr>
      <w:tr w14:paraId="5475C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ign w:val="center"/>
          </w:tcPr>
          <w:p w14:paraId="56FCA9F1">
            <w:pPr>
              <w:rPr>
                <w:rFonts w:ascii="宋体" w:hAnsi="宋体"/>
                <w:color w:val="auto"/>
                <w:szCs w:val="22"/>
                <w:highlight w:val="none"/>
              </w:rPr>
            </w:pPr>
            <w:r>
              <w:rPr>
                <w:rFonts w:ascii="宋体" w:hAnsi="宋体"/>
                <w:color w:val="auto"/>
                <w:szCs w:val="22"/>
                <w:highlight w:val="none"/>
              </w:rPr>
              <w:t>2</w:t>
            </w:r>
          </w:p>
        </w:tc>
        <w:tc>
          <w:tcPr>
            <w:tcW w:w="1336" w:type="dxa"/>
            <w:tcBorders>
              <w:top w:val="single" w:color="auto" w:sz="4" w:space="0"/>
              <w:left w:val="single" w:color="auto" w:sz="4" w:space="0"/>
              <w:bottom w:val="single" w:color="auto" w:sz="4" w:space="0"/>
              <w:right w:val="single" w:color="auto" w:sz="4" w:space="0"/>
            </w:tcBorders>
            <w:noWrap/>
            <w:vAlign w:val="center"/>
          </w:tcPr>
          <w:p w14:paraId="321D0031">
            <w:pPr>
              <w:rPr>
                <w:rFonts w:ascii="宋体" w:hAnsi="宋体"/>
                <w:color w:val="auto"/>
                <w:szCs w:val="22"/>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6CD38DAA">
            <w:pPr>
              <w:rPr>
                <w:rFonts w:ascii="宋体" w:hAnsi="宋体"/>
                <w:color w:val="auto"/>
                <w:szCs w:val="22"/>
                <w:highlight w:val="none"/>
              </w:rPr>
            </w:pPr>
          </w:p>
        </w:tc>
        <w:tc>
          <w:tcPr>
            <w:tcW w:w="1650" w:type="dxa"/>
            <w:tcBorders>
              <w:top w:val="single" w:color="auto" w:sz="4" w:space="0"/>
              <w:left w:val="single" w:color="auto" w:sz="4" w:space="0"/>
              <w:bottom w:val="single" w:color="auto" w:sz="4" w:space="0"/>
              <w:right w:val="single" w:color="auto" w:sz="4" w:space="0"/>
            </w:tcBorders>
            <w:noWrap/>
            <w:vAlign w:val="center"/>
          </w:tcPr>
          <w:p w14:paraId="4A645E85">
            <w:pPr>
              <w:rPr>
                <w:rFonts w:ascii="宋体" w:hAnsi="宋体"/>
                <w:color w:val="auto"/>
                <w:szCs w:val="22"/>
                <w:highlight w:val="none"/>
              </w:rPr>
            </w:pPr>
          </w:p>
        </w:tc>
        <w:tc>
          <w:tcPr>
            <w:tcW w:w="1020" w:type="dxa"/>
            <w:tcBorders>
              <w:top w:val="single" w:color="auto" w:sz="4" w:space="0"/>
              <w:left w:val="single" w:color="auto" w:sz="4" w:space="0"/>
              <w:bottom w:val="single" w:color="auto" w:sz="4" w:space="0"/>
              <w:right w:val="single" w:color="auto" w:sz="4" w:space="0"/>
            </w:tcBorders>
            <w:noWrap/>
            <w:vAlign w:val="center"/>
          </w:tcPr>
          <w:p w14:paraId="6F8F151F">
            <w:pPr>
              <w:rPr>
                <w:rFonts w:ascii="宋体" w:hAnsi="宋体"/>
                <w:color w:val="auto"/>
                <w:szCs w:val="22"/>
                <w:highlight w:val="none"/>
              </w:rPr>
            </w:pPr>
          </w:p>
        </w:tc>
        <w:tc>
          <w:tcPr>
            <w:tcW w:w="1380" w:type="dxa"/>
            <w:tcBorders>
              <w:top w:val="single" w:color="auto" w:sz="4" w:space="0"/>
              <w:left w:val="single" w:color="auto" w:sz="4" w:space="0"/>
              <w:bottom w:val="single" w:color="auto" w:sz="4" w:space="0"/>
              <w:right w:val="single" w:color="auto" w:sz="4" w:space="0"/>
            </w:tcBorders>
            <w:noWrap/>
            <w:vAlign w:val="center"/>
          </w:tcPr>
          <w:p w14:paraId="2C1ABF54">
            <w:pPr>
              <w:rPr>
                <w:rFonts w:ascii="宋体" w:hAnsi="宋体"/>
                <w:color w:val="auto"/>
                <w:szCs w:val="22"/>
                <w:highlight w:val="none"/>
              </w:rPr>
            </w:pPr>
          </w:p>
        </w:tc>
        <w:tc>
          <w:tcPr>
            <w:tcW w:w="1665" w:type="dxa"/>
            <w:tcBorders>
              <w:top w:val="single" w:color="auto" w:sz="4" w:space="0"/>
              <w:left w:val="single" w:color="auto" w:sz="4" w:space="0"/>
              <w:bottom w:val="single" w:color="auto" w:sz="4" w:space="0"/>
              <w:right w:val="single" w:color="auto" w:sz="4" w:space="0"/>
            </w:tcBorders>
            <w:noWrap/>
            <w:vAlign w:val="center"/>
          </w:tcPr>
          <w:p w14:paraId="1F76769E">
            <w:pPr>
              <w:rPr>
                <w:rFonts w:ascii="宋体" w:hAnsi="宋体"/>
                <w:color w:val="auto"/>
                <w:szCs w:val="22"/>
                <w:highlight w:val="none"/>
              </w:rPr>
            </w:pPr>
          </w:p>
        </w:tc>
        <w:tc>
          <w:tcPr>
            <w:tcW w:w="978" w:type="dxa"/>
            <w:tcBorders>
              <w:top w:val="single" w:color="auto" w:sz="4" w:space="0"/>
              <w:left w:val="single" w:color="auto" w:sz="4" w:space="0"/>
              <w:bottom w:val="single" w:color="auto" w:sz="4" w:space="0"/>
              <w:right w:val="single" w:color="auto" w:sz="4" w:space="0"/>
            </w:tcBorders>
            <w:noWrap/>
          </w:tcPr>
          <w:p w14:paraId="214A2E98">
            <w:pPr>
              <w:rPr>
                <w:rFonts w:ascii="宋体" w:hAnsi="宋体"/>
                <w:color w:val="auto"/>
                <w:szCs w:val="22"/>
                <w:highlight w:val="none"/>
              </w:rPr>
            </w:pPr>
          </w:p>
        </w:tc>
      </w:tr>
      <w:tr w14:paraId="5709B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719" w:type="dxa"/>
            <w:tcBorders>
              <w:top w:val="single" w:color="auto" w:sz="4" w:space="0"/>
              <w:left w:val="single" w:color="auto" w:sz="4" w:space="0"/>
              <w:bottom w:val="single" w:color="auto" w:sz="4" w:space="0"/>
              <w:right w:val="single" w:color="auto" w:sz="4" w:space="0"/>
            </w:tcBorders>
            <w:noWrap/>
            <w:vAlign w:val="center"/>
          </w:tcPr>
          <w:p w14:paraId="41FF00A7">
            <w:pPr>
              <w:rPr>
                <w:rFonts w:ascii="宋体" w:hAnsi="宋体"/>
                <w:color w:val="auto"/>
                <w:szCs w:val="22"/>
                <w:highlight w:val="none"/>
              </w:rPr>
            </w:pPr>
            <w:r>
              <w:rPr>
                <w:rFonts w:ascii="宋体" w:hAnsi="宋体"/>
                <w:color w:val="auto"/>
                <w:szCs w:val="22"/>
                <w:highlight w:val="none"/>
              </w:rPr>
              <w:t>...</w:t>
            </w:r>
          </w:p>
        </w:tc>
        <w:tc>
          <w:tcPr>
            <w:tcW w:w="1336" w:type="dxa"/>
            <w:tcBorders>
              <w:top w:val="single" w:color="auto" w:sz="4" w:space="0"/>
              <w:left w:val="single" w:color="auto" w:sz="4" w:space="0"/>
              <w:bottom w:val="single" w:color="auto" w:sz="4" w:space="0"/>
              <w:right w:val="single" w:color="auto" w:sz="4" w:space="0"/>
            </w:tcBorders>
            <w:noWrap/>
            <w:vAlign w:val="center"/>
          </w:tcPr>
          <w:p w14:paraId="3E0305F0">
            <w:pPr>
              <w:rPr>
                <w:rFonts w:ascii="宋体" w:hAnsi="宋体"/>
                <w:color w:val="auto"/>
                <w:szCs w:val="22"/>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14:paraId="248FC4AB">
            <w:pPr>
              <w:rPr>
                <w:rFonts w:ascii="宋体" w:hAnsi="宋体"/>
                <w:color w:val="auto"/>
                <w:szCs w:val="22"/>
                <w:highlight w:val="none"/>
              </w:rPr>
            </w:pPr>
          </w:p>
        </w:tc>
        <w:tc>
          <w:tcPr>
            <w:tcW w:w="1650" w:type="dxa"/>
            <w:tcBorders>
              <w:top w:val="single" w:color="auto" w:sz="4" w:space="0"/>
              <w:left w:val="single" w:color="auto" w:sz="4" w:space="0"/>
              <w:bottom w:val="single" w:color="auto" w:sz="4" w:space="0"/>
              <w:right w:val="single" w:color="auto" w:sz="4" w:space="0"/>
            </w:tcBorders>
            <w:noWrap/>
            <w:vAlign w:val="center"/>
          </w:tcPr>
          <w:p w14:paraId="5D959B22">
            <w:pPr>
              <w:rPr>
                <w:rFonts w:ascii="宋体" w:hAnsi="宋体"/>
                <w:color w:val="auto"/>
                <w:szCs w:val="22"/>
                <w:highlight w:val="none"/>
              </w:rPr>
            </w:pPr>
          </w:p>
        </w:tc>
        <w:tc>
          <w:tcPr>
            <w:tcW w:w="1020" w:type="dxa"/>
            <w:tcBorders>
              <w:top w:val="single" w:color="auto" w:sz="4" w:space="0"/>
              <w:left w:val="single" w:color="auto" w:sz="4" w:space="0"/>
              <w:bottom w:val="single" w:color="auto" w:sz="4" w:space="0"/>
              <w:right w:val="single" w:color="auto" w:sz="4" w:space="0"/>
            </w:tcBorders>
            <w:noWrap/>
            <w:vAlign w:val="center"/>
          </w:tcPr>
          <w:p w14:paraId="02FDB161">
            <w:pPr>
              <w:rPr>
                <w:rFonts w:ascii="宋体" w:hAnsi="宋体"/>
                <w:color w:val="auto"/>
                <w:szCs w:val="22"/>
                <w:highlight w:val="none"/>
              </w:rPr>
            </w:pPr>
          </w:p>
        </w:tc>
        <w:tc>
          <w:tcPr>
            <w:tcW w:w="1380" w:type="dxa"/>
            <w:tcBorders>
              <w:top w:val="single" w:color="auto" w:sz="4" w:space="0"/>
              <w:left w:val="single" w:color="auto" w:sz="4" w:space="0"/>
              <w:bottom w:val="single" w:color="auto" w:sz="4" w:space="0"/>
              <w:right w:val="single" w:color="auto" w:sz="4" w:space="0"/>
            </w:tcBorders>
            <w:noWrap/>
            <w:vAlign w:val="center"/>
          </w:tcPr>
          <w:p w14:paraId="36AD5311">
            <w:pPr>
              <w:rPr>
                <w:rFonts w:ascii="宋体" w:hAnsi="宋体"/>
                <w:color w:val="auto"/>
                <w:szCs w:val="22"/>
                <w:highlight w:val="none"/>
              </w:rPr>
            </w:pPr>
          </w:p>
        </w:tc>
        <w:tc>
          <w:tcPr>
            <w:tcW w:w="1665" w:type="dxa"/>
            <w:tcBorders>
              <w:top w:val="single" w:color="auto" w:sz="4" w:space="0"/>
              <w:left w:val="single" w:color="auto" w:sz="4" w:space="0"/>
              <w:bottom w:val="single" w:color="auto" w:sz="4" w:space="0"/>
              <w:right w:val="single" w:color="auto" w:sz="4" w:space="0"/>
            </w:tcBorders>
            <w:noWrap/>
            <w:vAlign w:val="center"/>
          </w:tcPr>
          <w:p w14:paraId="53DF7C4F">
            <w:pPr>
              <w:rPr>
                <w:rFonts w:ascii="宋体" w:hAnsi="宋体"/>
                <w:color w:val="auto"/>
                <w:szCs w:val="22"/>
                <w:highlight w:val="none"/>
              </w:rPr>
            </w:pPr>
          </w:p>
        </w:tc>
        <w:tc>
          <w:tcPr>
            <w:tcW w:w="978" w:type="dxa"/>
            <w:tcBorders>
              <w:top w:val="single" w:color="auto" w:sz="4" w:space="0"/>
              <w:left w:val="single" w:color="auto" w:sz="4" w:space="0"/>
              <w:bottom w:val="single" w:color="auto" w:sz="4" w:space="0"/>
              <w:right w:val="single" w:color="auto" w:sz="4" w:space="0"/>
            </w:tcBorders>
            <w:noWrap/>
          </w:tcPr>
          <w:p w14:paraId="2662FD11">
            <w:pPr>
              <w:rPr>
                <w:rFonts w:ascii="宋体" w:hAnsi="宋体"/>
                <w:color w:val="auto"/>
                <w:szCs w:val="22"/>
                <w:highlight w:val="none"/>
              </w:rPr>
            </w:pPr>
          </w:p>
        </w:tc>
      </w:tr>
      <w:tr w14:paraId="483BD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tcPr>
          <w:p w14:paraId="561EA7F4">
            <w:pPr>
              <w:rPr>
                <w:rFonts w:ascii="宋体" w:hAnsi="宋体"/>
                <w:color w:val="auto"/>
                <w:szCs w:val="22"/>
                <w:highlight w:val="none"/>
              </w:rPr>
            </w:pPr>
            <w:r>
              <w:rPr>
                <w:rFonts w:hint="eastAsia" w:ascii="宋体" w:hAnsi="宋体"/>
                <w:color w:val="auto"/>
                <w:szCs w:val="22"/>
                <w:highlight w:val="none"/>
              </w:rPr>
              <w:t>报价合计（包含税费等所有费用）人民币（大写）：（￥ 元）</w:t>
            </w:r>
          </w:p>
        </w:tc>
      </w:tr>
      <w:tr w14:paraId="7BF27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ign w:val="center"/>
          </w:tcPr>
          <w:p w14:paraId="3FAA6341">
            <w:pPr>
              <w:jc w:val="left"/>
              <w:rPr>
                <w:rFonts w:ascii="宋体" w:hAnsi="宋体"/>
                <w:color w:val="auto"/>
                <w:szCs w:val="22"/>
                <w:highlight w:val="none"/>
              </w:rPr>
            </w:pPr>
            <w:r>
              <w:rPr>
                <w:rFonts w:hint="eastAsia" w:hAnsi="宋体" w:cs="宋体"/>
                <w:color w:val="auto"/>
                <w:spacing w:val="-6"/>
                <w:highlight w:val="none"/>
                <w:lang w:eastAsia="zh-CN"/>
              </w:rPr>
              <w:t>交</w:t>
            </w:r>
            <w:r>
              <w:rPr>
                <w:rFonts w:hint="eastAsia" w:hAnsi="宋体" w:cs="宋体"/>
                <w:color w:val="auto"/>
                <w:spacing w:val="-6"/>
                <w:highlight w:val="none"/>
                <w:lang w:val="en-US" w:eastAsia="zh-CN"/>
              </w:rPr>
              <w:t>货</w:t>
            </w:r>
            <w:r>
              <w:rPr>
                <w:rFonts w:hint="eastAsia" w:hAnsi="宋体" w:cs="宋体"/>
                <w:color w:val="auto"/>
                <w:spacing w:val="-6"/>
                <w:highlight w:val="none"/>
                <w:lang w:eastAsia="zh-CN"/>
              </w:rPr>
              <w:t>时间</w:t>
            </w:r>
            <w:r>
              <w:rPr>
                <w:rFonts w:hint="eastAsia" w:hAnsi="宋体" w:cs="宋体"/>
                <w:color w:val="auto"/>
                <w:spacing w:val="-6"/>
                <w:highlight w:val="none"/>
              </w:rPr>
              <w:t>：</w:t>
            </w:r>
          </w:p>
        </w:tc>
      </w:tr>
      <w:tr w14:paraId="3943C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ign w:val="center"/>
          </w:tcPr>
          <w:p w14:paraId="156457A6">
            <w:pPr>
              <w:jc w:val="left"/>
              <w:rPr>
                <w:rFonts w:ascii="宋体" w:hAnsi="宋体"/>
                <w:color w:val="auto"/>
                <w:szCs w:val="22"/>
                <w:highlight w:val="none"/>
              </w:rPr>
            </w:pPr>
            <w:r>
              <w:rPr>
                <w:rFonts w:hint="eastAsia" w:hAnsi="宋体" w:cs="宋体"/>
                <w:color w:val="auto"/>
                <w:spacing w:val="-6"/>
                <w:highlight w:val="none"/>
                <w:lang w:val="en-US" w:eastAsia="zh-CN"/>
              </w:rPr>
              <w:t>交货地点</w:t>
            </w:r>
            <w:r>
              <w:rPr>
                <w:rFonts w:hint="eastAsia" w:hAnsi="宋体" w:cs="宋体"/>
                <w:color w:val="auto"/>
                <w:spacing w:val="-6"/>
                <w:highlight w:val="none"/>
              </w:rPr>
              <w:t>：</w:t>
            </w:r>
          </w:p>
        </w:tc>
      </w:tr>
    </w:tbl>
    <w:p w14:paraId="54AB8870">
      <w:pPr>
        <w:snapToGrid w:val="0"/>
        <w:spacing w:before="50" w:after="50"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注： </w:t>
      </w:r>
    </w:p>
    <w:p w14:paraId="1A81D414">
      <w:pPr>
        <w:snapToGrid w:val="0"/>
        <w:spacing w:before="50" w:after="50"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 投标人需按本表格式填写，不得自行更改，也不得留空, 如有多分标，按分标分别提供开标一览表，必须加盖投标人有效电子公章，</w:t>
      </w:r>
      <w:r>
        <w:rPr>
          <w:rFonts w:hint="eastAsia" w:ascii="仿宋_GB2312" w:hAnsi="仿宋" w:eastAsia="仿宋_GB2312" w:cs="仿宋_GB2312"/>
          <w:b/>
          <w:color w:val="auto"/>
          <w:kern w:val="0"/>
          <w:sz w:val="24"/>
          <w:highlight w:val="none"/>
          <w:lang w:val="zh-CN"/>
        </w:rPr>
        <w:t>否则其投标作无效标处理。</w:t>
      </w:r>
    </w:p>
    <w:p w14:paraId="5EEE8560">
      <w:pPr>
        <w:snapToGrid w:val="0"/>
        <w:spacing w:before="50" w:after="50"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2、本表内容均不能涂改，</w:t>
      </w:r>
      <w:r>
        <w:rPr>
          <w:rFonts w:hint="eastAsia" w:ascii="仿宋_GB2312" w:hAnsi="仿宋" w:eastAsia="仿宋_GB2312" w:cs="仿宋_GB2312"/>
          <w:b/>
          <w:color w:val="auto"/>
          <w:kern w:val="0"/>
          <w:sz w:val="24"/>
          <w:highlight w:val="none"/>
          <w:lang w:val="zh-CN"/>
        </w:rPr>
        <w:t>否则其投标作无效标处理。</w:t>
      </w:r>
    </w:p>
    <w:p w14:paraId="4A48E4FB">
      <w:pPr>
        <w:snapToGrid w:val="0"/>
        <w:spacing w:before="50" w:after="50" w:line="360" w:lineRule="auto"/>
        <w:ind w:firstLine="480" w:firstLineChars="200"/>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3、如为联合体投标，“投标人名称”处必须列明联合体各方名称，并标注联合体牵头人名称，且盖章处须加盖联合体各方公章，</w:t>
      </w:r>
      <w:r>
        <w:rPr>
          <w:rFonts w:hint="eastAsia" w:ascii="仿宋_GB2312" w:hAnsi="仿宋" w:eastAsia="仿宋_GB2312" w:cs="仿宋_GB2312"/>
          <w:b/>
          <w:color w:val="auto"/>
          <w:kern w:val="0"/>
          <w:sz w:val="24"/>
          <w:highlight w:val="none"/>
          <w:lang w:val="zh-CN"/>
        </w:rPr>
        <w:t>否则其投标作无效标处理。</w:t>
      </w:r>
    </w:p>
    <w:p w14:paraId="5BD92EB4">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4、以上表格要求细分项目及报价，在“</w:t>
      </w:r>
      <w:r>
        <w:rPr>
          <w:rFonts w:hint="eastAsia" w:ascii="仿宋_GB2312" w:hAnsi="仿宋" w:eastAsia="仿宋_GB2312" w:cs="仿宋_GB2312"/>
          <w:color w:val="auto"/>
          <w:kern w:val="0"/>
          <w:sz w:val="24"/>
          <w:highlight w:val="none"/>
          <w:lang w:val="en-US" w:eastAsia="zh-CN"/>
        </w:rPr>
        <w:t>标的</w:t>
      </w:r>
      <w:r>
        <w:rPr>
          <w:rFonts w:hint="eastAsia" w:ascii="仿宋_GB2312" w:hAnsi="仿宋" w:eastAsia="仿宋_GB2312" w:cs="仿宋_GB2312"/>
          <w:color w:val="auto"/>
          <w:kern w:val="0"/>
          <w:sz w:val="24"/>
          <w:highlight w:val="none"/>
          <w:lang w:val="zh-CN"/>
        </w:rPr>
        <w:t>名称”一栏中，填写具体货物，</w:t>
      </w:r>
      <w:r>
        <w:rPr>
          <w:rFonts w:hint="eastAsia" w:ascii="仿宋_GB2312" w:hAnsi="仿宋" w:eastAsia="仿宋_GB2312" w:cs="仿宋_GB2312"/>
          <w:b/>
          <w:color w:val="auto"/>
          <w:kern w:val="0"/>
          <w:sz w:val="24"/>
          <w:highlight w:val="none"/>
          <w:lang w:val="zh-CN"/>
        </w:rPr>
        <w:t>否则其投标作无效标处理。</w:t>
      </w:r>
    </w:p>
    <w:p w14:paraId="17D9EB98">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7DC139D1">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03AFE13B">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6F72AD8F">
      <w:pPr>
        <w:pStyle w:val="13"/>
        <w:spacing w:line="500" w:lineRule="exact"/>
        <w:ind w:firstLine="450" w:firstLineChars="150"/>
        <w:rPr>
          <w:rFonts w:hAnsi="宋体"/>
          <w:color w:val="auto"/>
          <w:sz w:val="30"/>
          <w:highlight w:val="none"/>
        </w:rPr>
        <w:sectPr>
          <w:pgSz w:w="11906" w:h="16838"/>
          <w:pgMar w:top="1134" w:right="1134" w:bottom="1134" w:left="1134" w:header="720" w:footer="720" w:gutter="0"/>
          <w:pgNumType w:fmt="decimal"/>
          <w:cols w:space="720" w:num="1"/>
          <w:docGrid w:type="lines" w:linePitch="331" w:charSpace="0"/>
        </w:sectPr>
      </w:pPr>
    </w:p>
    <w:p w14:paraId="52A6FFD9">
      <w:pPr>
        <w:pStyle w:val="13"/>
        <w:tabs>
          <w:tab w:val="left" w:pos="2472"/>
        </w:tabs>
        <w:spacing w:line="460" w:lineRule="exact"/>
        <w:ind w:firstLine="1084" w:firstLineChars="300"/>
        <w:outlineLvl w:val="0"/>
        <w:rPr>
          <w:rFonts w:hint="eastAsia" w:ascii="Times New Roman" w:hAnsi="Times New Roman"/>
          <w:b/>
          <w:color w:val="auto"/>
          <w:sz w:val="36"/>
          <w:highlight w:val="none"/>
          <w:lang w:val="en-US" w:eastAsia="zh-CN"/>
        </w:rPr>
      </w:pPr>
      <w:bookmarkStart w:id="175" w:name="_Toc14053"/>
    </w:p>
    <w:p w14:paraId="4D56173F">
      <w:pPr>
        <w:pStyle w:val="13"/>
        <w:spacing w:line="6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lang w:eastAsia="zh-CN"/>
        </w:rPr>
        <w:t>七、</w:t>
      </w:r>
      <w:r>
        <w:rPr>
          <w:rFonts w:hint="eastAsia" w:ascii="Times New Roman" w:hAnsi="Times New Roman" w:eastAsia="宋体" w:cs="Times New Roman"/>
          <w:b/>
          <w:bCs/>
          <w:color w:val="auto"/>
          <w:sz w:val="30"/>
          <w:szCs w:val="30"/>
          <w:highlight w:val="none"/>
          <w:lang w:val="en-US" w:eastAsia="zh-CN"/>
        </w:rPr>
        <w:t>中小企业声明函或残疾人福利性单位声明函或省级以上监狱管理局、戒毒管理局（含新疆生产建设兵团）出具的属于监狱企业的证明文件</w:t>
      </w:r>
    </w:p>
    <w:p w14:paraId="36A99F06">
      <w:pPr>
        <w:pStyle w:val="13"/>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中小企业声明函</w:t>
      </w:r>
    </w:p>
    <w:p w14:paraId="59A06AC4">
      <w:pPr>
        <w:pStyle w:val="11"/>
        <w:ind w:firstLine="739"/>
        <w:rPr>
          <w:rFonts w:ascii="Times New Roman" w:hAnsi="Times New Roman"/>
          <w:color w:val="auto"/>
          <w:sz w:val="21"/>
          <w:szCs w:val="21"/>
          <w:highlight w:val="none"/>
        </w:rPr>
      </w:pPr>
      <w:r>
        <w:rPr>
          <w:rFonts w:hint="eastAsia" w:ascii="Times New Roman" w:hAnsi="宋体"/>
          <w:color w:val="auto"/>
          <w:sz w:val="21"/>
          <w:szCs w:val="21"/>
          <w:highlight w:val="none"/>
        </w:rPr>
        <w:t>说明：</w:t>
      </w:r>
    </w:p>
    <w:p w14:paraId="11AEA4CD">
      <w:pPr>
        <w:pStyle w:val="11"/>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1</w:t>
      </w:r>
      <w:r>
        <w:rPr>
          <w:rFonts w:hint="eastAsia" w:ascii="Times New Roman" w:hAnsi="宋体"/>
          <w:color w:val="auto"/>
          <w:sz w:val="21"/>
          <w:szCs w:val="21"/>
          <w:highlight w:val="none"/>
        </w:rPr>
        <w:t>、本声明函主要供参加政府采购活动的中小企业填写，非中小企业无需填写。</w:t>
      </w:r>
    </w:p>
    <w:p w14:paraId="19D23C83">
      <w:pPr>
        <w:pStyle w:val="11"/>
        <w:ind w:firstLine="420" w:firstLineChars="200"/>
        <w:rPr>
          <w:rFonts w:ascii="Times New Roman" w:hAnsi="宋体"/>
          <w:color w:val="auto"/>
          <w:sz w:val="21"/>
          <w:szCs w:val="21"/>
          <w:highlight w:val="none"/>
        </w:rPr>
      </w:pPr>
      <w:r>
        <w:rPr>
          <w:rFonts w:ascii="Times New Roman" w:hAnsi="Times New Roman"/>
          <w:color w:val="auto"/>
          <w:sz w:val="21"/>
          <w:szCs w:val="21"/>
          <w:highlight w:val="none"/>
        </w:rPr>
        <w:t>2</w:t>
      </w:r>
      <w:r>
        <w:rPr>
          <w:rFonts w:hint="eastAsia" w:ascii="Times New Roman" w:hAnsi="宋体"/>
          <w:color w:val="auto"/>
          <w:sz w:val="21"/>
          <w:szCs w:val="21"/>
          <w:highlight w:val="none"/>
        </w:rPr>
        <w:t>、小型、微型企业提供中型企业提供的货物的，视同为中型企业。</w:t>
      </w:r>
    </w:p>
    <w:p w14:paraId="0B86701A">
      <w:pPr>
        <w:pStyle w:val="11"/>
        <w:ind w:firstLine="420" w:firstLineChars="200"/>
        <w:rPr>
          <w:rFonts w:ascii="Times New Roman" w:hAnsi="宋体"/>
          <w:color w:val="auto"/>
          <w:sz w:val="21"/>
          <w:szCs w:val="21"/>
          <w:highlight w:val="none"/>
        </w:rPr>
      </w:pPr>
    </w:p>
    <w:p w14:paraId="2AE2A404">
      <w:pPr>
        <w:pStyle w:val="10"/>
        <w:spacing w:line="360" w:lineRule="auto"/>
        <w:ind w:left="-426" w:leftChars="-203" w:right="142" w:firstLine="420" w:firstLineChars="200"/>
        <w:contextualSpacing/>
        <w:rPr>
          <w:rFonts w:ascii="宋体" w:hAnsi="宋体"/>
          <w:color w:val="auto"/>
          <w:kern w:val="24"/>
          <w:highlight w:val="none"/>
        </w:rPr>
      </w:pPr>
      <w:r>
        <w:rPr>
          <w:rFonts w:ascii="宋体" w:hAnsi="宋体"/>
          <w:color w:val="auto"/>
          <w:kern w:val="24"/>
          <w:highlight w:val="none"/>
        </w:rPr>
        <w:t>本公司（联合体）郑重声明，根据《政府采购促进中小企业发展管理办法》（财库﹝2020﹞46号）的规定，本公司（联合体）参加</w:t>
      </w:r>
      <w:r>
        <w:rPr>
          <w:rFonts w:hint="eastAsia" w:ascii="宋体" w:hAnsi="宋体"/>
          <w:color w:val="auto"/>
          <w:kern w:val="24"/>
          <w:highlight w:val="none"/>
          <w:u w:val="single"/>
        </w:rPr>
        <w:t xml:space="preserve">                    （项目名称）</w:t>
      </w:r>
      <w:r>
        <w:rPr>
          <w:rFonts w:ascii="宋体" w:hAnsi="宋体"/>
          <w:color w:val="auto"/>
          <w:kern w:val="24"/>
          <w:highlight w:val="none"/>
        </w:rPr>
        <w:t>采购活动，提供的货物全部由符合政策要求的中小企业制造。相关企业（含联合体中的中小企业、签订分包意向协议的中小企业）的具体情况如下：</w:t>
      </w:r>
    </w:p>
    <w:p w14:paraId="079A3897">
      <w:pPr>
        <w:tabs>
          <w:tab w:val="left" w:pos="1384"/>
          <w:tab w:val="left" w:pos="4562"/>
          <w:tab w:val="left" w:pos="6803"/>
        </w:tabs>
        <w:spacing w:line="360" w:lineRule="auto"/>
        <w:ind w:left="-426" w:right="-58" w:firstLine="655"/>
        <w:contextualSpacing/>
        <w:rPr>
          <w:rFonts w:ascii="宋体" w:hAnsi="宋体"/>
          <w:color w:val="auto"/>
          <w:kern w:val="24"/>
          <w:sz w:val="21"/>
          <w:szCs w:val="21"/>
          <w:highlight w:val="none"/>
        </w:rPr>
      </w:pPr>
      <w:r>
        <w:rPr>
          <w:rFonts w:ascii="宋体" w:hAnsi="宋体"/>
          <w:color w:val="auto"/>
          <w:kern w:val="24"/>
          <w:sz w:val="21"/>
          <w:szCs w:val="21"/>
          <w:highlight w:val="none"/>
        </w:rPr>
        <w:t>1.</w:t>
      </w:r>
      <w:r>
        <w:rPr>
          <w:rFonts w:ascii="宋体" w:hAnsi="宋体"/>
          <w:color w:val="auto"/>
          <w:kern w:val="24"/>
          <w:sz w:val="21"/>
          <w:szCs w:val="21"/>
          <w:highlight w:val="none"/>
          <w:u w:val="single"/>
        </w:rPr>
        <w:t>（标的名称）</w:t>
      </w:r>
      <w:r>
        <w:rPr>
          <w:rFonts w:ascii="宋体" w:hAnsi="宋体"/>
          <w:color w:val="auto"/>
          <w:kern w:val="24"/>
          <w:sz w:val="21"/>
          <w:szCs w:val="21"/>
          <w:highlight w:val="none"/>
        </w:rPr>
        <w:t>，属于</w:t>
      </w:r>
      <w:r>
        <w:rPr>
          <w:rFonts w:ascii="宋体" w:hAnsi="宋体"/>
          <w:color w:val="auto"/>
          <w:kern w:val="24"/>
          <w:sz w:val="21"/>
          <w:szCs w:val="21"/>
          <w:highlight w:val="none"/>
          <w:u w:val="single"/>
        </w:rPr>
        <w:t>（采购文件中明确的所属行业）</w:t>
      </w:r>
      <w:r>
        <w:rPr>
          <w:rFonts w:ascii="宋体" w:hAnsi="宋体"/>
          <w:color w:val="auto"/>
          <w:kern w:val="24"/>
          <w:sz w:val="21"/>
          <w:szCs w:val="21"/>
          <w:highlight w:val="none"/>
        </w:rPr>
        <w:t>行业；制造商为</w:t>
      </w:r>
      <w:r>
        <w:rPr>
          <w:rFonts w:ascii="宋体" w:hAnsi="宋体"/>
          <w:color w:val="auto"/>
          <w:kern w:val="24"/>
          <w:sz w:val="21"/>
          <w:szCs w:val="21"/>
          <w:highlight w:val="none"/>
          <w:u w:val="single"/>
        </w:rPr>
        <w:t>（企业名称）</w:t>
      </w:r>
      <w:r>
        <w:rPr>
          <w:rFonts w:ascii="宋体" w:hAnsi="宋体"/>
          <w:color w:val="auto"/>
          <w:kern w:val="24"/>
          <w:sz w:val="21"/>
          <w:szCs w:val="21"/>
          <w:highlight w:val="none"/>
        </w:rPr>
        <w:t>，从业人员人，营业收入为万元，资产总额为万元，属于</w:t>
      </w:r>
      <w:r>
        <w:rPr>
          <w:rFonts w:ascii="宋体" w:hAnsi="宋体"/>
          <w:color w:val="auto"/>
          <w:kern w:val="24"/>
          <w:sz w:val="21"/>
          <w:szCs w:val="21"/>
          <w:highlight w:val="none"/>
          <w:u w:val="single"/>
        </w:rPr>
        <w:t>（中型企业、小型企业、微型企业）</w:t>
      </w:r>
      <w:r>
        <w:rPr>
          <w:rFonts w:ascii="宋体" w:hAnsi="宋体"/>
          <w:color w:val="auto"/>
          <w:kern w:val="24"/>
          <w:sz w:val="21"/>
          <w:szCs w:val="21"/>
          <w:highlight w:val="none"/>
        </w:rPr>
        <w:t>；</w:t>
      </w:r>
    </w:p>
    <w:p w14:paraId="2F3FF200">
      <w:pPr>
        <w:tabs>
          <w:tab w:val="left" w:pos="1065"/>
          <w:tab w:val="left" w:pos="6477"/>
        </w:tabs>
        <w:spacing w:line="360" w:lineRule="auto"/>
        <w:ind w:left="-426" w:right="-58" w:firstLine="655"/>
        <w:contextualSpacing/>
        <w:rPr>
          <w:rFonts w:ascii="宋体" w:hAnsi="宋体"/>
          <w:color w:val="auto"/>
          <w:kern w:val="24"/>
          <w:sz w:val="21"/>
          <w:szCs w:val="21"/>
          <w:highlight w:val="none"/>
        </w:rPr>
      </w:pPr>
      <w:r>
        <w:rPr>
          <w:rFonts w:ascii="宋体" w:hAnsi="宋体"/>
          <w:color w:val="auto"/>
          <w:kern w:val="24"/>
          <w:sz w:val="21"/>
          <w:szCs w:val="21"/>
          <w:highlight w:val="none"/>
        </w:rPr>
        <w:t>2.</w:t>
      </w:r>
      <w:r>
        <w:rPr>
          <w:rFonts w:ascii="宋体" w:hAnsi="宋体"/>
          <w:color w:val="auto"/>
          <w:kern w:val="24"/>
          <w:sz w:val="21"/>
          <w:szCs w:val="21"/>
          <w:highlight w:val="none"/>
          <w:u w:val="single"/>
        </w:rPr>
        <w:t>（标的名称）</w:t>
      </w:r>
      <w:r>
        <w:rPr>
          <w:rFonts w:ascii="宋体" w:hAnsi="宋体"/>
          <w:color w:val="auto"/>
          <w:kern w:val="24"/>
          <w:sz w:val="21"/>
          <w:szCs w:val="21"/>
          <w:highlight w:val="none"/>
        </w:rPr>
        <w:t>，属于</w:t>
      </w:r>
      <w:r>
        <w:rPr>
          <w:rFonts w:ascii="宋体" w:hAnsi="宋体"/>
          <w:color w:val="auto"/>
          <w:kern w:val="24"/>
          <w:sz w:val="21"/>
          <w:szCs w:val="21"/>
          <w:highlight w:val="none"/>
          <w:u w:val="single"/>
        </w:rPr>
        <w:t>（采购文件中明确的所属行业）</w:t>
      </w:r>
      <w:r>
        <w:rPr>
          <w:rFonts w:ascii="宋体" w:hAnsi="宋体"/>
          <w:color w:val="auto"/>
          <w:kern w:val="24"/>
          <w:sz w:val="21"/>
          <w:szCs w:val="21"/>
          <w:highlight w:val="none"/>
        </w:rPr>
        <w:t>行业；制造商为</w:t>
      </w:r>
      <w:r>
        <w:rPr>
          <w:rFonts w:ascii="宋体" w:hAnsi="宋体"/>
          <w:color w:val="auto"/>
          <w:kern w:val="24"/>
          <w:sz w:val="21"/>
          <w:szCs w:val="21"/>
          <w:highlight w:val="none"/>
          <w:u w:val="single"/>
        </w:rPr>
        <w:t>（企业名称）</w:t>
      </w:r>
      <w:r>
        <w:rPr>
          <w:rFonts w:ascii="宋体" w:hAnsi="宋体"/>
          <w:color w:val="auto"/>
          <w:kern w:val="24"/>
          <w:sz w:val="21"/>
          <w:szCs w:val="21"/>
          <w:highlight w:val="none"/>
        </w:rPr>
        <w:t>，从业人员人，营业收入为万元，资产总额为万元，属于</w:t>
      </w:r>
      <w:r>
        <w:rPr>
          <w:rFonts w:ascii="宋体" w:hAnsi="宋体"/>
          <w:color w:val="auto"/>
          <w:kern w:val="24"/>
          <w:sz w:val="21"/>
          <w:szCs w:val="21"/>
          <w:highlight w:val="none"/>
          <w:u w:val="single"/>
        </w:rPr>
        <w:t>（中型企业、小型企业、微型企业）</w:t>
      </w:r>
      <w:r>
        <w:rPr>
          <w:rFonts w:ascii="宋体" w:hAnsi="宋体"/>
          <w:color w:val="auto"/>
          <w:kern w:val="24"/>
          <w:sz w:val="21"/>
          <w:szCs w:val="21"/>
          <w:highlight w:val="none"/>
        </w:rPr>
        <w:t>；</w:t>
      </w:r>
    </w:p>
    <w:p w14:paraId="155F28D8">
      <w:pPr>
        <w:pStyle w:val="10"/>
        <w:spacing w:line="360" w:lineRule="auto"/>
        <w:ind w:left="142" w:right="142"/>
        <w:contextualSpacing/>
        <w:rPr>
          <w:rFonts w:ascii="宋体" w:hAnsi="宋体"/>
          <w:color w:val="auto"/>
          <w:kern w:val="24"/>
          <w:highlight w:val="none"/>
        </w:rPr>
      </w:pPr>
      <w:r>
        <w:rPr>
          <w:rFonts w:ascii="宋体" w:hAnsi="宋体"/>
          <w:color w:val="auto"/>
          <w:kern w:val="24"/>
          <w:highlight w:val="none"/>
        </w:rPr>
        <w:t xml:space="preserve">…… </w:t>
      </w:r>
    </w:p>
    <w:p w14:paraId="554A9339">
      <w:pPr>
        <w:pStyle w:val="10"/>
        <w:spacing w:line="360" w:lineRule="auto"/>
        <w:ind w:left="-405" w:leftChars="-193" w:right="142" w:firstLine="396" w:firstLineChars="189"/>
        <w:contextualSpacing/>
        <w:jc w:val="left"/>
        <w:rPr>
          <w:rFonts w:ascii="宋体" w:hAnsi="宋体"/>
          <w:color w:val="auto"/>
          <w:kern w:val="24"/>
          <w:highlight w:val="none"/>
        </w:rPr>
      </w:pPr>
      <w:r>
        <w:rPr>
          <w:rFonts w:ascii="宋体" w:hAnsi="宋体"/>
          <w:color w:val="auto"/>
          <w:kern w:val="24"/>
          <w:highlight w:val="none"/>
        </w:rPr>
        <w:t>以上企业，不属于大企业的分支机构，不存在控股股东为大企业的情形，也不存在与大企业的负责人为同一人的情形。</w:t>
      </w:r>
    </w:p>
    <w:p w14:paraId="7FB62ECE">
      <w:pPr>
        <w:pStyle w:val="10"/>
        <w:spacing w:line="360" w:lineRule="auto"/>
        <w:ind w:left="-426" w:right="142" w:firstLine="567"/>
        <w:contextualSpacing/>
        <w:jc w:val="left"/>
        <w:rPr>
          <w:rFonts w:ascii="宋体" w:hAnsi="宋体"/>
          <w:color w:val="auto"/>
          <w:kern w:val="24"/>
          <w:highlight w:val="none"/>
        </w:rPr>
      </w:pPr>
      <w:r>
        <w:rPr>
          <w:rFonts w:ascii="宋体" w:hAnsi="宋体"/>
          <w:color w:val="auto"/>
          <w:kern w:val="24"/>
          <w:highlight w:val="none"/>
        </w:rPr>
        <w:t>本企业对上述声明内容的真实性负责。如有虚假，将依法承担相应责任。</w:t>
      </w:r>
    </w:p>
    <w:p w14:paraId="11E52FD0">
      <w:pPr>
        <w:pStyle w:val="13"/>
        <w:spacing w:line="360" w:lineRule="auto"/>
        <w:ind w:firstLine="420" w:firstLineChars="200"/>
        <w:rPr>
          <w:rFonts w:hAnsi="宋体"/>
          <w:color w:val="auto"/>
          <w:szCs w:val="21"/>
          <w:highlight w:val="none"/>
        </w:rPr>
      </w:pPr>
    </w:p>
    <w:p w14:paraId="48D56EC5">
      <w:pPr>
        <w:pStyle w:val="13"/>
        <w:spacing w:line="360" w:lineRule="auto"/>
        <w:ind w:firstLine="420" w:firstLineChars="200"/>
        <w:rPr>
          <w:rFonts w:hAnsi="宋体"/>
          <w:color w:val="auto"/>
          <w:szCs w:val="21"/>
          <w:highlight w:val="none"/>
        </w:rPr>
      </w:pPr>
    </w:p>
    <w:p w14:paraId="0D62D727">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1E6C6263">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636906B8">
      <w:pPr>
        <w:pStyle w:val="13"/>
        <w:spacing w:line="360" w:lineRule="auto"/>
        <w:ind w:firstLine="420" w:firstLineChars="200"/>
        <w:rPr>
          <w:rFonts w:hAnsi="宋体"/>
          <w:color w:val="auto"/>
          <w:szCs w:val="21"/>
          <w:highlight w:val="none"/>
        </w:rPr>
      </w:pPr>
    </w:p>
    <w:p w14:paraId="2F9E5ADC">
      <w:pPr>
        <w:snapToGrid w:val="0"/>
        <w:spacing w:before="50" w:afterLines="50" w:line="360" w:lineRule="auto"/>
        <w:jc w:val="left"/>
        <w:rPr>
          <w:rFonts w:hAnsi="宋体" w:cs="宋体"/>
          <w:color w:val="auto"/>
          <w:sz w:val="20"/>
          <w:highlight w:val="none"/>
        </w:rPr>
      </w:pPr>
      <w:r>
        <w:rPr>
          <w:rFonts w:hint="eastAsia" w:hAnsi="宋体" w:cs="宋体"/>
          <w:color w:val="auto"/>
          <w:sz w:val="20"/>
          <w:highlight w:val="none"/>
        </w:rPr>
        <w:t>注：</w:t>
      </w:r>
    </w:p>
    <w:p w14:paraId="720DB681">
      <w:pPr>
        <w:numPr>
          <w:ilvl w:val="0"/>
          <w:numId w:val="7"/>
        </w:numPr>
        <w:snapToGrid w:val="0"/>
        <w:spacing w:before="50" w:afterLines="50" w:line="360" w:lineRule="auto"/>
        <w:jc w:val="left"/>
        <w:rPr>
          <w:color w:val="auto"/>
          <w:sz w:val="20"/>
          <w:highlight w:val="none"/>
        </w:rPr>
      </w:pPr>
      <w:r>
        <w:rPr>
          <w:rFonts w:hint="eastAsia"/>
          <w:color w:val="auto"/>
          <w:sz w:val="20"/>
          <w:highlight w:val="none"/>
        </w:rPr>
        <w:t>从业人员、营业收入、资产总额填报上一年度数据，无上一年度数据的新成立企业可不填报。</w:t>
      </w:r>
    </w:p>
    <w:p w14:paraId="70F508B8">
      <w:pPr>
        <w:snapToGrid w:val="0"/>
        <w:spacing w:before="50" w:afterLines="50" w:line="360" w:lineRule="auto"/>
        <w:ind w:firstLine="300" w:firstLineChars="150"/>
        <w:jc w:val="left"/>
        <w:rPr>
          <w:color w:val="auto"/>
          <w:sz w:val="20"/>
          <w:highlight w:val="none"/>
        </w:rPr>
        <w:sectPr>
          <w:pgSz w:w="11906" w:h="16838"/>
          <w:pgMar w:top="1134" w:right="1134" w:bottom="1134" w:left="1134" w:header="720" w:footer="720" w:gutter="0"/>
          <w:pgNumType w:fmt="decimal"/>
          <w:cols w:space="720" w:num="1"/>
          <w:docGrid w:type="lines" w:linePitch="331" w:charSpace="0"/>
        </w:sectPr>
      </w:pPr>
      <w:r>
        <w:rPr>
          <w:rFonts w:hint="eastAsia"/>
          <w:color w:val="auto"/>
          <w:sz w:val="20"/>
          <w:highlight w:val="none"/>
        </w:rPr>
        <w:t>2、请根据自己的真实情况出具《中小企业声明函》。依法享受中小企业优惠政策的，采购人或者采购代理机构在公告中标结果时，同时公告其《中小企业声明函》，接受社会监督。</w:t>
      </w:r>
    </w:p>
    <w:p w14:paraId="052BD3CC">
      <w:pPr>
        <w:pStyle w:val="13"/>
        <w:spacing w:line="360" w:lineRule="auto"/>
        <w:jc w:val="center"/>
        <w:rPr>
          <w:b/>
          <w:color w:val="auto"/>
          <w:sz w:val="30"/>
          <w:szCs w:val="30"/>
          <w:highlight w:val="none"/>
        </w:rPr>
      </w:pPr>
      <w:r>
        <w:rPr>
          <w:rFonts w:hint="eastAsia"/>
          <w:b/>
          <w:color w:val="auto"/>
          <w:sz w:val="30"/>
          <w:szCs w:val="30"/>
          <w:highlight w:val="none"/>
        </w:rPr>
        <w:t>残疾人福利性单位声明函（格式）</w:t>
      </w:r>
    </w:p>
    <w:p w14:paraId="1FE6C6E3">
      <w:pPr>
        <w:pStyle w:val="13"/>
        <w:spacing w:line="360" w:lineRule="auto"/>
        <w:jc w:val="center"/>
        <w:rPr>
          <w:b/>
          <w:color w:val="auto"/>
          <w:sz w:val="30"/>
          <w:szCs w:val="30"/>
          <w:highlight w:val="none"/>
        </w:rPr>
      </w:pPr>
    </w:p>
    <w:p w14:paraId="7738BA55">
      <w:pPr>
        <w:pStyle w:val="13"/>
        <w:spacing w:line="360" w:lineRule="auto"/>
        <w:jc w:val="left"/>
        <w:rPr>
          <w:rFonts w:ascii="仿宋_GB2312" w:eastAsia="仿宋_GB2312"/>
          <w:color w:val="auto"/>
          <w:sz w:val="30"/>
          <w:szCs w:val="30"/>
          <w:highlight w:val="none"/>
        </w:rPr>
      </w:pPr>
      <w:r>
        <w:rPr>
          <w:rFonts w:hint="eastAsia" w:ascii="仿宋_GB2312" w:eastAsia="仿宋_GB2312"/>
          <w:color w:val="auto"/>
          <w:sz w:val="30"/>
          <w:szCs w:val="30"/>
          <w:highlight w:val="none"/>
        </w:rPr>
        <w:t>本公司郑重声明，根据《财政部 民政部 中国残疾人联合会关于促进残疾人就业政府采购政策的通知》（财库〔2017〕141号）的规定，本公司为符合条件的残疾人福利性单位，且本公司参加单位的项目采购活动提供本公司制造的货物（由本公司承担工程/提供服务），或者提供其他残疾人福利性单位制造的货物（不包括使用非残疾人福利性单位注册商标的货物）。</w:t>
      </w:r>
    </w:p>
    <w:p w14:paraId="2B667BF7">
      <w:pPr>
        <w:pStyle w:val="13"/>
        <w:spacing w:line="360" w:lineRule="auto"/>
        <w:ind w:firstLine="600" w:firstLineChars="200"/>
        <w:jc w:val="left"/>
        <w:rPr>
          <w:rFonts w:ascii="仿宋_GB2312" w:eastAsia="仿宋_GB2312"/>
          <w:color w:val="auto"/>
          <w:sz w:val="30"/>
          <w:szCs w:val="30"/>
          <w:highlight w:val="none"/>
        </w:rPr>
      </w:pPr>
      <w:r>
        <w:rPr>
          <w:rFonts w:hint="eastAsia" w:ascii="仿宋_GB2312" w:eastAsia="仿宋_GB2312"/>
          <w:color w:val="auto"/>
          <w:sz w:val="30"/>
          <w:szCs w:val="30"/>
          <w:highlight w:val="none"/>
        </w:rPr>
        <w:t>本公司对上述声明的真实性负责。如有虚假，将依法承担相应责任。</w:t>
      </w:r>
    </w:p>
    <w:p w14:paraId="0CB39650">
      <w:pPr>
        <w:pStyle w:val="13"/>
        <w:spacing w:line="360" w:lineRule="auto"/>
        <w:jc w:val="left"/>
        <w:rPr>
          <w:b/>
          <w:color w:val="auto"/>
          <w:szCs w:val="21"/>
          <w:highlight w:val="none"/>
        </w:rPr>
      </w:pPr>
    </w:p>
    <w:p w14:paraId="783ADBB1">
      <w:pPr>
        <w:pStyle w:val="13"/>
        <w:spacing w:line="360" w:lineRule="auto"/>
        <w:jc w:val="left"/>
        <w:rPr>
          <w:b/>
          <w:color w:val="auto"/>
          <w:szCs w:val="21"/>
          <w:highlight w:val="none"/>
        </w:rPr>
      </w:pPr>
    </w:p>
    <w:p w14:paraId="7F18E675">
      <w:pPr>
        <w:snapToGrid w:val="0"/>
        <w:spacing w:line="360" w:lineRule="auto"/>
        <w:ind w:left="5621" w:leftChars="2534" w:hanging="300" w:hangingChars="125"/>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64889DEC">
      <w:pPr>
        <w:snapToGrid w:val="0"/>
        <w:spacing w:line="360" w:lineRule="auto"/>
        <w:ind w:firstLine="5400" w:firstLineChars="22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07CC6F15">
      <w:pPr>
        <w:pStyle w:val="13"/>
        <w:spacing w:line="360" w:lineRule="auto"/>
        <w:ind w:left="5132" w:leftChars="1979" w:hanging="976" w:hangingChars="488"/>
        <w:rPr>
          <w:color w:val="auto"/>
          <w:sz w:val="20"/>
          <w:highlight w:val="none"/>
        </w:rPr>
      </w:pPr>
    </w:p>
    <w:p w14:paraId="1E46FA72">
      <w:pPr>
        <w:pStyle w:val="13"/>
        <w:tabs>
          <w:tab w:val="left" w:pos="2472"/>
        </w:tabs>
        <w:spacing w:line="460" w:lineRule="exact"/>
        <w:ind w:firstLine="720" w:firstLineChars="300"/>
        <w:outlineLvl w:val="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7998B677">
      <w:pPr>
        <w:rPr>
          <w:rFonts w:hint="eastAsia" w:ascii="仿宋_GB2312" w:hAnsi="仿宋" w:eastAsia="仿宋_GB2312" w:cs="仿宋_GB2312"/>
          <w:color w:val="auto"/>
          <w:sz w:val="24"/>
          <w:highlight w:val="none"/>
        </w:rPr>
      </w:pPr>
    </w:p>
    <w:p w14:paraId="404ECB4E">
      <w:pPr>
        <w:pStyle w:val="10"/>
        <w:rPr>
          <w:rFonts w:hint="eastAsia" w:ascii="仿宋_GB2312" w:hAnsi="仿宋" w:eastAsia="仿宋_GB2312" w:cs="仿宋_GB2312"/>
          <w:color w:val="auto"/>
          <w:sz w:val="24"/>
          <w:highlight w:val="none"/>
        </w:rPr>
      </w:pPr>
    </w:p>
    <w:p w14:paraId="3AD3340C">
      <w:pPr>
        <w:rPr>
          <w:rFonts w:hint="eastAsia" w:ascii="仿宋_GB2312" w:hAnsi="仿宋" w:eastAsia="仿宋_GB2312" w:cs="仿宋_GB2312"/>
          <w:color w:val="auto"/>
          <w:sz w:val="24"/>
          <w:highlight w:val="none"/>
        </w:rPr>
      </w:pPr>
    </w:p>
    <w:p w14:paraId="114AAD70">
      <w:pPr>
        <w:pStyle w:val="10"/>
        <w:rPr>
          <w:rFonts w:hint="eastAsia" w:ascii="仿宋_GB2312" w:hAnsi="仿宋" w:eastAsia="仿宋_GB2312" w:cs="仿宋_GB2312"/>
          <w:color w:val="auto"/>
          <w:sz w:val="24"/>
          <w:highlight w:val="none"/>
        </w:rPr>
      </w:pPr>
    </w:p>
    <w:p w14:paraId="2958A164">
      <w:pPr>
        <w:rPr>
          <w:rFonts w:hint="eastAsia" w:ascii="仿宋_GB2312" w:hAnsi="仿宋" w:eastAsia="仿宋_GB2312" w:cs="仿宋_GB2312"/>
          <w:color w:val="auto"/>
          <w:sz w:val="24"/>
          <w:highlight w:val="none"/>
        </w:rPr>
      </w:pPr>
    </w:p>
    <w:p w14:paraId="7715D27E">
      <w:pPr>
        <w:pStyle w:val="10"/>
        <w:rPr>
          <w:rFonts w:hint="eastAsia" w:ascii="仿宋_GB2312" w:hAnsi="仿宋" w:eastAsia="仿宋_GB2312" w:cs="仿宋_GB2312"/>
          <w:color w:val="auto"/>
          <w:sz w:val="24"/>
          <w:highlight w:val="none"/>
        </w:rPr>
      </w:pPr>
    </w:p>
    <w:p w14:paraId="08768485">
      <w:pPr>
        <w:rPr>
          <w:rFonts w:hint="eastAsia" w:ascii="仿宋_GB2312" w:hAnsi="仿宋" w:eastAsia="仿宋_GB2312" w:cs="仿宋_GB2312"/>
          <w:color w:val="auto"/>
          <w:sz w:val="24"/>
          <w:highlight w:val="none"/>
        </w:rPr>
      </w:pPr>
    </w:p>
    <w:p w14:paraId="0A213AB1">
      <w:pPr>
        <w:pStyle w:val="10"/>
        <w:rPr>
          <w:rFonts w:hint="eastAsia" w:ascii="仿宋_GB2312" w:hAnsi="仿宋" w:eastAsia="仿宋_GB2312" w:cs="仿宋_GB2312"/>
          <w:color w:val="auto"/>
          <w:sz w:val="24"/>
          <w:highlight w:val="none"/>
        </w:rPr>
      </w:pPr>
    </w:p>
    <w:p w14:paraId="76EFE379">
      <w:pPr>
        <w:rPr>
          <w:rFonts w:hint="eastAsia" w:ascii="仿宋_GB2312" w:hAnsi="仿宋" w:eastAsia="仿宋_GB2312" w:cs="仿宋_GB2312"/>
          <w:color w:val="auto"/>
          <w:sz w:val="24"/>
          <w:highlight w:val="none"/>
        </w:rPr>
      </w:pPr>
    </w:p>
    <w:p w14:paraId="2D26B8FF">
      <w:pPr>
        <w:pStyle w:val="10"/>
        <w:rPr>
          <w:rFonts w:hint="eastAsia" w:ascii="仿宋_GB2312" w:hAnsi="仿宋" w:eastAsia="仿宋_GB2312" w:cs="仿宋_GB2312"/>
          <w:color w:val="auto"/>
          <w:sz w:val="24"/>
          <w:highlight w:val="none"/>
        </w:rPr>
      </w:pPr>
    </w:p>
    <w:p w14:paraId="04C55B05">
      <w:pPr>
        <w:rPr>
          <w:rFonts w:hint="eastAsia" w:ascii="仿宋_GB2312" w:hAnsi="仿宋" w:eastAsia="仿宋_GB2312" w:cs="仿宋_GB2312"/>
          <w:color w:val="auto"/>
          <w:sz w:val="24"/>
          <w:highlight w:val="none"/>
        </w:rPr>
      </w:pPr>
    </w:p>
    <w:p w14:paraId="67E4E46C">
      <w:pPr>
        <w:pStyle w:val="10"/>
        <w:rPr>
          <w:rFonts w:hint="eastAsia" w:ascii="仿宋_GB2312" w:hAnsi="仿宋" w:eastAsia="仿宋_GB2312" w:cs="仿宋_GB2312"/>
          <w:color w:val="auto"/>
          <w:sz w:val="24"/>
          <w:highlight w:val="none"/>
        </w:rPr>
      </w:pPr>
    </w:p>
    <w:p w14:paraId="32E3F44F">
      <w:pPr>
        <w:rPr>
          <w:rFonts w:hint="eastAsia" w:ascii="仿宋_GB2312" w:hAnsi="仿宋" w:eastAsia="仿宋_GB2312" w:cs="仿宋_GB2312"/>
          <w:color w:val="auto"/>
          <w:sz w:val="24"/>
          <w:highlight w:val="none"/>
        </w:rPr>
      </w:pPr>
    </w:p>
    <w:p w14:paraId="330CC7DE">
      <w:pPr>
        <w:pStyle w:val="10"/>
        <w:rPr>
          <w:rFonts w:hint="eastAsia" w:ascii="仿宋_GB2312" w:hAnsi="仿宋" w:eastAsia="仿宋_GB2312" w:cs="仿宋_GB2312"/>
          <w:color w:val="auto"/>
          <w:sz w:val="24"/>
          <w:highlight w:val="none"/>
        </w:rPr>
      </w:pPr>
    </w:p>
    <w:p w14:paraId="59C13F43">
      <w:pPr>
        <w:rPr>
          <w:rFonts w:hint="eastAsia"/>
          <w:color w:val="auto"/>
          <w:lang w:val="en-US" w:eastAsia="zh-CN"/>
        </w:rPr>
      </w:pPr>
    </w:p>
    <w:p w14:paraId="5ADF08DD">
      <w:pPr>
        <w:pStyle w:val="13"/>
        <w:tabs>
          <w:tab w:val="left" w:pos="2472"/>
        </w:tabs>
        <w:spacing w:line="460" w:lineRule="exact"/>
        <w:ind w:firstLine="1084" w:firstLineChars="300"/>
        <w:outlineLvl w:val="0"/>
        <w:rPr>
          <w:rFonts w:ascii="Times New Roman" w:hAnsi="Times New Roman"/>
          <w:b/>
          <w:color w:val="auto"/>
          <w:sz w:val="36"/>
          <w:highlight w:val="none"/>
        </w:rPr>
      </w:pPr>
      <w:r>
        <w:rPr>
          <w:rFonts w:hint="eastAsia" w:ascii="Times New Roman" w:hAnsi="Times New Roman"/>
          <w:b/>
          <w:color w:val="auto"/>
          <w:sz w:val="36"/>
          <w:highlight w:val="none"/>
          <w:lang w:val="en-US" w:eastAsia="zh-CN"/>
        </w:rPr>
        <w:t>四、投标人针对报价需要说明的其他文件和说明</w:t>
      </w:r>
    </w:p>
    <w:p w14:paraId="3DEAD7E8">
      <w:pPr>
        <w:pStyle w:val="13"/>
        <w:tabs>
          <w:tab w:val="left" w:pos="2472"/>
        </w:tabs>
        <w:spacing w:line="460" w:lineRule="exact"/>
        <w:ind w:firstLine="2331" w:firstLineChars="645"/>
        <w:outlineLvl w:val="0"/>
        <w:rPr>
          <w:rFonts w:ascii="Times New Roman" w:hAnsi="Times New Roman"/>
          <w:b/>
          <w:color w:val="auto"/>
          <w:sz w:val="36"/>
          <w:highlight w:val="none"/>
        </w:rPr>
      </w:pPr>
    </w:p>
    <w:p w14:paraId="5C104D37">
      <w:pPr>
        <w:pStyle w:val="13"/>
        <w:tabs>
          <w:tab w:val="left" w:pos="2472"/>
        </w:tabs>
        <w:spacing w:line="460" w:lineRule="exact"/>
        <w:ind w:firstLine="2331" w:firstLineChars="645"/>
        <w:outlineLvl w:val="0"/>
        <w:rPr>
          <w:rFonts w:ascii="Times New Roman" w:hAnsi="Times New Roman"/>
          <w:b/>
          <w:color w:val="auto"/>
          <w:sz w:val="36"/>
          <w:highlight w:val="none"/>
        </w:rPr>
      </w:pPr>
    </w:p>
    <w:p w14:paraId="1FBD0E40">
      <w:pPr>
        <w:pStyle w:val="13"/>
        <w:tabs>
          <w:tab w:val="left" w:pos="2472"/>
        </w:tabs>
        <w:spacing w:line="460" w:lineRule="exact"/>
        <w:ind w:firstLine="2331" w:firstLineChars="645"/>
        <w:outlineLvl w:val="0"/>
        <w:rPr>
          <w:rFonts w:ascii="Times New Roman" w:hAnsi="Times New Roman"/>
          <w:b/>
          <w:color w:val="auto"/>
          <w:sz w:val="36"/>
          <w:highlight w:val="none"/>
        </w:rPr>
      </w:pPr>
    </w:p>
    <w:p w14:paraId="0A05DB05">
      <w:pPr>
        <w:pStyle w:val="13"/>
        <w:tabs>
          <w:tab w:val="left" w:pos="2472"/>
        </w:tabs>
        <w:spacing w:line="460" w:lineRule="exact"/>
        <w:ind w:firstLine="2331" w:firstLineChars="645"/>
        <w:outlineLvl w:val="0"/>
        <w:rPr>
          <w:rFonts w:ascii="Times New Roman" w:hAnsi="Times New Roman"/>
          <w:b/>
          <w:color w:val="auto"/>
          <w:sz w:val="36"/>
          <w:highlight w:val="none"/>
        </w:rPr>
      </w:pPr>
    </w:p>
    <w:p w14:paraId="51E27858">
      <w:pPr>
        <w:pStyle w:val="13"/>
        <w:tabs>
          <w:tab w:val="left" w:pos="2472"/>
        </w:tabs>
        <w:spacing w:line="460" w:lineRule="exact"/>
        <w:ind w:firstLine="2331" w:firstLineChars="645"/>
        <w:outlineLvl w:val="0"/>
        <w:rPr>
          <w:rFonts w:ascii="Times New Roman" w:hAnsi="Times New Roman"/>
          <w:b/>
          <w:color w:val="auto"/>
          <w:sz w:val="36"/>
          <w:highlight w:val="none"/>
        </w:rPr>
      </w:pPr>
    </w:p>
    <w:p w14:paraId="7A358810">
      <w:pPr>
        <w:rPr>
          <w:rFonts w:ascii="Times New Roman" w:hAnsi="Times New Roman"/>
          <w:b/>
          <w:color w:val="auto"/>
          <w:sz w:val="36"/>
          <w:highlight w:val="none"/>
        </w:rPr>
      </w:pPr>
    </w:p>
    <w:p w14:paraId="3A663CCD">
      <w:pPr>
        <w:pStyle w:val="43"/>
        <w:rPr>
          <w:rFonts w:ascii="Times New Roman" w:hAnsi="Times New Roman"/>
          <w:b/>
          <w:color w:val="auto"/>
          <w:sz w:val="36"/>
          <w:highlight w:val="none"/>
        </w:rPr>
      </w:pPr>
    </w:p>
    <w:p w14:paraId="2FBFC542">
      <w:pPr>
        <w:pStyle w:val="44"/>
        <w:rPr>
          <w:rFonts w:ascii="Times New Roman" w:hAnsi="Times New Roman"/>
          <w:b/>
          <w:color w:val="auto"/>
          <w:sz w:val="36"/>
          <w:highlight w:val="none"/>
        </w:rPr>
      </w:pPr>
    </w:p>
    <w:p w14:paraId="16FCBBB2">
      <w:pPr>
        <w:rPr>
          <w:rFonts w:ascii="Times New Roman" w:hAnsi="Times New Roman"/>
          <w:b/>
          <w:color w:val="auto"/>
          <w:sz w:val="36"/>
          <w:highlight w:val="none"/>
        </w:rPr>
      </w:pPr>
    </w:p>
    <w:p w14:paraId="1B43CD3F">
      <w:pPr>
        <w:pStyle w:val="43"/>
        <w:rPr>
          <w:rFonts w:ascii="Times New Roman" w:hAnsi="Times New Roman"/>
          <w:b/>
          <w:color w:val="auto"/>
          <w:sz w:val="36"/>
          <w:highlight w:val="none"/>
        </w:rPr>
      </w:pPr>
    </w:p>
    <w:p w14:paraId="595ECCB6">
      <w:pPr>
        <w:pStyle w:val="44"/>
        <w:rPr>
          <w:rFonts w:ascii="Times New Roman" w:hAnsi="Times New Roman"/>
          <w:b/>
          <w:color w:val="auto"/>
          <w:sz w:val="36"/>
          <w:highlight w:val="none"/>
        </w:rPr>
      </w:pPr>
    </w:p>
    <w:p w14:paraId="203C0605">
      <w:pPr>
        <w:rPr>
          <w:rFonts w:ascii="Times New Roman" w:hAnsi="Times New Roman"/>
          <w:b/>
          <w:color w:val="auto"/>
          <w:sz w:val="36"/>
          <w:highlight w:val="none"/>
        </w:rPr>
      </w:pPr>
    </w:p>
    <w:p w14:paraId="07E49FD2">
      <w:pPr>
        <w:pStyle w:val="43"/>
        <w:rPr>
          <w:rFonts w:ascii="Times New Roman" w:hAnsi="Times New Roman"/>
          <w:b/>
          <w:color w:val="auto"/>
          <w:sz w:val="36"/>
          <w:highlight w:val="none"/>
        </w:rPr>
      </w:pPr>
    </w:p>
    <w:p w14:paraId="5026A9B8">
      <w:pPr>
        <w:pStyle w:val="44"/>
        <w:rPr>
          <w:rFonts w:ascii="Times New Roman" w:hAnsi="Times New Roman"/>
          <w:b/>
          <w:color w:val="auto"/>
          <w:sz w:val="36"/>
          <w:highlight w:val="none"/>
        </w:rPr>
      </w:pPr>
    </w:p>
    <w:p w14:paraId="30BE936F">
      <w:pPr>
        <w:rPr>
          <w:rFonts w:ascii="Times New Roman" w:hAnsi="Times New Roman"/>
          <w:b/>
          <w:color w:val="auto"/>
          <w:sz w:val="36"/>
          <w:highlight w:val="none"/>
        </w:rPr>
      </w:pPr>
    </w:p>
    <w:p w14:paraId="13F524F1">
      <w:pPr>
        <w:pStyle w:val="43"/>
        <w:rPr>
          <w:rFonts w:ascii="Times New Roman" w:hAnsi="Times New Roman"/>
          <w:b/>
          <w:color w:val="auto"/>
          <w:sz w:val="36"/>
          <w:highlight w:val="none"/>
        </w:rPr>
      </w:pPr>
    </w:p>
    <w:p w14:paraId="23AE4340">
      <w:pPr>
        <w:pStyle w:val="44"/>
        <w:rPr>
          <w:rFonts w:ascii="Times New Roman" w:hAnsi="Times New Roman"/>
          <w:b/>
          <w:color w:val="auto"/>
          <w:sz w:val="36"/>
          <w:highlight w:val="none"/>
        </w:rPr>
      </w:pPr>
    </w:p>
    <w:p w14:paraId="2414E49F">
      <w:pPr>
        <w:rPr>
          <w:rFonts w:ascii="Times New Roman" w:hAnsi="Times New Roman"/>
          <w:b/>
          <w:color w:val="auto"/>
          <w:sz w:val="36"/>
          <w:highlight w:val="none"/>
        </w:rPr>
      </w:pPr>
    </w:p>
    <w:p w14:paraId="7F4D28ED">
      <w:pPr>
        <w:pStyle w:val="43"/>
        <w:rPr>
          <w:rFonts w:ascii="Times New Roman" w:hAnsi="Times New Roman"/>
          <w:b/>
          <w:color w:val="auto"/>
          <w:sz w:val="36"/>
          <w:highlight w:val="none"/>
        </w:rPr>
      </w:pPr>
    </w:p>
    <w:p w14:paraId="0F8FFF9A">
      <w:pPr>
        <w:pStyle w:val="44"/>
        <w:rPr>
          <w:rFonts w:ascii="Times New Roman" w:hAnsi="Times New Roman"/>
          <w:b/>
          <w:color w:val="auto"/>
          <w:sz w:val="36"/>
          <w:highlight w:val="none"/>
        </w:rPr>
      </w:pPr>
    </w:p>
    <w:p w14:paraId="1995A9F7">
      <w:pPr>
        <w:rPr>
          <w:rFonts w:ascii="Times New Roman" w:hAnsi="Times New Roman"/>
          <w:b/>
          <w:color w:val="auto"/>
          <w:sz w:val="36"/>
          <w:highlight w:val="none"/>
        </w:rPr>
      </w:pPr>
    </w:p>
    <w:p w14:paraId="3A6A9432">
      <w:pPr>
        <w:pStyle w:val="44"/>
        <w:ind w:left="0" w:leftChars="0" w:firstLine="0" w:firstLineChars="0"/>
        <w:rPr>
          <w:color w:val="auto"/>
          <w:highlight w:val="none"/>
        </w:rPr>
      </w:pPr>
    </w:p>
    <w:p w14:paraId="52F6EEBF">
      <w:pPr>
        <w:pStyle w:val="13"/>
        <w:tabs>
          <w:tab w:val="left" w:pos="2472"/>
        </w:tabs>
        <w:spacing w:line="460" w:lineRule="exact"/>
        <w:ind w:firstLine="2331" w:firstLineChars="645"/>
        <w:outlineLvl w:val="0"/>
        <w:rPr>
          <w:rFonts w:ascii="Times New Roman" w:hAnsi="Times New Roman"/>
          <w:b/>
          <w:color w:val="auto"/>
          <w:sz w:val="36"/>
          <w:highlight w:val="none"/>
        </w:rPr>
      </w:pPr>
    </w:p>
    <w:p w14:paraId="2E4B57C5">
      <w:pPr>
        <w:pStyle w:val="13"/>
        <w:tabs>
          <w:tab w:val="left" w:pos="2472"/>
        </w:tabs>
        <w:spacing w:line="460" w:lineRule="exact"/>
        <w:ind w:firstLine="2331" w:firstLineChars="645"/>
        <w:outlineLvl w:val="0"/>
        <w:rPr>
          <w:rFonts w:ascii="Times New Roman" w:hAnsi="Times New Roman"/>
          <w:b/>
          <w:color w:val="auto"/>
          <w:sz w:val="36"/>
          <w:highlight w:val="none"/>
        </w:rPr>
      </w:pPr>
      <w:r>
        <w:rPr>
          <w:rFonts w:hint="eastAsia" w:ascii="Times New Roman" w:hAnsi="Times New Roman"/>
          <w:b/>
          <w:color w:val="auto"/>
          <w:sz w:val="36"/>
          <w:highlight w:val="none"/>
        </w:rPr>
        <w:t>第七章 质疑、投诉证明材料格式</w:t>
      </w:r>
      <w:bookmarkEnd w:id="162"/>
      <w:bookmarkEnd w:id="163"/>
      <w:bookmarkEnd w:id="175"/>
    </w:p>
    <w:p w14:paraId="29031DA7">
      <w:pPr>
        <w:snapToGrid w:val="0"/>
        <w:spacing w:beforeLines="50" w:after="50"/>
        <w:outlineLvl w:val="1"/>
        <w:rPr>
          <w:rFonts w:ascii="宋体" w:hAnsi="宋体"/>
          <w:b/>
          <w:color w:val="auto"/>
          <w:sz w:val="24"/>
          <w:highlight w:val="none"/>
        </w:rPr>
      </w:pPr>
    </w:p>
    <w:p w14:paraId="0BBE600D">
      <w:pPr>
        <w:snapToGrid w:val="0"/>
        <w:spacing w:beforeLines="50" w:after="50"/>
        <w:jc w:val="left"/>
        <w:rPr>
          <w:rFonts w:ascii="宋体" w:hAnsi="宋体"/>
          <w:b/>
          <w:color w:val="auto"/>
          <w:sz w:val="24"/>
          <w:highlight w:val="none"/>
        </w:rPr>
      </w:pPr>
    </w:p>
    <w:p w14:paraId="4FBB1686">
      <w:pPr>
        <w:pStyle w:val="10"/>
        <w:rPr>
          <w:color w:val="auto"/>
          <w:highlight w:val="none"/>
        </w:rPr>
      </w:pPr>
    </w:p>
    <w:p w14:paraId="109F54D4">
      <w:pPr>
        <w:pStyle w:val="22"/>
        <w:rPr>
          <w:color w:val="auto"/>
          <w:highlight w:val="none"/>
        </w:rPr>
      </w:pPr>
    </w:p>
    <w:p w14:paraId="6A78894F">
      <w:pPr>
        <w:pStyle w:val="22"/>
        <w:rPr>
          <w:color w:val="auto"/>
          <w:highlight w:val="none"/>
        </w:rPr>
      </w:pPr>
    </w:p>
    <w:p w14:paraId="2AFBEFE6">
      <w:pPr>
        <w:pStyle w:val="22"/>
        <w:rPr>
          <w:color w:val="auto"/>
          <w:highlight w:val="none"/>
        </w:rPr>
      </w:pPr>
    </w:p>
    <w:p w14:paraId="4FFB02BB">
      <w:pPr>
        <w:pStyle w:val="22"/>
        <w:rPr>
          <w:color w:val="auto"/>
          <w:highlight w:val="none"/>
        </w:rPr>
      </w:pPr>
    </w:p>
    <w:p w14:paraId="4B2219BD">
      <w:pPr>
        <w:pStyle w:val="22"/>
        <w:rPr>
          <w:color w:val="auto"/>
          <w:highlight w:val="none"/>
        </w:rPr>
      </w:pPr>
    </w:p>
    <w:p w14:paraId="54107819">
      <w:pPr>
        <w:pStyle w:val="22"/>
        <w:rPr>
          <w:color w:val="auto"/>
          <w:highlight w:val="none"/>
        </w:rPr>
      </w:pPr>
    </w:p>
    <w:p w14:paraId="394768EF">
      <w:pPr>
        <w:pStyle w:val="22"/>
        <w:rPr>
          <w:color w:val="auto"/>
          <w:highlight w:val="none"/>
        </w:rPr>
      </w:pPr>
    </w:p>
    <w:p w14:paraId="537A2ECD">
      <w:pPr>
        <w:pStyle w:val="22"/>
        <w:rPr>
          <w:color w:val="auto"/>
          <w:highlight w:val="none"/>
        </w:rPr>
      </w:pPr>
    </w:p>
    <w:p w14:paraId="66B2157D">
      <w:pPr>
        <w:pStyle w:val="22"/>
        <w:rPr>
          <w:color w:val="auto"/>
          <w:highlight w:val="none"/>
        </w:rPr>
      </w:pPr>
    </w:p>
    <w:p w14:paraId="5725035A">
      <w:pPr>
        <w:pStyle w:val="22"/>
        <w:rPr>
          <w:color w:val="auto"/>
          <w:highlight w:val="none"/>
        </w:rPr>
      </w:pPr>
    </w:p>
    <w:p w14:paraId="2C29CC86">
      <w:pPr>
        <w:pStyle w:val="22"/>
        <w:rPr>
          <w:color w:val="auto"/>
          <w:highlight w:val="none"/>
        </w:rPr>
      </w:pPr>
    </w:p>
    <w:p w14:paraId="1A4F168B">
      <w:pPr>
        <w:pStyle w:val="22"/>
        <w:rPr>
          <w:color w:val="auto"/>
          <w:highlight w:val="none"/>
        </w:rPr>
      </w:pPr>
    </w:p>
    <w:p w14:paraId="2511ED57">
      <w:pPr>
        <w:pStyle w:val="22"/>
        <w:rPr>
          <w:color w:val="auto"/>
          <w:highlight w:val="none"/>
        </w:rPr>
      </w:pPr>
    </w:p>
    <w:p w14:paraId="0140AE5C">
      <w:pPr>
        <w:pStyle w:val="22"/>
        <w:rPr>
          <w:color w:val="auto"/>
          <w:highlight w:val="none"/>
        </w:rPr>
      </w:pPr>
    </w:p>
    <w:p w14:paraId="7FBEAC8E">
      <w:pPr>
        <w:pStyle w:val="22"/>
        <w:rPr>
          <w:color w:val="auto"/>
          <w:highlight w:val="none"/>
        </w:rPr>
      </w:pPr>
    </w:p>
    <w:p w14:paraId="2EA221B7">
      <w:pPr>
        <w:pStyle w:val="22"/>
        <w:rPr>
          <w:color w:val="auto"/>
          <w:highlight w:val="none"/>
        </w:rPr>
      </w:pPr>
    </w:p>
    <w:p w14:paraId="3A219A6F">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质疑函（格式）</w:t>
      </w:r>
    </w:p>
    <w:p w14:paraId="0D7B3B58">
      <w:pPr>
        <w:pStyle w:val="13"/>
        <w:snapToGrid w:val="0"/>
        <w:spacing w:line="360" w:lineRule="auto"/>
        <w:ind w:firstLine="482" w:firstLineChars="200"/>
        <w:rPr>
          <w:rFonts w:hAnsi="宋体"/>
          <w:b/>
          <w:bCs/>
          <w:color w:val="auto"/>
          <w:sz w:val="24"/>
          <w:highlight w:val="none"/>
        </w:rPr>
      </w:pPr>
      <w:r>
        <w:rPr>
          <w:rFonts w:hint="eastAsia" w:hAnsi="宋体"/>
          <w:b/>
          <w:bCs/>
          <w:color w:val="auto"/>
          <w:sz w:val="24"/>
          <w:highlight w:val="none"/>
        </w:rPr>
        <w:t>一、质疑供应商基本信息：</w:t>
      </w:r>
    </w:p>
    <w:p w14:paraId="415EC89D">
      <w:pPr>
        <w:pStyle w:val="13"/>
        <w:snapToGrid w:val="0"/>
        <w:spacing w:line="360" w:lineRule="auto"/>
        <w:ind w:firstLine="480" w:firstLineChars="200"/>
        <w:rPr>
          <w:rFonts w:hAnsi="宋体"/>
          <w:bCs/>
          <w:color w:val="auto"/>
          <w:sz w:val="24"/>
          <w:highlight w:val="none"/>
          <w:u w:val="single"/>
        </w:rPr>
      </w:pPr>
      <w:r>
        <w:rPr>
          <w:rFonts w:hint="eastAsia" w:hAnsi="宋体"/>
          <w:bCs/>
          <w:color w:val="auto"/>
          <w:sz w:val="24"/>
          <w:highlight w:val="none"/>
        </w:rPr>
        <w:t>质疑供应商：</w:t>
      </w:r>
    </w:p>
    <w:p w14:paraId="41577ED1">
      <w:pPr>
        <w:pStyle w:val="13"/>
        <w:snapToGrid w:val="0"/>
        <w:spacing w:line="360" w:lineRule="auto"/>
        <w:ind w:firstLine="480" w:firstLineChars="200"/>
        <w:rPr>
          <w:rFonts w:hAnsi="宋体"/>
          <w:bCs/>
          <w:color w:val="auto"/>
          <w:sz w:val="24"/>
          <w:highlight w:val="none"/>
        </w:rPr>
      </w:pPr>
      <w:r>
        <w:rPr>
          <w:rFonts w:hAnsi="宋体"/>
          <w:bCs/>
          <w:color w:val="auto"/>
          <w:sz w:val="24"/>
          <w:highlight w:val="none"/>
        </w:rPr>
        <w:t>地址</w:t>
      </w:r>
      <w:r>
        <w:rPr>
          <w:rFonts w:hint="eastAsia" w:hAnsi="宋体"/>
          <w:bCs/>
          <w:color w:val="auto"/>
          <w:sz w:val="24"/>
          <w:highlight w:val="none"/>
        </w:rPr>
        <w:t>：</w:t>
      </w:r>
      <w:r>
        <w:rPr>
          <w:rFonts w:hint="eastAsia" w:hAnsi="宋体"/>
          <w:bCs/>
          <w:color w:val="auto"/>
          <w:sz w:val="24"/>
          <w:highlight w:val="none"/>
          <w:lang w:val="en-US" w:eastAsia="zh-CN"/>
        </w:rPr>
        <w:t xml:space="preserve">                           </w:t>
      </w:r>
      <w:r>
        <w:rPr>
          <w:rFonts w:hAnsi="宋体"/>
          <w:bCs/>
          <w:color w:val="auto"/>
          <w:sz w:val="24"/>
          <w:highlight w:val="none"/>
        </w:rPr>
        <w:t>邮编</w:t>
      </w:r>
      <w:r>
        <w:rPr>
          <w:rFonts w:hint="eastAsia" w:hAnsi="宋体"/>
          <w:bCs/>
          <w:color w:val="auto"/>
          <w:sz w:val="24"/>
          <w:highlight w:val="none"/>
        </w:rPr>
        <w:t>：</w:t>
      </w:r>
    </w:p>
    <w:p w14:paraId="4A074569">
      <w:pPr>
        <w:pStyle w:val="13"/>
        <w:snapToGrid w:val="0"/>
        <w:spacing w:line="360" w:lineRule="auto"/>
        <w:ind w:firstLine="480" w:firstLineChars="200"/>
        <w:rPr>
          <w:rFonts w:hAnsi="宋体"/>
          <w:bCs/>
          <w:color w:val="auto"/>
          <w:sz w:val="24"/>
          <w:highlight w:val="none"/>
        </w:rPr>
      </w:pPr>
      <w:r>
        <w:rPr>
          <w:rFonts w:hAnsi="宋体"/>
          <w:bCs/>
          <w:color w:val="auto"/>
          <w:sz w:val="24"/>
          <w:highlight w:val="none"/>
        </w:rPr>
        <w:t>联系人</w:t>
      </w:r>
      <w:r>
        <w:rPr>
          <w:rFonts w:hint="eastAsia" w:hAnsi="宋体"/>
          <w:bCs/>
          <w:color w:val="auto"/>
          <w:sz w:val="24"/>
          <w:highlight w:val="none"/>
        </w:rPr>
        <w:t>：</w:t>
      </w:r>
      <w:r>
        <w:rPr>
          <w:rFonts w:hint="eastAsia" w:hAnsi="宋体"/>
          <w:bCs/>
          <w:color w:val="auto"/>
          <w:sz w:val="24"/>
          <w:highlight w:val="none"/>
          <w:lang w:val="en-US" w:eastAsia="zh-CN"/>
        </w:rPr>
        <w:t xml:space="preserve">                     </w:t>
      </w:r>
      <w:r>
        <w:rPr>
          <w:rFonts w:hAnsi="宋体"/>
          <w:bCs/>
          <w:color w:val="auto"/>
          <w:sz w:val="24"/>
          <w:highlight w:val="none"/>
        </w:rPr>
        <w:t>联系电话</w:t>
      </w:r>
      <w:r>
        <w:rPr>
          <w:rFonts w:hint="eastAsia" w:hAnsi="宋体"/>
          <w:bCs/>
          <w:color w:val="auto"/>
          <w:sz w:val="24"/>
          <w:highlight w:val="none"/>
        </w:rPr>
        <w:t>：</w:t>
      </w:r>
    </w:p>
    <w:p w14:paraId="53D2181E">
      <w:pPr>
        <w:pStyle w:val="13"/>
        <w:snapToGrid w:val="0"/>
        <w:spacing w:line="360" w:lineRule="auto"/>
        <w:ind w:firstLine="480" w:firstLineChars="200"/>
        <w:rPr>
          <w:rFonts w:hAnsi="宋体"/>
          <w:bCs/>
          <w:color w:val="auto"/>
          <w:sz w:val="24"/>
          <w:highlight w:val="none"/>
        </w:rPr>
      </w:pPr>
      <w:r>
        <w:rPr>
          <w:rFonts w:hint="eastAsia" w:hAnsi="宋体"/>
          <w:bCs/>
          <w:color w:val="auto"/>
          <w:sz w:val="24"/>
          <w:highlight w:val="none"/>
        </w:rPr>
        <w:t>授权代表：</w:t>
      </w:r>
    </w:p>
    <w:p w14:paraId="31D19F5A">
      <w:pPr>
        <w:pStyle w:val="13"/>
        <w:snapToGrid w:val="0"/>
        <w:spacing w:line="360" w:lineRule="auto"/>
        <w:ind w:firstLine="480" w:firstLineChars="200"/>
        <w:rPr>
          <w:rFonts w:hAnsi="宋体"/>
          <w:bCs/>
          <w:color w:val="auto"/>
          <w:sz w:val="24"/>
          <w:highlight w:val="none"/>
          <w:u w:val="single"/>
        </w:rPr>
      </w:pPr>
      <w:r>
        <w:rPr>
          <w:rFonts w:hAnsi="宋体"/>
          <w:bCs/>
          <w:color w:val="auto"/>
          <w:sz w:val="24"/>
          <w:highlight w:val="none"/>
        </w:rPr>
        <w:t>联系</w:t>
      </w:r>
      <w:r>
        <w:rPr>
          <w:rFonts w:hint="eastAsia" w:hAnsi="宋体"/>
          <w:bCs/>
          <w:color w:val="auto"/>
          <w:sz w:val="24"/>
          <w:highlight w:val="none"/>
        </w:rPr>
        <w:t>电话：</w:t>
      </w:r>
    </w:p>
    <w:p w14:paraId="3288EA45">
      <w:pPr>
        <w:pStyle w:val="13"/>
        <w:snapToGrid w:val="0"/>
        <w:spacing w:line="360" w:lineRule="auto"/>
        <w:ind w:firstLine="480" w:firstLineChars="200"/>
        <w:rPr>
          <w:rFonts w:hAnsi="宋体"/>
          <w:bCs/>
          <w:color w:val="auto"/>
          <w:sz w:val="24"/>
          <w:highlight w:val="none"/>
        </w:rPr>
      </w:pPr>
      <w:r>
        <w:rPr>
          <w:rFonts w:hAnsi="宋体"/>
          <w:bCs/>
          <w:color w:val="auto"/>
          <w:sz w:val="24"/>
          <w:highlight w:val="none"/>
        </w:rPr>
        <w:t>地址</w:t>
      </w:r>
      <w:r>
        <w:rPr>
          <w:rFonts w:hint="eastAsia" w:hAnsi="宋体"/>
          <w:bCs/>
          <w:color w:val="auto"/>
          <w:sz w:val="24"/>
          <w:highlight w:val="none"/>
        </w:rPr>
        <w:t>：</w:t>
      </w:r>
      <w:r>
        <w:rPr>
          <w:rFonts w:hint="eastAsia" w:hAnsi="宋体"/>
          <w:bCs/>
          <w:color w:val="auto"/>
          <w:sz w:val="24"/>
          <w:highlight w:val="none"/>
          <w:lang w:val="en-US" w:eastAsia="zh-CN"/>
        </w:rPr>
        <w:t xml:space="preserve">                           </w:t>
      </w:r>
      <w:r>
        <w:rPr>
          <w:rFonts w:hAnsi="宋体"/>
          <w:bCs/>
          <w:color w:val="auto"/>
          <w:sz w:val="24"/>
          <w:highlight w:val="none"/>
        </w:rPr>
        <w:t>邮编</w:t>
      </w:r>
      <w:r>
        <w:rPr>
          <w:rFonts w:hint="eastAsia" w:hAnsi="宋体"/>
          <w:bCs/>
          <w:color w:val="auto"/>
          <w:sz w:val="24"/>
          <w:highlight w:val="none"/>
        </w:rPr>
        <w:t>：</w:t>
      </w:r>
    </w:p>
    <w:p w14:paraId="2194C65E">
      <w:pPr>
        <w:pStyle w:val="13"/>
        <w:snapToGrid w:val="0"/>
        <w:spacing w:line="360" w:lineRule="auto"/>
        <w:ind w:firstLine="482" w:firstLineChars="200"/>
        <w:rPr>
          <w:rFonts w:hAnsi="宋体"/>
          <w:b/>
          <w:bCs/>
          <w:color w:val="auto"/>
          <w:sz w:val="24"/>
          <w:highlight w:val="none"/>
        </w:rPr>
      </w:pPr>
      <w:r>
        <w:rPr>
          <w:rFonts w:hint="eastAsia" w:hAnsi="宋体"/>
          <w:b/>
          <w:bCs/>
          <w:color w:val="auto"/>
          <w:sz w:val="24"/>
          <w:highlight w:val="none"/>
        </w:rPr>
        <w:t>二、质疑项目基本情况：</w:t>
      </w:r>
    </w:p>
    <w:p w14:paraId="5B9ABCFE">
      <w:pPr>
        <w:pStyle w:val="13"/>
        <w:spacing w:line="360" w:lineRule="auto"/>
        <w:ind w:left="25" w:leftChars="12" w:firstLine="472" w:firstLineChars="197"/>
        <w:rPr>
          <w:rFonts w:hAnsi="宋体"/>
          <w:color w:val="auto"/>
          <w:sz w:val="24"/>
          <w:highlight w:val="none"/>
        </w:rPr>
      </w:pPr>
      <w:r>
        <w:rPr>
          <w:rFonts w:hint="eastAsia" w:hAnsi="宋体"/>
          <w:bCs/>
          <w:color w:val="auto"/>
          <w:sz w:val="24"/>
          <w:highlight w:val="none"/>
        </w:rPr>
        <w:t>质疑</w:t>
      </w:r>
      <w:r>
        <w:rPr>
          <w:rFonts w:hint="eastAsia" w:hAnsi="宋体"/>
          <w:color w:val="auto"/>
          <w:sz w:val="24"/>
          <w:highlight w:val="none"/>
        </w:rPr>
        <w:t>项目的名称：</w:t>
      </w:r>
    </w:p>
    <w:p w14:paraId="560A1082">
      <w:pPr>
        <w:pStyle w:val="13"/>
        <w:spacing w:line="360" w:lineRule="auto"/>
        <w:ind w:left="25" w:leftChars="12" w:firstLine="472" w:firstLineChars="197"/>
        <w:rPr>
          <w:rFonts w:hAnsi="宋体"/>
          <w:color w:val="auto"/>
          <w:sz w:val="24"/>
          <w:highlight w:val="none"/>
        </w:rPr>
      </w:pPr>
      <w:r>
        <w:rPr>
          <w:rFonts w:hint="eastAsia" w:hAnsi="宋体"/>
          <w:bCs/>
          <w:color w:val="auto"/>
          <w:sz w:val="24"/>
          <w:highlight w:val="none"/>
        </w:rPr>
        <w:t>质疑</w:t>
      </w:r>
      <w:r>
        <w:rPr>
          <w:rFonts w:hint="eastAsia" w:hAnsi="宋体"/>
          <w:color w:val="auto"/>
          <w:sz w:val="24"/>
          <w:highlight w:val="none"/>
        </w:rPr>
        <w:t>项目的编号：</w:t>
      </w:r>
    </w:p>
    <w:p w14:paraId="6E0CF676">
      <w:pPr>
        <w:pStyle w:val="13"/>
        <w:spacing w:line="360" w:lineRule="auto"/>
        <w:ind w:left="25" w:leftChars="12" w:firstLine="472" w:firstLineChars="197"/>
        <w:rPr>
          <w:rFonts w:hAnsi="宋体"/>
          <w:color w:val="auto"/>
          <w:sz w:val="24"/>
          <w:highlight w:val="none"/>
        </w:rPr>
      </w:pPr>
      <w:r>
        <w:rPr>
          <w:rFonts w:hint="eastAsia" w:hAnsi="宋体"/>
          <w:color w:val="auto"/>
          <w:sz w:val="24"/>
          <w:highlight w:val="none"/>
        </w:rPr>
        <w:t>采购人名称：</w:t>
      </w:r>
    </w:p>
    <w:p w14:paraId="7F1786AC">
      <w:pPr>
        <w:pStyle w:val="13"/>
        <w:spacing w:line="360" w:lineRule="auto"/>
        <w:ind w:left="25" w:leftChars="12" w:firstLine="472" w:firstLineChars="197"/>
        <w:rPr>
          <w:rFonts w:hAnsi="宋体"/>
          <w:color w:val="auto"/>
          <w:sz w:val="24"/>
          <w:highlight w:val="none"/>
        </w:rPr>
      </w:pPr>
      <w:r>
        <w:rPr>
          <w:rFonts w:hint="eastAsia" w:hAnsi="宋体"/>
          <w:color w:val="auto"/>
          <w:sz w:val="24"/>
          <w:highlight w:val="none"/>
        </w:rPr>
        <w:t>质疑事项：</w:t>
      </w:r>
    </w:p>
    <w:p w14:paraId="30A77ACC">
      <w:pPr>
        <w:pStyle w:val="13"/>
        <w:spacing w:line="360" w:lineRule="auto"/>
        <w:ind w:left="25" w:leftChars="12" w:firstLine="352" w:firstLineChars="147"/>
        <w:rPr>
          <w:rFonts w:hAnsi="宋体"/>
          <w:color w:val="auto"/>
          <w:sz w:val="24"/>
          <w:highlight w:val="none"/>
        </w:rPr>
      </w:pPr>
      <w:r>
        <w:rPr>
          <w:rFonts w:hint="eastAsia" w:hAnsi="宋体"/>
          <w:color w:val="auto"/>
          <w:sz w:val="24"/>
          <w:highlight w:val="none"/>
        </w:rPr>
        <w:t xml:space="preserve">□招标文件  </w:t>
      </w:r>
      <w:r>
        <w:rPr>
          <w:rFonts w:hint="eastAsia" w:hAnsi="宋体"/>
          <w:color w:val="auto"/>
          <w:sz w:val="24"/>
          <w:highlight w:val="none"/>
          <w:lang w:val="en-US" w:eastAsia="zh-CN"/>
        </w:rPr>
        <w:t xml:space="preserve"> </w:t>
      </w:r>
      <w:r>
        <w:rPr>
          <w:rFonts w:hint="eastAsia" w:hAnsi="宋体"/>
          <w:color w:val="auto"/>
          <w:sz w:val="24"/>
          <w:highlight w:val="none"/>
        </w:rPr>
        <w:t xml:space="preserve"> 招标文件获取日期：</w:t>
      </w:r>
    </w:p>
    <w:p w14:paraId="5834944E">
      <w:pPr>
        <w:pStyle w:val="13"/>
        <w:spacing w:line="360" w:lineRule="auto"/>
        <w:ind w:left="25" w:leftChars="12" w:firstLine="352" w:firstLineChars="147"/>
        <w:rPr>
          <w:rFonts w:hAnsi="宋体"/>
          <w:color w:val="auto"/>
          <w:sz w:val="24"/>
          <w:highlight w:val="none"/>
        </w:rPr>
      </w:pPr>
      <w:r>
        <w:rPr>
          <w:rFonts w:hint="eastAsia" w:hAnsi="宋体"/>
          <w:color w:val="auto"/>
          <w:sz w:val="24"/>
          <w:highlight w:val="none"/>
        </w:rPr>
        <w:t xml:space="preserve">□采购过程   </w:t>
      </w:r>
    </w:p>
    <w:p w14:paraId="34971A92">
      <w:pPr>
        <w:pStyle w:val="13"/>
        <w:spacing w:line="360" w:lineRule="auto"/>
        <w:ind w:left="25" w:leftChars="12" w:firstLine="352" w:firstLineChars="147"/>
        <w:rPr>
          <w:rFonts w:hAnsi="宋体"/>
          <w:bCs/>
          <w:color w:val="auto"/>
          <w:sz w:val="24"/>
          <w:highlight w:val="none"/>
          <w:u w:val="single"/>
        </w:rPr>
      </w:pPr>
      <w:r>
        <w:rPr>
          <w:rFonts w:hint="eastAsia" w:hAnsi="宋体"/>
          <w:color w:val="auto"/>
          <w:sz w:val="24"/>
          <w:highlight w:val="none"/>
        </w:rPr>
        <w:t xml:space="preserve">□中标结果   </w:t>
      </w:r>
    </w:p>
    <w:p w14:paraId="5BE0C2F9">
      <w:pPr>
        <w:pStyle w:val="13"/>
        <w:spacing w:line="360" w:lineRule="auto"/>
        <w:ind w:left="25" w:leftChars="12" w:firstLine="472" w:firstLineChars="196"/>
        <w:rPr>
          <w:rFonts w:hAnsi="宋体"/>
          <w:b/>
          <w:color w:val="auto"/>
          <w:sz w:val="24"/>
          <w:highlight w:val="none"/>
        </w:rPr>
      </w:pPr>
      <w:r>
        <w:rPr>
          <w:rFonts w:hint="eastAsia" w:hAnsi="宋体"/>
          <w:b/>
          <w:color w:val="auto"/>
          <w:sz w:val="24"/>
          <w:highlight w:val="none"/>
        </w:rPr>
        <w:t>三、质疑事项具体内容</w:t>
      </w:r>
    </w:p>
    <w:p w14:paraId="33112656">
      <w:pPr>
        <w:pStyle w:val="13"/>
        <w:spacing w:line="360" w:lineRule="auto"/>
        <w:ind w:left="25" w:leftChars="12" w:firstLine="472" w:firstLineChars="197"/>
        <w:rPr>
          <w:rFonts w:hAnsi="宋体"/>
          <w:color w:val="auto"/>
          <w:sz w:val="24"/>
          <w:highlight w:val="none"/>
        </w:rPr>
      </w:pPr>
      <w:r>
        <w:rPr>
          <w:rFonts w:hint="eastAsia" w:hAnsi="宋体"/>
          <w:color w:val="auto"/>
          <w:sz w:val="24"/>
          <w:highlight w:val="none"/>
        </w:rPr>
        <w:t>质疑事项1：</w:t>
      </w:r>
    </w:p>
    <w:p w14:paraId="24C8EB84">
      <w:pPr>
        <w:pStyle w:val="13"/>
        <w:spacing w:line="360" w:lineRule="auto"/>
        <w:ind w:left="25" w:leftChars="12" w:firstLine="472" w:firstLineChars="197"/>
        <w:rPr>
          <w:rFonts w:hAnsi="宋体"/>
          <w:color w:val="auto"/>
          <w:sz w:val="24"/>
          <w:highlight w:val="none"/>
        </w:rPr>
      </w:pPr>
      <w:r>
        <w:rPr>
          <w:rFonts w:hint="eastAsia" w:hAnsi="宋体"/>
          <w:color w:val="auto"/>
          <w:sz w:val="24"/>
          <w:highlight w:val="none"/>
        </w:rPr>
        <w:t>事实依据：</w:t>
      </w:r>
    </w:p>
    <w:p w14:paraId="3A5F2EE5">
      <w:pPr>
        <w:pStyle w:val="13"/>
        <w:spacing w:line="360" w:lineRule="auto"/>
        <w:ind w:left="25" w:leftChars="12" w:firstLine="472" w:firstLineChars="197"/>
        <w:rPr>
          <w:rFonts w:hAnsi="宋体"/>
          <w:color w:val="auto"/>
          <w:sz w:val="24"/>
          <w:highlight w:val="none"/>
        </w:rPr>
      </w:pPr>
      <w:r>
        <w:rPr>
          <w:rFonts w:hint="eastAsia" w:hAnsi="宋体"/>
          <w:color w:val="auto"/>
          <w:sz w:val="24"/>
          <w:highlight w:val="none"/>
        </w:rPr>
        <w:t>法律依据：</w:t>
      </w:r>
    </w:p>
    <w:p w14:paraId="68FBDD8A">
      <w:pPr>
        <w:pStyle w:val="13"/>
        <w:spacing w:line="360" w:lineRule="auto"/>
        <w:ind w:left="25" w:leftChars="12" w:firstLine="472" w:firstLineChars="197"/>
        <w:rPr>
          <w:rFonts w:hAnsi="宋体"/>
          <w:color w:val="auto"/>
          <w:sz w:val="24"/>
          <w:highlight w:val="none"/>
        </w:rPr>
      </w:pPr>
      <w:r>
        <w:rPr>
          <w:rFonts w:hint="eastAsia" w:hAnsi="宋体"/>
          <w:color w:val="auto"/>
          <w:sz w:val="24"/>
          <w:highlight w:val="none"/>
        </w:rPr>
        <w:t>质疑事项2</w:t>
      </w:r>
    </w:p>
    <w:p w14:paraId="4EF5A5FA">
      <w:pPr>
        <w:pStyle w:val="13"/>
        <w:spacing w:line="360" w:lineRule="auto"/>
        <w:ind w:left="25" w:leftChars="12" w:firstLine="472" w:firstLineChars="197"/>
        <w:rPr>
          <w:rFonts w:hAnsi="宋体"/>
          <w:color w:val="auto"/>
          <w:sz w:val="24"/>
          <w:highlight w:val="none"/>
        </w:rPr>
      </w:pPr>
      <w:r>
        <w:rPr>
          <w:rFonts w:hAnsi="宋体"/>
          <w:color w:val="auto"/>
          <w:sz w:val="24"/>
          <w:highlight w:val="none"/>
        </w:rPr>
        <w:t>……</w:t>
      </w:r>
    </w:p>
    <w:p w14:paraId="209BDBFE">
      <w:pPr>
        <w:pStyle w:val="13"/>
        <w:spacing w:line="360" w:lineRule="auto"/>
        <w:ind w:left="25" w:leftChars="12" w:firstLine="472" w:firstLineChars="197"/>
        <w:rPr>
          <w:rFonts w:hAnsi="宋体"/>
          <w:color w:val="auto"/>
          <w:sz w:val="24"/>
          <w:highlight w:val="none"/>
        </w:rPr>
      </w:pPr>
      <w:r>
        <w:rPr>
          <w:rFonts w:hint="eastAsia" w:hAnsi="宋体"/>
          <w:color w:val="auto"/>
          <w:sz w:val="24"/>
          <w:highlight w:val="none"/>
        </w:rPr>
        <w:t>四、与质疑事项相关的质疑请求：</w:t>
      </w:r>
    </w:p>
    <w:p w14:paraId="341E197B">
      <w:pPr>
        <w:pStyle w:val="13"/>
        <w:spacing w:line="360" w:lineRule="auto"/>
        <w:ind w:left="25" w:leftChars="12" w:firstLine="472" w:firstLineChars="197"/>
        <w:rPr>
          <w:rFonts w:hAnsi="宋体"/>
          <w:color w:val="auto"/>
          <w:sz w:val="24"/>
          <w:highlight w:val="none"/>
        </w:rPr>
      </w:pPr>
      <w:r>
        <w:rPr>
          <w:rFonts w:hint="eastAsia" w:hAnsi="宋体"/>
          <w:color w:val="auto"/>
          <w:sz w:val="24"/>
          <w:highlight w:val="none"/>
        </w:rPr>
        <w:t>请求：</w:t>
      </w:r>
    </w:p>
    <w:p w14:paraId="6A7A01F7">
      <w:pPr>
        <w:pStyle w:val="13"/>
        <w:spacing w:line="360" w:lineRule="auto"/>
        <w:ind w:left="25" w:leftChars="12" w:firstLine="6952" w:firstLineChars="2897"/>
        <w:rPr>
          <w:rFonts w:hAnsi="宋体"/>
          <w:color w:val="auto"/>
          <w:sz w:val="24"/>
          <w:highlight w:val="none"/>
        </w:rPr>
      </w:pPr>
      <w:r>
        <w:rPr>
          <w:rFonts w:hint="eastAsia" w:hAnsi="宋体"/>
          <w:color w:val="auto"/>
          <w:sz w:val="24"/>
          <w:highlight w:val="none"/>
        </w:rPr>
        <w:t>公章：</w:t>
      </w:r>
    </w:p>
    <w:p w14:paraId="6EADEF07">
      <w:pPr>
        <w:pStyle w:val="13"/>
        <w:spacing w:line="360" w:lineRule="auto"/>
        <w:ind w:left="25" w:leftChars="12" w:firstLine="6112" w:firstLineChars="2547"/>
        <w:rPr>
          <w:rFonts w:hAnsi="宋体"/>
          <w:color w:val="auto"/>
          <w:sz w:val="24"/>
          <w:highlight w:val="none"/>
        </w:rPr>
      </w:pPr>
      <w:r>
        <w:rPr>
          <w:rFonts w:hint="eastAsia" w:hAnsi="宋体"/>
          <w:color w:val="auto"/>
          <w:sz w:val="24"/>
          <w:highlight w:val="none"/>
        </w:rPr>
        <w:t xml:space="preserve">签字（签章）： </w:t>
      </w:r>
    </w:p>
    <w:p w14:paraId="3E38EA33">
      <w:pPr>
        <w:pStyle w:val="13"/>
        <w:spacing w:line="360" w:lineRule="auto"/>
        <w:ind w:left="25" w:leftChars="12" w:firstLine="6832" w:firstLineChars="2847"/>
        <w:rPr>
          <w:rFonts w:hAnsi="宋体"/>
          <w:color w:val="auto"/>
          <w:sz w:val="24"/>
          <w:highlight w:val="none"/>
        </w:rPr>
      </w:pPr>
      <w:r>
        <w:rPr>
          <w:rFonts w:hint="eastAsia" w:hAnsi="宋体"/>
          <w:color w:val="auto"/>
          <w:sz w:val="24"/>
          <w:highlight w:val="none"/>
        </w:rPr>
        <w:t>日期：</w:t>
      </w:r>
    </w:p>
    <w:p w14:paraId="5A034434">
      <w:pPr>
        <w:pStyle w:val="13"/>
        <w:snapToGrid w:val="0"/>
        <w:spacing w:line="360" w:lineRule="auto"/>
        <w:rPr>
          <w:rFonts w:hAnsi="宋体"/>
          <w:b/>
          <w:color w:val="auto"/>
          <w:sz w:val="24"/>
          <w:highlight w:val="none"/>
        </w:rPr>
      </w:pPr>
    </w:p>
    <w:p w14:paraId="4261E7B8">
      <w:pPr>
        <w:rPr>
          <w:color w:val="auto"/>
          <w:highlight w:val="none"/>
        </w:rPr>
      </w:pPr>
    </w:p>
    <w:p w14:paraId="5B1ED7B9">
      <w:pPr>
        <w:pStyle w:val="10"/>
        <w:rPr>
          <w:color w:val="auto"/>
          <w:highlight w:val="none"/>
        </w:rPr>
      </w:pPr>
    </w:p>
    <w:p w14:paraId="7C6E6216">
      <w:pPr>
        <w:pStyle w:val="13"/>
        <w:snapToGrid w:val="0"/>
        <w:spacing w:line="360" w:lineRule="auto"/>
        <w:rPr>
          <w:rFonts w:hAnsi="宋体"/>
          <w:b/>
          <w:color w:val="auto"/>
          <w:sz w:val="24"/>
          <w:highlight w:val="none"/>
        </w:rPr>
      </w:pPr>
      <w:r>
        <w:rPr>
          <w:rFonts w:hint="eastAsia" w:hAnsi="宋体"/>
          <w:b/>
          <w:color w:val="auto"/>
          <w:sz w:val="24"/>
          <w:highlight w:val="none"/>
        </w:rPr>
        <w:t>说明：</w:t>
      </w:r>
    </w:p>
    <w:p w14:paraId="511FE918">
      <w:pPr>
        <w:pStyle w:val="13"/>
        <w:spacing w:line="360" w:lineRule="auto"/>
        <w:ind w:left="25" w:leftChars="12" w:firstLine="354" w:firstLineChars="147"/>
        <w:rPr>
          <w:rFonts w:hAnsi="宋体"/>
          <w:b/>
          <w:bCs/>
          <w:color w:val="auto"/>
          <w:sz w:val="24"/>
          <w:highlight w:val="none"/>
        </w:rPr>
      </w:pPr>
      <w:r>
        <w:rPr>
          <w:rFonts w:hint="eastAsia" w:hAnsi="宋体"/>
          <w:b/>
          <w:color w:val="auto"/>
          <w:sz w:val="24"/>
          <w:highlight w:val="none"/>
        </w:rPr>
        <w:t>1.供应商提出质疑时，应提交质疑函和必要的证明材料</w:t>
      </w:r>
      <w:r>
        <w:rPr>
          <w:rFonts w:hint="eastAsia" w:hAnsi="宋体"/>
          <w:b/>
          <w:bCs/>
          <w:color w:val="auto"/>
          <w:sz w:val="24"/>
          <w:highlight w:val="none"/>
        </w:rPr>
        <w:t>。</w:t>
      </w:r>
    </w:p>
    <w:p w14:paraId="67FF2508">
      <w:pPr>
        <w:pStyle w:val="13"/>
        <w:spacing w:line="360" w:lineRule="auto"/>
        <w:ind w:left="25" w:leftChars="12" w:firstLine="354" w:firstLineChars="147"/>
        <w:rPr>
          <w:rFonts w:hAnsi="宋体"/>
          <w:b/>
          <w:color w:val="auto"/>
          <w:sz w:val="24"/>
          <w:highlight w:val="none"/>
        </w:rPr>
      </w:pPr>
      <w:r>
        <w:rPr>
          <w:rFonts w:hint="eastAsia" w:hAnsi="宋体"/>
          <w:b/>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6DEA3BE">
      <w:pPr>
        <w:pStyle w:val="13"/>
        <w:spacing w:line="360" w:lineRule="auto"/>
        <w:ind w:left="25" w:leftChars="12" w:firstLine="354" w:firstLineChars="147"/>
        <w:rPr>
          <w:rFonts w:hAnsi="宋体"/>
          <w:b/>
          <w:color w:val="auto"/>
          <w:sz w:val="24"/>
          <w:highlight w:val="none"/>
        </w:rPr>
      </w:pPr>
      <w:r>
        <w:rPr>
          <w:rFonts w:hint="eastAsia" w:hAnsi="宋体"/>
          <w:b/>
          <w:color w:val="auto"/>
          <w:sz w:val="24"/>
          <w:highlight w:val="none"/>
        </w:rPr>
        <w:t>3.质疑函的质疑事项应具体、明确，并有必要的事实依据和法律依据。</w:t>
      </w:r>
    </w:p>
    <w:p w14:paraId="32F22041">
      <w:pPr>
        <w:pStyle w:val="13"/>
        <w:spacing w:line="360" w:lineRule="auto"/>
        <w:ind w:left="25" w:leftChars="12" w:firstLine="354" w:firstLineChars="147"/>
        <w:rPr>
          <w:rFonts w:hAnsi="宋体"/>
          <w:b/>
          <w:color w:val="auto"/>
          <w:sz w:val="24"/>
          <w:highlight w:val="none"/>
        </w:rPr>
      </w:pPr>
      <w:r>
        <w:rPr>
          <w:rFonts w:hint="eastAsia" w:hAnsi="宋体"/>
          <w:b/>
          <w:color w:val="auto"/>
          <w:sz w:val="24"/>
          <w:highlight w:val="none"/>
        </w:rPr>
        <w:t>4.质疑函的质疑请求应与质疑事项相关。</w:t>
      </w:r>
    </w:p>
    <w:p w14:paraId="64F01664">
      <w:pPr>
        <w:pStyle w:val="13"/>
        <w:spacing w:line="360" w:lineRule="auto"/>
        <w:ind w:left="25" w:leftChars="12" w:firstLine="354" w:firstLineChars="147"/>
        <w:rPr>
          <w:rFonts w:hAnsi="宋体"/>
          <w:b/>
          <w:color w:val="auto"/>
          <w:highlight w:val="none"/>
        </w:rPr>
      </w:pPr>
      <w:r>
        <w:rPr>
          <w:rFonts w:hint="eastAsia" w:hAnsi="宋体"/>
          <w:b/>
          <w:color w:val="auto"/>
          <w:sz w:val="24"/>
          <w:highlight w:val="none"/>
        </w:rPr>
        <w:t>5.质疑供应商为法人或者其他组织的，质疑函应由法定代表人、主要负责人，或者其授权代表签字或者盖章，并加盖公章。</w:t>
      </w:r>
    </w:p>
    <w:p w14:paraId="4812D5B8">
      <w:pPr>
        <w:pStyle w:val="13"/>
        <w:snapToGrid w:val="0"/>
        <w:rPr>
          <w:b/>
          <w:color w:val="auto"/>
          <w:sz w:val="24"/>
          <w:highlight w:val="none"/>
        </w:rPr>
      </w:pPr>
    </w:p>
    <w:p w14:paraId="51AAF39E">
      <w:pPr>
        <w:spacing w:line="360" w:lineRule="auto"/>
        <w:jc w:val="left"/>
        <w:rPr>
          <w:rFonts w:ascii="宋体" w:hAnsi="宋体"/>
          <w:b/>
          <w:bCs/>
          <w:color w:val="auto"/>
          <w:sz w:val="32"/>
          <w:szCs w:val="32"/>
          <w:highlight w:val="none"/>
        </w:rPr>
      </w:pPr>
      <w:r>
        <w:rPr>
          <w:rFonts w:eastAsia="隶书"/>
          <w:color w:val="auto"/>
          <w:sz w:val="44"/>
          <w:highlight w:val="none"/>
        </w:rPr>
        <w:br w:type="page"/>
      </w:r>
      <w:r>
        <w:rPr>
          <w:rFonts w:hint="eastAsia" w:ascii="宋体" w:hAnsi="宋体"/>
          <w:b/>
          <w:color w:val="auto"/>
          <w:sz w:val="24"/>
          <w:highlight w:val="none"/>
        </w:rPr>
        <w:t>投诉书（格式）</w:t>
      </w:r>
    </w:p>
    <w:p w14:paraId="57EDA0A0">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投诉书（格式）</w:t>
      </w:r>
    </w:p>
    <w:p w14:paraId="300F6A53">
      <w:pPr>
        <w:pStyle w:val="13"/>
        <w:snapToGrid w:val="0"/>
        <w:spacing w:line="360" w:lineRule="auto"/>
        <w:ind w:firstLine="482" w:firstLineChars="200"/>
        <w:rPr>
          <w:rFonts w:hAnsi="宋体"/>
          <w:b/>
          <w:bCs/>
          <w:color w:val="auto"/>
          <w:sz w:val="24"/>
          <w:highlight w:val="none"/>
        </w:rPr>
      </w:pPr>
      <w:r>
        <w:rPr>
          <w:rFonts w:hint="eastAsia" w:hAnsi="宋体"/>
          <w:b/>
          <w:bCs/>
          <w:color w:val="auto"/>
          <w:sz w:val="24"/>
          <w:highlight w:val="none"/>
        </w:rPr>
        <w:t>一、投诉相关主体基本情况：</w:t>
      </w:r>
    </w:p>
    <w:p w14:paraId="4658DB42">
      <w:pPr>
        <w:pStyle w:val="13"/>
        <w:snapToGrid w:val="0"/>
        <w:spacing w:line="360" w:lineRule="auto"/>
        <w:ind w:firstLine="480" w:firstLineChars="200"/>
        <w:jc w:val="left"/>
        <w:rPr>
          <w:rFonts w:hAnsi="宋体"/>
          <w:bCs/>
          <w:color w:val="auto"/>
          <w:sz w:val="24"/>
          <w:highlight w:val="none"/>
          <w:u w:val="single"/>
        </w:rPr>
      </w:pPr>
      <w:r>
        <w:rPr>
          <w:rFonts w:hint="eastAsia" w:hAnsi="宋体"/>
          <w:bCs/>
          <w:color w:val="auto"/>
          <w:sz w:val="24"/>
          <w:highlight w:val="none"/>
        </w:rPr>
        <w:t>投标人：</w:t>
      </w:r>
    </w:p>
    <w:p w14:paraId="5BE039CD">
      <w:pPr>
        <w:pStyle w:val="13"/>
        <w:snapToGrid w:val="0"/>
        <w:spacing w:line="360" w:lineRule="auto"/>
        <w:ind w:firstLine="480" w:firstLineChars="200"/>
        <w:jc w:val="left"/>
        <w:rPr>
          <w:rFonts w:hint="eastAsia" w:hAnsi="宋体"/>
          <w:bCs/>
          <w:color w:val="auto"/>
          <w:sz w:val="24"/>
          <w:highlight w:val="none"/>
          <w:lang w:val="en-US" w:eastAsia="zh-CN"/>
        </w:rPr>
      </w:pPr>
      <w:r>
        <w:rPr>
          <w:rFonts w:hAnsi="宋体"/>
          <w:bCs/>
          <w:color w:val="auto"/>
          <w:sz w:val="24"/>
          <w:highlight w:val="none"/>
        </w:rPr>
        <w:t>地址</w:t>
      </w:r>
      <w:r>
        <w:rPr>
          <w:rFonts w:hint="eastAsia" w:hAnsi="宋体"/>
          <w:bCs/>
          <w:color w:val="auto"/>
          <w:sz w:val="24"/>
          <w:highlight w:val="none"/>
        </w:rPr>
        <w:t>：</w:t>
      </w:r>
      <w:r>
        <w:rPr>
          <w:rFonts w:hint="eastAsia" w:hAnsi="宋体"/>
          <w:bCs/>
          <w:color w:val="auto"/>
          <w:sz w:val="24"/>
          <w:highlight w:val="none"/>
          <w:lang w:val="en-US" w:eastAsia="zh-CN"/>
        </w:rPr>
        <w:t xml:space="preserve">                     </w:t>
      </w:r>
    </w:p>
    <w:p w14:paraId="2CAE37B4">
      <w:pPr>
        <w:pStyle w:val="13"/>
        <w:snapToGrid w:val="0"/>
        <w:spacing w:line="360" w:lineRule="auto"/>
        <w:ind w:firstLine="480" w:firstLineChars="200"/>
        <w:jc w:val="left"/>
        <w:rPr>
          <w:rFonts w:hAnsi="宋体"/>
          <w:bCs/>
          <w:color w:val="auto"/>
          <w:sz w:val="24"/>
          <w:highlight w:val="none"/>
        </w:rPr>
      </w:pPr>
      <w:r>
        <w:rPr>
          <w:rFonts w:hAnsi="宋体"/>
          <w:bCs/>
          <w:color w:val="auto"/>
          <w:sz w:val="24"/>
          <w:highlight w:val="none"/>
        </w:rPr>
        <w:t>邮编</w:t>
      </w:r>
      <w:r>
        <w:rPr>
          <w:rFonts w:hint="eastAsia" w:hAnsi="宋体"/>
          <w:bCs/>
          <w:color w:val="auto"/>
          <w:sz w:val="24"/>
          <w:highlight w:val="none"/>
        </w:rPr>
        <w:t>：</w:t>
      </w:r>
    </w:p>
    <w:p w14:paraId="15F29F57">
      <w:pPr>
        <w:pStyle w:val="13"/>
        <w:snapToGrid w:val="0"/>
        <w:spacing w:line="360" w:lineRule="auto"/>
        <w:ind w:firstLine="480" w:firstLineChars="200"/>
        <w:jc w:val="left"/>
        <w:rPr>
          <w:rFonts w:hAnsi="宋体"/>
          <w:bCs/>
          <w:color w:val="auto"/>
          <w:sz w:val="24"/>
          <w:highlight w:val="none"/>
          <w:u w:val="single"/>
        </w:rPr>
      </w:pPr>
      <w:r>
        <w:rPr>
          <w:rFonts w:hint="eastAsia" w:hAnsi="宋体"/>
          <w:bCs/>
          <w:color w:val="auto"/>
          <w:sz w:val="24"/>
          <w:highlight w:val="none"/>
        </w:rPr>
        <w:t>法定代表人/主要负责人：</w:t>
      </w:r>
    </w:p>
    <w:p w14:paraId="015D14EF">
      <w:pPr>
        <w:pStyle w:val="13"/>
        <w:snapToGrid w:val="0"/>
        <w:spacing w:line="360" w:lineRule="auto"/>
        <w:ind w:firstLine="480" w:firstLineChars="200"/>
        <w:jc w:val="left"/>
        <w:rPr>
          <w:rFonts w:hAnsi="宋体"/>
          <w:bCs/>
          <w:color w:val="auto"/>
          <w:sz w:val="24"/>
          <w:highlight w:val="none"/>
        </w:rPr>
      </w:pPr>
      <w:r>
        <w:rPr>
          <w:rFonts w:hAnsi="宋体"/>
          <w:bCs/>
          <w:color w:val="auto"/>
          <w:sz w:val="24"/>
          <w:highlight w:val="none"/>
        </w:rPr>
        <w:t>联系电话</w:t>
      </w:r>
      <w:r>
        <w:rPr>
          <w:rFonts w:hint="eastAsia" w:hAnsi="宋体"/>
          <w:bCs/>
          <w:color w:val="auto"/>
          <w:sz w:val="24"/>
          <w:highlight w:val="none"/>
        </w:rPr>
        <w:t>：</w:t>
      </w:r>
    </w:p>
    <w:p w14:paraId="0505224C">
      <w:pPr>
        <w:pStyle w:val="13"/>
        <w:snapToGrid w:val="0"/>
        <w:spacing w:line="360" w:lineRule="auto"/>
        <w:ind w:firstLine="480" w:firstLineChars="200"/>
        <w:jc w:val="left"/>
        <w:rPr>
          <w:rFonts w:hint="eastAsia" w:hAnsi="宋体"/>
          <w:bCs/>
          <w:color w:val="auto"/>
          <w:sz w:val="24"/>
          <w:highlight w:val="none"/>
          <w:lang w:val="en-US" w:eastAsia="zh-CN"/>
        </w:rPr>
      </w:pPr>
      <w:r>
        <w:rPr>
          <w:rFonts w:hint="eastAsia" w:hAnsi="宋体"/>
          <w:bCs/>
          <w:color w:val="auto"/>
          <w:sz w:val="24"/>
          <w:highlight w:val="none"/>
        </w:rPr>
        <w:t>授权代表：</w:t>
      </w:r>
      <w:r>
        <w:rPr>
          <w:rFonts w:hint="eastAsia" w:hAnsi="宋体"/>
          <w:bCs/>
          <w:color w:val="auto"/>
          <w:sz w:val="24"/>
          <w:highlight w:val="none"/>
          <w:lang w:val="en-US" w:eastAsia="zh-CN"/>
        </w:rPr>
        <w:t xml:space="preserve">              </w:t>
      </w:r>
    </w:p>
    <w:p w14:paraId="37AE27D7">
      <w:pPr>
        <w:pStyle w:val="13"/>
        <w:snapToGrid w:val="0"/>
        <w:spacing w:line="360" w:lineRule="auto"/>
        <w:ind w:firstLine="480" w:firstLineChars="200"/>
        <w:jc w:val="left"/>
        <w:rPr>
          <w:rFonts w:hAnsi="宋体"/>
          <w:bCs/>
          <w:color w:val="auto"/>
          <w:sz w:val="24"/>
          <w:highlight w:val="none"/>
          <w:u w:val="single"/>
        </w:rPr>
      </w:pPr>
      <w:r>
        <w:rPr>
          <w:rFonts w:hAnsi="宋体"/>
          <w:bCs/>
          <w:color w:val="auto"/>
          <w:sz w:val="24"/>
          <w:highlight w:val="none"/>
        </w:rPr>
        <w:t>联系</w:t>
      </w:r>
      <w:r>
        <w:rPr>
          <w:rFonts w:hint="eastAsia" w:hAnsi="宋体"/>
          <w:bCs/>
          <w:color w:val="auto"/>
          <w:sz w:val="24"/>
          <w:highlight w:val="none"/>
        </w:rPr>
        <w:t>电话：</w:t>
      </w:r>
    </w:p>
    <w:p w14:paraId="4383BF6A">
      <w:pPr>
        <w:pStyle w:val="13"/>
        <w:snapToGrid w:val="0"/>
        <w:spacing w:line="360" w:lineRule="auto"/>
        <w:ind w:firstLine="480" w:firstLineChars="200"/>
        <w:jc w:val="left"/>
        <w:rPr>
          <w:rFonts w:hAnsi="宋体"/>
          <w:bCs/>
          <w:color w:val="auto"/>
          <w:sz w:val="24"/>
          <w:highlight w:val="none"/>
          <w:u w:val="single"/>
        </w:rPr>
      </w:pPr>
      <w:r>
        <w:rPr>
          <w:rFonts w:hAnsi="宋体"/>
          <w:bCs/>
          <w:color w:val="auto"/>
          <w:sz w:val="24"/>
          <w:highlight w:val="none"/>
        </w:rPr>
        <w:t>地址</w:t>
      </w:r>
      <w:r>
        <w:rPr>
          <w:rFonts w:hint="eastAsia" w:hAnsi="宋体"/>
          <w:bCs/>
          <w:color w:val="auto"/>
          <w:sz w:val="24"/>
          <w:highlight w:val="none"/>
        </w:rPr>
        <w:t>：</w:t>
      </w:r>
    </w:p>
    <w:p w14:paraId="0B473A69">
      <w:pPr>
        <w:pStyle w:val="13"/>
        <w:snapToGrid w:val="0"/>
        <w:spacing w:line="360" w:lineRule="auto"/>
        <w:ind w:firstLine="480" w:firstLineChars="200"/>
        <w:jc w:val="left"/>
        <w:rPr>
          <w:rFonts w:hAnsi="宋体"/>
          <w:bCs/>
          <w:color w:val="auto"/>
          <w:sz w:val="24"/>
          <w:highlight w:val="none"/>
        </w:rPr>
      </w:pPr>
      <w:r>
        <w:rPr>
          <w:rFonts w:hAnsi="宋体"/>
          <w:bCs/>
          <w:color w:val="auto"/>
          <w:sz w:val="24"/>
          <w:highlight w:val="none"/>
        </w:rPr>
        <w:t>邮编</w:t>
      </w:r>
      <w:r>
        <w:rPr>
          <w:rFonts w:hint="eastAsia" w:hAnsi="宋体"/>
          <w:bCs/>
          <w:color w:val="auto"/>
          <w:sz w:val="24"/>
          <w:highlight w:val="none"/>
        </w:rPr>
        <w:t>：</w:t>
      </w:r>
    </w:p>
    <w:p w14:paraId="35DBE29C">
      <w:pPr>
        <w:pStyle w:val="13"/>
        <w:snapToGrid w:val="0"/>
        <w:spacing w:line="360" w:lineRule="auto"/>
        <w:ind w:firstLine="480" w:firstLineChars="200"/>
        <w:jc w:val="left"/>
        <w:rPr>
          <w:rFonts w:hAnsi="宋体"/>
          <w:bCs/>
          <w:color w:val="auto"/>
          <w:sz w:val="24"/>
          <w:highlight w:val="none"/>
        </w:rPr>
      </w:pPr>
      <w:r>
        <w:rPr>
          <w:rFonts w:hint="eastAsia" w:hAnsi="宋体"/>
          <w:bCs/>
          <w:color w:val="auto"/>
          <w:sz w:val="24"/>
          <w:highlight w:val="none"/>
        </w:rPr>
        <w:t>被投诉人1：</w:t>
      </w:r>
    </w:p>
    <w:p w14:paraId="4D3DC98A">
      <w:pPr>
        <w:pStyle w:val="13"/>
        <w:snapToGrid w:val="0"/>
        <w:spacing w:line="360" w:lineRule="auto"/>
        <w:ind w:firstLine="480" w:firstLineChars="200"/>
        <w:jc w:val="left"/>
        <w:rPr>
          <w:rFonts w:hAnsi="宋体"/>
          <w:bCs/>
          <w:color w:val="auto"/>
          <w:sz w:val="24"/>
          <w:highlight w:val="none"/>
          <w:u w:val="single"/>
        </w:rPr>
      </w:pPr>
      <w:r>
        <w:rPr>
          <w:rFonts w:hint="eastAsia" w:hAnsi="宋体"/>
          <w:bCs/>
          <w:color w:val="auto"/>
          <w:sz w:val="24"/>
          <w:highlight w:val="none"/>
        </w:rPr>
        <w:t>地址：</w:t>
      </w:r>
    </w:p>
    <w:p w14:paraId="3C2C99E8">
      <w:pPr>
        <w:pStyle w:val="13"/>
        <w:snapToGrid w:val="0"/>
        <w:spacing w:line="360" w:lineRule="auto"/>
        <w:ind w:firstLine="480" w:firstLineChars="200"/>
        <w:jc w:val="left"/>
        <w:rPr>
          <w:rFonts w:hAnsi="宋体"/>
          <w:bCs/>
          <w:color w:val="auto"/>
          <w:sz w:val="24"/>
          <w:highlight w:val="none"/>
        </w:rPr>
      </w:pPr>
      <w:r>
        <w:rPr>
          <w:rFonts w:hAnsi="宋体"/>
          <w:bCs/>
          <w:color w:val="auto"/>
          <w:sz w:val="24"/>
          <w:highlight w:val="none"/>
        </w:rPr>
        <w:t>邮编</w:t>
      </w:r>
      <w:r>
        <w:rPr>
          <w:rFonts w:hint="eastAsia" w:hAnsi="宋体"/>
          <w:bCs/>
          <w:color w:val="auto"/>
          <w:sz w:val="24"/>
          <w:highlight w:val="none"/>
        </w:rPr>
        <w:t>：</w:t>
      </w:r>
    </w:p>
    <w:p w14:paraId="66FC41B1">
      <w:pPr>
        <w:pStyle w:val="13"/>
        <w:snapToGrid w:val="0"/>
        <w:spacing w:line="360" w:lineRule="auto"/>
        <w:ind w:firstLine="480" w:firstLineChars="200"/>
        <w:jc w:val="left"/>
        <w:rPr>
          <w:rFonts w:hAnsi="宋体"/>
          <w:bCs/>
          <w:color w:val="auto"/>
          <w:sz w:val="24"/>
          <w:highlight w:val="none"/>
          <w:u w:val="single"/>
        </w:rPr>
      </w:pPr>
      <w:r>
        <w:rPr>
          <w:rFonts w:hint="eastAsia" w:hAnsi="宋体"/>
          <w:bCs/>
          <w:color w:val="auto"/>
          <w:sz w:val="24"/>
          <w:highlight w:val="none"/>
        </w:rPr>
        <w:t>联系人：</w:t>
      </w:r>
      <w:r>
        <w:rPr>
          <w:rFonts w:hAnsi="宋体"/>
          <w:bCs/>
          <w:color w:val="auto"/>
          <w:sz w:val="24"/>
          <w:highlight w:val="none"/>
        </w:rPr>
        <w:t>联系</w:t>
      </w:r>
      <w:r>
        <w:rPr>
          <w:rFonts w:hint="eastAsia" w:hAnsi="宋体"/>
          <w:bCs/>
          <w:color w:val="auto"/>
          <w:sz w:val="24"/>
          <w:highlight w:val="none"/>
        </w:rPr>
        <w:t>电话：</w:t>
      </w:r>
    </w:p>
    <w:p w14:paraId="0B48C8F0">
      <w:pPr>
        <w:pStyle w:val="13"/>
        <w:snapToGrid w:val="0"/>
        <w:spacing w:line="360" w:lineRule="auto"/>
        <w:ind w:firstLine="480" w:firstLineChars="200"/>
        <w:jc w:val="left"/>
        <w:rPr>
          <w:rFonts w:hAnsi="宋体"/>
          <w:bCs/>
          <w:color w:val="auto"/>
          <w:sz w:val="24"/>
          <w:highlight w:val="none"/>
        </w:rPr>
      </w:pPr>
      <w:r>
        <w:rPr>
          <w:rFonts w:hint="eastAsia" w:hAnsi="宋体"/>
          <w:bCs/>
          <w:color w:val="auto"/>
          <w:sz w:val="24"/>
          <w:highlight w:val="none"/>
        </w:rPr>
        <w:t>被投诉人2：</w:t>
      </w:r>
    </w:p>
    <w:p w14:paraId="442AADD0">
      <w:pPr>
        <w:pStyle w:val="13"/>
        <w:snapToGrid w:val="0"/>
        <w:spacing w:line="360" w:lineRule="auto"/>
        <w:ind w:firstLine="480" w:firstLineChars="200"/>
        <w:jc w:val="left"/>
        <w:rPr>
          <w:rFonts w:hAnsi="宋体"/>
          <w:bCs/>
          <w:color w:val="auto"/>
          <w:sz w:val="24"/>
          <w:highlight w:val="none"/>
        </w:rPr>
      </w:pPr>
      <w:r>
        <w:rPr>
          <w:rFonts w:hAnsi="宋体"/>
          <w:bCs/>
          <w:color w:val="auto"/>
          <w:sz w:val="24"/>
          <w:highlight w:val="none"/>
        </w:rPr>
        <w:t>……</w:t>
      </w:r>
    </w:p>
    <w:p w14:paraId="0550090A">
      <w:pPr>
        <w:pStyle w:val="13"/>
        <w:snapToGrid w:val="0"/>
        <w:spacing w:line="360" w:lineRule="auto"/>
        <w:ind w:firstLine="480" w:firstLineChars="200"/>
        <w:jc w:val="left"/>
        <w:rPr>
          <w:rFonts w:hAnsi="宋体"/>
          <w:bCs/>
          <w:color w:val="auto"/>
          <w:sz w:val="24"/>
          <w:highlight w:val="none"/>
          <w:u w:val="single"/>
        </w:rPr>
      </w:pPr>
      <w:r>
        <w:rPr>
          <w:rFonts w:hint="eastAsia" w:hAnsi="宋体"/>
          <w:bCs/>
          <w:color w:val="auto"/>
          <w:sz w:val="24"/>
          <w:highlight w:val="none"/>
        </w:rPr>
        <w:t>相关供应商：</w:t>
      </w:r>
    </w:p>
    <w:p w14:paraId="24C482CD">
      <w:pPr>
        <w:pStyle w:val="13"/>
        <w:snapToGrid w:val="0"/>
        <w:spacing w:line="360" w:lineRule="auto"/>
        <w:ind w:firstLine="480" w:firstLineChars="200"/>
        <w:jc w:val="left"/>
        <w:rPr>
          <w:rFonts w:hAnsi="宋体"/>
          <w:bCs/>
          <w:color w:val="auto"/>
          <w:sz w:val="24"/>
          <w:highlight w:val="none"/>
          <w:u w:val="single"/>
        </w:rPr>
      </w:pPr>
      <w:r>
        <w:rPr>
          <w:rFonts w:hAnsi="宋体"/>
          <w:bCs/>
          <w:color w:val="auto"/>
          <w:sz w:val="24"/>
          <w:highlight w:val="none"/>
        </w:rPr>
        <w:t>地址</w:t>
      </w:r>
      <w:r>
        <w:rPr>
          <w:rFonts w:hint="eastAsia" w:hAnsi="宋体"/>
          <w:bCs/>
          <w:color w:val="auto"/>
          <w:sz w:val="24"/>
          <w:highlight w:val="none"/>
        </w:rPr>
        <w:t>：</w:t>
      </w:r>
      <w:r>
        <w:rPr>
          <w:rFonts w:hAnsi="宋体"/>
          <w:bCs/>
          <w:color w:val="auto"/>
          <w:sz w:val="24"/>
          <w:highlight w:val="none"/>
        </w:rPr>
        <w:t>邮编</w:t>
      </w:r>
      <w:r>
        <w:rPr>
          <w:rFonts w:hint="eastAsia" w:hAnsi="宋体"/>
          <w:bCs/>
          <w:color w:val="auto"/>
          <w:sz w:val="24"/>
          <w:highlight w:val="none"/>
        </w:rPr>
        <w:t>：</w:t>
      </w:r>
    </w:p>
    <w:p w14:paraId="734EE408">
      <w:pPr>
        <w:pStyle w:val="13"/>
        <w:snapToGrid w:val="0"/>
        <w:spacing w:line="360" w:lineRule="auto"/>
        <w:ind w:firstLine="480" w:firstLineChars="200"/>
        <w:jc w:val="left"/>
        <w:rPr>
          <w:rFonts w:hAnsi="宋体"/>
          <w:bCs/>
          <w:color w:val="auto"/>
          <w:sz w:val="24"/>
          <w:highlight w:val="none"/>
        </w:rPr>
      </w:pPr>
      <w:r>
        <w:rPr>
          <w:rFonts w:hint="eastAsia" w:hAnsi="宋体"/>
          <w:bCs/>
          <w:color w:val="auto"/>
          <w:sz w:val="24"/>
          <w:highlight w:val="none"/>
        </w:rPr>
        <w:t>联系人：</w:t>
      </w:r>
      <w:r>
        <w:rPr>
          <w:rFonts w:hAnsi="宋体"/>
          <w:bCs/>
          <w:color w:val="auto"/>
          <w:sz w:val="24"/>
          <w:highlight w:val="none"/>
        </w:rPr>
        <w:t>联系</w:t>
      </w:r>
      <w:r>
        <w:rPr>
          <w:rFonts w:hint="eastAsia" w:hAnsi="宋体"/>
          <w:bCs/>
          <w:color w:val="auto"/>
          <w:sz w:val="24"/>
          <w:highlight w:val="none"/>
        </w:rPr>
        <w:t>电话：</w:t>
      </w:r>
    </w:p>
    <w:p w14:paraId="05A6C307">
      <w:pPr>
        <w:pStyle w:val="13"/>
        <w:snapToGrid w:val="0"/>
        <w:spacing w:line="360" w:lineRule="auto"/>
        <w:ind w:firstLine="482" w:firstLineChars="200"/>
        <w:rPr>
          <w:rFonts w:hAnsi="宋体"/>
          <w:b/>
          <w:bCs/>
          <w:color w:val="auto"/>
          <w:sz w:val="24"/>
          <w:highlight w:val="none"/>
        </w:rPr>
      </w:pPr>
      <w:r>
        <w:rPr>
          <w:rFonts w:hint="eastAsia" w:hAnsi="宋体"/>
          <w:b/>
          <w:bCs/>
          <w:color w:val="auto"/>
          <w:sz w:val="24"/>
          <w:highlight w:val="none"/>
        </w:rPr>
        <w:t>二、投诉项目基本情况：</w:t>
      </w:r>
    </w:p>
    <w:p w14:paraId="0A0C6468">
      <w:pPr>
        <w:pStyle w:val="13"/>
        <w:spacing w:line="360" w:lineRule="auto"/>
        <w:ind w:left="25" w:leftChars="12" w:firstLine="472" w:firstLineChars="197"/>
        <w:rPr>
          <w:rFonts w:hAnsi="宋体"/>
          <w:color w:val="auto"/>
          <w:sz w:val="24"/>
          <w:highlight w:val="none"/>
        </w:rPr>
      </w:pPr>
      <w:r>
        <w:rPr>
          <w:rFonts w:hint="eastAsia" w:hAnsi="宋体"/>
          <w:bCs/>
          <w:color w:val="auto"/>
          <w:sz w:val="24"/>
          <w:highlight w:val="none"/>
        </w:rPr>
        <w:t>采购</w:t>
      </w:r>
      <w:r>
        <w:rPr>
          <w:rFonts w:hint="eastAsia" w:hAnsi="宋体"/>
          <w:color w:val="auto"/>
          <w:sz w:val="24"/>
          <w:highlight w:val="none"/>
        </w:rPr>
        <w:t>项目的名称：</w:t>
      </w:r>
    </w:p>
    <w:p w14:paraId="39DC55F2">
      <w:pPr>
        <w:pStyle w:val="13"/>
        <w:spacing w:line="360" w:lineRule="auto"/>
        <w:ind w:left="25" w:leftChars="12" w:firstLine="472" w:firstLineChars="197"/>
        <w:rPr>
          <w:rFonts w:hAnsi="宋体"/>
          <w:color w:val="auto"/>
          <w:sz w:val="24"/>
          <w:highlight w:val="none"/>
        </w:rPr>
      </w:pPr>
      <w:r>
        <w:rPr>
          <w:rFonts w:hint="eastAsia" w:hAnsi="宋体"/>
          <w:bCs/>
          <w:color w:val="auto"/>
          <w:sz w:val="24"/>
          <w:highlight w:val="none"/>
        </w:rPr>
        <w:t>采购</w:t>
      </w:r>
      <w:r>
        <w:rPr>
          <w:rFonts w:hint="eastAsia" w:hAnsi="宋体"/>
          <w:color w:val="auto"/>
          <w:sz w:val="24"/>
          <w:highlight w:val="none"/>
        </w:rPr>
        <w:t>项目的编号：</w:t>
      </w:r>
    </w:p>
    <w:p w14:paraId="5B341FB2">
      <w:pPr>
        <w:pStyle w:val="13"/>
        <w:spacing w:line="360" w:lineRule="auto"/>
        <w:ind w:left="25" w:leftChars="12" w:firstLine="472" w:firstLineChars="197"/>
        <w:rPr>
          <w:rFonts w:hAnsi="宋体"/>
          <w:bCs/>
          <w:color w:val="auto"/>
          <w:sz w:val="24"/>
          <w:highlight w:val="none"/>
          <w:u w:val="single"/>
        </w:rPr>
      </w:pPr>
      <w:r>
        <w:rPr>
          <w:rFonts w:hint="eastAsia" w:hAnsi="宋体"/>
          <w:color w:val="auto"/>
          <w:sz w:val="24"/>
          <w:highlight w:val="none"/>
        </w:rPr>
        <w:t>采购人名称：</w:t>
      </w:r>
    </w:p>
    <w:p w14:paraId="438C8D3E">
      <w:pPr>
        <w:pStyle w:val="13"/>
        <w:spacing w:line="360" w:lineRule="auto"/>
        <w:ind w:left="25" w:leftChars="12" w:firstLine="472" w:firstLineChars="197"/>
        <w:rPr>
          <w:rFonts w:hAnsi="宋体"/>
          <w:bCs/>
          <w:color w:val="auto"/>
          <w:sz w:val="24"/>
          <w:highlight w:val="none"/>
          <w:u w:val="single"/>
        </w:rPr>
      </w:pPr>
      <w:r>
        <w:rPr>
          <w:rFonts w:hint="eastAsia" w:hAnsi="宋体"/>
          <w:color w:val="auto"/>
          <w:sz w:val="24"/>
          <w:highlight w:val="none"/>
        </w:rPr>
        <w:t>代理机构名称：</w:t>
      </w:r>
    </w:p>
    <w:p w14:paraId="078BBA9C">
      <w:pPr>
        <w:pStyle w:val="13"/>
        <w:spacing w:line="360" w:lineRule="auto"/>
        <w:ind w:left="25" w:leftChars="12" w:firstLine="472" w:firstLineChars="197"/>
        <w:rPr>
          <w:rFonts w:hAnsi="宋体"/>
          <w:bCs/>
          <w:color w:val="auto"/>
          <w:sz w:val="24"/>
          <w:highlight w:val="none"/>
          <w:u w:val="single"/>
        </w:rPr>
      </w:pPr>
      <w:r>
        <w:rPr>
          <w:rFonts w:hint="eastAsia" w:hAnsi="宋体"/>
          <w:bCs/>
          <w:color w:val="auto"/>
          <w:sz w:val="24"/>
          <w:highlight w:val="none"/>
        </w:rPr>
        <w:t>招标文件公告：</w:t>
      </w:r>
      <w:r>
        <w:rPr>
          <w:rFonts w:hint="eastAsia" w:hAnsi="宋体"/>
          <w:bCs/>
          <w:color w:val="auto"/>
          <w:sz w:val="24"/>
          <w:highlight w:val="none"/>
          <w:u w:val="single"/>
        </w:rPr>
        <w:t>是/否</w:t>
      </w:r>
      <w:r>
        <w:rPr>
          <w:rFonts w:hint="eastAsia" w:hAnsi="宋体"/>
          <w:bCs/>
          <w:color w:val="auto"/>
          <w:sz w:val="24"/>
          <w:highlight w:val="none"/>
        </w:rPr>
        <w:t>公告期限：</w:t>
      </w:r>
    </w:p>
    <w:p w14:paraId="31B05BF3">
      <w:pPr>
        <w:pStyle w:val="13"/>
        <w:spacing w:line="360" w:lineRule="auto"/>
        <w:ind w:left="25" w:leftChars="12" w:firstLine="472" w:firstLineChars="197"/>
        <w:rPr>
          <w:rFonts w:hAnsi="宋体"/>
          <w:b/>
          <w:color w:val="auto"/>
          <w:sz w:val="24"/>
          <w:highlight w:val="none"/>
        </w:rPr>
      </w:pPr>
      <w:r>
        <w:rPr>
          <w:rFonts w:hint="eastAsia" w:hAnsi="宋体"/>
          <w:bCs/>
          <w:color w:val="auto"/>
          <w:sz w:val="24"/>
          <w:highlight w:val="none"/>
        </w:rPr>
        <w:t>采购结果公告：</w:t>
      </w:r>
      <w:r>
        <w:rPr>
          <w:rFonts w:hint="eastAsia" w:hAnsi="宋体"/>
          <w:bCs/>
          <w:color w:val="auto"/>
          <w:sz w:val="24"/>
          <w:highlight w:val="none"/>
          <w:u w:val="single"/>
        </w:rPr>
        <w:t>是/否</w:t>
      </w:r>
      <w:r>
        <w:rPr>
          <w:rFonts w:hint="eastAsia" w:hAnsi="宋体"/>
          <w:bCs/>
          <w:color w:val="auto"/>
          <w:sz w:val="24"/>
          <w:highlight w:val="none"/>
        </w:rPr>
        <w:t>公告期限：</w:t>
      </w:r>
    </w:p>
    <w:p w14:paraId="760D96C1">
      <w:pPr>
        <w:pStyle w:val="13"/>
        <w:spacing w:line="360" w:lineRule="auto"/>
        <w:ind w:left="25" w:leftChars="12" w:firstLine="472" w:firstLineChars="196"/>
        <w:rPr>
          <w:rFonts w:hAnsi="宋体"/>
          <w:b/>
          <w:color w:val="auto"/>
          <w:sz w:val="24"/>
          <w:highlight w:val="none"/>
        </w:rPr>
      </w:pPr>
      <w:r>
        <w:rPr>
          <w:rFonts w:hint="eastAsia" w:hAnsi="宋体"/>
          <w:b/>
          <w:color w:val="auto"/>
          <w:sz w:val="24"/>
          <w:highlight w:val="none"/>
        </w:rPr>
        <w:t>三、质疑基本情况</w:t>
      </w:r>
    </w:p>
    <w:p w14:paraId="612A38D3">
      <w:pPr>
        <w:pStyle w:val="13"/>
        <w:spacing w:line="360" w:lineRule="auto"/>
        <w:ind w:left="25" w:leftChars="12" w:firstLine="480" w:firstLineChars="200"/>
        <w:rPr>
          <w:rFonts w:hAnsi="宋体"/>
          <w:bCs/>
          <w:color w:val="auto"/>
          <w:sz w:val="24"/>
          <w:highlight w:val="none"/>
          <w:u w:val="single"/>
        </w:rPr>
      </w:pPr>
      <w:r>
        <w:rPr>
          <w:rFonts w:hint="eastAsia" w:hAnsi="宋体"/>
          <w:color w:val="auto"/>
          <w:sz w:val="24"/>
          <w:highlight w:val="none"/>
        </w:rPr>
        <w:t>投诉人于年月日，向提出质疑，质疑事项为：</w:t>
      </w:r>
    </w:p>
    <w:p w14:paraId="7B8A7C4F">
      <w:pPr>
        <w:pStyle w:val="13"/>
        <w:spacing w:line="360" w:lineRule="auto"/>
        <w:ind w:firstLine="480" w:firstLineChars="200"/>
        <w:rPr>
          <w:rFonts w:hAnsi="宋体"/>
          <w:color w:val="auto"/>
          <w:sz w:val="24"/>
          <w:highlight w:val="none"/>
        </w:rPr>
      </w:pPr>
      <w:r>
        <w:rPr>
          <w:rFonts w:hint="eastAsia" w:hAnsi="宋体"/>
          <w:bCs/>
          <w:color w:val="auto"/>
          <w:sz w:val="24"/>
          <w:highlight w:val="none"/>
          <w:u w:val="single"/>
        </w:rPr>
        <w:t>采购人/代理机构</w:t>
      </w:r>
      <w:r>
        <w:rPr>
          <w:rFonts w:hint="eastAsia" w:hAnsi="宋体"/>
          <w:bCs/>
          <w:color w:val="auto"/>
          <w:sz w:val="24"/>
          <w:highlight w:val="none"/>
        </w:rPr>
        <w:t>于</w:t>
      </w:r>
      <w:r>
        <w:rPr>
          <w:rFonts w:hint="eastAsia" w:hAnsi="宋体"/>
          <w:color w:val="auto"/>
          <w:sz w:val="24"/>
          <w:highlight w:val="none"/>
        </w:rPr>
        <w:t>年月日，</w:t>
      </w:r>
      <w:r>
        <w:rPr>
          <w:rFonts w:hint="eastAsia" w:hAnsi="宋体"/>
          <w:bCs/>
          <w:color w:val="auto"/>
          <w:sz w:val="24"/>
          <w:highlight w:val="none"/>
        </w:rPr>
        <w:t xml:space="preserve">就质疑事项作出了答复/没有在法定期限内作出答复。                                                                                             </w:t>
      </w:r>
    </w:p>
    <w:p w14:paraId="24D76257">
      <w:pPr>
        <w:pStyle w:val="13"/>
        <w:spacing w:line="360" w:lineRule="auto"/>
        <w:ind w:left="25" w:leftChars="12" w:firstLine="472" w:firstLineChars="196"/>
        <w:rPr>
          <w:rFonts w:hAnsi="宋体"/>
          <w:b/>
          <w:color w:val="auto"/>
          <w:sz w:val="24"/>
          <w:highlight w:val="none"/>
        </w:rPr>
      </w:pPr>
      <w:r>
        <w:rPr>
          <w:rFonts w:hint="eastAsia" w:hAnsi="宋体"/>
          <w:b/>
          <w:color w:val="auto"/>
          <w:sz w:val="24"/>
          <w:highlight w:val="none"/>
        </w:rPr>
        <w:t>四、投诉事项具体内容</w:t>
      </w:r>
    </w:p>
    <w:p w14:paraId="02076B7C">
      <w:pPr>
        <w:pStyle w:val="13"/>
        <w:spacing w:line="360" w:lineRule="auto"/>
        <w:ind w:left="25" w:leftChars="12" w:firstLine="472" w:firstLineChars="197"/>
        <w:rPr>
          <w:rFonts w:hAnsi="宋体"/>
          <w:bCs/>
          <w:color w:val="auto"/>
          <w:sz w:val="24"/>
          <w:highlight w:val="none"/>
          <w:u w:val="single"/>
        </w:rPr>
      </w:pPr>
      <w:r>
        <w:rPr>
          <w:rFonts w:hint="eastAsia" w:hAnsi="宋体"/>
          <w:color w:val="auto"/>
          <w:sz w:val="24"/>
          <w:highlight w:val="none"/>
        </w:rPr>
        <w:t>投诉事项1：</w:t>
      </w:r>
    </w:p>
    <w:p w14:paraId="0DD084EE">
      <w:pPr>
        <w:pStyle w:val="13"/>
        <w:spacing w:line="360" w:lineRule="auto"/>
        <w:ind w:firstLine="480" w:firstLineChars="200"/>
        <w:rPr>
          <w:rFonts w:hAnsi="宋体"/>
          <w:bCs/>
          <w:color w:val="auto"/>
          <w:sz w:val="24"/>
          <w:highlight w:val="none"/>
          <w:u w:val="single"/>
        </w:rPr>
      </w:pPr>
      <w:r>
        <w:rPr>
          <w:rFonts w:hint="eastAsia" w:hAnsi="宋体"/>
          <w:bCs/>
          <w:color w:val="auto"/>
          <w:sz w:val="24"/>
          <w:highlight w:val="none"/>
        </w:rPr>
        <w:t>事实依据：</w:t>
      </w:r>
    </w:p>
    <w:p w14:paraId="46033A29">
      <w:pPr>
        <w:pStyle w:val="13"/>
        <w:spacing w:line="360" w:lineRule="auto"/>
        <w:ind w:left="25" w:leftChars="12" w:firstLine="472" w:firstLineChars="197"/>
        <w:rPr>
          <w:rFonts w:hAnsi="宋体"/>
          <w:color w:val="auto"/>
          <w:sz w:val="24"/>
          <w:highlight w:val="none"/>
        </w:rPr>
      </w:pPr>
    </w:p>
    <w:p w14:paraId="6385153C">
      <w:pPr>
        <w:pStyle w:val="13"/>
        <w:spacing w:line="360" w:lineRule="auto"/>
        <w:ind w:firstLine="480" w:firstLineChars="200"/>
        <w:rPr>
          <w:rFonts w:hAnsi="宋体"/>
          <w:bCs/>
          <w:color w:val="auto"/>
          <w:sz w:val="24"/>
          <w:highlight w:val="none"/>
          <w:u w:val="single"/>
        </w:rPr>
      </w:pPr>
      <w:r>
        <w:rPr>
          <w:rFonts w:hint="eastAsia" w:hAnsi="宋体"/>
          <w:bCs/>
          <w:color w:val="auto"/>
          <w:sz w:val="24"/>
          <w:highlight w:val="none"/>
        </w:rPr>
        <w:t>法律依据：</w:t>
      </w:r>
    </w:p>
    <w:p w14:paraId="25AC07C3">
      <w:pPr>
        <w:pStyle w:val="13"/>
        <w:spacing w:line="360" w:lineRule="auto"/>
        <w:ind w:left="25" w:leftChars="12" w:firstLine="352" w:firstLineChars="147"/>
        <w:rPr>
          <w:rFonts w:hAnsi="宋体"/>
          <w:bCs/>
          <w:color w:val="auto"/>
          <w:sz w:val="24"/>
          <w:highlight w:val="none"/>
          <w:u w:val="single"/>
        </w:rPr>
      </w:pPr>
    </w:p>
    <w:p w14:paraId="72520CA3">
      <w:pPr>
        <w:pStyle w:val="13"/>
        <w:spacing w:line="360" w:lineRule="auto"/>
        <w:ind w:left="25" w:leftChars="12" w:firstLine="472" w:firstLineChars="197"/>
        <w:rPr>
          <w:rFonts w:hAnsi="宋体"/>
          <w:bCs/>
          <w:color w:val="auto"/>
          <w:sz w:val="24"/>
          <w:highlight w:val="none"/>
        </w:rPr>
      </w:pPr>
      <w:r>
        <w:rPr>
          <w:rFonts w:hint="eastAsia" w:hAnsi="宋体"/>
          <w:color w:val="auto"/>
          <w:sz w:val="24"/>
          <w:highlight w:val="none"/>
        </w:rPr>
        <w:t xml:space="preserve">投诉事项2  </w:t>
      </w:r>
    </w:p>
    <w:p w14:paraId="7A4908BE">
      <w:pPr>
        <w:pStyle w:val="13"/>
        <w:spacing w:line="360" w:lineRule="auto"/>
        <w:ind w:left="25" w:leftChars="12" w:firstLine="472" w:firstLineChars="197"/>
        <w:rPr>
          <w:rFonts w:hAnsi="宋体"/>
          <w:bCs/>
          <w:color w:val="auto"/>
          <w:sz w:val="24"/>
          <w:highlight w:val="none"/>
        </w:rPr>
      </w:pPr>
      <w:r>
        <w:rPr>
          <w:rFonts w:hAnsi="宋体"/>
          <w:bCs/>
          <w:color w:val="auto"/>
          <w:sz w:val="24"/>
          <w:highlight w:val="none"/>
        </w:rPr>
        <w:t>……</w:t>
      </w:r>
    </w:p>
    <w:p w14:paraId="548B4F04">
      <w:pPr>
        <w:pStyle w:val="13"/>
        <w:spacing w:line="360" w:lineRule="auto"/>
        <w:ind w:left="25" w:leftChars="12" w:firstLine="472" w:firstLineChars="196"/>
        <w:rPr>
          <w:rFonts w:hAnsi="宋体"/>
          <w:b/>
          <w:color w:val="auto"/>
          <w:sz w:val="24"/>
          <w:highlight w:val="none"/>
        </w:rPr>
      </w:pPr>
      <w:r>
        <w:rPr>
          <w:rFonts w:hint="eastAsia" w:hAnsi="宋体"/>
          <w:b/>
          <w:color w:val="auto"/>
          <w:sz w:val="24"/>
          <w:highlight w:val="none"/>
        </w:rPr>
        <w:t>五、与投诉事项相关的投诉请求：</w:t>
      </w:r>
    </w:p>
    <w:p w14:paraId="30C63785">
      <w:pPr>
        <w:pStyle w:val="13"/>
        <w:spacing w:line="360" w:lineRule="auto"/>
        <w:ind w:left="25" w:leftChars="12" w:firstLine="472" w:firstLineChars="197"/>
        <w:rPr>
          <w:rFonts w:hAnsi="宋体"/>
          <w:color w:val="auto"/>
          <w:sz w:val="24"/>
          <w:highlight w:val="none"/>
        </w:rPr>
      </w:pPr>
      <w:r>
        <w:rPr>
          <w:rFonts w:hint="eastAsia" w:hAnsi="宋体"/>
          <w:color w:val="auto"/>
          <w:sz w:val="24"/>
          <w:highlight w:val="none"/>
        </w:rPr>
        <w:t>请求：</w:t>
      </w:r>
    </w:p>
    <w:p w14:paraId="10BE4CA4">
      <w:pPr>
        <w:pStyle w:val="13"/>
        <w:spacing w:line="360" w:lineRule="auto"/>
        <w:ind w:left="25" w:leftChars="12" w:firstLine="6232" w:firstLineChars="2597"/>
        <w:rPr>
          <w:rFonts w:hAnsi="宋体"/>
          <w:color w:val="auto"/>
          <w:sz w:val="24"/>
          <w:highlight w:val="none"/>
        </w:rPr>
      </w:pPr>
      <w:r>
        <w:rPr>
          <w:rFonts w:hint="eastAsia" w:hAnsi="宋体"/>
          <w:color w:val="auto"/>
          <w:sz w:val="24"/>
          <w:highlight w:val="none"/>
        </w:rPr>
        <w:t>公章：</w:t>
      </w:r>
    </w:p>
    <w:p w14:paraId="4C68001E">
      <w:pPr>
        <w:pStyle w:val="13"/>
        <w:spacing w:line="360" w:lineRule="auto"/>
        <w:ind w:left="25" w:leftChars="12" w:firstLine="6112" w:firstLineChars="2547"/>
        <w:rPr>
          <w:rFonts w:hAnsi="宋体"/>
          <w:color w:val="auto"/>
          <w:sz w:val="24"/>
          <w:highlight w:val="none"/>
        </w:rPr>
      </w:pPr>
      <w:r>
        <w:rPr>
          <w:rFonts w:hint="eastAsia" w:hAnsi="宋体"/>
          <w:color w:val="auto"/>
          <w:sz w:val="24"/>
          <w:highlight w:val="none"/>
        </w:rPr>
        <w:t xml:space="preserve">签字（签章）：     </w:t>
      </w:r>
    </w:p>
    <w:p w14:paraId="5A804D3C">
      <w:pPr>
        <w:pStyle w:val="13"/>
        <w:spacing w:line="360" w:lineRule="auto"/>
        <w:ind w:left="25" w:leftChars="12" w:firstLine="6472" w:firstLineChars="2697"/>
        <w:rPr>
          <w:rFonts w:hAnsi="宋体"/>
          <w:color w:val="auto"/>
          <w:sz w:val="24"/>
          <w:highlight w:val="none"/>
        </w:rPr>
      </w:pPr>
      <w:r>
        <w:rPr>
          <w:rFonts w:hint="eastAsia" w:hAnsi="宋体"/>
          <w:color w:val="auto"/>
          <w:sz w:val="24"/>
          <w:highlight w:val="none"/>
        </w:rPr>
        <w:t>日期：</w:t>
      </w:r>
    </w:p>
    <w:p w14:paraId="56695F3E">
      <w:pPr>
        <w:pStyle w:val="13"/>
        <w:spacing w:line="360" w:lineRule="auto"/>
        <w:ind w:left="25" w:leftChars="12" w:firstLine="472" w:firstLineChars="197"/>
        <w:rPr>
          <w:rFonts w:hAnsi="宋体"/>
          <w:color w:val="auto"/>
          <w:sz w:val="24"/>
          <w:highlight w:val="none"/>
        </w:rPr>
      </w:pPr>
    </w:p>
    <w:p w14:paraId="7CD60FEB">
      <w:pPr>
        <w:pStyle w:val="13"/>
        <w:snapToGrid w:val="0"/>
        <w:spacing w:line="360" w:lineRule="auto"/>
        <w:rPr>
          <w:rFonts w:hAnsi="宋体"/>
          <w:b/>
          <w:color w:val="auto"/>
          <w:sz w:val="24"/>
          <w:highlight w:val="none"/>
        </w:rPr>
      </w:pPr>
      <w:r>
        <w:rPr>
          <w:rFonts w:hint="eastAsia" w:hAnsi="宋体"/>
          <w:b/>
          <w:color w:val="auto"/>
          <w:sz w:val="24"/>
          <w:highlight w:val="none"/>
        </w:rPr>
        <w:t>说明：</w:t>
      </w:r>
    </w:p>
    <w:p w14:paraId="30FB95A5">
      <w:pPr>
        <w:pStyle w:val="13"/>
        <w:spacing w:line="360" w:lineRule="auto"/>
        <w:ind w:left="25" w:leftChars="12" w:firstLine="354" w:firstLineChars="147"/>
        <w:rPr>
          <w:rFonts w:hAnsi="宋体"/>
          <w:b/>
          <w:bCs/>
          <w:color w:val="auto"/>
          <w:sz w:val="24"/>
          <w:highlight w:val="none"/>
        </w:rPr>
      </w:pPr>
      <w:r>
        <w:rPr>
          <w:rFonts w:hint="eastAsia" w:hAnsi="宋体"/>
          <w:b/>
          <w:color w:val="auto"/>
          <w:sz w:val="24"/>
          <w:highlight w:val="none"/>
        </w:rPr>
        <w:t>1.投诉人提起投诉时，应当提交投诉书和必要的证明材料，并按照被投诉人和与投诉事项有关的供应商数量提供投诉书副本</w:t>
      </w:r>
      <w:r>
        <w:rPr>
          <w:rFonts w:hint="eastAsia" w:hAnsi="宋体"/>
          <w:b/>
          <w:bCs/>
          <w:color w:val="auto"/>
          <w:sz w:val="24"/>
          <w:highlight w:val="none"/>
        </w:rPr>
        <w:t>。</w:t>
      </w:r>
    </w:p>
    <w:p w14:paraId="115FD06E">
      <w:pPr>
        <w:pStyle w:val="13"/>
        <w:spacing w:line="360" w:lineRule="auto"/>
        <w:ind w:left="25" w:leftChars="12" w:firstLine="354" w:firstLineChars="147"/>
        <w:rPr>
          <w:rFonts w:hAnsi="宋体"/>
          <w:b/>
          <w:color w:val="auto"/>
          <w:sz w:val="24"/>
          <w:highlight w:val="none"/>
        </w:rPr>
      </w:pPr>
      <w:r>
        <w:rPr>
          <w:rFonts w:hint="eastAsia" w:hAnsi="宋体"/>
          <w:b/>
          <w:color w:val="auto"/>
          <w:sz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5C26059">
      <w:pPr>
        <w:pStyle w:val="13"/>
        <w:spacing w:line="360" w:lineRule="auto"/>
        <w:ind w:left="25" w:leftChars="12" w:firstLine="354" w:firstLineChars="147"/>
        <w:rPr>
          <w:rFonts w:hAnsi="宋体"/>
          <w:b/>
          <w:color w:val="auto"/>
          <w:sz w:val="24"/>
          <w:highlight w:val="none"/>
        </w:rPr>
      </w:pPr>
      <w:r>
        <w:rPr>
          <w:rFonts w:hint="eastAsia" w:hAnsi="宋体"/>
          <w:b/>
          <w:color w:val="auto"/>
          <w:sz w:val="24"/>
          <w:highlight w:val="none"/>
        </w:rPr>
        <w:t>3.投诉书应简要列明质疑事项，质疑函、质疑答复等作为附件材料提供。</w:t>
      </w:r>
    </w:p>
    <w:p w14:paraId="64CBFEC9">
      <w:pPr>
        <w:pStyle w:val="13"/>
        <w:spacing w:line="360" w:lineRule="auto"/>
        <w:ind w:left="25" w:leftChars="12" w:firstLine="354" w:firstLineChars="147"/>
        <w:rPr>
          <w:rFonts w:hAnsi="宋体"/>
          <w:b/>
          <w:color w:val="auto"/>
          <w:sz w:val="24"/>
          <w:highlight w:val="none"/>
        </w:rPr>
      </w:pPr>
      <w:r>
        <w:rPr>
          <w:rFonts w:hint="eastAsia" w:hAnsi="宋体"/>
          <w:b/>
          <w:color w:val="auto"/>
          <w:sz w:val="24"/>
          <w:highlight w:val="none"/>
        </w:rPr>
        <w:t>4.投诉书的投诉事项应具体、明确，并有必要的事实依据和法律依据。</w:t>
      </w:r>
    </w:p>
    <w:p w14:paraId="196BFF28">
      <w:pPr>
        <w:pStyle w:val="13"/>
        <w:spacing w:line="360" w:lineRule="auto"/>
        <w:ind w:left="25" w:leftChars="12" w:firstLine="354" w:firstLineChars="147"/>
        <w:rPr>
          <w:rFonts w:hAnsi="宋体"/>
          <w:b/>
          <w:color w:val="auto"/>
          <w:sz w:val="24"/>
          <w:highlight w:val="none"/>
        </w:rPr>
      </w:pPr>
      <w:r>
        <w:rPr>
          <w:rFonts w:hint="eastAsia" w:hAnsi="宋体"/>
          <w:b/>
          <w:color w:val="auto"/>
          <w:sz w:val="24"/>
          <w:highlight w:val="none"/>
        </w:rPr>
        <w:t>5.投诉书的投诉请求应与投诉事项相关。</w:t>
      </w:r>
    </w:p>
    <w:p w14:paraId="7D77B0C7">
      <w:pPr>
        <w:pStyle w:val="13"/>
        <w:spacing w:line="360" w:lineRule="auto"/>
        <w:ind w:left="25" w:leftChars="12" w:firstLine="354" w:firstLineChars="147"/>
        <w:rPr>
          <w:rFonts w:hAnsi="宋体"/>
          <w:color w:val="auto"/>
          <w:highlight w:val="none"/>
        </w:rPr>
      </w:pPr>
      <w:r>
        <w:rPr>
          <w:rFonts w:hint="eastAsia" w:hAnsi="宋体"/>
          <w:b/>
          <w:color w:val="auto"/>
          <w:sz w:val="24"/>
          <w:highlight w:val="none"/>
        </w:rPr>
        <w:t>6.投诉人为法人或者其他组织的，投诉书应由法定代表人、主要负责人，或者其授权代表签字或者盖章，并加盖公章。</w:t>
      </w:r>
    </w:p>
    <w:sectPr>
      <w:headerReference r:id="rId24" w:type="default"/>
      <w:footerReference r:id="rId25" w:type="default"/>
      <w:pgSz w:w="11906" w:h="16838"/>
      <w:pgMar w:top="1134" w:right="1080" w:bottom="1134" w:left="1080" w:header="720" w:footer="720" w:gutter="0"/>
      <w:pgNumType w:fmt="decimal"/>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Helvetica Neue">
    <w:altName w:val="微软雅黑"/>
    <w:panose1 w:val="00000000000000000000"/>
    <w:charset w:val="01"/>
    <w:family w:val="auto"/>
    <w:pitch w:val="default"/>
    <w:sig w:usb0="00000000" w:usb1="00000000" w:usb2="00000000"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7AB16">
    <w:pPr>
      <w:pStyle w:val="1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4E81E">
    <w:pPr>
      <w:pStyle w:val="15"/>
      <w:framePr w:wrap="around" w:vAnchor="text" w:hAnchor="margin" w:xAlign="center" w:y="1"/>
      <w:rPr>
        <w:rStyle w:val="31"/>
      </w:rPr>
    </w:pPr>
    <w:r>
      <w:fldChar w:fldCharType="begin"/>
    </w:r>
    <w:r>
      <w:rPr>
        <w:rStyle w:val="31"/>
      </w:rPr>
      <w:instrText xml:space="preserve">PAGE  </w:instrText>
    </w:r>
    <w:r>
      <w:fldChar w:fldCharType="end"/>
    </w:r>
  </w:p>
  <w:p w14:paraId="38D8DCE1">
    <w:pPr>
      <w:pStyle w:val="1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F6CEF">
    <w:pPr>
      <w:pStyle w:val="15"/>
      <w:framePr w:wrap="around" w:vAnchor="text" w:hAnchor="margin" w:xAlign="right" w:y="1"/>
      <w:rPr>
        <w:rStyle w:val="31"/>
      </w:rPr>
    </w:pPr>
    <w:r>
      <w:fldChar w:fldCharType="begin"/>
    </w:r>
    <w:r>
      <w:rPr>
        <w:rStyle w:val="31"/>
      </w:rPr>
      <w:instrText xml:space="preserve">PAGE  </w:instrText>
    </w:r>
    <w:r>
      <w:fldChar w:fldCharType="separate"/>
    </w:r>
    <w:r>
      <w:rPr>
        <w:rStyle w:val="31"/>
      </w:rPr>
      <w:t>122</w:t>
    </w:r>
    <w:r>
      <w:fldChar w:fldCharType="end"/>
    </w:r>
  </w:p>
  <w:p w14:paraId="196E321E">
    <w:pPr>
      <w:pStyle w:val="15"/>
      <w:ind w:right="360"/>
      <w:jc w:val="both"/>
    </w:pPr>
    <w:r>
      <w:rPr>
        <w:rFonts w:hint="eastAsia"/>
      </w:rPr>
      <w:t>121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9C025">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CAE435">
                          <w:pPr>
                            <w:pStyle w:val="15"/>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0CAE435">
                    <w:pPr>
                      <w:pStyle w:val="15"/>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065E7">
    <w:pPr>
      <w:pStyle w:val="15"/>
      <w:framePr w:wrap="around" w:vAnchor="text" w:hAnchor="margin" w:xAlign="center" w:y="1"/>
      <w:rPr>
        <w:rStyle w:val="31"/>
      </w:rPr>
    </w:pPr>
    <w:r>
      <w:fldChar w:fldCharType="begin"/>
    </w:r>
    <w:r>
      <w:rPr>
        <w:rStyle w:val="31"/>
      </w:rPr>
      <w:instrText xml:space="preserve">PAGE  </w:instrText>
    </w:r>
    <w:r>
      <w:fldChar w:fldCharType="end"/>
    </w:r>
  </w:p>
  <w:p w14:paraId="5A30D210">
    <w:pPr>
      <w:pStyle w:val="15"/>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BAB2A">
    <w:pPr>
      <w:pStyle w:val="15"/>
      <w:framePr w:wrap="around" w:vAnchor="text" w:hAnchor="margin" w:xAlign="right" w:y="1"/>
      <w:rPr>
        <w:rStyle w:val="31"/>
      </w:rPr>
    </w:pPr>
    <w:r>
      <w:fldChar w:fldCharType="begin"/>
    </w:r>
    <w:r>
      <w:rPr>
        <w:rStyle w:val="31"/>
      </w:rPr>
      <w:instrText xml:space="preserve">PAGE  </w:instrText>
    </w:r>
    <w:r>
      <w:fldChar w:fldCharType="separate"/>
    </w:r>
    <w:r>
      <w:rPr>
        <w:rStyle w:val="31"/>
      </w:rPr>
      <w:t>122</w:t>
    </w:r>
    <w:r>
      <w:fldChar w:fldCharType="end"/>
    </w:r>
  </w:p>
  <w:p w14:paraId="553EB665">
    <w:pPr>
      <w:pStyle w:val="15"/>
      <w:ind w:right="360"/>
      <w:jc w:val="both"/>
    </w:pPr>
    <w:r>
      <w:rPr>
        <w:rFonts w:hint="eastAsia"/>
      </w:rPr>
      <w:t>121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EBD3B">
    <w:pPr>
      <w:pStyle w:val="1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2DAC4E">
                          <w:pPr>
                            <w:pStyle w:val="15"/>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E2DAC4E">
                    <w:pPr>
                      <w:pStyle w:val="15"/>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19641">
    <w:pPr>
      <w:pStyle w:val="1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7EAC5D">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17EAC5D">
                    <w:pPr>
                      <w:pStyle w:val="15"/>
                    </w:pPr>
                    <w:r>
                      <w:fldChar w:fldCharType="begin"/>
                    </w:r>
                    <w:r>
                      <w:instrText xml:space="preserve"> PAGE  \* MERGEFORMAT </w:instrText>
                    </w:r>
                    <w:r>
                      <w:fldChar w:fldCharType="separate"/>
                    </w:r>
                    <w:r>
                      <w:t>1</w:t>
                    </w:r>
                    <w:r>
                      <w:fldChar w:fldCharType="end"/>
                    </w:r>
                  </w:p>
                </w:txbxContent>
              </v:textbox>
            </v:shape>
          </w:pict>
        </mc:Fallback>
      </mc:AlternateContent>
    </w:r>
  </w:p>
  <w:p w14:paraId="3DA25597">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0732C">
    <w:pPr>
      <w:pStyle w:val="15"/>
      <w:jc w:val="center"/>
    </w:pPr>
    <w: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34111">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C01900">
                          <w:pPr>
                            <w:pStyle w:val="1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3C01900">
                    <w:pPr>
                      <w:pStyle w:val="1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2FB15">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8AC8C4">
                          <w:pPr>
                            <w:pStyle w:val="15"/>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D8AC8C4">
                    <w:pPr>
                      <w:pStyle w:val="15"/>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DCD5C">
    <w:pPr>
      <w:pStyle w:val="15"/>
      <w:framePr w:wrap="around" w:vAnchor="text" w:hAnchor="margin" w:xAlign="center" w:y="1"/>
      <w:rPr>
        <w:rStyle w:val="31"/>
      </w:rPr>
    </w:pPr>
    <w:r>
      <w:fldChar w:fldCharType="begin"/>
    </w:r>
    <w:r>
      <w:rPr>
        <w:rStyle w:val="31"/>
      </w:rPr>
      <w:instrText xml:space="preserve">PAGE  </w:instrText>
    </w:r>
    <w:r>
      <w:fldChar w:fldCharType="end"/>
    </w:r>
  </w:p>
  <w:p w14:paraId="59AC0C4D">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F2E50">
    <w:pPr>
      <w:pStyle w:val="15"/>
      <w:framePr w:wrap="around" w:vAnchor="text" w:hAnchor="margin" w:xAlign="right" w:y="1"/>
      <w:rPr>
        <w:rStyle w:val="31"/>
      </w:rPr>
    </w:pPr>
    <w:r>
      <w:fldChar w:fldCharType="begin"/>
    </w:r>
    <w:r>
      <w:rPr>
        <w:rStyle w:val="31"/>
      </w:rPr>
      <w:instrText xml:space="preserve">PAGE  </w:instrText>
    </w:r>
    <w:r>
      <w:fldChar w:fldCharType="separate"/>
    </w:r>
    <w:r>
      <w:rPr>
        <w:rStyle w:val="31"/>
      </w:rPr>
      <w:t>122</w:t>
    </w:r>
    <w:r>
      <w:fldChar w:fldCharType="end"/>
    </w:r>
  </w:p>
  <w:p w14:paraId="5EBEB6A5">
    <w:pPr>
      <w:pStyle w:val="15"/>
      <w:ind w:right="360"/>
      <w:jc w:val="both"/>
    </w:pPr>
    <w:r>
      <w:rPr>
        <w:rFonts w:hint="eastAsia"/>
      </w:rPr>
      <w:t>121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B4158">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29E709">
                          <w:pPr>
                            <w:pStyle w:val="15"/>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929E709">
                    <w:pPr>
                      <w:pStyle w:val="15"/>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B41BD">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73DA16">
                          <w:pPr>
                            <w:pStyle w:val="15"/>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B73DA16">
                    <w:pPr>
                      <w:pStyle w:val="15"/>
                    </w:pPr>
                    <w:r>
                      <w:fldChar w:fldCharType="begin"/>
                    </w:r>
                    <w:r>
                      <w:instrText xml:space="preserve"> PAGE  \* MERGEFORMAT </w:instrText>
                    </w:r>
                    <w:r>
                      <w:fldChar w:fldCharType="separate"/>
                    </w:r>
                    <w:r>
                      <w:t>85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9EB68">
    <w:pPr>
      <w:pStyle w:val="16"/>
      <w:pBdr>
        <w:bottom w:val="none" w:color="auto" w:sz="0" w:space="1"/>
      </w:pBdr>
      <w:jc w:val="both"/>
      <w:rPr>
        <w:rFonts w:hint="default"/>
        <w:spacing w:val="-4"/>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1B13B">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B13C1">
    <w:pPr>
      <w:pStyle w:val="1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95996">
    <w:pPr>
      <w:pStyle w:val="16"/>
      <w:pBdr>
        <w:bottom w:val="none" w:color="auto" w:sz="0" w:space="1"/>
      </w:pBdr>
      <w:tabs>
        <w:tab w:val="center" w:pos="0"/>
        <w:tab w:val="left" w:pos="8306"/>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06553">
    <w:pPr>
      <w:pStyle w:val="16"/>
      <w:pBdr>
        <w:bottom w:val="none" w:color="auto" w:sz="0" w:space="1"/>
      </w:pBdr>
      <w:jc w:val="both"/>
      <w:rPr>
        <w:spacing w:val="-4"/>
      </w:rPr>
    </w:pPr>
  </w:p>
  <w:p w14:paraId="290AE0B7">
    <w:pPr>
      <w:pStyle w:val="16"/>
      <w:pBdr>
        <w:bottom w:val="none" w:color="auto" w:sz="0" w:space="1"/>
      </w:pBdr>
      <w:jc w:val="both"/>
      <w:rPr>
        <w:spacing w:val="-4"/>
      </w:rPr>
    </w:pPr>
    <w:r>
      <w:rPr>
        <w:rFonts w:hint="eastAsia"/>
        <w:spacing w:val="-4"/>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432D7">
    <w:pPr>
      <w:pStyle w:val="16"/>
      <w:pBdr>
        <w:bottom w:val="none" w:color="auto" w:sz="0" w:space="1"/>
      </w:pBdr>
      <w:jc w:val="both"/>
    </w:pPr>
    <w:r>
      <w:rPr>
        <w:rFonts w:hint="eastAsia"/>
        <w:spacing w:val="-4"/>
        <w:lang w:val="en-US" w:eastAsia="zh-CN"/>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C3F69">
    <w:pPr>
      <w:pStyle w:val="16"/>
      <w:pBdr>
        <w:bottom w:val="none" w:color="auto" w:sz="0" w:space="1"/>
      </w:pBdr>
      <w:jc w:val="both"/>
      <w:rPr>
        <w:rFonts w:hint="default"/>
        <w:lang w:val="en-US"/>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D2735">
    <w:pPr>
      <w:pStyle w:val="16"/>
      <w:pBdr>
        <w:bottom w:val="none" w:color="auto" w:sz="0" w:space="1"/>
      </w:pBdr>
      <w:jc w:val="both"/>
      <w:rPr>
        <w:rFonts w:hint="default" w:eastAsia="宋体"/>
        <w:spacing w:val="-4"/>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17F95E42"/>
    <w:multiLevelType w:val="singleLevel"/>
    <w:tmpl w:val="17F95E42"/>
    <w:lvl w:ilvl="0" w:tentative="0">
      <w:start w:val="4"/>
      <w:numFmt w:val="chineseCounting"/>
      <w:suff w:val="nothing"/>
      <w:lvlText w:val="第%1条　"/>
      <w:lvlJc w:val="left"/>
      <w:rPr>
        <w:rFonts w:hint="eastAsia"/>
      </w:rPr>
    </w:lvl>
  </w:abstractNum>
  <w:abstractNum w:abstractNumId="2">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4">
    <w:nsid w:val="41367BD3"/>
    <w:multiLevelType w:val="multilevel"/>
    <w:tmpl w:val="41367BD3"/>
    <w:lvl w:ilvl="0" w:tentative="0">
      <w:start w:val="6"/>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C601917"/>
    <w:multiLevelType w:val="singleLevel"/>
    <w:tmpl w:val="4C601917"/>
    <w:lvl w:ilvl="0" w:tentative="0">
      <w:start w:val="1"/>
      <w:numFmt w:val="decimal"/>
      <w:suff w:val="nothing"/>
      <w:lvlText w:val="（%1）"/>
      <w:lvlJc w:val="left"/>
    </w:lvl>
  </w:abstractNum>
  <w:abstractNum w:abstractNumId="6">
    <w:nsid w:val="5FABD14B"/>
    <w:multiLevelType w:val="singleLevel"/>
    <w:tmpl w:val="5FABD14B"/>
    <w:lvl w:ilvl="0" w:tentative="0">
      <w:start w:val="1"/>
      <w:numFmt w:val="decimal"/>
      <w:suff w:val="nothing"/>
      <w:lvlText w:val="（%1）"/>
      <w:lvlJc w:val="left"/>
    </w:lvl>
  </w:abstractNum>
  <w:num w:numId="1">
    <w:abstractNumId w:val="2"/>
  </w:num>
  <w:num w:numId="2">
    <w:abstractNumId w:val="4"/>
  </w:num>
  <w:num w:numId="3">
    <w:abstractNumId w:val="5"/>
  </w:num>
  <w:num w:numId="4">
    <w:abstractNumId w:val="6"/>
  </w:num>
  <w:num w:numId="5">
    <w:abstractNumId w:val="1"/>
  </w:num>
  <w:num w:numId="6">
    <w:abstractNumId w:val="0"/>
    <w:lvlOverride w:ilvl="0">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dit="forms" w:enforcement="1" w:cryptProviderType="rsaFull" w:cryptAlgorithmClass="hash" w:cryptAlgorithmType="typeAny" w:cryptAlgorithmSid="4" w:cryptSpinCount="0" w:hash="6pmtTM1XtQbb2da6CuczVzKuOH0=" w:salt="F3ssxl7fOklDGr7XTrIF4w=="/>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iNzgwYWQ5YWQwY2UzOGQ0NTQyM2JmMmZlYmRkMDkifQ=="/>
  </w:docVars>
  <w:rsids>
    <w:rsidRoot w:val="12F0701B"/>
    <w:rsid w:val="000666F2"/>
    <w:rsid w:val="00212598"/>
    <w:rsid w:val="00402E43"/>
    <w:rsid w:val="0044731A"/>
    <w:rsid w:val="005113AD"/>
    <w:rsid w:val="006F6505"/>
    <w:rsid w:val="00770AAD"/>
    <w:rsid w:val="007775FB"/>
    <w:rsid w:val="007B0463"/>
    <w:rsid w:val="009458EF"/>
    <w:rsid w:val="0098388D"/>
    <w:rsid w:val="009D3FB3"/>
    <w:rsid w:val="00C76D11"/>
    <w:rsid w:val="00D61B65"/>
    <w:rsid w:val="00D625F0"/>
    <w:rsid w:val="00D95D88"/>
    <w:rsid w:val="00EF39AA"/>
    <w:rsid w:val="00F060B5"/>
    <w:rsid w:val="00F24A91"/>
    <w:rsid w:val="00F875BC"/>
    <w:rsid w:val="014301FC"/>
    <w:rsid w:val="014B2BF8"/>
    <w:rsid w:val="0180763E"/>
    <w:rsid w:val="01BB6859"/>
    <w:rsid w:val="01C22CD6"/>
    <w:rsid w:val="01DD1E9F"/>
    <w:rsid w:val="020D6179"/>
    <w:rsid w:val="023E1C17"/>
    <w:rsid w:val="026B5BDF"/>
    <w:rsid w:val="02B06E10"/>
    <w:rsid w:val="02BC701F"/>
    <w:rsid w:val="02C13975"/>
    <w:rsid w:val="02C80459"/>
    <w:rsid w:val="02FF1817"/>
    <w:rsid w:val="031B38F5"/>
    <w:rsid w:val="031F7A5D"/>
    <w:rsid w:val="03962DE2"/>
    <w:rsid w:val="04774C59"/>
    <w:rsid w:val="047764A6"/>
    <w:rsid w:val="04793441"/>
    <w:rsid w:val="04C97CE2"/>
    <w:rsid w:val="04CD03C6"/>
    <w:rsid w:val="052239DF"/>
    <w:rsid w:val="05317A7A"/>
    <w:rsid w:val="05361E05"/>
    <w:rsid w:val="054A784B"/>
    <w:rsid w:val="05A07023"/>
    <w:rsid w:val="06303A72"/>
    <w:rsid w:val="063F4ED6"/>
    <w:rsid w:val="068736C0"/>
    <w:rsid w:val="068B7D61"/>
    <w:rsid w:val="06B43D0A"/>
    <w:rsid w:val="06F66857"/>
    <w:rsid w:val="070457D8"/>
    <w:rsid w:val="07C06BCB"/>
    <w:rsid w:val="07EC6A51"/>
    <w:rsid w:val="07FB632B"/>
    <w:rsid w:val="07FC2953"/>
    <w:rsid w:val="08025097"/>
    <w:rsid w:val="08053EFD"/>
    <w:rsid w:val="08093515"/>
    <w:rsid w:val="0842480A"/>
    <w:rsid w:val="087E4F73"/>
    <w:rsid w:val="08DE34E9"/>
    <w:rsid w:val="09067F5A"/>
    <w:rsid w:val="090C67D7"/>
    <w:rsid w:val="092629CB"/>
    <w:rsid w:val="094F5BBC"/>
    <w:rsid w:val="09BC022F"/>
    <w:rsid w:val="09D65B51"/>
    <w:rsid w:val="09EF37A4"/>
    <w:rsid w:val="09FB0BB7"/>
    <w:rsid w:val="0A0F2E11"/>
    <w:rsid w:val="0A2673AE"/>
    <w:rsid w:val="0A3249C9"/>
    <w:rsid w:val="0A4F3E0F"/>
    <w:rsid w:val="0AE86CCA"/>
    <w:rsid w:val="0B156206"/>
    <w:rsid w:val="0B207640"/>
    <w:rsid w:val="0B2B3BFF"/>
    <w:rsid w:val="0B3B4BD7"/>
    <w:rsid w:val="0B8E7D66"/>
    <w:rsid w:val="0B9E1BA0"/>
    <w:rsid w:val="0BB51797"/>
    <w:rsid w:val="0BD9014E"/>
    <w:rsid w:val="0BDB4A18"/>
    <w:rsid w:val="0BE36304"/>
    <w:rsid w:val="0BFE7E40"/>
    <w:rsid w:val="0C1B255A"/>
    <w:rsid w:val="0C446F4E"/>
    <w:rsid w:val="0C8E0BA6"/>
    <w:rsid w:val="0CA27F6D"/>
    <w:rsid w:val="0CE069B3"/>
    <w:rsid w:val="0D0960B5"/>
    <w:rsid w:val="0D1738AF"/>
    <w:rsid w:val="0D59052C"/>
    <w:rsid w:val="0D98283E"/>
    <w:rsid w:val="0D9E73BE"/>
    <w:rsid w:val="0DB53ED6"/>
    <w:rsid w:val="0DDC4B95"/>
    <w:rsid w:val="0E3B23DC"/>
    <w:rsid w:val="0E3E6654"/>
    <w:rsid w:val="0E601E8E"/>
    <w:rsid w:val="0E6A7EA6"/>
    <w:rsid w:val="0E8F092D"/>
    <w:rsid w:val="0EB31A73"/>
    <w:rsid w:val="0EB420E5"/>
    <w:rsid w:val="0EBA2F00"/>
    <w:rsid w:val="0EE97554"/>
    <w:rsid w:val="0F382C45"/>
    <w:rsid w:val="0F8971C2"/>
    <w:rsid w:val="0F9C363C"/>
    <w:rsid w:val="0FA262F3"/>
    <w:rsid w:val="0FD301A8"/>
    <w:rsid w:val="0FFD1DA1"/>
    <w:rsid w:val="101271B8"/>
    <w:rsid w:val="10830848"/>
    <w:rsid w:val="1094158E"/>
    <w:rsid w:val="10AB0B52"/>
    <w:rsid w:val="10B87E06"/>
    <w:rsid w:val="11062786"/>
    <w:rsid w:val="1140499E"/>
    <w:rsid w:val="115C1863"/>
    <w:rsid w:val="115D0AA5"/>
    <w:rsid w:val="11D226DC"/>
    <w:rsid w:val="11EF2BD2"/>
    <w:rsid w:val="11FA1868"/>
    <w:rsid w:val="120123B5"/>
    <w:rsid w:val="121703C9"/>
    <w:rsid w:val="125D19E4"/>
    <w:rsid w:val="12F0701B"/>
    <w:rsid w:val="12F518E1"/>
    <w:rsid w:val="13011136"/>
    <w:rsid w:val="134C2D9D"/>
    <w:rsid w:val="136B5552"/>
    <w:rsid w:val="1378778F"/>
    <w:rsid w:val="13A13351"/>
    <w:rsid w:val="13AA7500"/>
    <w:rsid w:val="13C80B59"/>
    <w:rsid w:val="14090D2F"/>
    <w:rsid w:val="14237B32"/>
    <w:rsid w:val="142E3D5A"/>
    <w:rsid w:val="145A737F"/>
    <w:rsid w:val="14936560"/>
    <w:rsid w:val="14AB49BC"/>
    <w:rsid w:val="14AE3227"/>
    <w:rsid w:val="14AF1479"/>
    <w:rsid w:val="15476957"/>
    <w:rsid w:val="15537894"/>
    <w:rsid w:val="15567B46"/>
    <w:rsid w:val="15A4787A"/>
    <w:rsid w:val="160B0D95"/>
    <w:rsid w:val="168327AC"/>
    <w:rsid w:val="169820CD"/>
    <w:rsid w:val="16C55028"/>
    <w:rsid w:val="16DC0AC7"/>
    <w:rsid w:val="177E3595"/>
    <w:rsid w:val="17E51159"/>
    <w:rsid w:val="17ED1E75"/>
    <w:rsid w:val="180E5791"/>
    <w:rsid w:val="186E164B"/>
    <w:rsid w:val="188D6BE7"/>
    <w:rsid w:val="18A62B93"/>
    <w:rsid w:val="18AA159B"/>
    <w:rsid w:val="18C2750B"/>
    <w:rsid w:val="194A68DA"/>
    <w:rsid w:val="19566367"/>
    <w:rsid w:val="19657D02"/>
    <w:rsid w:val="198D14F7"/>
    <w:rsid w:val="19963B32"/>
    <w:rsid w:val="199B08D0"/>
    <w:rsid w:val="19A7259E"/>
    <w:rsid w:val="19AD1230"/>
    <w:rsid w:val="19CA72DF"/>
    <w:rsid w:val="1A61690B"/>
    <w:rsid w:val="1A8E29E4"/>
    <w:rsid w:val="1AE2232B"/>
    <w:rsid w:val="1B8B2960"/>
    <w:rsid w:val="1B970EB9"/>
    <w:rsid w:val="1BBA57F9"/>
    <w:rsid w:val="1BCB6962"/>
    <w:rsid w:val="1BD22503"/>
    <w:rsid w:val="1C061FA9"/>
    <w:rsid w:val="1C556DAA"/>
    <w:rsid w:val="1C693353"/>
    <w:rsid w:val="1C715266"/>
    <w:rsid w:val="1CE660BA"/>
    <w:rsid w:val="1D6121C7"/>
    <w:rsid w:val="1D643C7D"/>
    <w:rsid w:val="1D686669"/>
    <w:rsid w:val="1D7F32CC"/>
    <w:rsid w:val="1DA10731"/>
    <w:rsid w:val="1DAB46F2"/>
    <w:rsid w:val="1DAD06F8"/>
    <w:rsid w:val="1DCE2373"/>
    <w:rsid w:val="1DE238A7"/>
    <w:rsid w:val="1DE340BB"/>
    <w:rsid w:val="1E3A2C55"/>
    <w:rsid w:val="1E5F0D70"/>
    <w:rsid w:val="1E610DF8"/>
    <w:rsid w:val="1EAF2075"/>
    <w:rsid w:val="1EE31F43"/>
    <w:rsid w:val="1F152820"/>
    <w:rsid w:val="1F3F1EA4"/>
    <w:rsid w:val="1F6A4945"/>
    <w:rsid w:val="1F6C53C5"/>
    <w:rsid w:val="1FA814B3"/>
    <w:rsid w:val="1FAB7A67"/>
    <w:rsid w:val="1FEE3E91"/>
    <w:rsid w:val="202D6638"/>
    <w:rsid w:val="204977A0"/>
    <w:rsid w:val="2059498F"/>
    <w:rsid w:val="2085332E"/>
    <w:rsid w:val="20AD5313"/>
    <w:rsid w:val="20B212C2"/>
    <w:rsid w:val="2131121C"/>
    <w:rsid w:val="21374CD0"/>
    <w:rsid w:val="217C0EAC"/>
    <w:rsid w:val="21B175A9"/>
    <w:rsid w:val="21C91279"/>
    <w:rsid w:val="22073FAA"/>
    <w:rsid w:val="222301E5"/>
    <w:rsid w:val="224D392D"/>
    <w:rsid w:val="22627932"/>
    <w:rsid w:val="22B153B3"/>
    <w:rsid w:val="22B41152"/>
    <w:rsid w:val="22F83FEB"/>
    <w:rsid w:val="23185B85"/>
    <w:rsid w:val="231F3C6E"/>
    <w:rsid w:val="23937DF7"/>
    <w:rsid w:val="239C07D8"/>
    <w:rsid w:val="23BB2BC5"/>
    <w:rsid w:val="23C14D25"/>
    <w:rsid w:val="23CD757A"/>
    <w:rsid w:val="240F67B4"/>
    <w:rsid w:val="241E4606"/>
    <w:rsid w:val="2434400F"/>
    <w:rsid w:val="245B6AAA"/>
    <w:rsid w:val="24822393"/>
    <w:rsid w:val="24BC17C5"/>
    <w:rsid w:val="25051379"/>
    <w:rsid w:val="251B5A92"/>
    <w:rsid w:val="257242FD"/>
    <w:rsid w:val="261150BF"/>
    <w:rsid w:val="262150FC"/>
    <w:rsid w:val="26834513"/>
    <w:rsid w:val="26F2087F"/>
    <w:rsid w:val="277539EB"/>
    <w:rsid w:val="279A7F58"/>
    <w:rsid w:val="27A04267"/>
    <w:rsid w:val="27AA603E"/>
    <w:rsid w:val="27AB71C2"/>
    <w:rsid w:val="27C070A1"/>
    <w:rsid w:val="27DD5EDF"/>
    <w:rsid w:val="285A2479"/>
    <w:rsid w:val="28697840"/>
    <w:rsid w:val="287560DE"/>
    <w:rsid w:val="290C07F0"/>
    <w:rsid w:val="29571070"/>
    <w:rsid w:val="29644981"/>
    <w:rsid w:val="296A2FBC"/>
    <w:rsid w:val="2A092F82"/>
    <w:rsid w:val="2A8C37B5"/>
    <w:rsid w:val="2A974AA7"/>
    <w:rsid w:val="2AA66BAD"/>
    <w:rsid w:val="2ABC4498"/>
    <w:rsid w:val="2AE13790"/>
    <w:rsid w:val="2AFE3848"/>
    <w:rsid w:val="2B0626A5"/>
    <w:rsid w:val="2B1F4B4F"/>
    <w:rsid w:val="2B293DFE"/>
    <w:rsid w:val="2B4A1AA4"/>
    <w:rsid w:val="2B7F7402"/>
    <w:rsid w:val="2BBE79D0"/>
    <w:rsid w:val="2C0154C6"/>
    <w:rsid w:val="2C136A03"/>
    <w:rsid w:val="2C6518F1"/>
    <w:rsid w:val="2C6E5168"/>
    <w:rsid w:val="2CBE1A05"/>
    <w:rsid w:val="2CC2792B"/>
    <w:rsid w:val="2CF34607"/>
    <w:rsid w:val="2D140E5E"/>
    <w:rsid w:val="2E9225C8"/>
    <w:rsid w:val="2EC8179D"/>
    <w:rsid w:val="2F1C4D84"/>
    <w:rsid w:val="2F2C2B98"/>
    <w:rsid w:val="2F491E69"/>
    <w:rsid w:val="2F9432ED"/>
    <w:rsid w:val="2FA8716E"/>
    <w:rsid w:val="2FC375B7"/>
    <w:rsid w:val="30092944"/>
    <w:rsid w:val="307169B7"/>
    <w:rsid w:val="30B71989"/>
    <w:rsid w:val="30CF36B9"/>
    <w:rsid w:val="31445BB2"/>
    <w:rsid w:val="314657DC"/>
    <w:rsid w:val="31637B16"/>
    <w:rsid w:val="31CF5827"/>
    <w:rsid w:val="31D6389E"/>
    <w:rsid w:val="31E5172B"/>
    <w:rsid w:val="31E54920"/>
    <w:rsid w:val="320D02BE"/>
    <w:rsid w:val="32601E88"/>
    <w:rsid w:val="32662786"/>
    <w:rsid w:val="32B046C4"/>
    <w:rsid w:val="33356B95"/>
    <w:rsid w:val="333C12BA"/>
    <w:rsid w:val="33415304"/>
    <w:rsid w:val="33547B5C"/>
    <w:rsid w:val="33A52E77"/>
    <w:rsid w:val="33B93141"/>
    <w:rsid w:val="346E2133"/>
    <w:rsid w:val="346F4E90"/>
    <w:rsid w:val="34F92EC8"/>
    <w:rsid w:val="351E6F36"/>
    <w:rsid w:val="35222019"/>
    <w:rsid w:val="35675304"/>
    <w:rsid w:val="358E36C9"/>
    <w:rsid w:val="360B0081"/>
    <w:rsid w:val="362F18CF"/>
    <w:rsid w:val="3635790F"/>
    <w:rsid w:val="36C73AD2"/>
    <w:rsid w:val="36DB40C6"/>
    <w:rsid w:val="36FA437E"/>
    <w:rsid w:val="373541BF"/>
    <w:rsid w:val="37736AA3"/>
    <w:rsid w:val="377A4880"/>
    <w:rsid w:val="37911E40"/>
    <w:rsid w:val="37F92887"/>
    <w:rsid w:val="3815207F"/>
    <w:rsid w:val="383B5262"/>
    <w:rsid w:val="38653641"/>
    <w:rsid w:val="38B47265"/>
    <w:rsid w:val="38BE4844"/>
    <w:rsid w:val="38D62BC9"/>
    <w:rsid w:val="3905563F"/>
    <w:rsid w:val="39405E90"/>
    <w:rsid w:val="3952621E"/>
    <w:rsid w:val="39700927"/>
    <w:rsid w:val="39843F3C"/>
    <w:rsid w:val="39875C71"/>
    <w:rsid w:val="39BC2D51"/>
    <w:rsid w:val="39FB1792"/>
    <w:rsid w:val="3A2C0C3B"/>
    <w:rsid w:val="3A490B7F"/>
    <w:rsid w:val="3AF84127"/>
    <w:rsid w:val="3B461DC0"/>
    <w:rsid w:val="3B514788"/>
    <w:rsid w:val="3B657651"/>
    <w:rsid w:val="3B6F274A"/>
    <w:rsid w:val="3BE54AD5"/>
    <w:rsid w:val="3BE9676F"/>
    <w:rsid w:val="3BEE3DA9"/>
    <w:rsid w:val="3C851C8A"/>
    <w:rsid w:val="3CD21A73"/>
    <w:rsid w:val="3CE24F0C"/>
    <w:rsid w:val="3CF17FD1"/>
    <w:rsid w:val="3D120515"/>
    <w:rsid w:val="3D384214"/>
    <w:rsid w:val="3D803749"/>
    <w:rsid w:val="3D8E5DF6"/>
    <w:rsid w:val="3DC35E87"/>
    <w:rsid w:val="3E0E5666"/>
    <w:rsid w:val="3E815608"/>
    <w:rsid w:val="3E90316A"/>
    <w:rsid w:val="3E95229E"/>
    <w:rsid w:val="3E97414F"/>
    <w:rsid w:val="3EB02018"/>
    <w:rsid w:val="3F1216BB"/>
    <w:rsid w:val="3F155F1E"/>
    <w:rsid w:val="3F1A363E"/>
    <w:rsid w:val="3F503A7A"/>
    <w:rsid w:val="3F674836"/>
    <w:rsid w:val="3F6E5909"/>
    <w:rsid w:val="3F6F7CA4"/>
    <w:rsid w:val="3F7E021F"/>
    <w:rsid w:val="3F803150"/>
    <w:rsid w:val="3FB377C0"/>
    <w:rsid w:val="3FE3105E"/>
    <w:rsid w:val="402204A1"/>
    <w:rsid w:val="402E6E46"/>
    <w:rsid w:val="403F571D"/>
    <w:rsid w:val="40741D2E"/>
    <w:rsid w:val="409D325C"/>
    <w:rsid w:val="40AC28CE"/>
    <w:rsid w:val="40D72FB9"/>
    <w:rsid w:val="40EB4567"/>
    <w:rsid w:val="40F40090"/>
    <w:rsid w:val="411E09D0"/>
    <w:rsid w:val="412D01EA"/>
    <w:rsid w:val="41341BB6"/>
    <w:rsid w:val="41C21D3A"/>
    <w:rsid w:val="41C32649"/>
    <w:rsid w:val="41CC6917"/>
    <w:rsid w:val="41D028AB"/>
    <w:rsid w:val="41D5369D"/>
    <w:rsid w:val="422770A1"/>
    <w:rsid w:val="42381D17"/>
    <w:rsid w:val="426F39D2"/>
    <w:rsid w:val="42A53DE0"/>
    <w:rsid w:val="42C44C23"/>
    <w:rsid w:val="42E44134"/>
    <w:rsid w:val="42EA4FF8"/>
    <w:rsid w:val="43B82010"/>
    <w:rsid w:val="43BE1399"/>
    <w:rsid w:val="43E541AC"/>
    <w:rsid w:val="44283E3E"/>
    <w:rsid w:val="44891A6E"/>
    <w:rsid w:val="4498739A"/>
    <w:rsid w:val="44BF1AE0"/>
    <w:rsid w:val="44FE1C14"/>
    <w:rsid w:val="44FE6C9C"/>
    <w:rsid w:val="45041655"/>
    <w:rsid w:val="453E7B2C"/>
    <w:rsid w:val="45617CBE"/>
    <w:rsid w:val="456534E9"/>
    <w:rsid w:val="45873E86"/>
    <w:rsid w:val="45B47914"/>
    <w:rsid w:val="45B750ED"/>
    <w:rsid w:val="45D60FF0"/>
    <w:rsid w:val="45DD40FF"/>
    <w:rsid w:val="460B2723"/>
    <w:rsid w:val="46307E97"/>
    <w:rsid w:val="46431834"/>
    <w:rsid w:val="46470C62"/>
    <w:rsid w:val="46780E1B"/>
    <w:rsid w:val="46A240EA"/>
    <w:rsid w:val="46B651D4"/>
    <w:rsid w:val="46E83C27"/>
    <w:rsid w:val="470853B8"/>
    <w:rsid w:val="47B2140D"/>
    <w:rsid w:val="47E65680"/>
    <w:rsid w:val="481F6B0D"/>
    <w:rsid w:val="4847529C"/>
    <w:rsid w:val="48510BF6"/>
    <w:rsid w:val="48BE48B1"/>
    <w:rsid w:val="48C914BF"/>
    <w:rsid w:val="48DD4053"/>
    <w:rsid w:val="49046A87"/>
    <w:rsid w:val="491F6FA4"/>
    <w:rsid w:val="493A0755"/>
    <w:rsid w:val="4975520B"/>
    <w:rsid w:val="49E0327E"/>
    <w:rsid w:val="49FB62D8"/>
    <w:rsid w:val="4A1B2EE1"/>
    <w:rsid w:val="4A26198E"/>
    <w:rsid w:val="4A3D350A"/>
    <w:rsid w:val="4A4E6A63"/>
    <w:rsid w:val="4A6373E2"/>
    <w:rsid w:val="4B032C2B"/>
    <w:rsid w:val="4B2C0426"/>
    <w:rsid w:val="4B4154BA"/>
    <w:rsid w:val="4B76789E"/>
    <w:rsid w:val="4B7C2066"/>
    <w:rsid w:val="4B8A76FC"/>
    <w:rsid w:val="4BAE0105"/>
    <w:rsid w:val="4BC772DB"/>
    <w:rsid w:val="4C77768B"/>
    <w:rsid w:val="4C781903"/>
    <w:rsid w:val="4CBC3FD7"/>
    <w:rsid w:val="4CBF5E47"/>
    <w:rsid w:val="4CFA1D1B"/>
    <w:rsid w:val="4D013EC6"/>
    <w:rsid w:val="4D0F1DAD"/>
    <w:rsid w:val="4D5B0F97"/>
    <w:rsid w:val="4D78714F"/>
    <w:rsid w:val="4DAA4608"/>
    <w:rsid w:val="4E3730B4"/>
    <w:rsid w:val="4E6E2F62"/>
    <w:rsid w:val="4E786DD5"/>
    <w:rsid w:val="4EA86C77"/>
    <w:rsid w:val="4ECE0172"/>
    <w:rsid w:val="4F4619B1"/>
    <w:rsid w:val="4F8457DC"/>
    <w:rsid w:val="4F954BD9"/>
    <w:rsid w:val="4F9726CC"/>
    <w:rsid w:val="4FCE7CFE"/>
    <w:rsid w:val="4FE4386B"/>
    <w:rsid w:val="4FF77BAA"/>
    <w:rsid w:val="5001191F"/>
    <w:rsid w:val="501E5DEE"/>
    <w:rsid w:val="50463B36"/>
    <w:rsid w:val="50546474"/>
    <w:rsid w:val="50597248"/>
    <w:rsid w:val="509461CB"/>
    <w:rsid w:val="50D03B4C"/>
    <w:rsid w:val="50DA5048"/>
    <w:rsid w:val="516E3547"/>
    <w:rsid w:val="51865654"/>
    <w:rsid w:val="519531C9"/>
    <w:rsid w:val="51982B40"/>
    <w:rsid w:val="51B92979"/>
    <w:rsid w:val="51E05BBD"/>
    <w:rsid w:val="52021EE1"/>
    <w:rsid w:val="522D6E3D"/>
    <w:rsid w:val="52500ABD"/>
    <w:rsid w:val="52BE16DA"/>
    <w:rsid w:val="52C31142"/>
    <w:rsid w:val="52D57779"/>
    <w:rsid w:val="52E37F12"/>
    <w:rsid w:val="53000B16"/>
    <w:rsid w:val="531014F9"/>
    <w:rsid w:val="53155ED1"/>
    <w:rsid w:val="534E7AD3"/>
    <w:rsid w:val="535B50FA"/>
    <w:rsid w:val="53990623"/>
    <w:rsid w:val="53BE2520"/>
    <w:rsid w:val="53C22514"/>
    <w:rsid w:val="53EA0903"/>
    <w:rsid w:val="542F219E"/>
    <w:rsid w:val="54493DF7"/>
    <w:rsid w:val="5457656B"/>
    <w:rsid w:val="547614DE"/>
    <w:rsid w:val="54A4508E"/>
    <w:rsid w:val="54B6306A"/>
    <w:rsid w:val="551C5669"/>
    <w:rsid w:val="55914D55"/>
    <w:rsid w:val="55BF19EA"/>
    <w:rsid w:val="55E97640"/>
    <w:rsid w:val="5642398A"/>
    <w:rsid w:val="56512EEB"/>
    <w:rsid w:val="56537862"/>
    <w:rsid w:val="56562AE7"/>
    <w:rsid w:val="569A3104"/>
    <w:rsid w:val="56C30F23"/>
    <w:rsid w:val="571C3A45"/>
    <w:rsid w:val="572A1131"/>
    <w:rsid w:val="57377C89"/>
    <w:rsid w:val="57486652"/>
    <w:rsid w:val="57592975"/>
    <w:rsid w:val="57630249"/>
    <w:rsid w:val="57655490"/>
    <w:rsid w:val="57987B1C"/>
    <w:rsid w:val="57BC676B"/>
    <w:rsid w:val="57EC3417"/>
    <w:rsid w:val="580C365D"/>
    <w:rsid w:val="58205D3C"/>
    <w:rsid w:val="58722ADD"/>
    <w:rsid w:val="58906498"/>
    <w:rsid w:val="589D17F7"/>
    <w:rsid w:val="58AE4B70"/>
    <w:rsid w:val="58BB2873"/>
    <w:rsid w:val="58CC5028"/>
    <w:rsid w:val="598C4A2E"/>
    <w:rsid w:val="599903FA"/>
    <w:rsid w:val="599D30F0"/>
    <w:rsid w:val="59A821BD"/>
    <w:rsid w:val="59CD782D"/>
    <w:rsid w:val="59CF10DD"/>
    <w:rsid w:val="59D81763"/>
    <w:rsid w:val="5A0802B0"/>
    <w:rsid w:val="5A3D06D4"/>
    <w:rsid w:val="5A4A4B43"/>
    <w:rsid w:val="5A515519"/>
    <w:rsid w:val="5ABA7B4C"/>
    <w:rsid w:val="5B914A01"/>
    <w:rsid w:val="5B9E391C"/>
    <w:rsid w:val="5BBC75A4"/>
    <w:rsid w:val="5BC53D06"/>
    <w:rsid w:val="5C557C5C"/>
    <w:rsid w:val="5C824D80"/>
    <w:rsid w:val="5C922CA1"/>
    <w:rsid w:val="5CCC7719"/>
    <w:rsid w:val="5CEE5E83"/>
    <w:rsid w:val="5D0F72E4"/>
    <w:rsid w:val="5D3A1A2E"/>
    <w:rsid w:val="5D8660BC"/>
    <w:rsid w:val="5DE63457"/>
    <w:rsid w:val="5E115063"/>
    <w:rsid w:val="5E201243"/>
    <w:rsid w:val="5E811575"/>
    <w:rsid w:val="5ED115B9"/>
    <w:rsid w:val="5F1A7A93"/>
    <w:rsid w:val="5F443FAD"/>
    <w:rsid w:val="5F5E109E"/>
    <w:rsid w:val="5FAC7A30"/>
    <w:rsid w:val="6017749F"/>
    <w:rsid w:val="605E571B"/>
    <w:rsid w:val="609A2428"/>
    <w:rsid w:val="60BC5A85"/>
    <w:rsid w:val="60E22E68"/>
    <w:rsid w:val="60FA2230"/>
    <w:rsid w:val="613369CF"/>
    <w:rsid w:val="613D2F35"/>
    <w:rsid w:val="616B4685"/>
    <w:rsid w:val="61717698"/>
    <w:rsid w:val="61790877"/>
    <w:rsid w:val="61BA420A"/>
    <w:rsid w:val="61F5665D"/>
    <w:rsid w:val="62302F11"/>
    <w:rsid w:val="62904D40"/>
    <w:rsid w:val="62EF6647"/>
    <w:rsid w:val="63140EEB"/>
    <w:rsid w:val="63ED699A"/>
    <w:rsid w:val="64230761"/>
    <w:rsid w:val="64566080"/>
    <w:rsid w:val="648B4914"/>
    <w:rsid w:val="64A74C2E"/>
    <w:rsid w:val="64AE5E3B"/>
    <w:rsid w:val="64DF5838"/>
    <w:rsid w:val="652029A2"/>
    <w:rsid w:val="65772C72"/>
    <w:rsid w:val="659D116A"/>
    <w:rsid w:val="659F3140"/>
    <w:rsid w:val="65AA5C6B"/>
    <w:rsid w:val="65D009A8"/>
    <w:rsid w:val="661E1587"/>
    <w:rsid w:val="661E3335"/>
    <w:rsid w:val="66501015"/>
    <w:rsid w:val="66634A79"/>
    <w:rsid w:val="66B5306B"/>
    <w:rsid w:val="67230DC3"/>
    <w:rsid w:val="674B02CB"/>
    <w:rsid w:val="67AA2C7D"/>
    <w:rsid w:val="67FE5F83"/>
    <w:rsid w:val="680D44DD"/>
    <w:rsid w:val="6856575D"/>
    <w:rsid w:val="68660524"/>
    <w:rsid w:val="698014DB"/>
    <w:rsid w:val="698738D6"/>
    <w:rsid w:val="69CF3127"/>
    <w:rsid w:val="69D86316"/>
    <w:rsid w:val="69DF102E"/>
    <w:rsid w:val="69F77822"/>
    <w:rsid w:val="6A0B26B9"/>
    <w:rsid w:val="6A182918"/>
    <w:rsid w:val="6A2B14FA"/>
    <w:rsid w:val="6A692C5B"/>
    <w:rsid w:val="6A732A67"/>
    <w:rsid w:val="6B2C1649"/>
    <w:rsid w:val="6B842D84"/>
    <w:rsid w:val="6BAB7998"/>
    <w:rsid w:val="6BE744F4"/>
    <w:rsid w:val="6C092392"/>
    <w:rsid w:val="6C8A56DC"/>
    <w:rsid w:val="6C9E21B7"/>
    <w:rsid w:val="6CCE73E4"/>
    <w:rsid w:val="6CE53613"/>
    <w:rsid w:val="6CF724D3"/>
    <w:rsid w:val="6D0F39D8"/>
    <w:rsid w:val="6D140745"/>
    <w:rsid w:val="6D211F61"/>
    <w:rsid w:val="6D6C4A7A"/>
    <w:rsid w:val="6D73789E"/>
    <w:rsid w:val="6DAF6F69"/>
    <w:rsid w:val="6DDD19C9"/>
    <w:rsid w:val="6E1020F2"/>
    <w:rsid w:val="6E4B0955"/>
    <w:rsid w:val="6E68510F"/>
    <w:rsid w:val="6E9862AC"/>
    <w:rsid w:val="6E9C74ED"/>
    <w:rsid w:val="6EF12C4A"/>
    <w:rsid w:val="6F1654F2"/>
    <w:rsid w:val="6F4342FB"/>
    <w:rsid w:val="6F4B6A1B"/>
    <w:rsid w:val="6F4E359B"/>
    <w:rsid w:val="6F574C0C"/>
    <w:rsid w:val="6F8203B8"/>
    <w:rsid w:val="6FA8400A"/>
    <w:rsid w:val="6FD51E2E"/>
    <w:rsid w:val="70246BEA"/>
    <w:rsid w:val="703419A7"/>
    <w:rsid w:val="703804D8"/>
    <w:rsid w:val="706978A3"/>
    <w:rsid w:val="707E330F"/>
    <w:rsid w:val="70DC61F3"/>
    <w:rsid w:val="719235FB"/>
    <w:rsid w:val="71B30AB5"/>
    <w:rsid w:val="721B60E8"/>
    <w:rsid w:val="72671BC0"/>
    <w:rsid w:val="727D5888"/>
    <w:rsid w:val="7298083C"/>
    <w:rsid w:val="72B50B7E"/>
    <w:rsid w:val="72B76279"/>
    <w:rsid w:val="72F309CB"/>
    <w:rsid w:val="72FD4084"/>
    <w:rsid w:val="737731E4"/>
    <w:rsid w:val="73880040"/>
    <w:rsid w:val="73D14722"/>
    <w:rsid w:val="73DE2356"/>
    <w:rsid w:val="74104710"/>
    <w:rsid w:val="74190CFE"/>
    <w:rsid w:val="745117EE"/>
    <w:rsid w:val="74520F80"/>
    <w:rsid w:val="74B47393"/>
    <w:rsid w:val="75974D9A"/>
    <w:rsid w:val="759A480F"/>
    <w:rsid w:val="75AA6250"/>
    <w:rsid w:val="75AA7703"/>
    <w:rsid w:val="75D34BCF"/>
    <w:rsid w:val="75FC1D09"/>
    <w:rsid w:val="762A1FEB"/>
    <w:rsid w:val="763C69F0"/>
    <w:rsid w:val="766025C7"/>
    <w:rsid w:val="76984A3E"/>
    <w:rsid w:val="76C219D7"/>
    <w:rsid w:val="76CA6BC2"/>
    <w:rsid w:val="771640A9"/>
    <w:rsid w:val="77474CF5"/>
    <w:rsid w:val="77672662"/>
    <w:rsid w:val="777A2396"/>
    <w:rsid w:val="77DA4CE0"/>
    <w:rsid w:val="7819063E"/>
    <w:rsid w:val="786F2C50"/>
    <w:rsid w:val="787B75B7"/>
    <w:rsid w:val="787D7881"/>
    <w:rsid w:val="79110253"/>
    <w:rsid w:val="791F1447"/>
    <w:rsid w:val="794762A8"/>
    <w:rsid w:val="79860C17"/>
    <w:rsid w:val="79923530"/>
    <w:rsid w:val="7A1802F5"/>
    <w:rsid w:val="7A561F1E"/>
    <w:rsid w:val="7AA319AD"/>
    <w:rsid w:val="7B0311AC"/>
    <w:rsid w:val="7B5B603A"/>
    <w:rsid w:val="7BBF4255"/>
    <w:rsid w:val="7BC740BE"/>
    <w:rsid w:val="7BCD4326"/>
    <w:rsid w:val="7BD1454E"/>
    <w:rsid w:val="7C0838D2"/>
    <w:rsid w:val="7C0C5848"/>
    <w:rsid w:val="7C0E2C0B"/>
    <w:rsid w:val="7C174657"/>
    <w:rsid w:val="7C2E074B"/>
    <w:rsid w:val="7C5027E9"/>
    <w:rsid w:val="7C5533D1"/>
    <w:rsid w:val="7C5A4544"/>
    <w:rsid w:val="7CE74401"/>
    <w:rsid w:val="7D037D96"/>
    <w:rsid w:val="7D040DFD"/>
    <w:rsid w:val="7D4A45B8"/>
    <w:rsid w:val="7D785270"/>
    <w:rsid w:val="7D9817C8"/>
    <w:rsid w:val="7E361E9D"/>
    <w:rsid w:val="7E4640FE"/>
    <w:rsid w:val="7E4B05E8"/>
    <w:rsid w:val="7E7318ED"/>
    <w:rsid w:val="7EEC490A"/>
    <w:rsid w:val="7F746024"/>
    <w:rsid w:val="7FE54737"/>
    <w:rsid w:val="7FF058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paragraph" w:styleId="5">
    <w:name w:val="heading 4"/>
    <w:basedOn w:val="1"/>
    <w:next w:val="1"/>
    <w:qFormat/>
    <w:uiPriority w:val="1"/>
    <w:pPr>
      <w:ind w:left="237"/>
      <w:outlineLvl w:val="3"/>
    </w:pPr>
    <w:rPr>
      <w:rFonts w:ascii="Cambria" w:hAnsi="Cambria"/>
      <w:b/>
      <w:bCs/>
      <w:sz w:val="28"/>
      <w:szCs w:val="28"/>
    </w:rPr>
  </w:style>
  <w:style w:type="paragraph" w:styleId="6">
    <w:name w:val="heading 5"/>
    <w:basedOn w:val="1"/>
    <w:next w:val="1"/>
    <w:qFormat/>
    <w:uiPriority w:val="0"/>
    <w:pPr>
      <w:keepNext/>
      <w:keepLines/>
      <w:numPr>
        <w:ilvl w:val="4"/>
        <w:numId w:val="1"/>
      </w:numPr>
      <w:spacing w:before="280" w:after="290" w:line="376" w:lineRule="auto"/>
      <w:outlineLvl w:val="4"/>
    </w:pPr>
    <w:rPr>
      <w:b/>
      <w:sz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annotation text"/>
    <w:basedOn w:val="1"/>
    <w:link w:val="54"/>
    <w:qFormat/>
    <w:uiPriority w:val="0"/>
    <w:pPr>
      <w:jc w:val="left"/>
    </w:pPr>
  </w:style>
  <w:style w:type="paragraph" w:styleId="10">
    <w:name w:val="Body Text"/>
    <w:basedOn w:val="1"/>
    <w:qFormat/>
    <w:uiPriority w:val="0"/>
    <w:pPr>
      <w:jc w:val="center"/>
    </w:pPr>
  </w:style>
  <w:style w:type="paragraph" w:styleId="11">
    <w:name w:val="Body Text Indent"/>
    <w:basedOn w:val="1"/>
    <w:qFormat/>
    <w:uiPriority w:val="0"/>
    <w:pPr>
      <w:ind w:firstLine="830" w:firstLineChars="352"/>
    </w:pPr>
    <w:rPr>
      <w:rFonts w:ascii="仿宋_GB2312" w:eastAsia="仿宋_GB2312"/>
      <w:kern w:val="0"/>
      <w:sz w:val="32"/>
      <w:szCs w:val="20"/>
    </w:rPr>
  </w:style>
  <w:style w:type="paragraph" w:styleId="12">
    <w:name w:val="toc 3"/>
    <w:basedOn w:val="1"/>
    <w:next w:val="1"/>
    <w:qFormat/>
    <w:uiPriority w:val="0"/>
    <w:pPr>
      <w:ind w:left="840" w:leftChars="400"/>
    </w:pPr>
  </w:style>
  <w:style w:type="paragraph" w:styleId="13">
    <w:name w:val="Plain Text"/>
    <w:basedOn w:val="1"/>
    <w:next w:val="1"/>
    <w:qFormat/>
    <w:uiPriority w:val="0"/>
    <w:rPr>
      <w:rFonts w:ascii="宋体" w:hAnsi="Courier New"/>
    </w:rPr>
  </w:style>
  <w:style w:type="paragraph" w:styleId="14">
    <w:name w:val="Balloon Text"/>
    <w:basedOn w:val="1"/>
    <w:link w:val="56"/>
    <w:qFormat/>
    <w:uiPriority w:val="0"/>
    <w:rPr>
      <w:sz w:val="18"/>
      <w:szCs w:val="18"/>
    </w:rPr>
  </w:style>
  <w:style w:type="paragraph" w:styleId="15">
    <w:name w:val="footer"/>
    <w:basedOn w:val="1"/>
    <w:qFormat/>
    <w:uiPriority w:val="0"/>
    <w:pPr>
      <w:tabs>
        <w:tab w:val="center" w:pos="4153"/>
        <w:tab w:val="right" w:pos="8306"/>
      </w:tabs>
      <w:snapToGrid w:val="0"/>
      <w:jc w:val="left"/>
    </w:pPr>
    <w:rPr>
      <w:kern w:val="0"/>
      <w:sz w:val="18"/>
      <w:szCs w:val="18"/>
    </w:rPr>
  </w:style>
  <w:style w:type="paragraph" w:styleId="16">
    <w:name w:val="header"/>
    <w:basedOn w:val="1"/>
    <w:link w:val="62"/>
    <w:qFormat/>
    <w:uiPriority w:val="0"/>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qFormat/>
    <w:uiPriority w:val="0"/>
    <w:pPr>
      <w:spacing w:before="120" w:after="120"/>
      <w:jc w:val="left"/>
    </w:pPr>
    <w:rPr>
      <w:b/>
      <w:bCs/>
      <w:caps/>
      <w:sz w:val="20"/>
      <w:szCs w:val="20"/>
    </w:rPr>
  </w:style>
  <w:style w:type="paragraph" w:styleId="18">
    <w:name w:val="Subtitle"/>
    <w:basedOn w:val="1"/>
    <w:next w:val="1"/>
    <w:qFormat/>
    <w:uiPriority w:val="0"/>
    <w:pPr>
      <w:spacing w:line="312" w:lineRule="auto"/>
      <w:jc w:val="center"/>
      <w:outlineLvl w:val="1"/>
    </w:pPr>
    <w:rPr>
      <w:rFonts w:ascii="Cambria" w:hAnsi="Cambria"/>
      <w:b/>
      <w:bCs/>
      <w:kern w:val="28"/>
      <w:sz w:val="32"/>
      <w:szCs w:val="32"/>
    </w:rPr>
  </w:style>
  <w:style w:type="paragraph" w:styleId="19">
    <w:name w:val="List"/>
    <w:basedOn w:val="1"/>
    <w:qFormat/>
    <w:uiPriority w:val="0"/>
    <w:pPr>
      <w:ind w:left="200" w:hanging="200" w:hangingChars="200"/>
    </w:pPr>
    <w:rPr>
      <w:sz w:val="28"/>
    </w:rPr>
  </w:style>
  <w:style w:type="paragraph" w:styleId="20">
    <w:name w:val="Body Text Indent 3"/>
    <w:basedOn w:val="1"/>
    <w:qFormat/>
    <w:uiPriority w:val="0"/>
    <w:pPr>
      <w:spacing w:after="120"/>
      <w:ind w:left="420" w:leftChars="200"/>
    </w:pPr>
    <w:rPr>
      <w:sz w:val="16"/>
      <w:szCs w:val="16"/>
    </w:rPr>
  </w:style>
  <w:style w:type="paragraph" w:styleId="21">
    <w:name w:val="toc 2"/>
    <w:basedOn w:val="1"/>
    <w:next w:val="1"/>
    <w:qFormat/>
    <w:uiPriority w:val="0"/>
    <w:pPr>
      <w:tabs>
        <w:tab w:val="right" w:leader="dot" w:pos="9628"/>
      </w:tabs>
      <w:ind w:left="420" w:firstLine="120"/>
      <w:jc w:val="left"/>
    </w:pPr>
    <w:rPr>
      <w:smallCaps/>
      <w:sz w:val="20"/>
      <w:szCs w:val="20"/>
    </w:rPr>
  </w:style>
  <w:style w:type="paragraph" w:styleId="22">
    <w:name w:val="Body Text 2"/>
    <w:basedOn w:val="1"/>
    <w:qFormat/>
    <w:uiPriority w:val="99"/>
    <w:pPr>
      <w:spacing w:after="120" w:line="480" w:lineRule="auto"/>
    </w:pPr>
  </w:style>
  <w:style w:type="paragraph" w:styleId="23">
    <w:name w:val="Normal (Web)"/>
    <w:basedOn w:val="1"/>
    <w:qFormat/>
    <w:uiPriority w:val="99"/>
    <w:pPr>
      <w:widowControl/>
      <w:spacing w:before="100" w:beforeAutospacing="1" w:after="100" w:afterAutospacing="1"/>
      <w:jc w:val="left"/>
    </w:pPr>
    <w:rPr>
      <w:rFonts w:ascii="宋体" w:hAnsi="宋体"/>
      <w:kern w:val="0"/>
      <w:sz w:val="24"/>
    </w:rPr>
  </w:style>
  <w:style w:type="paragraph" w:styleId="24">
    <w:name w:val="Title"/>
    <w:basedOn w:val="1"/>
    <w:qFormat/>
    <w:uiPriority w:val="0"/>
    <w:pPr>
      <w:jc w:val="center"/>
      <w:outlineLvl w:val="0"/>
    </w:pPr>
    <w:rPr>
      <w:rFonts w:ascii="Arial" w:hAnsi="Arial"/>
      <w:b/>
      <w:bCs/>
      <w:sz w:val="32"/>
      <w:szCs w:val="32"/>
    </w:rPr>
  </w:style>
  <w:style w:type="paragraph" w:styleId="25">
    <w:name w:val="annotation subject"/>
    <w:basedOn w:val="9"/>
    <w:next w:val="9"/>
    <w:link w:val="55"/>
    <w:qFormat/>
    <w:uiPriority w:val="0"/>
    <w:rPr>
      <w:b/>
      <w:bCs/>
    </w:rPr>
  </w:style>
  <w:style w:type="paragraph" w:styleId="26">
    <w:name w:val="Body Text First Indent"/>
    <w:basedOn w:val="1"/>
    <w:qFormat/>
    <w:uiPriority w:val="0"/>
    <w:pPr>
      <w:ind w:firstLine="420"/>
    </w:pPr>
  </w:style>
  <w:style w:type="paragraph" w:styleId="27">
    <w:name w:val="Body Text First Indent 2"/>
    <w:basedOn w:val="11"/>
    <w:qFormat/>
    <w:uiPriority w:val="0"/>
    <w:pPr>
      <w:ind w:firstLine="420" w:firstLineChars="200"/>
    </w:pPr>
    <w:rPr>
      <w:rFonts w:ascii="Times New Roman" w:hAnsi="Times New Roman" w:eastAsia="宋体"/>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qFormat/>
    <w:uiPriority w:val="0"/>
  </w:style>
  <w:style w:type="character" w:styleId="32">
    <w:name w:val="FollowedHyperlink"/>
    <w:basedOn w:val="30"/>
    <w:qFormat/>
    <w:uiPriority w:val="0"/>
    <w:rPr>
      <w:color w:val="800080"/>
      <w:u w:val="none"/>
    </w:rPr>
  </w:style>
  <w:style w:type="character" w:styleId="33">
    <w:name w:val="HTML Definition"/>
    <w:basedOn w:val="30"/>
    <w:qFormat/>
    <w:uiPriority w:val="0"/>
  </w:style>
  <w:style w:type="character" w:styleId="34">
    <w:name w:val="HTML Typewriter"/>
    <w:basedOn w:val="30"/>
    <w:qFormat/>
    <w:uiPriority w:val="0"/>
    <w:rPr>
      <w:rFonts w:ascii="monospace" w:hAnsi="monospace" w:eastAsia="monospace" w:cs="monospace"/>
      <w:sz w:val="20"/>
    </w:rPr>
  </w:style>
  <w:style w:type="character" w:styleId="35">
    <w:name w:val="HTML Acronym"/>
    <w:basedOn w:val="30"/>
    <w:qFormat/>
    <w:uiPriority w:val="0"/>
  </w:style>
  <w:style w:type="character" w:styleId="36">
    <w:name w:val="HTML Variable"/>
    <w:basedOn w:val="30"/>
    <w:qFormat/>
    <w:uiPriority w:val="0"/>
  </w:style>
  <w:style w:type="character" w:styleId="37">
    <w:name w:val="Hyperlink"/>
    <w:basedOn w:val="30"/>
    <w:qFormat/>
    <w:uiPriority w:val="0"/>
    <w:rPr>
      <w:color w:val="0000FF"/>
      <w:u w:val="none"/>
    </w:rPr>
  </w:style>
  <w:style w:type="character" w:styleId="38">
    <w:name w:val="HTML Code"/>
    <w:basedOn w:val="30"/>
    <w:qFormat/>
    <w:uiPriority w:val="0"/>
    <w:rPr>
      <w:rFonts w:hint="default" w:ascii="monospace" w:hAnsi="monospace" w:eastAsia="monospace" w:cs="monospace"/>
      <w:sz w:val="20"/>
    </w:rPr>
  </w:style>
  <w:style w:type="character" w:styleId="39">
    <w:name w:val="annotation reference"/>
    <w:qFormat/>
    <w:uiPriority w:val="0"/>
    <w:rPr>
      <w:sz w:val="21"/>
      <w:szCs w:val="21"/>
    </w:rPr>
  </w:style>
  <w:style w:type="character" w:styleId="40">
    <w:name w:val="HTML Cite"/>
    <w:basedOn w:val="30"/>
    <w:qFormat/>
    <w:uiPriority w:val="0"/>
  </w:style>
  <w:style w:type="character" w:styleId="41">
    <w:name w:val="HTML Keyboard"/>
    <w:basedOn w:val="30"/>
    <w:qFormat/>
    <w:uiPriority w:val="0"/>
    <w:rPr>
      <w:rFonts w:hint="default" w:ascii="monospace" w:hAnsi="monospace" w:eastAsia="monospace" w:cs="monospace"/>
      <w:sz w:val="20"/>
    </w:rPr>
  </w:style>
  <w:style w:type="character" w:styleId="42">
    <w:name w:val="HTML Sample"/>
    <w:basedOn w:val="30"/>
    <w:qFormat/>
    <w:uiPriority w:val="0"/>
    <w:rPr>
      <w:rFonts w:hint="default" w:ascii="monospace" w:hAnsi="monospace" w:eastAsia="monospace" w:cs="monospace"/>
    </w:rPr>
  </w:style>
  <w:style w:type="paragraph" w:customStyle="1" w:styleId="43">
    <w:name w:val="Default"/>
    <w:next w:val="44"/>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44">
    <w:name w:val="正文文字 6"/>
    <w:next w:val="1"/>
    <w:qFormat/>
    <w:uiPriority w:val="99"/>
    <w:pPr>
      <w:widowControl w:val="0"/>
      <w:ind w:left="240"/>
      <w:jc w:val="both"/>
    </w:pPr>
    <w:rPr>
      <w:rFonts w:ascii="宋体" w:hAnsi="Calibri" w:eastAsia="宋体" w:cs="Times New Roman"/>
      <w:b/>
      <w:bCs/>
      <w:kern w:val="2"/>
      <w:sz w:val="32"/>
      <w:szCs w:val="32"/>
      <w:lang w:val="en-US" w:eastAsia="zh-CN" w:bidi="ar-SA"/>
    </w:rPr>
  </w:style>
  <w:style w:type="paragraph" w:customStyle="1" w:styleId="45">
    <w:name w:val="表格文字"/>
    <w:basedOn w:val="1"/>
    <w:next w:val="10"/>
    <w:qFormat/>
    <w:uiPriority w:val="0"/>
    <w:pPr>
      <w:spacing w:before="25" w:after="25"/>
      <w:jc w:val="left"/>
    </w:pPr>
    <w:rPr>
      <w:rFonts w:ascii="Verdana" w:hAnsi="Verdana"/>
      <w:bCs/>
      <w:spacing w:val="10"/>
      <w:kern w:val="0"/>
      <w:sz w:val="24"/>
    </w:rPr>
  </w:style>
  <w:style w:type="paragraph" w:styleId="46">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47">
    <w:name w:val="p15"/>
    <w:basedOn w:val="1"/>
    <w:qFormat/>
    <w:uiPriority w:val="0"/>
    <w:pPr>
      <w:widowControl/>
    </w:pPr>
    <w:rPr>
      <w:rFonts w:ascii="宋体" w:hAnsi="宋体" w:cs="宋体"/>
      <w:kern w:val="0"/>
      <w:szCs w:val="21"/>
    </w:rPr>
  </w:style>
  <w:style w:type="paragraph" w:customStyle="1" w:styleId="48">
    <w:name w:val="p16"/>
    <w:basedOn w:val="1"/>
    <w:qFormat/>
    <w:uiPriority w:val="0"/>
    <w:pPr>
      <w:widowControl/>
    </w:pPr>
    <w:rPr>
      <w:rFonts w:ascii="宋体" w:hAnsi="宋体" w:cs="宋体"/>
      <w:kern w:val="0"/>
      <w:szCs w:val="21"/>
    </w:rPr>
  </w:style>
  <w:style w:type="paragraph" w:customStyle="1" w:styleId="49">
    <w:name w:val="p0"/>
    <w:basedOn w:val="1"/>
    <w:qFormat/>
    <w:uiPriority w:val="0"/>
    <w:pPr>
      <w:widowControl/>
    </w:pPr>
    <w:rPr>
      <w:kern w:val="0"/>
      <w:szCs w:val="21"/>
    </w:rPr>
  </w:style>
  <w:style w:type="paragraph" w:customStyle="1" w:styleId="50">
    <w:name w:val="普通文字 Char2"/>
    <w:basedOn w:val="1"/>
    <w:qFormat/>
    <w:uiPriority w:val="0"/>
    <w:pPr>
      <w:widowControl/>
    </w:pPr>
    <w:rPr>
      <w:rFonts w:ascii="宋体" w:hAnsi="宋体" w:cs="宋体"/>
      <w:color w:val="000000"/>
      <w:kern w:val="0"/>
      <w:szCs w:val="21"/>
    </w:rPr>
  </w:style>
  <w:style w:type="character" w:customStyle="1" w:styleId="51">
    <w:name w:val="纯文本 Char1"/>
    <w:qFormat/>
    <w:uiPriority w:val="0"/>
    <w:rPr>
      <w:rFonts w:ascii="宋体" w:hAnsi="Courier New" w:eastAsia="宋体" w:cs="Courier New"/>
      <w:kern w:val="2"/>
      <w:sz w:val="21"/>
      <w:szCs w:val="21"/>
      <w:lang w:val="en-US" w:eastAsia="zh-CN" w:bidi="ar-SA"/>
    </w:rPr>
  </w:style>
  <w:style w:type="paragraph" w:customStyle="1" w:styleId="52">
    <w:name w:val="列出段落2"/>
    <w:basedOn w:val="1"/>
    <w:qFormat/>
    <w:uiPriority w:val="0"/>
    <w:pPr>
      <w:ind w:firstLine="420" w:firstLineChars="200"/>
    </w:pPr>
    <w:rPr>
      <w:rFonts w:cs="Calibri"/>
      <w:szCs w:val="21"/>
    </w:rPr>
  </w:style>
  <w:style w:type="paragraph" w:customStyle="1" w:styleId="53">
    <w:name w:val="标题 2 New"/>
    <w:basedOn w:val="1"/>
    <w:next w:val="1"/>
    <w:qFormat/>
    <w:uiPriority w:val="0"/>
    <w:pPr>
      <w:keepNext/>
      <w:keepLines/>
      <w:spacing w:before="260" w:after="260" w:line="416" w:lineRule="auto"/>
      <w:outlineLvl w:val="1"/>
    </w:pPr>
    <w:rPr>
      <w:rFonts w:ascii="Arial" w:hAnsi="Arial" w:eastAsia="黑体"/>
      <w:b/>
      <w:bCs/>
      <w:sz w:val="32"/>
      <w:szCs w:val="32"/>
    </w:rPr>
  </w:style>
  <w:style w:type="character" w:customStyle="1" w:styleId="54">
    <w:name w:val="批注文字 Char"/>
    <w:basedOn w:val="30"/>
    <w:link w:val="9"/>
    <w:qFormat/>
    <w:uiPriority w:val="0"/>
    <w:rPr>
      <w:rFonts w:ascii="Calibri" w:hAnsi="Calibri"/>
      <w:kern w:val="2"/>
      <w:sz w:val="21"/>
      <w:szCs w:val="24"/>
    </w:rPr>
  </w:style>
  <w:style w:type="character" w:customStyle="1" w:styleId="55">
    <w:name w:val="批注主题 Char"/>
    <w:basedOn w:val="54"/>
    <w:link w:val="25"/>
    <w:qFormat/>
    <w:uiPriority w:val="0"/>
    <w:rPr>
      <w:b/>
      <w:bCs/>
    </w:rPr>
  </w:style>
  <w:style w:type="character" w:customStyle="1" w:styleId="56">
    <w:name w:val="批注框文本 Char"/>
    <w:basedOn w:val="30"/>
    <w:link w:val="14"/>
    <w:qFormat/>
    <w:uiPriority w:val="0"/>
    <w:rPr>
      <w:rFonts w:ascii="Calibri" w:hAnsi="Calibri"/>
      <w:kern w:val="2"/>
      <w:sz w:val="18"/>
      <w:szCs w:val="18"/>
    </w:rPr>
  </w:style>
  <w:style w:type="paragraph" w:customStyle="1" w:styleId="57">
    <w:name w:val="Table Paragraph"/>
    <w:basedOn w:val="1"/>
    <w:qFormat/>
    <w:uiPriority w:val="1"/>
    <w:pPr>
      <w:jc w:val="left"/>
    </w:pPr>
    <w:rPr>
      <w:kern w:val="0"/>
      <w:sz w:val="22"/>
      <w:szCs w:val="22"/>
      <w:lang w:eastAsia="en-US"/>
    </w:rPr>
  </w:style>
  <w:style w:type="character" w:customStyle="1" w:styleId="58">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59">
    <w:name w:val="正文2"/>
    <w:basedOn w:val="1"/>
    <w:qFormat/>
    <w:uiPriority w:val="0"/>
    <w:pPr>
      <w:adjustRightInd w:val="0"/>
      <w:spacing w:before="156" w:line="360" w:lineRule="auto"/>
      <w:ind w:firstLine="510" w:firstLineChars="200"/>
    </w:pPr>
    <w:rPr>
      <w:sz w:val="24"/>
      <w:szCs w:val="20"/>
    </w:rPr>
  </w:style>
  <w:style w:type="paragraph" w:customStyle="1" w:styleId="60">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6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2">
    <w:name w:val="页眉 Char"/>
    <w:basedOn w:val="30"/>
    <w:link w:val="16"/>
    <w:qFormat/>
    <w:uiPriority w:val="0"/>
    <w:rPr>
      <w:rFonts w:ascii="Calibri" w:hAnsi="Calibri"/>
      <w:sz w:val="18"/>
      <w:szCs w:val="18"/>
    </w:rPr>
  </w:style>
  <w:style w:type="character" w:customStyle="1" w:styleId="63">
    <w:name w:val="font21"/>
    <w:basedOn w:val="30"/>
    <w:qFormat/>
    <w:uiPriority w:val="0"/>
    <w:rPr>
      <w:rFonts w:hint="eastAsia" w:ascii="宋体" w:hAnsi="宋体" w:eastAsia="宋体" w:cs="宋体"/>
      <w:color w:val="000000"/>
      <w:sz w:val="20"/>
      <w:szCs w:val="20"/>
      <w:u w:val="none"/>
    </w:rPr>
  </w:style>
  <w:style w:type="character" w:customStyle="1" w:styleId="64">
    <w:name w:val="font01"/>
    <w:basedOn w:val="30"/>
    <w:qFormat/>
    <w:uiPriority w:val="0"/>
    <w:rPr>
      <w:rFonts w:hint="eastAsia" w:ascii="宋体" w:hAnsi="宋体" w:eastAsia="宋体" w:cs="宋体"/>
      <w:b/>
      <w:bCs/>
      <w:color w:val="000000"/>
      <w:sz w:val="20"/>
      <w:szCs w:val="20"/>
      <w:u w:val="none"/>
    </w:rPr>
  </w:style>
  <w:style w:type="character" w:customStyle="1" w:styleId="65">
    <w:name w:val="font31"/>
    <w:basedOn w:val="30"/>
    <w:qFormat/>
    <w:uiPriority w:val="0"/>
    <w:rPr>
      <w:rFonts w:hint="eastAsia" w:ascii="宋体" w:hAnsi="宋体" w:eastAsia="宋体" w:cs="宋体"/>
      <w:color w:val="000000"/>
      <w:sz w:val="20"/>
      <w:szCs w:val="20"/>
      <w:u w:val="none"/>
    </w:rPr>
  </w:style>
  <w:style w:type="character" w:customStyle="1" w:styleId="66">
    <w:name w:val="font132"/>
    <w:basedOn w:val="30"/>
    <w:qFormat/>
    <w:uiPriority w:val="0"/>
    <w:rPr>
      <w:rFonts w:ascii="宋体" w:hAnsi="宋体" w:eastAsia="宋体" w:cs="宋体"/>
      <w:color w:val="000000"/>
      <w:sz w:val="20"/>
      <w:szCs w:val="20"/>
      <w:u w:val="none"/>
    </w:rPr>
  </w:style>
  <w:style w:type="paragraph" w:customStyle="1" w:styleId="67">
    <w:name w:val="Normal Indent"/>
    <w:basedOn w:val="1"/>
    <w:qFormat/>
    <w:uiPriority w:val="0"/>
    <w:pPr>
      <w:ind w:firstLine="200" w:firstLineChars="200"/>
    </w:pPr>
  </w:style>
  <w:style w:type="table" w:customStyle="1" w:styleId="68">
    <w:name w:val="网格型1"/>
    <w:basedOn w:val="69"/>
    <w:qFormat/>
    <w:uiPriority w:val="0"/>
    <w:rPr>
      <w:rFonts w:ascii="Calibri" w:hAnsi="Calibri" w:eastAsia="宋体"/>
      <w:kern w:val="2"/>
      <w:sz w:val="21"/>
      <w:szCs w:val="22"/>
    </w:rPr>
  </w:style>
  <w:style w:type="table" w:customStyle="1" w:styleId="69">
    <w:name w:val="普通表格1"/>
    <w:semiHidden/>
    <w:qFormat/>
    <w:uiPriority w:val="0"/>
  </w:style>
  <w:style w:type="paragraph" w:customStyle="1" w:styleId="70">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1">
    <w:name w:val="批注文字1"/>
    <w:basedOn w:val="1"/>
    <w:qFormat/>
    <w:uiPriority w:val="0"/>
    <w:pPr>
      <w:jc w:val="left"/>
    </w:pPr>
  </w:style>
  <w:style w:type="character" w:customStyle="1" w:styleId="72">
    <w:name w:val="font191"/>
    <w:basedOn w:val="30"/>
    <w:qFormat/>
    <w:uiPriority w:val="0"/>
    <w:rPr>
      <w:rFonts w:hint="eastAsia" w:ascii="宋体" w:hAnsi="宋体" w:eastAsia="宋体" w:cs="宋体"/>
      <w:color w:val="FF0000"/>
      <w:sz w:val="20"/>
      <w:szCs w:val="20"/>
      <w:u w:val="none"/>
    </w:rPr>
  </w:style>
  <w:style w:type="character" w:customStyle="1" w:styleId="73">
    <w:name w:val="font51"/>
    <w:basedOn w:val="30"/>
    <w:autoRedefine/>
    <w:qFormat/>
    <w:uiPriority w:val="0"/>
    <w:rPr>
      <w:rFonts w:hint="eastAsia" w:ascii="宋体" w:hAnsi="宋体" w:eastAsia="宋体" w:cs="宋体"/>
      <w:color w:val="000000"/>
      <w:sz w:val="28"/>
      <w:szCs w:val="28"/>
      <w:u w:val="none"/>
    </w:rPr>
  </w:style>
  <w:style w:type="paragraph" w:customStyle="1" w:styleId="74">
    <w:name w:val="表格文字_file_423_file_1194"/>
    <w:basedOn w:val="75"/>
    <w:qFormat/>
    <w:uiPriority w:val="99"/>
    <w:pPr>
      <w:spacing w:before="25" w:after="25"/>
      <w:jc w:val="left"/>
    </w:pPr>
    <w:rPr>
      <w:bCs/>
      <w:spacing w:val="10"/>
      <w:kern w:val="0"/>
      <w:sz w:val="24"/>
    </w:rPr>
  </w:style>
  <w:style w:type="paragraph" w:customStyle="1" w:styleId="75">
    <w:name w:val="Normal_file_423_file_1194"/>
    <w:next w:val="4"/>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jpeg"/><Relationship Id="rId26" Type="http://schemas.openxmlformats.org/officeDocument/2006/relationships/theme" Target="theme/theme1.xml"/><Relationship Id="rId25" Type="http://schemas.openxmlformats.org/officeDocument/2006/relationships/footer" Target="footer15.xml"/><Relationship Id="rId24" Type="http://schemas.openxmlformats.org/officeDocument/2006/relationships/header" Target="header8.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105</Pages>
  <Words>15895</Words>
  <Characters>19069</Characters>
  <Lines>499</Lines>
  <Paragraphs>140</Paragraphs>
  <TotalTime>1</TotalTime>
  <ScaleCrop>false</ScaleCrop>
  <LinksUpToDate>false</LinksUpToDate>
  <CharactersWithSpaces>19448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2020-05-27T03:05:00Z</dcterms:created>
  <dc:creator>*  *qin</dc:creator>
  <cp:lastModifiedBy>春意浓浓</cp:lastModifiedBy>
  <cp:lastPrinted>2024-10-11T01:01:00Z</cp:lastPrinted>
  <dcterms:modified xsi:type="dcterms:W3CDTF">2024-12-25T08:01:58Z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C1E4130389CD452C816DFE60B5BFFD4D</vt:lpwstr>
  </property>
</Properties>
</file>