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4F555">
      <w:pPr>
        <w:pStyle w:val="2"/>
        <w:keepNext/>
        <w:pageBreakBefore w:val="0"/>
        <w:widowControl w:val="0"/>
        <w:kinsoku/>
        <w:wordWrap w:val="0"/>
        <w:overflowPunct/>
        <w:topLinePunct w:val="0"/>
        <w:autoSpaceDE/>
        <w:autoSpaceDN/>
        <w:bidi w:val="0"/>
        <w:adjustRightInd/>
        <w:snapToGrid/>
        <w:jc w:val="center"/>
        <w:textAlignment w:val="auto"/>
        <w:rPr>
          <w:rFonts w:hint="eastAsia"/>
          <w:color w:val="auto"/>
          <w:highlight w:val="none"/>
        </w:rPr>
      </w:pPr>
      <w:r>
        <w:rPr>
          <w:rFonts w:hint="eastAsia"/>
          <w:color w:val="auto"/>
          <w:highlight w:val="none"/>
        </w:rPr>
        <w:t>采购需求</w:t>
      </w:r>
    </w:p>
    <w:p w14:paraId="51F0B9FD">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说明：</w:t>
      </w:r>
    </w:p>
    <w:p w14:paraId="59E11560">
      <w:pPr>
        <w:spacing w:line="360" w:lineRule="auto"/>
        <w:ind w:firstLine="420" w:firstLineChars="200"/>
        <w:jc w:val="left"/>
        <w:rPr>
          <w:color w:val="auto"/>
          <w:highlight w:val="none"/>
        </w:rPr>
      </w:pPr>
      <w:r>
        <w:rPr>
          <w:rFonts w:hint="eastAsia"/>
          <w:color w:val="auto"/>
          <w:highlight w:val="none"/>
        </w:rPr>
        <w:t>1. 为落实政府采购政策需满足的要求</w:t>
      </w:r>
    </w:p>
    <w:p w14:paraId="34672A7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14:paraId="4DEC680D">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p>
    <w:p w14:paraId="7B08D650">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3.采购需求中出现的品牌、型号或者生产厂家仅起参考作用，不属于指定品牌、型号或者生产厂家的情形。投标人可参照或者选用其他相当的品牌、型号或者生产厂家替代。</w:t>
      </w:r>
    </w:p>
    <w:p w14:paraId="372A5D19">
      <w:pPr>
        <w:spacing w:line="360" w:lineRule="auto"/>
        <w:ind w:firstLine="424" w:firstLineChars="202"/>
        <w:jc w:val="left"/>
        <w:rPr>
          <w:rStyle w:val="58"/>
          <w:color w:val="auto"/>
          <w:highlight w:val="none"/>
        </w:rPr>
      </w:pPr>
      <w:r>
        <w:rPr>
          <w:rFonts w:hint="eastAsia" w:ascii="宋体" w:hAnsi="宋体" w:cs="宋体"/>
          <w:color w:val="auto"/>
          <w:szCs w:val="21"/>
          <w:highlight w:val="none"/>
        </w:rPr>
        <w:t>4. 投标人应根据自身实际情况如实响应招标文件</w:t>
      </w:r>
      <w:r>
        <w:rPr>
          <w:rFonts w:hint="eastAsia" w:ascii="宋体" w:hAnsi="宋体"/>
          <w:color w:val="auto"/>
          <w:szCs w:val="21"/>
          <w:highlight w:val="none"/>
        </w:rPr>
        <w:t>，</w:t>
      </w:r>
      <w:r>
        <w:rPr>
          <w:rFonts w:hint="eastAsia" w:ascii="宋体" w:hAnsi="宋体"/>
          <w:color w:val="auto"/>
          <w:sz w:val="22"/>
          <w:szCs w:val="22"/>
          <w:highlight w:val="none"/>
        </w:rPr>
        <w:t>对招标文件提出的要求和条件作出明确响应，</w:t>
      </w:r>
      <w:r>
        <w:rPr>
          <w:rFonts w:hint="eastAsia" w:ascii="宋体" w:hAnsi="宋体"/>
          <w:b/>
          <w:bCs/>
          <w:color w:val="auto"/>
          <w:szCs w:val="21"/>
          <w:highlight w:val="none"/>
        </w:rPr>
        <w:t>否则将作无效响应处理</w:t>
      </w:r>
      <w:r>
        <w:rPr>
          <w:rFonts w:hint="eastAsia" w:ascii="宋体" w:hAnsi="宋体"/>
          <w:color w:val="auto"/>
          <w:szCs w:val="21"/>
          <w:highlight w:val="none"/>
        </w:rPr>
        <w:t>。</w:t>
      </w:r>
      <w:r>
        <w:rPr>
          <w:rFonts w:hint="eastAsia"/>
          <w:color w:val="auto"/>
          <w:highlight w:val="none"/>
        </w:rPr>
        <w:t>对于重要技术条款或技术参数应当在投标文件中提供技术支持资料，技术支持资料以招标文件中规定的形式为准，</w:t>
      </w:r>
      <w:r>
        <w:rPr>
          <w:rFonts w:hint="eastAsia"/>
          <w:b/>
          <w:bCs/>
          <w:color w:val="auto"/>
          <w:highlight w:val="none"/>
        </w:rPr>
        <w:t>否则将视为无效技术支持资料</w:t>
      </w:r>
      <w:r>
        <w:rPr>
          <w:rFonts w:hint="eastAsia"/>
          <w:color w:val="auto"/>
          <w:highlight w:val="none"/>
        </w:rPr>
        <w:t>。</w:t>
      </w:r>
    </w:p>
    <w:p w14:paraId="1D0D2553">
      <w:pPr>
        <w:spacing w:line="360" w:lineRule="auto"/>
        <w:ind w:firstLine="308" w:firstLineChars="147"/>
        <w:jc w:val="left"/>
        <w:rPr>
          <w:color w:val="auto"/>
          <w:highlight w:val="none"/>
        </w:rPr>
      </w:pPr>
      <w:r>
        <w:rPr>
          <w:rFonts w:hint="eastAsia" w:ascii="宋体" w:hAnsi="宋体" w:cs="宋体"/>
          <w:color w:val="auto"/>
          <w:szCs w:val="21"/>
          <w:highlight w:val="none"/>
        </w:rPr>
        <w:t>5</w:t>
      </w:r>
      <w:r>
        <w:rPr>
          <w:rFonts w:ascii="宋体" w:hAnsi="宋体" w:cs="宋体"/>
          <w:color w:val="auto"/>
          <w:szCs w:val="21"/>
          <w:highlight w:val="none"/>
        </w:rPr>
        <w:t>.</w:t>
      </w:r>
      <w:r>
        <w:rPr>
          <w:rFonts w:hint="eastAsia"/>
          <w:color w:val="auto"/>
          <w:highlight w:val="none"/>
        </w:rPr>
        <w:t>投标人</w:t>
      </w:r>
      <w:r>
        <w:rPr>
          <w:color w:val="auto"/>
          <w:highlight w:val="none"/>
        </w:rPr>
        <w:t>必须自行为其</w:t>
      </w:r>
      <w:r>
        <w:rPr>
          <w:rFonts w:hint="eastAsia"/>
          <w:color w:val="auto"/>
          <w:highlight w:val="none"/>
        </w:rPr>
        <w:t>投标</w:t>
      </w:r>
      <w:r>
        <w:rPr>
          <w:color w:val="auto"/>
          <w:highlight w:val="none"/>
        </w:rPr>
        <w:t>产品侵犯</w:t>
      </w:r>
      <w:r>
        <w:rPr>
          <w:rFonts w:hint="eastAsia"/>
          <w:color w:val="auto"/>
          <w:highlight w:val="none"/>
        </w:rPr>
        <w:t>他人的知识产权或者专利成果的行为</w:t>
      </w:r>
      <w:r>
        <w:rPr>
          <w:color w:val="auto"/>
          <w:highlight w:val="none"/>
        </w:rPr>
        <w:t>承担相应法律责任</w:t>
      </w:r>
      <w:r>
        <w:rPr>
          <w:rFonts w:hint="eastAsia"/>
          <w:color w:val="auto"/>
          <w:highlight w:val="none"/>
        </w:rPr>
        <w:t>。</w:t>
      </w:r>
    </w:p>
    <w:p w14:paraId="02847E77">
      <w:pPr>
        <w:spacing w:line="360" w:lineRule="auto"/>
        <w:ind w:firstLine="308" w:firstLineChars="147"/>
        <w:jc w:val="left"/>
        <w:rPr>
          <w:color w:val="auto"/>
          <w:highlight w:val="none"/>
        </w:rPr>
      </w:pPr>
      <w:r>
        <w:rPr>
          <w:rFonts w:hint="eastAsia" w:ascii="宋体" w:hAnsi="宋体" w:cs="宋体"/>
          <w:color w:val="auto"/>
          <w:highlight w:val="none"/>
        </w:rPr>
        <w:t>6.所属行业依照</w:t>
      </w:r>
      <w:r>
        <w:rPr>
          <w:rFonts w:hint="eastAsia"/>
          <w:color w:val="auto"/>
          <w:highlight w:val="none"/>
        </w:rPr>
        <w:t>《中小企业划型标准规定》（工信部联企业〔2011〕300号）及《国民经济行业分类》（GB/T4754-2017）的有关规定执行。本项目</w:t>
      </w:r>
      <w:r>
        <w:rPr>
          <w:rFonts w:hint="eastAsia"/>
          <w:color w:val="auto"/>
          <w:highlight w:val="none"/>
          <w:lang w:val="en-US" w:eastAsia="zh-CN"/>
        </w:rPr>
        <w:t>标的</w:t>
      </w:r>
      <w:r>
        <w:rPr>
          <w:rFonts w:hint="eastAsia"/>
          <w:color w:val="auto"/>
          <w:highlight w:val="none"/>
        </w:rPr>
        <w:t>所属行业均为</w:t>
      </w:r>
      <w:r>
        <w:rPr>
          <w:rFonts w:hint="eastAsia"/>
          <w:b/>
          <w:bCs/>
          <w:color w:val="auto"/>
          <w:highlight w:val="none"/>
        </w:rPr>
        <w:t>“</w:t>
      </w:r>
      <w:r>
        <w:rPr>
          <w:rFonts w:hint="eastAsia"/>
          <w:b/>
          <w:bCs/>
          <w:color w:val="auto"/>
          <w:szCs w:val="21"/>
          <w:highlight w:val="none"/>
        </w:rPr>
        <w:t>其他未列明行业</w:t>
      </w:r>
      <w:r>
        <w:rPr>
          <w:rFonts w:hint="eastAsia"/>
          <w:b/>
          <w:bCs/>
          <w:color w:val="auto"/>
          <w:highlight w:val="none"/>
        </w:rPr>
        <w:t>”</w:t>
      </w:r>
      <w:r>
        <w:rPr>
          <w:rFonts w:hint="eastAsia"/>
          <w:color w:val="auto"/>
          <w:highlight w:val="none"/>
        </w:rPr>
        <w:t>。</w:t>
      </w:r>
    </w:p>
    <w:p w14:paraId="1281878E">
      <w:pPr>
        <w:rPr>
          <w:rFonts w:hint="eastAsia"/>
        </w:rPr>
      </w:pPr>
    </w:p>
    <w:tbl>
      <w:tblPr>
        <w:tblStyle w:val="47"/>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9"/>
        <w:gridCol w:w="1017"/>
        <w:gridCol w:w="614"/>
        <w:gridCol w:w="304"/>
        <w:gridCol w:w="732"/>
        <w:gridCol w:w="6585"/>
      </w:tblGrid>
      <w:tr w14:paraId="6D1E4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359" w:type="dxa"/>
            <w:vAlign w:val="center"/>
          </w:tcPr>
          <w:p w14:paraId="4D9EBA09">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017" w:type="dxa"/>
            <w:vAlign w:val="center"/>
          </w:tcPr>
          <w:p w14:paraId="3CB640FF">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918" w:type="dxa"/>
            <w:gridSpan w:val="2"/>
            <w:vAlign w:val="center"/>
          </w:tcPr>
          <w:p w14:paraId="6E2856C1">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数量及</w:t>
            </w:r>
          </w:p>
          <w:p w14:paraId="5A792943">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732" w:type="dxa"/>
            <w:vAlign w:val="center"/>
          </w:tcPr>
          <w:p w14:paraId="5CFEF4EA">
            <w:pPr>
              <w:tabs>
                <w:tab w:val="left" w:pos="180"/>
                <w:tab w:val="left" w:pos="1620"/>
              </w:tabs>
              <w:spacing w:line="360" w:lineRule="auto"/>
              <w:jc w:val="center"/>
              <w:rPr>
                <w:rFonts w:ascii="宋体" w:hAnsi="宋体" w:cs="宋体"/>
                <w:color w:val="auto"/>
                <w:szCs w:val="21"/>
                <w:highlight w:val="none"/>
              </w:rPr>
            </w:pPr>
            <w:r>
              <w:rPr>
                <w:rFonts w:hint="eastAsia" w:ascii="宋体" w:hAnsi="宋体" w:cs="Arial"/>
                <w:color w:val="auto"/>
                <w:szCs w:val="21"/>
                <w:highlight w:val="none"/>
              </w:rPr>
              <w:t>所属行业</w:t>
            </w:r>
          </w:p>
        </w:tc>
        <w:tc>
          <w:tcPr>
            <w:tcW w:w="6585" w:type="dxa"/>
            <w:vAlign w:val="center"/>
          </w:tcPr>
          <w:p w14:paraId="23960923">
            <w:pPr>
              <w:tabs>
                <w:tab w:val="left" w:pos="180"/>
                <w:tab w:val="left" w:pos="1620"/>
              </w:tabs>
              <w:spacing w:line="360" w:lineRule="auto"/>
              <w:jc w:val="center"/>
              <w:rPr>
                <w:rFonts w:ascii="宋体" w:hAnsi="宋体" w:cs="宋体"/>
                <w:color w:val="auto"/>
                <w:szCs w:val="21"/>
                <w:highlight w:val="none"/>
              </w:rPr>
            </w:pPr>
            <w:r>
              <w:rPr>
                <w:rFonts w:hint="eastAsia" w:ascii="宋体" w:hAnsi="宋体"/>
                <w:color w:val="auto"/>
                <w:szCs w:val="21"/>
                <w:highlight w:val="none"/>
              </w:rPr>
              <w:t>▲技术要求</w:t>
            </w:r>
          </w:p>
        </w:tc>
      </w:tr>
      <w:tr w14:paraId="565C9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59" w:type="dxa"/>
            <w:vAlign w:val="center"/>
          </w:tcPr>
          <w:p w14:paraId="12AB75AD">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017" w:type="dxa"/>
            <w:vAlign w:val="center"/>
          </w:tcPr>
          <w:p w14:paraId="2FAE20FE">
            <w:pPr>
              <w:tabs>
                <w:tab w:val="left" w:pos="180"/>
                <w:tab w:val="left" w:pos="1620"/>
              </w:tabs>
              <w:spacing w:line="360" w:lineRule="auto"/>
              <w:jc w:val="center"/>
              <w:rPr>
                <w:rFonts w:hint="eastAsia" w:ascii="宋体" w:hAnsi="宋体" w:eastAsia="宋体" w:cs="宋体"/>
                <w:color w:val="auto"/>
                <w:szCs w:val="21"/>
                <w:highlight w:val="none"/>
                <w:lang w:eastAsia="zh-CN"/>
              </w:rPr>
            </w:pPr>
            <w:r>
              <w:rPr>
                <w:rFonts w:hint="eastAsia" w:ascii="宋体" w:hAnsi="宋体"/>
                <w:color w:val="auto"/>
                <w:szCs w:val="21"/>
                <w:highlight w:val="none"/>
                <w:lang w:eastAsia="zh-CN"/>
              </w:rPr>
              <w:t>藤县县城生活垃圾转运至梧州市静脉产业园区处理项目</w:t>
            </w:r>
          </w:p>
        </w:tc>
        <w:tc>
          <w:tcPr>
            <w:tcW w:w="918" w:type="dxa"/>
            <w:gridSpan w:val="2"/>
            <w:vAlign w:val="center"/>
          </w:tcPr>
          <w:p w14:paraId="3128F2AA">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732" w:type="dxa"/>
            <w:vAlign w:val="center"/>
          </w:tcPr>
          <w:p w14:paraId="38BAD72C">
            <w:pPr>
              <w:pStyle w:val="15"/>
              <w:spacing w:line="360" w:lineRule="auto"/>
              <w:jc w:val="center"/>
              <w:rPr>
                <w:rFonts w:ascii="宋体" w:hAnsi="宋体" w:cs="Arial"/>
                <w:color w:val="auto"/>
                <w:szCs w:val="21"/>
                <w:highlight w:val="none"/>
              </w:rPr>
            </w:pPr>
            <w:r>
              <w:rPr>
                <w:rFonts w:hint="eastAsia" w:ascii="宋体" w:hAnsi="宋体"/>
                <w:color w:val="auto"/>
                <w:szCs w:val="21"/>
                <w:highlight w:val="none"/>
              </w:rPr>
              <w:t>其他未列明行</w:t>
            </w:r>
            <w:r>
              <w:rPr>
                <w:rFonts w:hint="eastAsia" w:ascii="宋体" w:hAnsi="宋体" w:cs="Arial"/>
                <w:color w:val="auto"/>
                <w:szCs w:val="21"/>
                <w:highlight w:val="none"/>
              </w:rPr>
              <w:t>业</w:t>
            </w:r>
          </w:p>
        </w:tc>
        <w:tc>
          <w:tcPr>
            <w:tcW w:w="6585" w:type="dxa"/>
            <w:vAlign w:val="center"/>
          </w:tcPr>
          <w:p w14:paraId="6AE2F655">
            <w:pPr>
              <w:spacing w:line="360" w:lineRule="auto"/>
              <w:ind w:firstLine="422" w:firstLineChars="200"/>
              <w:rPr>
                <w:rFonts w:hint="default" w:ascii="宋体" w:hAnsi="宋体" w:eastAsia="宋体"/>
                <w:b/>
                <w:bCs w:val="0"/>
                <w:color w:val="auto"/>
                <w:highlight w:val="none"/>
                <w:lang w:val="en-US" w:eastAsia="zh-CN"/>
              </w:rPr>
            </w:pPr>
            <w:r>
              <w:rPr>
                <w:rFonts w:hint="eastAsia" w:ascii="宋体" w:hAnsi="宋体"/>
                <w:b/>
                <w:bCs w:val="0"/>
                <w:color w:val="auto"/>
                <w:highlight w:val="none"/>
              </w:rPr>
              <w:t>一、</w:t>
            </w:r>
            <w:r>
              <w:rPr>
                <w:rFonts w:hint="eastAsia" w:ascii="宋体" w:hAnsi="宋体"/>
                <w:b/>
                <w:bCs w:val="0"/>
                <w:color w:val="auto"/>
                <w:highlight w:val="none"/>
                <w:lang w:val="en-US" w:eastAsia="zh-CN"/>
              </w:rPr>
              <w:t>项目概况</w:t>
            </w:r>
          </w:p>
          <w:p w14:paraId="58D86431">
            <w:pPr>
              <w:spacing w:line="360" w:lineRule="auto"/>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lang w:eastAsia="zh-CN"/>
              </w:rPr>
              <w:t>随着</w:t>
            </w:r>
            <w:r>
              <w:rPr>
                <w:rFonts w:hint="eastAsia" w:ascii="宋体" w:hAnsi="宋体"/>
                <w:color w:val="auto"/>
                <w:szCs w:val="21"/>
                <w:highlight w:val="none"/>
                <w:lang w:val="en-US" w:eastAsia="zh-CN"/>
              </w:rPr>
              <w:t>藤县</w:t>
            </w:r>
            <w:r>
              <w:rPr>
                <w:rFonts w:hint="eastAsia" w:ascii="宋体" w:hAnsi="宋体"/>
                <w:color w:val="auto"/>
                <w:szCs w:val="21"/>
                <w:highlight w:val="none"/>
                <w:lang w:eastAsia="zh-CN"/>
              </w:rPr>
              <w:t>经济的高速发展，人们生活水平的迅速提高，城市化进程的不断加快，城市生活垃圾产量急剧增加。据统计，藤县县城生活垃圾年产量约4.38万吨，日均垃圾量约120吨，预计每年的生活垃圾量会达到10%以上的增幅。现时的填埋垃圾处理方式存在占地面积大，并且没有进行无害化处理，残留着大量的细菌、病毒;还潜伏着沼气重金属污染等隐患，其垃圾渗滤液还会长久地污染地下水资源的问题，将会考验藤县的垃圾处理能力，并制约藤县的经济发展。为了减轻藤县富吉生活垃圾卫生填埋场的处理任务，减少渗滤液产生，减低生活垃圾对环境的影响，每天将县城生活垃圾约</w:t>
            </w:r>
            <w:r>
              <w:rPr>
                <w:rFonts w:hint="eastAsia" w:ascii="宋体" w:hAnsi="宋体"/>
                <w:color w:val="auto"/>
                <w:szCs w:val="21"/>
                <w:highlight w:val="none"/>
                <w:lang w:val="en-US" w:eastAsia="zh-CN"/>
              </w:rPr>
              <w:t>120吨从藤县富吉生活垃圾卫生填埋场转运至梧州市静脉产业园区梧州康恒再生能源有限公司指定的垃圾坑内处理，转运距离约47公里，运营期为2年。</w:t>
            </w:r>
          </w:p>
          <w:p w14:paraId="635E9B8A">
            <w:pPr>
              <w:pStyle w:val="29"/>
              <w:numPr>
                <w:ilvl w:val="0"/>
                <w:numId w:val="0"/>
              </w:numPr>
              <w:spacing w:line="360" w:lineRule="auto"/>
              <w:ind w:firstLine="422" w:firstLineChars="200"/>
              <w:rPr>
                <w:rFonts w:hint="eastAsia" w:ascii="宋体" w:hAnsi="宋体"/>
                <w:b/>
                <w:bCs/>
                <w:color w:val="auto"/>
                <w:sz w:val="21"/>
                <w:szCs w:val="30"/>
                <w:highlight w:val="none"/>
                <w:lang w:val="en-US" w:eastAsia="zh-CN"/>
              </w:rPr>
            </w:pPr>
            <w:r>
              <w:rPr>
                <w:rFonts w:hint="eastAsia" w:ascii="宋体" w:hAnsi="宋体"/>
                <w:b/>
                <w:bCs/>
                <w:color w:val="auto"/>
                <w:sz w:val="21"/>
                <w:szCs w:val="30"/>
                <w:highlight w:val="none"/>
                <w:lang w:val="en-US" w:eastAsia="zh-CN"/>
              </w:rPr>
              <w:t>二、项目总体目标</w:t>
            </w:r>
          </w:p>
          <w:p w14:paraId="4986997B">
            <w:pPr>
              <w:pStyle w:val="29"/>
              <w:numPr>
                <w:ilvl w:val="0"/>
                <w:numId w:val="0"/>
              </w:numPr>
              <w:spacing w:line="360" w:lineRule="auto"/>
              <w:ind w:firstLine="420" w:firstLineChars="200"/>
              <w:rPr>
                <w:rFonts w:hint="default" w:ascii="宋体" w:hAnsi="宋体"/>
                <w:b w:val="0"/>
                <w:bCs w:val="0"/>
                <w:color w:val="auto"/>
                <w:sz w:val="21"/>
                <w:szCs w:val="30"/>
                <w:highlight w:val="none"/>
                <w:lang w:val="en-US" w:eastAsia="zh-CN"/>
              </w:rPr>
            </w:pPr>
            <w:r>
              <w:rPr>
                <w:rFonts w:hint="eastAsia" w:ascii="宋体" w:hAnsi="宋体"/>
                <w:b w:val="0"/>
                <w:bCs w:val="0"/>
                <w:color w:val="auto"/>
                <w:sz w:val="21"/>
                <w:szCs w:val="30"/>
                <w:highlight w:val="none"/>
                <w:lang w:val="en-US" w:eastAsia="zh-CN"/>
              </w:rPr>
              <w:t>2.1</w:t>
            </w:r>
            <w:r>
              <w:rPr>
                <w:rFonts w:hint="default" w:ascii="宋体" w:hAnsi="宋体"/>
                <w:b w:val="0"/>
                <w:bCs w:val="0"/>
                <w:color w:val="auto"/>
                <w:sz w:val="21"/>
                <w:szCs w:val="30"/>
                <w:highlight w:val="none"/>
                <w:lang w:val="en-US" w:eastAsia="zh-CN"/>
              </w:rPr>
              <w:t xml:space="preserve"> 总体目标</w:t>
            </w:r>
          </w:p>
          <w:p w14:paraId="06444108">
            <w:pPr>
              <w:pStyle w:val="29"/>
              <w:numPr>
                <w:ilvl w:val="0"/>
                <w:numId w:val="0"/>
              </w:numPr>
              <w:spacing w:line="360" w:lineRule="auto"/>
              <w:ind w:firstLine="420" w:firstLineChars="200"/>
              <w:rPr>
                <w:rFonts w:hint="default" w:ascii="宋体" w:hAnsi="宋体"/>
                <w:b w:val="0"/>
                <w:bCs w:val="0"/>
                <w:color w:val="auto"/>
                <w:sz w:val="21"/>
                <w:szCs w:val="30"/>
                <w:highlight w:val="none"/>
                <w:lang w:val="en-US" w:eastAsia="zh-CN"/>
              </w:rPr>
            </w:pPr>
            <w:r>
              <w:rPr>
                <w:rFonts w:hint="default" w:ascii="宋体" w:hAnsi="宋体"/>
                <w:b w:val="0"/>
                <w:bCs w:val="0"/>
                <w:color w:val="auto"/>
                <w:sz w:val="21"/>
                <w:szCs w:val="30"/>
                <w:highlight w:val="none"/>
                <w:lang w:val="en-US" w:eastAsia="zh-CN"/>
              </w:rPr>
              <w:t>服务范围内不发生重大安全责任事故，服务范围内不发生重大交通责任事故，服务范围内不发生重大设施管理责任事故。</w:t>
            </w:r>
          </w:p>
          <w:p w14:paraId="341BA503">
            <w:pPr>
              <w:pStyle w:val="29"/>
              <w:numPr>
                <w:ilvl w:val="0"/>
                <w:numId w:val="0"/>
              </w:numPr>
              <w:spacing w:line="360" w:lineRule="auto"/>
              <w:ind w:firstLine="420" w:firstLineChars="200"/>
              <w:rPr>
                <w:rFonts w:hint="default" w:ascii="宋体" w:hAnsi="宋体"/>
                <w:b w:val="0"/>
                <w:bCs w:val="0"/>
                <w:color w:val="auto"/>
                <w:sz w:val="21"/>
                <w:szCs w:val="30"/>
                <w:highlight w:val="none"/>
                <w:lang w:val="en-US" w:eastAsia="zh-CN"/>
              </w:rPr>
            </w:pPr>
            <w:r>
              <w:rPr>
                <w:rFonts w:hint="eastAsia" w:ascii="宋体" w:hAnsi="宋体"/>
                <w:b w:val="0"/>
                <w:bCs w:val="0"/>
                <w:color w:val="auto"/>
                <w:sz w:val="21"/>
                <w:szCs w:val="30"/>
                <w:highlight w:val="none"/>
                <w:lang w:val="en-US" w:eastAsia="zh-CN"/>
              </w:rPr>
              <w:t>2.2</w:t>
            </w:r>
            <w:r>
              <w:rPr>
                <w:rFonts w:hint="default" w:ascii="宋体" w:hAnsi="宋体"/>
                <w:b w:val="0"/>
                <w:bCs w:val="0"/>
                <w:color w:val="auto"/>
                <w:sz w:val="21"/>
                <w:szCs w:val="30"/>
                <w:highlight w:val="none"/>
                <w:lang w:val="en-US" w:eastAsia="zh-CN"/>
              </w:rPr>
              <w:t>质量目标</w:t>
            </w:r>
          </w:p>
          <w:p w14:paraId="4D9793AD">
            <w:pPr>
              <w:pStyle w:val="29"/>
              <w:numPr>
                <w:ilvl w:val="0"/>
                <w:numId w:val="0"/>
              </w:numPr>
              <w:spacing w:line="360" w:lineRule="auto"/>
              <w:ind w:firstLine="420" w:firstLineChars="200"/>
              <w:rPr>
                <w:rFonts w:hint="default" w:ascii="宋体" w:hAnsi="宋体"/>
                <w:b w:val="0"/>
                <w:bCs w:val="0"/>
                <w:color w:val="auto"/>
                <w:sz w:val="21"/>
                <w:szCs w:val="30"/>
                <w:highlight w:val="none"/>
                <w:lang w:val="en-US" w:eastAsia="zh-CN"/>
              </w:rPr>
            </w:pPr>
            <w:r>
              <w:rPr>
                <w:rFonts w:hint="default" w:ascii="宋体" w:hAnsi="宋体"/>
                <w:b w:val="0"/>
                <w:bCs w:val="0"/>
                <w:color w:val="auto"/>
                <w:sz w:val="21"/>
                <w:szCs w:val="30"/>
                <w:highlight w:val="none"/>
                <w:lang w:val="en-US" w:eastAsia="zh-CN"/>
              </w:rPr>
              <w:t>安全作业及其他劳动保障措施优良率为100%。确保达到</w:t>
            </w:r>
            <w:r>
              <w:rPr>
                <w:rFonts w:hint="eastAsia" w:ascii="宋体" w:hAnsi="宋体"/>
                <w:b w:val="0"/>
                <w:bCs w:val="0"/>
                <w:color w:val="auto"/>
                <w:sz w:val="21"/>
                <w:szCs w:val="30"/>
                <w:highlight w:val="none"/>
                <w:lang w:val="en-US" w:eastAsia="zh-CN"/>
              </w:rPr>
              <w:t>藤县</w:t>
            </w:r>
            <w:r>
              <w:rPr>
                <w:rFonts w:hint="default" w:ascii="宋体" w:hAnsi="宋体"/>
                <w:b w:val="0"/>
                <w:bCs w:val="0"/>
                <w:color w:val="auto"/>
                <w:sz w:val="21"/>
                <w:szCs w:val="30"/>
                <w:highlight w:val="none"/>
                <w:lang w:val="en-US" w:eastAsia="zh-CN"/>
              </w:rPr>
              <w:t>的标准和要求，使群众满意、政府满意。</w:t>
            </w:r>
          </w:p>
          <w:p w14:paraId="5C78974C">
            <w:pPr>
              <w:pStyle w:val="29"/>
              <w:numPr>
                <w:ilvl w:val="0"/>
                <w:numId w:val="0"/>
              </w:numPr>
              <w:spacing w:line="360" w:lineRule="auto"/>
              <w:ind w:firstLine="420" w:firstLineChars="200"/>
              <w:rPr>
                <w:rFonts w:hint="default" w:ascii="宋体" w:hAnsi="宋体"/>
                <w:b w:val="0"/>
                <w:bCs w:val="0"/>
                <w:color w:val="auto"/>
                <w:sz w:val="21"/>
                <w:szCs w:val="30"/>
                <w:highlight w:val="none"/>
                <w:lang w:val="en-US" w:eastAsia="zh-CN"/>
              </w:rPr>
            </w:pPr>
            <w:r>
              <w:rPr>
                <w:rFonts w:hint="eastAsia" w:ascii="宋体" w:hAnsi="宋体"/>
                <w:b w:val="0"/>
                <w:bCs w:val="0"/>
                <w:color w:val="auto"/>
                <w:sz w:val="21"/>
                <w:szCs w:val="30"/>
                <w:highlight w:val="none"/>
                <w:lang w:val="en-US" w:eastAsia="zh-CN"/>
              </w:rPr>
              <w:t>2.3</w:t>
            </w:r>
            <w:r>
              <w:rPr>
                <w:rFonts w:hint="default" w:ascii="宋体" w:hAnsi="宋体"/>
                <w:b w:val="0"/>
                <w:bCs w:val="0"/>
                <w:color w:val="auto"/>
                <w:sz w:val="21"/>
                <w:szCs w:val="30"/>
                <w:highlight w:val="none"/>
                <w:lang w:val="en-US" w:eastAsia="zh-CN"/>
              </w:rPr>
              <w:t>设施设备目标</w:t>
            </w:r>
          </w:p>
          <w:p w14:paraId="2D9338B8">
            <w:pPr>
              <w:pStyle w:val="29"/>
              <w:numPr>
                <w:ilvl w:val="0"/>
                <w:numId w:val="0"/>
              </w:numPr>
              <w:spacing w:line="360" w:lineRule="auto"/>
              <w:ind w:firstLine="420" w:firstLineChars="200"/>
              <w:rPr>
                <w:rFonts w:hint="default" w:ascii="宋体" w:hAnsi="宋体"/>
                <w:b w:val="0"/>
                <w:bCs w:val="0"/>
                <w:color w:val="auto"/>
                <w:sz w:val="21"/>
                <w:szCs w:val="30"/>
                <w:highlight w:val="none"/>
                <w:lang w:val="en-US" w:eastAsia="zh-CN"/>
              </w:rPr>
            </w:pPr>
            <w:r>
              <w:rPr>
                <w:rFonts w:hint="default" w:ascii="宋体" w:hAnsi="宋体"/>
                <w:b w:val="0"/>
                <w:bCs w:val="0"/>
                <w:color w:val="auto"/>
                <w:sz w:val="21"/>
                <w:szCs w:val="30"/>
                <w:highlight w:val="none"/>
                <w:lang w:val="en-US" w:eastAsia="zh-CN"/>
              </w:rPr>
              <w:t>确保采用大型垃圾转运测量，包装设施设备的干净和整洁、完好无损害，杜绝跑冒滴漏的现象</w:t>
            </w:r>
            <w:r>
              <w:rPr>
                <w:rFonts w:hint="eastAsia" w:ascii="宋体" w:hAnsi="宋体"/>
                <w:b w:val="0"/>
                <w:bCs w:val="0"/>
                <w:color w:val="auto"/>
                <w:sz w:val="21"/>
                <w:szCs w:val="30"/>
                <w:highlight w:val="none"/>
                <w:lang w:val="en-US" w:eastAsia="zh-CN"/>
              </w:rPr>
              <w:t>。</w:t>
            </w:r>
          </w:p>
          <w:p w14:paraId="45778A2F">
            <w:pPr>
              <w:pStyle w:val="29"/>
              <w:numPr>
                <w:ilvl w:val="0"/>
                <w:numId w:val="0"/>
              </w:numPr>
              <w:spacing w:line="360" w:lineRule="auto"/>
              <w:ind w:firstLine="420" w:firstLineChars="200"/>
              <w:rPr>
                <w:rFonts w:hint="default" w:ascii="宋体" w:hAnsi="宋体"/>
                <w:b w:val="0"/>
                <w:bCs w:val="0"/>
                <w:color w:val="auto"/>
                <w:sz w:val="21"/>
                <w:szCs w:val="30"/>
                <w:highlight w:val="none"/>
                <w:lang w:val="en-US" w:eastAsia="zh-CN"/>
              </w:rPr>
            </w:pPr>
            <w:r>
              <w:rPr>
                <w:rFonts w:hint="eastAsia" w:ascii="宋体" w:hAnsi="宋体"/>
                <w:b w:val="0"/>
                <w:bCs w:val="0"/>
                <w:color w:val="auto"/>
                <w:sz w:val="21"/>
                <w:szCs w:val="30"/>
                <w:highlight w:val="none"/>
                <w:lang w:val="en-US" w:eastAsia="zh-CN"/>
              </w:rPr>
              <w:t>2.4</w:t>
            </w:r>
            <w:r>
              <w:rPr>
                <w:rFonts w:hint="default" w:ascii="宋体" w:hAnsi="宋体"/>
                <w:b w:val="0"/>
                <w:bCs w:val="0"/>
                <w:color w:val="auto"/>
                <w:sz w:val="21"/>
                <w:szCs w:val="30"/>
                <w:highlight w:val="none"/>
                <w:lang w:val="en-US" w:eastAsia="zh-CN"/>
              </w:rPr>
              <w:t>安全目标</w:t>
            </w:r>
          </w:p>
          <w:p w14:paraId="02500CC1">
            <w:pPr>
              <w:pStyle w:val="29"/>
              <w:numPr>
                <w:ilvl w:val="0"/>
                <w:numId w:val="0"/>
              </w:numPr>
              <w:spacing w:line="360" w:lineRule="auto"/>
              <w:ind w:firstLine="420" w:firstLineChars="200"/>
              <w:rPr>
                <w:rFonts w:hint="default" w:ascii="宋体" w:hAnsi="宋体"/>
                <w:b w:val="0"/>
                <w:bCs w:val="0"/>
                <w:color w:val="auto"/>
                <w:sz w:val="21"/>
                <w:szCs w:val="30"/>
                <w:highlight w:val="none"/>
                <w:lang w:val="en-US" w:eastAsia="zh-CN"/>
              </w:rPr>
            </w:pPr>
            <w:r>
              <w:rPr>
                <w:rFonts w:hint="eastAsia" w:ascii="宋体" w:hAnsi="宋体"/>
                <w:b w:val="0"/>
                <w:bCs w:val="0"/>
                <w:color w:val="auto"/>
                <w:sz w:val="21"/>
                <w:szCs w:val="30"/>
                <w:highlight w:val="none"/>
                <w:lang w:val="en-US" w:eastAsia="zh-CN"/>
              </w:rPr>
              <w:t>职责</w:t>
            </w:r>
            <w:r>
              <w:rPr>
                <w:rFonts w:hint="default" w:ascii="宋体" w:hAnsi="宋体"/>
                <w:b w:val="0"/>
                <w:bCs w:val="0"/>
                <w:color w:val="auto"/>
                <w:sz w:val="21"/>
                <w:szCs w:val="30"/>
                <w:highlight w:val="none"/>
                <w:lang w:val="en-US" w:eastAsia="zh-CN"/>
              </w:rPr>
              <w:t>范围内杜绝各类工伤和重伤事故，轻伤率不超过百分之</w:t>
            </w:r>
            <w:r>
              <w:rPr>
                <w:rFonts w:hint="eastAsia" w:ascii="宋体" w:hAnsi="宋体"/>
                <w:b w:val="0"/>
                <w:bCs w:val="0"/>
                <w:color w:val="auto"/>
                <w:sz w:val="21"/>
                <w:szCs w:val="30"/>
                <w:highlight w:val="none"/>
                <w:lang w:val="en-US" w:eastAsia="zh-CN"/>
              </w:rPr>
              <w:t>一，</w:t>
            </w:r>
            <w:r>
              <w:rPr>
                <w:rFonts w:hint="default" w:ascii="宋体" w:hAnsi="宋体"/>
                <w:b w:val="0"/>
                <w:bCs w:val="0"/>
                <w:color w:val="auto"/>
                <w:sz w:val="21"/>
                <w:szCs w:val="30"/>
                <w:highlight w:val="none"/>
                <w:lang w:val="en-US" w:eastAsia="zh-CN"/>
              </w:rPr>
              <w:t>无直接经济损失或造成负面影响的责任事故。</w:t>
            </w:r>
          </w:p>
          <w:p w14:paraId="414F2C15">
            <w:pPr>
              <w:pStyle w:val="29"/>
              <w:numPr>
                <w:ilvl w:val="0"/>
                <w:numId w:val="0"/>
              </w:numPr>
              <w:spacing w:line="360" w:lineRule="auto"/>
              <w:ind w:firstLine="420" w:firstLineChars="200"/>
              <w:rPr>
                <w:rFonts w:hint="default" w:ascii="宋体" w:hAnsi="宋体"/>
                <w:b w:val="0"/>
                <w:bCs w:val="0"/>
                <w:color w:val="auto"/>
                <w:sz w:val="21"/>
                <w:szCs w:val="30"/>
                <w:highlight w:val="none"/>
                <w:lang w:val="en-US" w:eastAsia="zh-CN"/>
              </w:rPr>
            </w:pPr>
            <w:r>
              <w:rPr>
                <w:rFonts w:hint="eastAsia" w:ascii="宋体" w:hAnsi="宋体"/>
                <w:b w:val="0"/>
                <w:bCs w:val="0"/>
                <w:color w:val="auto"/>
                <w:sz w:val="21"/>
                <w:szCs w:val="30"/>
                <w:highlight w:val="none"/>
                <w:lang w:val="en-US" w:eastAsia="zh-CN"/>
              </w:rPr>
              <w:t>2.5</w:t>
            </w:r>
            <w:r>
              <w:rPr>
                <w:rFonts w:hint="default" w:ascii="宋体" w:hAnsi="宋体"/>
                <w:b w:val="0"/>
                <w:bCs w:val="0"/>
                <w:color w:val="auto"/>
                <w:sz w:val="21"/>
                <w:szCs w:val="30"/>
                <w:highlight w:val="none"/>
                <w:lang w:val="en-US" w:eastAsia="zh-CN"/>
              </w:rPr>
              <w:t>检查目标</w:t>
            </w:r>
          </w:p>
          <w:p w14:paraId="10F2CFAD">
            <w:pPr>
              <w:pStyle w:val="29"/>
              <w:numPr>
                <w:ilvl w:val="0"/>
                <w:numId w:val="0"/>
              </w:numPr>
              <w:spacing w:line="360" w:lineRule="auto"/>
              <w:ind w:firstLine="420" w:firstLineChars="200"/>
              <w:rPr>
                <w:rFonts w:hint="default" w:ascii="宋体" w:hAnsi="宋体"/>
                <w:b w:val="0"/>
                <w:bCs w:val="0"/>
                <w:color w:val="auto"/>
                <w:sz w:val="21"/>
                <w:szCs w:val="30"/>
                <w:highlight w:val="none"/>
                <w:lang w:val="en-US" w:eastAsia="zh-CN"/>
              </w:rPr>
            </w:pPr>
            <w:r>
              <w:rPr>
                <w:rFonts w:hint="default" w:ascii="宋体" w:hAnsi="宋体"/>
                <w:b w:val="0"/>
                <w:bCs w:val="0"/>
                <w:color w:val="auto"/>
                <w:sz w:val="21"/>
                <w:szCs w:val="30"/>
                <w:highlight w:val="none"/>
                <w:lang w:val="en-US" w:eastAsia="zh-CN"/>
              </w:rPr>
              <w:t>按照</w:t>
            </w:r>
            <w:r>
              <w:rPr>
                <w:rFonts w:hint="eastAsia" w:ascii="宋体" w:hAnsi="宋体"/>
                <w:b w:val="0"/>
                <w:bCs w:val="0"/>
                <w:color w:val="auto"/>
                <w:sz w:val="21"/>
                <w:szCs w:val="30"/>
                <w:highlight w:val="none"/>
                <w:lang w:val="en-US" w:eastAsia="zh-CN"/>
              </w:rPr>
              <w:t>藤县</w:t>
            </w:r>
            <w:r>
              <w:rPr>
                <w:rFonts w:hint="default" w:ascii="宋体" w:hAnsi="宋体"/>
                <w:b w:val="0"/>
                <w:bCs w:val="0"/>
                <w:color w:val="auto"/>
                <w:sz w:val="21"/>
                <w:szCs w:val="30"/>
                <w:highlight w:val="none"/>
                <w:lang w:val="en-US" w:eastAsia="zh-CN"/>
              </w:rPr>
              <w:t>相关的规定对垃圾转运进行做好各项记录，通过</w:t>
            </w:r>
            <w:r>
              <w:rPr>
                <w:rFonts w:hint="eastAsia" w:ascii="宋体" w:hAnsi="宋体"/>
                <w:b w:val="0"/>
                <w:bCs w:val="0"/>
                <w:color w:val="auto"/>
                <w:sz w:val="21"/>
                <w:szCs w:val="30"/>
                <w:highlight w:val="none"/>
                <w:lang w:val="en-US" w:eastAsia="zh-CN"/>
              </w:rPr>
              <w:t>藤县</w:t>
            </w:r>
            <w:r>
              <w:rPr>
                <w:rFonts w:hint="default" w:ascii="宋体" w:hAnsi="宋体"/>
                <w:b w:val="0"/>
                <w:bCs w:val="0"/>
                <w:color w:val="auto"/>
                <w:sz w:val="21"/>
                <w:szCs w:val="30"/>
                <w:highlight w:val="none"/>
                <w:lang w:val="en-US" w:eastAsia="zh-CN"/>
              </w:rPr>
              <w:t>相关部门的检查及考核。</w:t>
            </w:r>
          </w:p>
          <w:p w14:paraId="2707E7DA">
            <w:pPr>
              <w:pStyle w:val="29"/>
              <w:numPr>
                <w:ilvl w:val="0"/>
                <w:numId w:val="0"/>
              </w:numPr>
              <w:spacing w:line="360" w:lineRule="auto"/>
              <w:ind w:firstLine="420" w:firstLineChars="200"/>
              <w:rPr>
                <w:rFonts w:hint="default" w:ascii="宋体" w:hAnsi="宋体"/>
                <w:b w:val="0"/>
                <w:bCs w:val="0"/>
                <w:color w:val="auto"/>
                <w:sz w:val="21"/>
                <w:szCs w:val="30"/>
                <w:highlight w:val="none"/>
                <w:lang w:val="en-US" w:eastAsia="zh-CN"/>
              </w:rPr>
            </w:pPr>
            <w:r>
              <w:rPr>
                <w:rFonts w:hint="eastAsia" w:ascii="宋体" w:hAnsi="宋体"/>
                <w:b w:val="0"/>
                <w:bCs w:val="0"/>
                <w:color w:val="auto"/>
                <w:sz w:val="21"/>
                <w:szCs w:val="30"/>
                <w:highlight w:val="none"/>
                <w:lang w:val="en-US" w:eastAsia="zh-CN"/>
              </w:rPr>
              <w:t>2.6</w:t>
            </w:r>
            <w:r>
              <w:rPr>
                <w:rFonts w:hint="default" w:ascii="宋体" w:hAnsi="宋体"/>
                <w:b w:val="0"/>
                <w:bCs w:val="0"/>
                <w:color w:val="auto"/>
                <w:sz w:val="21"/>
                <w:szCs w:val="30"/>
                <w:highlight w:val="none"/>
                <w:lang w:val="en-US" w:eastAsia="zh-CN"/>
              </w:rPr>
              <w:t>应急管理目标</w:t>
            </w:r>
          </w:p>
          <w:p w14:paraId="31679CA9">
            <w:pPr>
              <w:pStyle w:val="29"/>
              <w:numPr>
                <w:ilvl w:val="0"/>
                <w:numId w:val="0"/>
              </w:numPr>
              <w:spacing w:line="360" w:lineRule="auto"/>
              <w:ind w:firstLine="420" w:firstLineChars="200"/>
              <w:rPr>
                <w:rFonts w:hint="default" w:ascii="宋体" w:hAnsi="宋体"/>
                <w:b w:val="0"/>
                <w:bCs w:val="0"/>
                <w:color w:val="auto"/>
                <w:sz w:val="21"/>
                <w:szCs w:val="30"/>
                <w:highlight w:val="none"/>
                <w:lang w:val="en-US" w:eastAsia="zh-CN"/>
              </w:rPr>
            </w:pPr>
            <w:r>
              <w:rPr>
                <w:rFonts w:hint="default" w:ascii="宋体" w:hAnsi="宋体"/>
                <w:b w:val="0"/>
                <w:bCs w:val="0"/>
                <w:color w:val="auto"/>
                <w:sz w:val="21"/>
                <w:szCs w:val="30"/>
                <w:highlight w:val="none"/>
                <w:lang w:val="en-US" w:eastAsia="zh-CN"/>
              </w:rPr>
              <w:t>强化项目工作人员的紧急处置能力，“早发现、早报告、迅捷处置”。居安思危，防御为主。</w:t>
            </w:r>
          </w:p>
          <w:p w14:paraId="3283F380">
            <w:pPr>
              <w:pStyle w:val="29"/>
              <w:spacing w:line="360" w:lineRule="auto"/>
              <w:ind w:firstLine="422" w:firstLineChars="200"/>
              <w:rPr>
                <w:rFonts w:hint="eastAsia" w:ascii="宋体" w:hAnsi="宋体"/>
                <w:b/>
                <w:bCs/>
                <w:color w:val="auto"/>
                <w:sz w:val="21"/>
                <w:szCs w:val="30"/>
                <w:highlight w:val="none"/>
                <w:lang w:val="en-US" w:eastAsia="zh-CN"/>
              </w:rPr>
            </w:pPr>
            <w:r>
              <w:rPr>
                <w:rFonts w:hint="eastAsia" w:ascii="宋体" w:hAnsi="宋体"/>
                <w:b/>
                <w:bCs/>
                <w:color w:val="auto"/>
                <w:sz w:val="21"/>
                <w:szCs w:val="30"/>
                <w:highlight w:val="none"/>
                <w:lang w:val="en-US" w:eastAsia="zh-CN"/>
              </w:rPr>
              <w:t>三、运距及车辆选取</w:t>
            </w:r>
          </w:p>
          <w:p w14:paraId="287922F6">
            <w:pPr>
              <w:pStyle w:val="29"/>
              <w:spacing w:line="360" w:lineRule="auto"/>
              <w:ind w:firstLine="420" w:firstLineChars="200"/>
              <w:rPr>
                <w:rFonts w:hint="eastAsia" w:ascii="宋体" w:hAnsi="宋体"/>
                <w:b w:val="0"/>
                <w:bCs w:val="0"/>
                <w:color w:val="auto"/>
                <w:sz w:val="21"/>
                <w:szCs w:val="30"/>
                <w:highlight w:val="none"/>
                <w:lang w:val="en-US" w:eastAsia="zh-CN"/>
              </w:rPr>
            </w:pPr>
            <w:r>
              <w:rPr>
                <w:rFonts w:hint="eastAsia" w:ascii="宋体" w:hAnsi="宋体"/>
                <w:b w:val="0"/>
                <w:bCs w:val="0"/>
                <w:color w:val="auto"/>
                <w:sz w:val="21"/>
                <w:szCs w:val="30"/>
                <w:highlight w:val="none"/>
                <w:lang w:val="en-US" w:eastAsia="zh-CN"/>
              </w:rPr>
              <w:t>3.1 运输距离</w:t>
            </w:r>
          </w:p>
          <w:p w14:paraId="65D2A473">
            <w:pPr>
              <w:pStyle w:val="29"/>
              <w:spacing w:line="360" w:lineRule="auto"/>
              <w:ind w:firstLine="420" w:firstLineChars="200"/>
              <w:rPr>
                <w:rFonts w:hint="eastAsia" w:ascii="宋体" w:hAnsi="宋体"/>
                <w:b w:val="0"/>
                <w:bCs w:val="0"/>
                <w:color w:val="auto"/>
                <w:sz w:val="21"/>
                <w:szCs w:val="30"/>
                <w:highlight w:val="none"/>
                <w:lang w:val="en-US" w:eastAsia="zh-CN"/>
              </w:rPr>
            </w:pPr>
            <w:r>
              <w:rPr>
                <w:rFonts w:hint="eastAsia" w:ascii="宋体" w:hAnsi="宋体"/>
                <w:b w:val="0"/>
                <w:bCs w:val="0"/>
                <w:color w:val="auto"/>
                <w:sz w:val="21"/>
                <w:szCs w:val="30"/>
                <w:highlight w:val="none"/>
                <w:lang w:val="en-US" w:eastAsia="zh-CN"/>
              </w:rPr>
              <w:t>生活垃圾从藤县富吉生活垃圾卫生填埋场运送至梧州市静脉产业园，梧州康恒再生能源有限公司指定的垃圾坑内，单程距离约为47公里。</w:t>
            </w:r>
          </w:p>
          <w:p w14:paraId="2B1796B4">
            <w:pPr>
              <w:pStyle w:val="29"/>
              <w:spacing w:line="360" w:lineRule="auto"/>
              <w:ind w:firstLine="420" w:firstLineChars="200"/>
              <w:rPr>
                <w:rFonts w:hint="eastAsia" w:ascii="宋体" w:hAnsi="宋体"/>
                <w:b w:val="0"/>
                <w:bCs w:val="0"/>
                <w:color w:val="auto"/>
                <w:sz w:val="21"/>
                <w:szCs w:val="30"/>
                <w:highlight w:val="none"/>
                <w:lang w:val="en-US" w:eastAsia="zh-CN"/>
              </w:rPr>
            </w:pPr>
            <w:r>
              <w:rPr>
                <w:rFonts w:hint="eastAsia" w:ascii="宋体" w:hAnsi="宋体"/>
                <w:b w:val="0"/>
                <w:bCs w:val="0"/>
                <w:color w:val="auto"/>
                <w:sz w:val="21"/>
                <w:szCs w:val="30"/>
                <w:highlight w:val="none"/>
                <w:lang w:val="en-US" w:eastAsia="zh-CN"/>
              </w:rPr>
              <w:t>3.2车辆选取</w:t>
            </w:r>
          </w:p>
          <w:p w14:paraId="09F04828">
            <w:pPr>
              <w:pStyle w:val="29"/>
              <w:numPr>
                <w:ilvl w:val="0"/>
                <w:numId w:val="0"/>
              </w:numPr>
              <w:spacing w:line="360" w:lineRule="auto"/>
              <w:ind w:firstLine="420" w:firstLineChars="200"/>
              <w:rPr>
                <w:rFonts w:hint="eastAsia" w:ascii="宋体" w:hAnsi="宋体"/>
                <w:b w:val="0"/>
                <w:bCs w:val="0"/>
                <w:color w:val="auto"/>
                <w:sz w:val="21"/>
                <w:szCs w:val="30"/>
                <w:highlight w:val="none"/>
                <w:lang w:val="en-US" w:eastAsia="zh-CN"/>
              </w:rPr>
            </w:pPr>
            <w:r>
              <w:rPr>
                <w:rFonts w:hint="eastAsia" w:ascii="宋体" w:hAnsi="宋体"/>
                <w:b w:val="0"/>
                <w:bCs w:val="0"/>
                <w:color w:val="auto"/>
                <w:sz w:val="21"/>
                <w:szCs w:val="30"/>
                <w:highlight w:val="none"/>
                <w:lang w:val="en-US" w:eastAsia="zh-CN"/>
              </w:rPr>
              <w:t>根据市场通用的垃圾运输车辆结合藤县街道大小和人行交通的实际情况，拟采用六台大型后置式压缩车和两台铲车。</w:t>
            </w:r>
          </w:p>
          <w:p w14:paraId="2EF2E424">
            <w:pPr>
              <w:pStyle w:val="29"/>
              <w:spacing w:line="360" w:lineRule="auto"/>
              <w:ind w:firstLine="420" w:firstLineChars="200"/>
              <w:rPr>
                <w:rFonts w:hint="eastAsia" w:ascii="宋体" w:hAnsi="宋体"/>
                <w:b w:val="0"/>
                <w:bCs w:val="0"/>
                <w:color w:val="auto"/>
                <w:sz w:val="21"/>
                <w:szCs w:val="30"/>
                <w:highlight w:val="none"/>
                <w:lang w:val="en-US" w:eastAsia="zh-CN"/>
              </w:rPr>
            </w:pPr>
            <w:r>
              <w:rPr>
                <w:rFonts w:hint="eastAsia" w:ascii="宋体" w:hAnsi="宋体"/>
                <w:b w:val="0"/>
                <w:bCs w:val="0"/>
                <w:color w:val="auto"/>
                <w:sz w:val="21"/>
                <w:szCs w:val="30"/>
                <w:highlight w:val="none"/>
                <w:lang w:val="en-US" w:eastAsia="zh-CN"/>
              </w:rPr>
              <w:t>垃圾收集车整体外观整洁，功能完善，性能可靠，做到“三无”要求：无垃圾外露、无残余物外挂，无污水滴漏；遵守交通规则，不得超速超载行驶，遵守管理规定，文明礼貌，要求每天对车辆进行清洗和车况检查，保持车容车貌整洁干净。</w:t>
            </w:r>
          </w:p>
          <w:p w14:paraId="116B6E09">
            <w:pPr>
              <w:pStyle w:val="29"/>
              <w:spacing w:line="360" w:lineRule="auto"/>
              <w:ind w:firstLine="420" w:firstLineChars="200"/>
              <w:rPr>
                <w:rFonts w:hint="eastAsia" w:ascii="宋体" w:hAnsi="宋体"/>
                <w:b w:val="0"/>
                <w:bCs w:val="0"/>
                <w:color w:val="auto"/>
                <w:sz w:val="21"/>
                <w:szCs w:val="30"/>
                <w:highlight w:val="none"/>
                <w:lang w:val="en-US" w:eastAsia="zh-CN"/>
              </w:rPr>
            </w:pPr>
            <w:r>
              <w:rPr>
                <w:rFonts w:hint="eastAsia" w:ascii="宋体" w:hAnsi="宋体"/>
                <w:b w:val="0"/>
                <w:bCs w:val="0"/>
                <w:color w:val="auto"/>
                <w:sz w:val="21"/>
                <w:szCs w:val="30"/>
                <w:highlight w:val="none"/>
                <w:lang w:val="en-US" w:eastAsia="zh-CN"/>
              </w:rPr>
              <w:t>3.3车辆功能要求</w:t>
            </w:r>
          </w:p>
          <w:p w14:paraId="35382028">
            <w:pPr>
              <w:pStyle w:val="29"/>
              <w:spacing w:line="360" w:lineRule="auto"/>
              <w:ind w:firstLine="420" w:firstLineChars="200"/>
              <w:rPr>
                <w:rFonts w:hint="eastAsia" w:ascii="宋体" w:hAnsi="宋体"/>
                <w:b w:val="0"/>
                <w:bCs w:val="0"/>
                <w:color w:val="auto"/>
                <w:sz w:val="21"/>
                <w:szCs w:val="30"/>
                <w:highlight w:val="none"/>
                <w:lang w:val="en-US" w:eastAsia="zh-CN"/>
              </w:rPr>
            </w:pPr>
            <w:r>
              <w:rPr>
                <w:rFonts w:hint="eastAsia" w:ascii="宋体" w:hAnsi="宋体"/>
                <w:b w:val="0"/>
                <w:bCs w:val="0"/>
                <w:color w:val="auto"/>
                <w:sz w:val="21"/>
                <w:szCs w:val="30"/>
                <w:highlight w:val="none"/>
                <w:lang w:val="en-US" w:eastAsia="zh-CN"/>
              </w:rPr>
              <w:t>垃圾箱需采用高强度耐候钢板制作，侧板使用一体成形工艺，圆弧外形，结构牢固，外形美观，重量轻，受力好，装载量大。推铲由矩管骨架和高强度耐候板构成，流线形推面，不但结构轻巧，且装料顺畅，卸料干净彻底。</w:t>
            </w:r>
          </w:p>
          <w:p w14:paraId="0A7238D8">
            <w:pPr>
              <w:pStyle w:val="29"/>
              <w:spacing w:line="360" w:lineRule="auto"/>
              <w:ind w:firstLine="420" w:firstLineChars="200"/>
              <w:rPr>
                <w:rFonts w:hint="eastAsia" w:ascii="宋体" w:hAnsi="宋体"/>
                <w:b w:val="0"/>
                <w:bCs w:val="0"/>
                <w:color w:val="auto"/>
                <w:sz w:val="21"/>
                <w:szCs w:val="30"/>
                <w:highlight w:val="none"/>
                <w:lang w:val="en-US" w:eastAsia="zh-CN"/>
              </w:rPr>
            </w:pPr>
            <w:r>
              <w:rPr>
                <w:rFonts w:hint="eastAsia" w:ascii="宋体" w:hAnsi="宋体"/>
                <w:b w:val="0"/>
                <w:bCs w:val="0"/>
                <w:color w:val="auto"/>
                <w:sz w:val="21"/>
                <w:szCs w:val="30"/>
                <w:highlight w:val="none"/>
                <w:lang w:val="en-US" w:eastAsia="zh-CN"/>
              </w:rPr>
              <w:t>填装器主要由填装器总成、滑板、刮板等构件组成，各构件采用受力良好的梁板或箱型结构，均需采用高强度耐候钢板制作，结构牢固，重量轻。</w:t>
            </w:r>
          </w:p>
          <w:p w14:paraId="5212774E">
            <w:pPr>
              <w:pStyle w:val="29"/>
              <w:spacing w:line="360" w:lineRule="auto"/>
              <w:ind w:firstLine="420" w:firstLineChars="200"/>
              <w:rPr>
                <w:rFonts w:hint="eastAsia" w:ascii="宋体" w:hAnsi="宋体"/>
                <w:b w:val="0"/>
                <w:bCs w:val="0"/>
                <w:color w:val="auto"/>
                <w:sz w:val="21"/>
                <w:szCs w:val="30"/>
                <w:highlight w:val="none"/>
                <w:lang w:val="en-US" w:eastAsia="zh-CN"/>
              </w:rPr>
            </w:pPr>
            <w:r>
              <w:rPr>
                <w:rFonts w:hint="eastAsia" w:ascii="宋体" w:hAnsi="宋体"/>
                <w:b w:val="0"/>
                <w:bCs w:val="0"/>
                <w:color w:val="auto"/>
                <w:sz w:val="21"/>
                <w:szCs w:val="30"/>
                <w:highlight w:val="none"/>
                <w:lang w:val="en-US" w:eastAsia="zh-CN"/>
              </w:rPr>
              <w:t>垃圾在压缩装填和运输过程中处于封闭状态，消除转运过程中垃圾尘屑飞扬、臭气飘散的现象。垃圾箱与填装器接合面需装有特制的橡胶密封条，并采用液压锁紧装置压缩密封，要求密封性好；下部需设计有特殊结构的接水槽双重保护，有效防止污水滴漏，杜绝二次污染。车辆采用电液控制阀、PLC可编程控制系统，综合利用了电控、液压控制的优点，通过电一液联合控制，有效地解决液压系统与电气系统的接口问题，提高使用可靠性。作业时，通过电子油门控制器自动控制发动机功率输出，保证垃圾车在其各作业状态下，发动机能自动选择加速和息速状态，避免功率损耗和系统发热，耗油降低，经济性好。采用进口电液压多路阀和PLC(可编程序控制器)集成控制，并采用逻辑回路保证各操作指令按顺序执行，降低故障发生率，避免误操作造成的事故，提高可靠性。设置紧急停止按钮，可使垃圾压填作业装置在任何状态或任何位置停止，保障作业人员和设备的安全。举升油缸装有防爆阀，防止油管突然爆裂时填装器下降，同时设有安全撑杆，</w:t>
            </w:r>
          </w:p>
          <w:p w14:paraId="6F541E50">
            <w:pPr>
              <w:pStyle w:val="29"/>
              <w:spacing w:line="360" w:lineRule="auto"/>
              <w:ind w:firstLine="420" w:firstLineChars="200"/>
              <w:rPr>
                <w:rFonts w:hint="eastAsia" w:ascii="宋体" w:hAnsi="宋体"/>
                <w:b w:val="0"/>
                <w:bCs w:val="0"/>
                <w:color w:val="auto"/>
                <w:sz w:val="21"/>
                <w:szCs w:val="30"/>
                <w:highlight w:val="none"/>
                <w:lang w:val="en-US" w:eastAsia="zh-CN"/>
              </w:rPr>
            </w:pPr>
          </w:p>
          <w:p w14:paraId="39E8A5D3">
            <w:pPr>
              <w:pStyle w:val="29"/>
              <w:spacing w:line="360" w:lineRule="auto"/>
              <w:rPr>
                <w:rFonts w:hint="eastAsia" w:ascii="宋体" w:hAnsi="宋体"/>
                <w:b w:val="0"/>
                <w:bCs w:val="0"/>
                <w:color w:val="auto"/>
                <w:sz w:val="21"/>
                <w:szCs w:val="30"/>
                <w:highlight w:val="none"/>
                <w:lang w:val="en-US" w:eastAsia="zh-CN"/>
              </w:rPr>
            </w:pPr>
            <w:r>
              <w:rPr>
                <w:rFonts w:hint="eastAsia" w:ascii="宋体" w:hAnsi="宋体"/>
                <w:b w:val="0"/>
                <w:bCs w:val="0"/>
                <w:color w:val="auto"/>
                <w:sz w:val="21"/>
                <w:szCs w:val="30"/>
                <w:highlight w:val="none"/>
                <w:lang w:val="en-US" w:eastAsia="zh-CN"/>
              </w:rPr>
              <w:t>保证维修时人员安全。</w:t>
            </w:r>
          </w:p>
          <w:p w14:paraId="02678697">
            <w:pPr>
              <w:pStyle w:val="29"/>
              <w:spacing w:line="360" w:lineRule="auto"/>
              <w:ind w:firstLine="420" w:firstLineChars="200"/>
              <w:rPr>
                <w:rFonts w:hint="eastAsia" w:ascii="宋体" w:hAnsi="宋体"/>
                <w:b w:val="0"/>
                <w:bCs w:val="0"/>
                <w:color w:val="auto"/>
                <w:sz w:val="21"/>
                <w:szCs w:val="30"/>
                <w:highlight w:val="none"/>
                <w:lang w:val="en-US" w:eastAsia="zh-CN"/>
              </w:rPr>
            </w:pPr>
            <w:r>
              <w:rPr>
                <w:rFonts w:hint="eastAsia" w:ascii="宋体" w:hAnsi="宋体"/>
                <w:b w:val="0"/>
                <w:bCs w:val="0"/>
                <w:color w:val="auto"/>
                <w:sz w:val="21"/>
                <w:szCs w:val="30"/>
                <w:highlight w:val="none"/>
                <w:lang w:val="en-US" w:eastAsia="zh-CN"/>
              </w:rPr>
              <w:t>具有自动和手动两种操作方式，作业控制盒分别安装在驾驶室内和车尾，使用操作十分方便。</w:t>
            </w:r>
          </w:p>
          <w:p w14:paraId="56E38C90">
            <w:pPr>
              <w:pStyle w:val="29"/>
              <w:spacing w:line="360" w:lineRule="auto"/>
              <w:ind w:firstLine="420" w:firstLineChars="200"/>
              <w:rPr>
                <w:rFonts w:hint="eastAsia" w:ascii="宋体" w:hAnsi="宋体"/>
                <w:b w:val="0"/>
                <w:bCs w:val="0"/>
                <w:color w:val="auto"/>
                <w:sz w:val="21"/>
                <w:szCs w:val="30"/>
                <w:highlight w:val="none"/>
                <w:lang w:val="en-US" w:eastAsia="zh-CN"/>
              </w:rPr>
            </w:pPr>
            <w:r>
              <w:rPr>
                <w:rFonts w:hint="eastAsia" w:ascii="宋体" w:hAnsi="宋体"/>
                <w:b w:val="0"/>
                <w:bCs w:val="0"/>
                <w:color w:val="auto"/>
                <w:sz w:val="21"/>
                <w:szCs w:val="30"/>
                <w:highlight w:val="none"/>
                <w:lang w:val="en-US" w:eastAsia="zh-CN"/>
              </w:rPr>
              <w:t>可根据不同的垃圾搜集方式，选装不同的翻桶(斗)机构:翻标准垃圾铁桶(300L)，塑料垃圾桶(240L)、随车小垃圾斗(800L)、密封遮盖式垃圾斗(1400L)、大垃圾斗(3350L)。</w:t>
            </w:r>
          </w:p>
          <w:p w14:paraId="0ED03D56">
            <w:pPr>
              <w:pStyle w:val="29"/>
              <w:spacing w:line="360" w:lineRule="auto"/>
              <w:ind w:firstLine="420" w:firstLineChars="200"/>
              <w:rPr>
                <w:rFonts w:hint="eastAsia" w:ascii="宋体" w:hAnsi="宋体"/>
                <w:b w:val="0"/>
                <w:bCs w:val="0"/>
                <w:color w:val="auto"/>
                <w:sz w:val="21"/>
                <w:szCs w:val="30"/>
                <w:highlight w:val="none"/>
                <w:lang w:val="en-US" w:eastAsia="zh-CN"/>
              </w:rPr>
            </w:pPr>
            <w:r>
              <w:rPr>
                <w:rFonts w:hint="eastAsia" w:ascii="宋体" w:hAnsi="宋体"/>
                <w:b w:val="0"/>
                <w:bCs w:val="0"/>
                <w:color w:val="auto"/>
                <w:sz w:val="21"/>
                <w:szCs w:val="30"/>
                <w:highlight w:val="none"/>
                <w:lang w:val="en-US" w:eastAsia="zh-CN"/>
              </w:rPr>
              <w:t>3.4车辆的参数要求</w:t>
            </w:r>
          </w:p>
          <w:tbl>
            <w:tblPr>
              <w:tblStyle w:val="48"/>
              <w:tblW w:w="6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5345"/>
            </w:tblGrid>
            <w:tr w14:paraId="270F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14:paraId="4217D0FB">
                  <w:pPr>
                    <w:pStyle w:val="15"/>
                    <w:spacing w:line="360" w:lineRule="auto"/>
                    <w:rPr>
                      <w:rFonts w:hint="default" w:ascii="宋体" w:hAnsi="宋体" w:eastAsia="宋体" w:cs="Times New Roman"/>
                      <w:color w:val="auto"/>
                      <w:kern w:val="0"/>
                      <w:sz w:val="21"/>
                      <w:szCs w:val="30"/>
                      <w:highlight w:val="none"/>
                      <w:vertAlign w:val="baseline"/>
                      <w:lang w:val="en-US" w:eastAsia="zh-CN" w:bidi="ar-SA"/>
                    </w:rPr>
                  </w:pPr>
                  <w:r>
                    <w:rPr>
                      <w:rFonts w:hint="eastAsia" w:ascii="宋体" w:hAnsi="宋体" w:cs="Times New Roman"/>
                      <w:color w:val="auto"/>
                      <w:kern w:val="0"/>
                      <w:sz w:val="21"/>
                      <w:szCs w:val="30"/>
                      <w:highlight w:val="none"/>
                      <w:vertAlign w:val="baseline"/>
                      <w:lang w:val="en-US" w:eastAsia="zh-CN" w:bidi="ar-SA"/>
                    </w:rPr>
                    <w:t>车型</w:t>
                  </w:r>
                </w:p>
              </w:tc>
              <w:tc>
                <w:tcPr>
                  <w:tcW w:w="5345" w:type="dxa"/>
                </w:tcPr>
                <w:p w14:paraId="566C89CA">
                  <w:pPr>
                    <w:pStyle w:val="15"/>
                    <w:spacing w:line="360" w:lineRule="auto"/>
                    <w:rPr>
                      <w:rFonts w:hint="default" w:ascii="宋体" w:hAnsi="宋体" w:eastAsia="宋体" w:cs="Times New Roman"/>
                      <w:color w:val="auto"/>
                      <w:kern w:val="0"/>
                      <w:sz w:val="21"/>
                      <w:szCs w:val="30"/>
                      <w:highlight w:val="none"/>
                      <w:vertAlign w:val="baseline"/>
                      <w:lang w:val="en-US" w:eastAsia="zh-CN" w:bidi="ar-SA"/>
                    </w:rPr>
                  </w:pPr>
                  <w:r>
                    <w:rPr>
                      <w:rFonts w:hint="eastAsia" w:ascii="宋体" w:hAnsi="宋体" w:cs="Times New Roman"/>
                      <w:color w:val="auto"/>
                      <w:kern w:val="0"/>
                      <w:sz w:val="21"/>
                      <w:szCs w:val="30"/>
                      <w:highlight w:val="none"/>
                      <w:vertAlign w:val="baseline"/>
                      <w:lang w:val="en-US" w:eastAsia="zh-CN" w:bidi="ar-SA"/>
                    </w:rPr>
                    <w:t>参数要求</w:t>
                  </w:r>
                </w:p>
              </w:tc>
            </w:tr>
            <w:tr w14:paraId="30371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14:paraId="505D54EF">
                  <w:pPr>
                    <w:pStyle w:val="15"/>
                    <w:spacing w:line="360" w:lineRule="auto"/>
                    <w:rPr>
                      <w:rFonts w:hint="default" w:ascii="宋体" w:hAnsi="宋体" w:eastAsia="宋体" w:cs="Times New Roman"/>
                      <w:color w:val="auto"/>
                      <w:kern w:val="0"/>
                      <w:sz w:val="21"/>
                      <w:szCs w:val="30"/>
                      <w:highlight w:val="none"/>
                      <w:vertAlign w:val="baseline"/>
                      <w:lang w:val="en-US" w:eastAsia="zh-CN" w:bidi="ar-SA"/>
                    </w:rPr>
                  </w:pPr>
                  <w:r>
                    <w:rPr>
                      <w:rFonts w:hint="default" w:ascii="宋体" w:hAnsi="宋体" w:eastAsia="宋体" w:cs="Times New Roman"/>
                      <w:color w:val="auto"/>
                      <w:kern w:val="0"/>
                      <w:sz w:val="21"/>
                      <w:szCs w:val="30"/>
                      <w:highlight w:val="none"/>
                      <w:vertAlign w:val="baseline"/>
                      <w:lang w:val="en-US" w:eastAsia="zh-CN" w:bidi="ar-SA"/>
                    </w:rPr>
                    <w:t>后置式压</w:t>
                  </w:r>
                  <w:r>
                    <w:rPr>
                      <w:rFonts w:hint="eastAsia" w:ascii="宋体" w:hAnsi="宋体" w:cs="Times New Roman"/>
                      <w:color w:val="auto"/>
                      <w:kern w:val="0"/>
                      <w:sz w:val="21"/>
                      <w:szCs w:val="30"/>
                      <w:highlight w:val="none"/>
                      <w:vertAlign w:val="baseline"/>
                      <w:lang w:val="en-US" w:eastAsia="zh-CN" w:bidi="ar-SA"/>
                    </w:rPr>
                    <w:t>缩车</w:t>
                  </w:r>
                </w:p>
              </w:tc>
              <w:tc>
                <w:tcPr>
                  <w:tcW w:w="5345" w:type="dxa"/>
                </w:tcPr>
                <w:p w14:paraId="74E09A78">
                  <w:pPr>
                    <w:pStyle w:val="15"/>
                    <w:spacing w:line="360" w:lineRule="auto"/>
                    <w:rPr>
                      <w:rFonts w:hint="default" w:ascii="宋体" w:hAnsi="宋体" w:eastAsia="宋体" w:cs="Times New Roman"/>
                      <w:color w:val="auto"/>
                      <w:kern w:val="0"/>
                      <w:sz w:val="21"/>
                      <w:szCs w:val="30"/>
                      <w:highlight w:val="none"/>
                      <w:vertAlign w:val="baseline"/>
                      <w:lang w:val="en-US" w:eastAsia="zh-CN" w:bidi="ar-SA"/>
                    </w:rPr>
                  </w:pPr>
                  <w:r>
                    <w:rPr>
                      <w:rFonts w:hint="default" w:ascii="宋体" w:hAnsi="宋体" w:eastAsia="宋体" w:cs="Times New Roman"/>
                      <w:color w:val="auto"/>
                      <w:kern w:val="0"/>
                      <w:sz w:val="21"/>
                      <w:szCs w:val="30"/>
                      <w:highlight w:val="none"/>
                      <w:vertAlign w:val="baseline"/>
                      <w:lang w:val="en-US" w:eastAsia="zh-CN" w:bidi="ar-SA"/>
                    </w:rPr>
                    <w:t>发动机功率:≦180W</w:t>
                  </w:r>
                  <w:r>
                    <w:rPr>
                      <w:rFonts w:hint="eastAsia" w:ascii="宋体" w:hAnsi="宋体" w:cs="Times New Roman"/>
                      <w:color w:val="auto"/>
                      <w:kern w:val="0"/>
                      <w:sz w:val="21"/>
                      <w:szCs w:val="30"/>
                      <w:highlight w:val="none"/>
                      <w:vertAlign w:val="baseline"/>
                      <w:lang w:val="en-US" w:eastAsia="zh-CN" w:bidi="ar-SA"/>
                    </w:rPr>
                    <w:t>；</w:t>
                  </w:r>
                  <w:r>
                    <w:rPr>
                      <w:rFonts w:hint="default" w:ascii="宋体" w:hAnsi="宋体" w:eastAsia="宋体" w:cs="Times New Roman"/>
                      <w:color w:val="auto"/>
                      <w:kern w:val="0"/>
                      <w:sz w:val="21"/>
                      <w:szCs w:val="30"/>
                      <w:highlight w:val="none"/>
                      <w:vertAlign w:val="baseline"/>
                      <w:lang w:val="en-US" w:eastAsia="zh-CN" w:bidi="ar-SA"/>
                    </w:rPr>
                    <w:t>控制方式:手动、自动</w:t>
                  </w:r>
                  <w:r>
                    <w:rPr>
                      <w:rFonts w:hint="eastAsia" w:ascii="宋体" w:hAnsi="宋体" w:cs="Times New Roman"/>
                      <w:color w:val="auto"/>
                      <w:kern w:val="0"/>
                      <w:sz w:val="21"/>
                      <w:szCs w:val="30"/>
                      <w:highlight w:val="none"/>
                      <w:vertAlign w:val="baseline"/>
                      <w:lang w:val="en-US" w:eastAsia="zh-CN" w:bidi="ar-SA"/>
                    </w:rPr>
                    <w:t>；</w:t>
                  </w:r>
                  <w:r>
                    <w:rPr>
                      <w:rFonts w:hint="default" w:ascii="宋体" w:hAnsi="宋体" w:eastAsia="宋体" w:cs="Times New Roman"/>
                      <w:color w:val="auto"/>
                      <w:kern w:val="0"/>
                      <w:sz w:val="21"/>
                      <w:szCs w:val="30"/>
                      <w:highlight w:val="none"/>
                      <w:vertAlign w:val="baseline"/>
                      <w:lang w:val="en-US" w:eastAsia="zh-CN" w:bidi="ar-SA"/>
                    </w:rPr>
                    <w:t>上料循环时间:≦10s</w:t>
                  </w:r>
                  <w:r>
                    <w:rPr>
                      <w:rFonts w:hint="eastAsia" w:ascii="宋体" w:hAnsi="宋体" w:cs="Times New Roman"/>
                      <w:color w:val="auto"/>
                      <w:kern w:val="0"/>
                      <w:sz w:val="21"/>
                      <w:szCs w:val="30"/>
                      <w:highlight w:val="none"/>
                      <w:vertAlign w:val="baseline"/>
                      <w:lang w:val="en-US" w:eastAsia="zh-CN" w:bidi="ar-SA"/>
                    </w:rPr>
                    <w:t>；</w:t>
                  </w:r>
                  <w:r>
                    <w:rPr>
                      <w:rFonts w:hint="default" w:ascii="宋体" w:hAnsi="宋体" w:eastAsia="宋体" w:cs="Times New Roman"/>
                      <w:color w:val="auto"/>
                      <w:kern w:val="0"/>
                      <w:sz w:val="21"/>
                      <w:szCs w:val="30"/>
                      <w:highlight w:val="none"/>
                      <w:vertAlign w:val="baseline"/>
                      <w:lang w:val="en-US" w:eastAsia="zh-CN" w:bidi="ar-SA"/>
                    </w:rPr>
                    <w:t>最大总质量:25000 kg</w:t>
                  </w:r>
                  <w:r>
                    <w:rPr>
                      <w:rFonts w:hint="eastAsia" w:ascii="宋体" w:hAnsi="宋体" w:cs="Times New Roman"/>
                      <w:color w:val="auto"/>
                      <w:kern w:val="0"/>
                      <w:sz w:val="21"/>
                      <w:szCs w:val="30"/>
                      <w:highlight w:val="none"/>
                      <w:vertAlign w:val="baseline"/>
                      <w:lang w:val="en-US" w:eastAsia="zh-CN" w:bidi="ar-SA"/>
                    </w:rPr>
                    <w:t>；</w:t>
                  </w:r>
                  <w:r>
                    <w:rPr>
                      <w:rFonts w:hint="default" w:ascii="宋体" w:hAnsi="宋体" w:eastAsia="宋体" w:cs="Times New Roman"/>
                      <w:color w:val="auto"/>
                      <w:kern w:val="0"/>
                      <w:sz w:val="21"/>
                      <w:szCs w:val="30"/>
                      <w:highlight w:val="none"/>
                      <w:vertAlign w:val="baseline"/>
                      <w:lang w:val="en-US" w:eastAsia="zh-CN" w:bidi="ar-SA"/>
                    </w:rPr>
                    <w:t>污水箱容积:650L</w:t>
                  </w:r>
                  <w:r>
                    <w:rPr>
                      <w:rFonts w:hint="eastAsia" w:ascii="宋体" w:hAnsi="宋体" w:cs="Times New Roman"/>
                      <w:color w:val="auto"/>
                      <w:kern w:val="0"/>
                      <w:sz w:val="21"/>
                      <w:szCs w:val="30"/>
                      <w:highlight w:val="none"/>
                      <w:vertAlign w:val="baseline"/>
                      <w:lang w:val="en-US" w:eastAsia="zh-CN" w:bidi="ar-SA"/>
                    </w:rPr>
                    <w:t>；</w:t>
                  </w:r>
                  <w:r>
                    <w:rPr>
                      <w:rFonts w:hint="default" w:ascii="宋体" w:hAnsi="宋体" w:eastAsia="宋体" w:cs="Times New Roman"/>
                      <w:color w:val="auto"/>
                      <w:kern w:val="0"/>
                      <w:sz w:val="21"/>
                      <w:szCs w:val="30"/>
                      <w:highlight w:val="none"/>
                      <w:vertAlign w:val="baseline"/>
                      <w:lang w:val="en-US" w:eastAsia="zh-CN" w:bidi="ar-SA"/>
                    </w:rPr>
                    <w:t>环保标准:国V</w:t>
                  </w:r>
                  <w:r>
                    <w:rPr>
                      <w:rFonts w:hint="eastAsia" w:ascii="宋体" w:hAnsi="宋体" w:cs="Times New Roman"/>
                      <w:color w:val="auto"/>
                      <w:kern w:val="0"/>
                      <w:sz w:val="21"/>
                      <w:szCs w:val="30"/>
                      <w:highlight w:val="none"/>
                      <w:vertAlign w:val="baseline"/>
                      <w:lang w:val="en-US" w:eastAsia="zh-CN" w:bidi="ar-SA"/>
                    </w:rPr>
                    <w:t>；</w:t>
                  </w:r>
                  <w:r>
                    <w:rPr>
                      <w:rFonts w:hint="default" w:ascii="宋体" w:hAnsi="宋体" w:eastAsia="宋体" w:cs="Times New Roman"/>
                      <w:color w:val="auto"/>
                      <w:kern w:val="0"/>
                      <w:sz w:val="21"/>
                      <w:szCs w:val="30"/>
                      <w:highlight w:val="none"/>
                      <w:vertAlign w:val="baseline"/>
                      <w:lang w:val="en-US" w:eastAsia="zh-CN" w:bidi="ar-SA"/>
                    </w:rPr>
                    <w:t>压缩循环时间:≦30s</w:t>
                  </w:r>
                  <w:r>
                    <w:rPr>
                      <w:rFonts w:hint="eastAsia" w:ascii="宋体" w:hAnsi="宋体" w:cs="Times New Roman"/>
                      <w:color w:val="auto"/>
                      <w:kern w:val="0"/>
                      <w:sz w:val="21"/>
                      <w:szCs w:val="30"/>
                      <w:highlight w:val="none"/>
                      <w:vertAlign w:val="baseline"/>
                      <w:lang w:val="en-US" w:eastAsia="zh-CN" w:bidi="ar-SA"/>
                    </w:rPr>
                    <w:t>；</w:t>
                  </w:r>
                  <w:r>
                    <w:rPr>
                      <w:rFonts w:hint="default" w:ascii="宋体" w:hAnsi="宋体" w:eastAsia="宋体" w:cs="Times New Roman"/>
                      <w:color w:val="auto"/>
                      <w:kern w:val="0"/>
                      <w:sz w:val="21"/>
                      <w:szCs w:val="30"/>
                      <w:highlight w:val="none"/>
                      <w:vertAlign w:val="baseline"/>
                      <w:lang w:val="en-US" w:eastAsia="zh-CN" w:bidi="ar-SA"/>
                    </w:rPr>
                    <w:t>垃圾箱有效容积:约19.95m</w:t>
                  </w:r>
                  <w:r>
                    <w:rPr>
                      <w:rFonts w:hint="eastAsia" w:ascii="宋体" w:hAnsi="宋体" w:cs="Times New Roman"/>
                      <w:color w:val="auto"/>
                      <w:kern w:val="0"/>
                      <w:sz w:val="21"/>
                      <w:szCs w:val="30"/>
                      <w:highlight w:val="none"/>
                      <w:vertAlign w:val="baseline"/>
                      <w:lang w:val="en-US" w:eastAsia="zh-CN" w:bidi="ar-SA"/>
                    </w:rPr>
                    <w:t>；</w:t>
                  </w:r>
                  <w:r>
                    <w:rPr>
                      <w:rFonts w:hint="default" w:ascii="宋体" w:hAnsi="宋体" w:eastAsia="宋体" w:cs="Times New Roman"/>
                      <w:color w:val="auto"/>
                      <w:kern w:val="0"/>
                      <w:sz w:val="21"/>
                      <w:szCs w:val="30"/>
                      <w:highlight w:val="none"/>
                      <w:vertAlign w:val="baseline"/>
                      <w:lang w:val="en-US" w:eastAsia="zh-CN" w:bidi="ar-SA"/>
                    </w:rPr>
                    <w:t>卸料循环时间:≦55s</w:t>
                  </w:r>
                </w:p>
              </w:tc>
            </w:tr>
            <w:tr w14:paraId="749C3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14:paraId="32A8B677">
                  <w:pPr>
                    <w:pStyle w:val="15"/>
                    <w:spacing w:line="360" w:lineRule="auto"/>
                    <w:rPr>
                      <w:rFonts w:hint="default" w:ascii="宋体" w:hAnsi="宋体" w:eastAsia="宋体" w:cs="Times New Roman"/>
                      <w:color w:val="auto"/>
                      <w:kern w:val="0"/>
                      <w:sz w:val="21"/>
                      <w:szCs w:val="30"/>
                      <w:highlight w:val="none"/>
                      <w:vertAlign w:val="baseline"/>
                      <w:lang w:val="en-US" w:eastAsia="zh-CN" w:bidi="ar-SA"/>
                    </w:rPr>
                  </w:pPr>
                  <w:r>
                    <w:rPr>
                      <w:rFonts w:hint="default" w:ascii="宋体" w:hAnsi="宋体" w:eastAsia="宋体" w:cs="Times New Roman"/>
                      <w:color w:val="auto"/>
                      <w:kern w:val="0"/>
                      <w:sz w:val="21"/>
                      <w:szCs w:val="30"/>
                      <w:highlight w:val="none"/>
                      <w:vertAlign w:val="baseline"/>
                      <w:lang w:val="en-US" w:eastAsia="zh-CN" w:bidi="ar-SA"/>
                    </w:rPr>
                    <w:t>多用型运输车</w:t>
                  </w:r>
                </w:p>
              </w:tc>
              <w:tc>
                <w:tcPr>
                  <w:tcW w:w="5345" w:type="dxa"/>
                </w:tcPr>
                <w:p w14:paraId="381331BB">
                  <w:pPr>
                    <w:pStyle w:val="15"/>
                    <w:spacing w:line="360" w:lineRule="auto"/>
                    <w:rPr>
                      <w:rFonts w:hint="default" w:ascii="宋体" w:hAnsi="宋体" w:eastAsia="宋体" w:cs="Times New Roman"/>
                      <w:color w:val="auto"/>
                      <w:kern w:val="0"/>
                      <w:sz w:val="21"/>
                      <w:szCs w:val="30"/>
                      <w:highlight w:val="none"/>
                      <w:vertAlign w:val="baseline"/>
                      <w:lang w:val="en-US" w:eastAsia="zh-CN" w:bidi="ar-SA"/>
                    </w:rPr>
                  </w:pPr>
                  <w:r>
                    <w:rPr>
                      <w:rFonts w:hint="default" w:ascii="宋体" w:hAnsi="宋体" w:eastAsia="宋体" w:cs="Times New Roman"/>
                      <w:color w:val="auto"/>
                      <w:kern w:val="0"/>
                      <w:sz w:val="21"/>
                      <w:szCs w:val="30"/>
                      <w:highlight w:val="none"/>
                      <w:vertAlign w:val="baseline"/>
                      <w:lang w:val="en-US" w:eastAsia="zh-CN" w:bidi="ar-SA"/>
                    </w:rPr>
                    <w:t>整车整备质量:约7900kg</w:t>
                  </w:r>
                  <w:r>
                    <w:rPr>
                      <w:rFonts w:hint="eastAsia" w:ascii="宋体" w:hAnsi="宋体" w:cs="Times New Roman"/>
                      <w:color w:val="auto"/>
                      <w:kern w:val="0"/>
                      <w:sz w:val="21"/>
                      <w:szCs w:val="30"/>
                      <w:highlight w:val="none"/>
                      <w:vertAlign w:val="baseline"/>
                      <w:lang w:val="en-US" w:eastAsia="zh-CN" w:bidi="ar-SA"/>
                    </w:rPr>
                    <w:t>；</w:t>
                  </w:r>
                  <w:r>
                    <w:rPr>
                      <w:rFonts w:hint="default" w:ascii="宋体" w:hAnsi="宋体" w:eastAsia="宋体" w:cs="Times New Roman"/>
                      <w:color w:val="auto"/>
                      <w:kern w:val="0"/>
                      <w:sz w:val="21"/>
                      <w:szCs w:val="30"/>
                      <w:highlight w:val="none"/>
                      <w:vertAlign w:val="baseline"/>
                      <w:lang w:val="en-US" w:eastAsia="zh-CN" w:bidi="ar-SA"/>
                    </w:rPr>
                    <w:t>额定载质量:约9905 kg</w:t>
                  </w:r>
                  <w:r>
                    <w:rPr>
                      <w:rFonts w:hint="eastAsia" w:ascii="宋体" w:hAnsi="宋体" w:cs="Times New Roman"/>
                      <w:color w:val="auto"/>
                      <w:kern w:val="0"/>
                      <w:sz w:val="21"/>
                      <w:szCs w:val="30"/>
                      <w:highlight w:val="none"/>
                      <w:vertAlign w:val="baseline"/>
                      <w:lang w:val="en-US" w:eastAsia="zh-CN" w:bidi="ar-SA"/>
                    </w:rPr>
                    <w:t>；</w:t>
                  </w:r>
                </w:p>
                <w:p w14:paraId="126D2F41">
                  <w:pPr>
                    <w:pStyle w:val="15"/>
                    <w:spacing w:line="360" w:lineRule="auto"/>
                    <w:rPr>
                      <w:rFonts w:hint="default" w:ascii="宋体" w:hAnsi="宋体" w:eastAsia="宋体" w:cs="Times New Roman"/>
                      <w:color w:val="auto"/>
                      <w:kern w:val="0"/>
                      <w:sz w:val="21"/>
                      <w:szCs w:val="30"/>
                      <w:highlight w:val="none"/>
                      <w:vertAlign w:val="baseline"/>
                      <w:lang w:val="en-US" w:eastAsia="zh-CN" w:bidi="ar-SA"/>
                    </w:rPr>
                  </w:pPr>
                  <w:r>
                    <w:rPr>
                      <w:rFonts w:hint="default" w:ascii="宋体" w:hAnsi="宋体" w:eastAsia="宋体" w:cs="Times New Roman"/>
                      <w:color w:val="auto"/>
                      <w:kern w:val="0"/>
                      <w:sz w:val="21"/>
                      <w:szCs w:val="30"/>
                      <w:highlight w:val="none"/>
                      <w:vertAlign w:val="baseline"/>
                      <w:lang w:val="en-US" w:eastAsia="zh-CN" w:bidi="ar-SA"/>
                    </w:rPr>
                    <w:t>最大允许总质量:约18000 kg;最大设计车速:98 km/h</w:t>
                  </w:r>
                  <w:r>
                    <w:rPr>
                      <w:rFonts w:hint="eastAsia" w:ascii="宋体" w:hAnsi="宋体" w:cs="Times New Roman"/>
                      <w:color w:val="auto"/>
                      <w:kern w:val="0"/>
                      <w:sz w:val="21"/>
                      <w:szCs w:val="30"/>
                      <w:highlight w:val="none"/>
                      <w:vertAlign w:val="baseline"/>
                      <w:lang w:val="en-US" w:eastAsia="zh-CN" w:bidi="ar-SA"/>
                    </w:rPr>
                    <w:t>；</w:t>
                  </w:r>
                  <w:r>
                    <w:rPr>
                      <w:rFonts w:hint="default" w:ascii="宋体" w:hAnsi="宋体" w:eastAsia="宋体" w:cs="Times New Roman"/>
                      <w:color w:val="auto"/>
                      <w:kern w:val="0"/>
                      <w:sz w:val="21"/>
                      <w:szCs w:val="30"/>
                      <w:highlight w:val="none"/>
                      <w:vertAlign w:val="baseline"/>
                      <w:lang w:val="en-US" w:eastAsia="zh-CN" w:bidi="ar-SA"/>
                    </w:rPr>
                    <w:t>最大爬坡度:30%</w:t>
                  </w:r>
                  <w:r>
                    <w:rPr>
                      <w:rFonts w:hint="eastAsia" w:ascii="宋体" w:hAnsi="宋体" w:cs="Times New Roman"/>
                      <w:color w:val="auto"/>
                      <w:kern w:val="0"/>
                      <w:sz w:val="21"/>
                      <w:szCs w:val="30"/>
                      <w:highlight w:val="none"/>
                      <w:vertAlign w:val="baseline"/>
                      <w:lang w:val="en-US" w:eastAsia="zh-CN" w:bidi="ar-SA"/>
                    </w:rPr>
                    <w:t>；</w:t>
                  </w:r>
                  <w:r>
                    <w:rPr>
                      <w:rFonts w:hint="default" w:ascii="宋体" w:hAnsi="宋体" w:eastAsia="宋体" w:cs="Times New Roman"/>
                      <w:color w:val="auto"/>
                      <w:kern w:val="0"/>
                      <w:sz w:val="21"/>
                      <w:szCs w:val="30"/>
                      <w:highlight w:val="none"/>
                      <w:vertAlign w:val="baseline"/>
                      <w:lang w:val="en-US" w:eastAsia="zh-CN" w:bidi="ar-SA"/>
                    </w:rPr>
                    <w:t>卸料循环时间:≦60</w:t>
                  </w:r>
                  <w:r>
                    <w:rPr>
                      <w:rFonts w:hint="eastAsia" w:ascii="宋体" w:hAnsi="宋体" w:cs="Times New Roman"/>
                      <w:color w:val="auto"/>
                      <w:kern w:val="0"/>
                      <w:sz w:val="21"/>
                      <w:szCs w:val="30"/>
                      <w:highlight w:val="none"/>
                      <w:vertAlign w:val="baseline"/>
                      <w:lang w:val="en-US" w:eastAsia="zh-CN" w:bidi="ar-SA"/>
                    </w:rPr>
                    <w:t>；</w:t>
                  </w:r>
                  <w:r>
                    <w:rPr>
                      <w:rFonts w:hint="default" w:ascii="宋体" w:hAnsi="宋体" w:eastAsia="宋体" w:cs="Times New Roman"/>
                      <w:color w:val="auto"/>
                      <w:kern w:val="0"/>
                      <w:sz w:val="21"/>
                      <w:szCs w:val="30"/>
                      <w:highlight w:val="none"/>
                      <w:vertAlign w:val="baseline"/>
                      <w:lang w:val="en-US" w:eastAsia="zh-CN" w:bidi="ar-SA"/>
                    </w:rPr>
                    <w:t>对接高度:1410mm;接近角:20°</w:t>
                  </w:r>
                  <w:r>
                    <w:rPr>
                      <w:rFonts w:hint="eastAsia" w:ascii="宋体" w:hAnsi="宋体" w:cs="Times New Roman"/>
                      <w:color w:val="auto"/>
                      <w:kern w:val="0"/>
                      <w:sz w:val="21"/>
                      <w:szCs w:val="30"/>
                      <w:highlight w:val="none"/>
                      <w:vertAlign w:val="baseline"/>
                      <w:lang w:val="en-US" w:eastAsia="zh-CN" w:bidi="ar-SA"/>
                    </w:rPr>
                    <w:t>；</w:t>
                  </w:r>
                  <w:r>
                    <w:rPr>
                      <w:rFonts w:hint="default" w:ascii="宋体" w:hAnsi="宋体" w:eastAsia="宋体" w:cs="Times New Roman"/>
                      <w:color w:val="auto"/>
                      <w:kern w:val="0"/>
                      <w:sz w:val="21"/>
                      <w:szCs w:val="30"/>
                      <w:highlight w:val="none"/>
                      <w:vertAlign w:val="baseline"/>
                      <w:lang w:val="en-US" w:eastAsia="zh-CN" w:bidi="ar-SA"/>
                    </w:rPr>
                    <w:t>离去角:25°</w:t>
                  </w:r>
                  <w:r>
                    <w:rPr>
                      <w:rFonts w:hint="eastAsia" w:ascii="宋体" w:hAnsi="宋体" w:cs="Times New Roman"/>
                      <w:color w:val="auto"/>
                      <w:kern w:val="0"/>
                      <w:sz w:val="21"/>
                      <w:szCs w:val="30"/>
                      <w:highlight w:val="none"/>
                      <w:vertAlign w:val="baseline"/>
                      <w:lang w:val="en-US" w:eastAsia="zh-CN" w:bidi="ar-SA"/>
                    </w:rPr>
                    <w:t>；</w:t>
                  </w:r>
                  <w:r>
                    <w:rPr>
                      <w:rFonts w:hint="default" w:ascii="宋体" w:hAnsi="宋体" w:eastAsia="宋体" w:cs="Times New Roman"/>
                      <w:color w:val="auto"/>
                      <w:kern w:val="0"/>
                      <w:sz w:val="21"/>
                      <w:szCs w:val="30"/>
                      <w:highlight w:val="none"/>
                      <w:vertAlign w:val="baseline"/>
                      <w:lang w:val="en-US" w:eastAsia="zh-CN" w:bidi="ar-SA"/>
                    </w:rPr>
                    <w:t>垃圾箱容积:约16m</w:t>
                  </w:r>
                  <w:r>
                    <w:rPr>
                      <w:rFonts w:hint="eastAsia" w:ascii="宋体" w:hAnsi="宋体" w:cs="Times New Roman"/>
                      <w:color w:val="auto"/>
                      <w:kern w:val="0"/>
                      <w:sz w:val="21"/>
                      <w:szCs w:val="30"/>
                      <w:highlight w:val="none"/>
                      <w:vertAlign w:val="baseline"/>
                      <w:lang w:val="en-US" w:eastAsia="zh-CN" w:bidi="ar-SA"/>
                    </w:rPr>
                    <w:t>；</w:t>
                  </w:r>
                </w:p>
                <w:p w14:paraId="4C13441D">
                  <w:pPr>
                    <w:pStyle w:val="15"/>
                    <w:spacing w:line="360" w:lineRule="auto"/>
                    <w:rPr>
                      <w:rFonts w:hint="default" w:ascii="宋体" w:hAnsi="宋体" w:eastAsia="宋体" w:cs="Times New Roman"/>
                      <w:color w:val="auto"/>
                      <w:kern w:val="0"/>
                      <w:sz w:val="21"/>
                      <w:szCs w:val="30"/>
                      <w:highlight w:val="none"/>
                      <w:vertAlign w:val="baseline"/>
                      <w:lang w:val="en-US" w:eastAsia="zh-CN" w:bidi="ar-SA"/>
                    </w:rPr>
                  </w:pPr>
                  <w:r>
                    <w:rPr>
                      <w:rFonts w:hint="default" w:ascii="宋体" w:hAnsi="宋体" w:eastAsia="宋体" w:cs="Times New Roman"/>
                      <w:color w:val="auto"/>
                      <w:kern w:val="0"/>
                      <w:sz w:val="21"/>
                      <w:szCs w:val="30"/>
                      <w:highlight w:val="none"/>
                      <w:vertAlign w:val="baseline"/>
                      <w:lang w:val="en-US" w:eastAsia="zh-CN" w:bidi="ar-SA"/>
                    </w:rPr>
                    <w:t>最大系统压力:18Mpa</w:t>
                  </w:r>
                  <w:r>
                    <w:rPr>
                      <w:rFonts w:hint="eastAsia" w:ascii="宋体" w:hAnsi="宋体" w:cs="Times New Roman"/>
                      <w:color w:val="auto"/>
                      <w:kern w:val="0"/>
                      <w:sz w:val="21"/>
                      <w:szCs w:val="30"/>
                      <w:highlight w:val="none"/>
                      <w:vertAlign w:val="baseline"/>
                      <w:lang w:val="en-US" w:eastAsia="zh-CN" w:bidi="ar-SA"/>
                    </w:rPr>
                    <w:t>；</w:t>
                  </w:r>
                  <w:r>
                    <w:rPr>
                      <w:rFonts w:hint="default" w:ascii="宋体" w:hAnsi="宋体" w:eastAsia="宋体" w:cs="Times New Roman"/>
                      <w:color w:val="auto"/>
                      <w:kern w:val="0"/>
                      <w:sz w:val="21"/>
                      <w:szCs w:val="30"/>
                      <w:highlight w:val="none"/>
                      <w:vertAlign w:val="baseline"/>
                      <w:lang w:val="en-US" w:eastAsia="zh-CN" w:bidi="ar-SA"/>
                    </w:rPr>
                    <w:t>取力器操作方式:气动</w:t>
                  </w:r>
                </w:p>
              </w:tc>
            </w:tr>
            <w:tr w14:paraId="190D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14:paraId="66647341">
                  <w:pPr>
                    <w:pStyle w:val="15"/>
                    <w:spacing w:line="360" w:lineRule="auto"/>
                    <w:rPr>
                      <w:rFonts w:hint="default" w:ascii="宋体" w:hAnsi="宋体" w:eastAsia="宋体" w:cs="Times New Roman"/>
                      <w:color w:val="auto"/>
                      <w:kern w:val="0"/>
                      <w:sz w:val="21"/>
                      <w:szCs w:val="30"/>
                      <w:highlight w:val="none"/>
                      <w:vertAlign w:val="baseline"/>
                      <w:lang w:val="en-US" w:eastAsia="zh-CN" w:bidi="ar-SA"/>
                    </w:rPr>
                  </w:pPr>
                  <w:r>
                    <w:rPr>
                      <w:rFonts w:hint="default" w:ascii="宋体" w:hAnsi="宋体" w:eastAsia="宋体" w:cs="Times New Roman"/>
                      <w:color w:val="auto"/>
                      <w:kern w:val="0"/>
                      <w:sz w:val="21"/>
                      <w:szCs w:val="30"/>
                      <w:highlight w:val="none"/>
                      <w:vertAlign w:val="baseline"/>
                      <w:lang w:val="en-US" w:eastAsia="zh-CN" w:bidi="ar-SA"/>
                    </w:rPr>
                    <w:t>铲车</w:t>
                  </w:r>
                </w:p>
              </w:tc>
              <w:tc>
                <w:tcPr>
                  <w:tcW w:w="5345" w:type="dxa"/>
                </w:tcPr>
                <w:p w14:paraId="10EF1E25">
                  <w:pPr>
                    <w:pStyle w:val="15"/>
                    <w:spacing w:line="360" w:lineRule="auto"/>
                    <w:rPr>
                      <w:rFonts w:hint="default" w:ascii="宋体" w:hAnsi="宋体" w:eastAsia="宋体" w:cs="Times New Roman"/>
                      <w:color w:val="auto"/>
                      <w:kern w:val="0"/>
                      <w:sz w:val="21"/>
                      <w:szCs w:val="30"/>
                      <w:highlight w:val="none"/>
                      <w:vertAlign w:val="baseline"/>
                      <w:lang w:val="en-US" w:eastAsia="zh-CN" w:bidi="ar-SA"/>
                    </w:rPr>
                  </w:pPr>
                  <w:r>
                    <w:rPr>
                      <w:rFonts w:hint="default" w:ascii="宋体" w:hAnsi="宋体" w:eastAsia="宋体" w:cs="Times New Roman"/>
                      <w:color w:val="auto"/>
                      <w:kern w:val="0"/>
                      <w:sz w:val="21"/>
                      <w:szCs w:val="30"/>
                      <w:highlight w:val="none"/>
                      <w:vertAlign w:val="baseline"/>
                      <w:lang w:val="en-US" w:eastAsia="zh-CN" w:bidi="ar-SA"/>
                    </w:rPr>
                    <w:t>整机操作重量:约16200kg;额定载重量:约5000 kg</w:t>
                  </w:r>
                  <w:r>
                    <w:rPr>
                      <w:rFonts w:hint="eastAsia" w:ascii="宋体" w:hAnsi="宋体" w:cs="Times New Roman"/>
                      <w:color w:val="auto"/>
                      <w:kern w:val="0"/>
                      <w:sz w:val="21"/>
                      <w:szCs w:val="30"/>
                      <w:highlight w:val="none"/>
                      <w:vertAlign w:val="baseline"/>
                      <w:lang w:val="en-US" w:eastAsia="zh-CN" w:bidi="ar-SA"/>
                    </w:rPr>
                    <w:t>；</w:t>
                  </w:r>
                  <w:r>
                    <w:rPr>
                      <w:rFonts w:hint="default" w:ascii="宋体" w:hAnsi="宋体" w:eastAsia="宋体" w:cs="Times New Roman"/>
                      <w:color w:val="auto"/>
                      <w:kern w:val="0"/>
                      <w:sz w:val="21"/>
                      <w:szCs w:val="30"/>
                      <w:highlight w:val="none"/>
                      <w:vertAlign w:val="baseline"/>
                      <w:lang w:val="en-US" w:eastAsia="zh-CN" w:bidi="ar-SA"/>
                    </w:rPr>
                    <w:t>铲斗容量:2.7m</w:t>
                  </w:r>
                  <w:r>
                    <w:rPr>
                      <w:rFonts w:hint="eastAsia" w:ascii="宋体" w:hAnsi="宋体" w:cs="Times New Roman"/>
                      <w:color w:val="auto"/>
                      <w:kern w:val="0"/>
                      <w:sz w:val="21"/>
                      <w:szCs w:val="30"/>
                      <w:highlight w:val="none"/>
                      <w:vertAlign w:val="baseline"/>
                      <w:lang w:val="en-US" w:eastAsia="zh-CN" w:bidi="ar-SA"/>
                    </w:rPr>
                    <w:t>；</w:t>
                  </w:r>
                  <w:r>
                    <w:rPr>
                      <w:rFonts w:hint="default" w:ascii="宋体" w:hAnsi="宋体" w:eastAsia="宋体" w:cs="Times New Roman"/>
                      <w:color w:val="auto"/>
                      <w:kern w:val="0"/>
                      <w:sz w:val="21"/>
                      <w:szCs w:val="30"/>
                      <w:highlight w:val="none"/>
                      <w:vertAlign w:val="baseline"/>
                      <w:lang w:val="en-US" w:eastAsia="zh-CN" w:bidi="ar-SA"/>
                    </w:rPr>
                    <w:t>卸载高度-卸载角度为 45°:3030 mm</w:t>
                  </w:r>
                  <w:r>
                    <w:rPr>
                      <w:rFonts w:hint="eastAsia" w:ascii="宋体" w:hAnsi="宋体" w:cs="Times New Roman"/>
                      <w:color w:val="auto"/>
                      <w:kern w:val="0"/>
                      <w:sz w:val="21"/>
                      <w:szCs w:val="30"/>
                      <w:highlight w:val="none"/>
                      <w:vertAlign w:val="baseline"/>
                      <w:lang w:val="en-US" w:eastAsia="zh-CN" w:bidi="ar-SA"/>
                    </w:rPr>
                    <w:t>；</w:t>
                  </w:r>
                </w:p>
                <w:p w14:paraId="30F694A6">
                  <w:pPr>
                    <w:pStyle w:val="15"/>
                    <w:spacing w:line="360" w:lineRule="auto"/>
                    <w:rPr>
                      <w:rFonts w:hint="default" w:ascii="宋体" w:hAnsi="宋体" w:eastAsia="宋体" w:cs="Times New Roman"/>
                      <w:color w:val="auto"/>
                      <w:kern w:val="0"/>
                      <w:sz w:val="21"/>
                      <w:szCs w:val="30"/>
                      <w:highlight w:val="none"/>
                      <w:vertAlign w:val="baseline"/>
                      <w:lang w:val="en-US" w:eastAsia="zh-CN" w:bidi="ar-SA"/>
                    </w:rPr>
                  </w:pPr>
                  <w:r>
                    <w:rPr>
                      <w:rFonts w:hint="default" w:ascii="宋体" w:hAnsi="宋体" w:eastAsia="宋体" w:cs="Times New Roman"/>
                      <w:color w:val="auto"/>
                      <w:kern w:val="0"/>
                      <w:sz w:val="21"/>
                      <w:szCs w:val="30"/>
                      <w:highlight w:val="none"/>
                      <w:vertAlign w:val="baseline"/>
                      <w:lang w:val="en-US" w:eastAsia="zh-CN" w:bidi="ar-SA"/>
                    </w:rPr>
                    <w:t>控掘力:165kN</w:t>
                  </w:r>
                  <w:r>
                    <w:rPr>
                      <w:rFonts w:hint="eastAsia" w:ascii="宋体" w:hAnsi="宋体" w:cs="Times New Roman"/>
                      <w:color w:val="auto"/>
                      <w:kern w:val="0"/>
                      <w:sz w:val="21"/>
                      <w:szCs w:val="30"/>
                      <w:highlight w:val="none"/>
                      <w:vertAlign w:val="baseline"/>
                      <w:lang w:val="en-US" w:eastAsia="zh-CN" w:bidi="ar-SA"/>
                    </w:rPr>
                    <w:t>；</w:t>
                  </w:r>
                  <w:r>
                    <w:rPr>
                      <w:rFonts w:hint="default" w:ascii="宋体" w:hAnsi="宋体" w:eastAsia="宋体" w:cs="Times New Roman"/>
                      <w:color w:val="auto"/>
                      <w:kern w:val="0"/>
                      <w:sz w:val="21"/>
                      <w:szCs w:val="30"/>
                      <w:highlight w:val="none"/>
                      <w:vertAlign w:val="baseline"/>
                      <w:lang w:val="en-US" w:eastAsia="zh-CN" w:bidi="ar-SA"/>
                    </w:rPr>
                    <w:t>额定载重:5-6吨</w:t>
                  </w:r>
                </w:p>
              </w:tc>
            </w:tr>
          </w:tbl>
          <w:p w14:paraId="0EC02021">
            <w:pPr>
              <w:pStyle w:val="29"/>
              <w:numPr>
                <w:ilvl w:val="0"/>
                <w:numId w:val="0"/>
              </w:numPr>
              <w:spacing w:line="360" w:lineRule="auto"/>
              <w:ind w:firstLine="422" w:firstLineChars="200"/>
              <w:rPr>
                <w:rFonts w:hint="eastAsia" w:ascii="宋体" w:hAnsi="宋体"/>
                <w:b/>
                <w:bCs/>
                <w:color w:val="auto"/>
                <w:sz w:val="21"/>
                <w:szCs w:val="30"/>
                <w:highlight w:val="none"/>
                <w:lang w:val="en-US" w:eastAsia="zh-CN"/>
              </w:rPr>
            </w:pPr>
            <w:r>
              <w:rPr>
                <w:rFonts w:hint="eastAsia" w:ascii="宋体" w:hAnsi="宋体"/>
                <w:b/>
                <w:bCs/>
                <w:color w:val="auto"/>
                <w:sz w:val="21"/>
                <w:szCs w:val="30"/>
                <w:highlight w:val="none"/>
                <w:lang w:val="en-US" w:eastAsia="zh-CN"/>
              </w:rPr>
              <w:t>四、运输工作方案</w:t>
            </w:r>
          </w:p>
          <w:p w14:paraId="404D682B">
            <w:pPr>
              <w:pStyle w:val="29"/>
              <w:numPr>
                <w:ilvl w:val="0"/>
                <w:numId w:val="0"/>
              </w:numPr>
              <w:spacing w:line="360" w:lineRule="auto"/>
              <w:ind w:firstLine="420" w:firstLineChars="200"/>
              <w:rPr>
                <w:rFonts w:hint="eastAsia" w:ascii="宋体" w:hAnsi="宋体"/>
                <w:color w:val="auto"/>
                <w:sz w:val="21"/>
                <w:szCs w:val="30"/>
                <w:highlight w:val="none"/>
              </w:rPr>
            </w:pPr>
            <w:r>
              <w:rPr>
                <w:rFonts w:hint="eastAsia" w:ascii="宋体" w:hAnsi="宋体"/>
                <w:color w:val="auto"/>
                <w:sz w:val="21"/>
                <w:szCs w:val="30"/>
                <w:highlight w:val="none"/>
                <w:lang w:val="en-US" w:eastAsia="zh-CN"/>
              </w:rPr>
              <w:t>4.1</w:t>
            </w:r>
            <w:r>
              <w:rPr>
                <w:rFonts w:hint="eastAsia" w:ascii="宋体" w:hAnsi="宋体"/>
                <w:color w:val="auto"/>
                <w:sz w:val="21"/>
                <w:szCs w:val="30"/>
                <w:highlight w:val="none"/>
              </w:rPr>
              <w:t>主要工作</w:t>
            </w:r>
            <w:r>
              <w:rPr>
                <w:rFonts w:hint="eastAsia" w:ascii="宋体" w:hAnsi="宋体"/>
                <w:color w:val="auto"/>
                <w:sz w:val="21"/>
                <w:szCs w:val="30"/>
                <w:highlight w:val="none"/>
                <w:lang w:val="en-US" w:eastAsia="zh-CN"/>
              </w:rPr>
              <w:t>内容</w:t>
            </w:r>
            <w:r>
              <w:rPr>
                <w:rFonts w:hint="eastAsia" w:ascii="宋体" w:hAnsi="宋体"/>
                <w:color w:val="auto"/>
                <w:sz w:val="21"/>
                <w:szCs w:val="30"/>
                <w:highlight w:val="none"/>
              </w:rPr>
              <w:t>：</w:t>
            </w:r>
          </w:p>
          <w:p w14:paraId="61A4ACB6">
            <w:pPr>
              <w:pStyle w:val="29"/>
              <w:spacing w:line="360" w:lineRule="auto"/>
              <w:ind w:firstLine="420" w:firstLineChars="200"/>
              <w:rPr>
                <w:rFonts w:hint="eastAsia" w:ascii="宋体" w:hAnsi="宋体" w:eastAsia="宋体"/>
                <w:color w:val="auto"/>
                <w:sz w:val="21"/>
                <w:szCs w:val="30"/>
                <w:highlight w:val="none"/>
                <w:lang w:eastAsia="zh-CN"/>
              </w:rPr>
            </w:pPr>
            <w:r>
              <w:rPr>
                <w:rFonts w:hint="eastAsia" w:ascii="宋体" w:hAnsi="宋体"/>
                <w:color w:val="auto"/>
                <w:sz w:val="21"/>
                <w:szCs w:val="30"/>
                <w:highlight w:val="none"/>
                <w:lang w:val="en-US" w:eastAsia="zh-CN"/>
              </w:rPr>
              <w:t>（1）</w:t>
            </w:r>
            <w:r>
              <w:rPr>
                <w:rFonts w:hint="eastAsia" w:ascii="宋体" w:hAnsi="宋体"/>
                <w:color w:val="auto"/>
                <w:sz w:val="21"/>
                <w:szCs w:val="30"/>
                <w:highlight w:val="none"/>
              </w:rPr>
              <w:t>负责按要求做好服务范围内的垃圾清理运输工作，在运营期内处于良好运营状态，能够安全、稳定、连续地提供垃圾处理服务，运送至梧州市静脉产业园相应的垃圾坑内</w:t>
            </w:r>
            <w:r>
              <w:rPr>
                <w:rFonts w:hint="eastAsia" w:ascii="宋体" w:hAnsi="宋体"/>
                <w:color w:val="auto"/>
                <w:sz w:val="21"/>
                <w:szCs w:val="30"/>
                <w:highlight w:val="none"/>
                <w:lang w:eastAsia="zh-CN"/>
              </w:rPr>
              <w:t>；</w:t>
            </w:r>
          </w:p>
          <w:p w14:paraId="6E5B78FE">
            <w:pPr>
              <w:pStyle w:val="29"/>
              <w:spacing w:line="360" w:lineRule="auto"/>
              <w:ind w:firstLine="420" w:firstLineChars="200"/>
              <w:rPr>
                <w:rFonts w:hint="eastAsia" w:ascii="宋体" w:hAnsi="宋体" w:eastAsia="宋体"/>
                <w:color w:val="auto"/>
                <w:sz w:val="21"/>
                <w:szCs w:val="30"/>
                <w:highlight w:val="none"/>
                <w:lang w:eastAsia="zh-CN"/>
              </w:rPr>
            </w:pPr>
            <w:r>
              <w:rPr>
                <w:rFonts w:hint="eastAsia" w:ascii="宋体" w:hAnsi="宋体"/>
                <w:color w:val="auto"/>
                <w:sz w:val="21"/>
                <w:szCs w:val="30"/>
                <w:highlight w:val="none"/>
                <w:lang w:val="en-US" w:eastAsia="zh-CN"/>
              </w:rPr>
              <w:t>（2）</w:t>
            </w:r>
            <w:r>
              <w:rPr>
                <w:rFonts w:hint="eastAsia" w:ascii="宋体" w:hAnsi="宋体"/>
                <w:color w:val="auto"/>
                <w:sz w:val="21"/>
                <w:szCs w:val="30"/>
                <w:highlight w:val="none"/>
              </w:rPr>
              <w:t>定期将沿途垃圾清理工作情况对</w:t>
            </w:r>
            <w:r>
              <w:rPr>
                <w:rFonts w:hint="eastAsia" w:ascii="宋体" w:hAnsi="宋体"/>
                <w:color w:val="auto"/>
                <w:sz w:val="21"/>
                <w:szCs w:val="30"/>
                <w:highlight w:val="none"/>
                <w:lang w:val="en-US" w:eastAsia="zh-CN"/>
              </w:rPr>
              <w:t>采购人</w:t>
            </w:r>
            <w:r>
              <w:rPr>
                <w:rFonts w:hint="eastAsia" w:ascii="宋体" w:hAnsi="宋体"/>
                <w:color w:val="auto"/>
                <w:sz w:val="21"/>
                <w:szCs w:val="30"/>
                <w:highlight w:val="none"/>
              </w:rPr>
              <w:t>主管部门进行汇报、沟通，加强区域内沿途垃圾清运管理，提高城市容貌</w:t>
            </w:r>
            <w:r>
              <w:rPr>
                <w:rFonts w:hint="eastAsia" w:ascii="宋体" w:hAnsi="宋体"/>
                <w:color w:val="auto"/>
                <w:sz w:val="21"/>
                <w:szCs w:val="30"/>
                <w:highlight w:val="none"/>
                <w:lang w:eastAsia="zh-CN"/>
              </w:rPr>
              <w:t>；</w:t>
            </w:r>
          </w:p>
          <w:p w14:paraId="06E74CAC">
            <w:pPr>
              <w:pStyle w:val="29"/>
              <w:spacing w:line="360" w:lineRule="auto"/>
              <w:ind w:firstLine="420" w:firstLineChars="200"/>
              <w:rPr>
                <w:rFonts w:hint="eastAsia" w:ascii="宋体" w:hAnsi="宋体" w:eastAsia="宋体"/>
                <w:color w:val="auto"/>
                <w:sz w:val="21"/>
                <w:szCs w:val="30"/>
                <w:highlight w:val="none"/>
                <w:lang w:eastAsia="zh-CN"/>
              </w:rPr>
            </w:pPr>
            <w:r>
              <w:rPr>
                <w:rFonts w:hint="eastAsia" w:ascii="宋体" w:hAnsi="宋体"/>
                <w:color w:val="auto"/>
                <w:sz w:val="21"/>
                <w:szCs w:val="30"/>
                <w:highlight w:val="none"/>
                <w:lang w:val="en-US" w:eastAsia="zh-CN"/>
              </w:rPr>
              <w:t>（3）采购人</w:t>
            </w:r>
            <w:r>
              <w:rPr>
                <w:rFonts w:hint="eastAsia" w:ascii="宋体" w:hAnsi="宋体"/>
                <w:color w:val="auto"/>
                <w:sz w:val="21"/>
                <w:szCs w:val="30"/>
                <w:highlight w:val="none"/>
              </w:rPr>
              <w:t>项目主管每天对沿途垃圾清运情况进行巡查监督，做好巡查记录。管理人员必须接受环卫主管部门的管理和监督</w:t>
            </w:r>
            <w:r>
              <w:rPr>
                <w:rFonts w:hint="eastAsia" w:ascii="宋体" w:hAnsi="宋体"/>
                <w:color w:val="auto"/>
                <w:sz w:val="21"/>
                <w:szCs w:val="30"/>
                <w:highlight w:val="none"/>
                <w:lang w:eastAsia="zh-CN"/>
              </w:rPr>
              <w:t>；</w:t>
            </w:r>
          </w:p>
          <w:p w14:paraId="3770649B">
            <w:pPr>
              <w:pStyle w:val="15"/>
              <w:spacing w:line="360" w:lineRule="auto"/>
              <w:ind w:firstLine="420" w:firstLineChars="200"/>
              <w:rPr>
                <w:rFonts w:hint="eastAsia" w:ascii="宋体" w:hAnsi="宋体"/>
                <w:color w:val="auto"/>
                <w:sz w:val="21"/>
                <w:szCs w:val="30"/>
                <w:highlight w:val="none"/>
                <w:lang w:eastAsia="zh-CN"/>
              </w:rPr>
            </w:pPr>
            <w:r>
              <w:rPr>
                <w:rFonts w:hint="eastAsia" w:ascii="宋体" w:hAnsi="宋体"/>
                <w:color w:val="auto"/>
                <w:sz w:val="21"/>
                <w:szCs w:val="30"/>
                <w:highlight w:val="none"/>
                <w:lang w:val="en-US" w:eastAsia="zh-CN"/>
              </w:rPr>
              <w:t>（4）</w:t>
            </w:r>
            <w:r>
              <w:rPr>
                <w:rFonts w:hint="eastAsia" w:ascii="宋体" w:hAnsi="宋体"/>
                <w:color w:val="auto"/>
                <w:sz w:val="21"/>
                <w:szCs w:val="30"/>
                <w:highlight w:val="none"/>
              </w:rPr>
              <w:t>对垃圾清运车辆进行维修、保养和翻新</w:t>
            </w:r>
            <w:r>
              <w:rPr>
                <w:rFonts w:hint="eastAsia" w:ascii="宋体" w:hAnsi="宋体"/>
                <w:color w:val="auto"/>
                <w:sz w:val="21"/>
                <w:szCs w:val="30"/>
                <w:highlight w:val="none"/>
                <w:lang w:eastAsia="zh-CN"/>
              </w:rPr>
              <w:t>。</w:t>
            </w:r>
          </w:p>
          <w:p w14:paraId="60E3304C">
            <w:pPr>
              <w:pStyle w:val="15"/>
              <w:spacing w:line="360" w:lineRule="auto"/>
              <w:ind w:firstLine="420" w:firstLineChars="200"/>
              <w:rPr>
                <w:rFonts w:hint="eastAsia" w:ascii="宋体" w:hAnsi="宋体"/>
                <w:color w:val="auto"/>
                <w:sz w:val="21"/>
                <w:szCs w:val="30"/>
                <w:highlight w:val="none"/>
                <w:lang w:eastAsia="zh-CN"/>
              </w:rPr>
            </w:pPr>
            <w:r>
              <w:rPr>
                <w:rFonts w:hint="eastAsia" w:ascii="宋体" w:hAnsi="宋体"/>
                <w:color w:val="auto"/>
                <w:sz w:val="21"/>
                <w:szCs w:val="30"/>
                <w:highlight w:val="none"/>
                <w:lang w:val="en-US" w:eastAsia="zh-CN"/>
              </w:rPr>
              <w:t>4.2</w:t>
            </w:r>
            <w:r>
              <w:rPr>
                <w:rFonts w:hint="eastAsia" w:ascii="宋体" w:hAnsi="宋体"/>
                <w:color w:val="auto"/>
                <w:sz w:val="21"/>
                <w:szCs w:val="30"/>
                <w:highlight w:val="none"/>
                <w:lang w:eastAsia="zh-CN"/>
              </w:rPr>
              <w:t>作业要求</w:t>
            </w:r>
          </w:p>
          <w:p w14:paraId="7F9C37D3">
            <w:pPr>
              <w:pStyle w:val="15"/>
              <w:spacing w:line="360" w:lineRule="auto"/>
              <w:ind w:firstLine="420" w:firstLineChars="200"/>
              <w:rPr>
                <w:rFonts w:hint="eastAsia" w:ascii="宋体" w:hAnsi="宋体" w:eastAsia="宋体" w:cs="Times New Roman"/>
                <w:color w:val="auto"/>
                <w:kern w:val="0"/>
                <w:sz w:val="21"/>
                <w:szCs w:val="30"/>
                <w:highlight w:val="none"/>
                <w:lang w:val="en-US" w:eastAsia="zh-CN" w:bidi="ar-SA"/>
              </w:rPr>
            </w:pPr>
            <w:r>
              <w:rPr>
                <w:rFonts w:hint="eastAsia" w:ascii="宋体" w:hAnsi="宋体" w:eastAsia="宋体" w:cs="Times New Roman"/>
                <w:color w:val="auto"/>
                <w:kern w:val="0"/>
                <w:sz w:val="21"/>
                <w:szCs w:val="30"/>
                <w:highlight w:val="none"/>
                <w:lang w:val="en-US" w:eastAsia="zh-CN" w:bidi="ar-SA"/>
              </w:rPr>
              <w:t>(1)生活垃圾要及时清运，做到垃圾日产日清</w:t>
            </w:r>
            <w:r>
              <w:rPr>
                <w:rFonts w:hint="eastAsia" w:ascii="宋体" w:hAnsi="宋体" w:cs="Times New Roman"/>
                <w:color w:val="auto"/>
                <w:kern w:val="0"/>
                <w:sz w:val="21"/>
                <w:szCs w:val="30"/>
                <w:highlight w:val="none"/>
                <w:lang w:val="en-US" w:eastAsia="zh-CN" w:bidi="ar-SA"/>
              </w:rPr>
              <w:t>；</w:t>
            </w:r>
          </w:p>
          <w:p w14:paraId="6FBFE6CF">
            <w:pPr>
              <w:pStyle w:val="15"/>
              <w:spacing w:line="360" w:lineRule="auto"/>
              <w:ind w:firstLine="420" w:firstLineChars="200"/>
              <w:rPr>
                <w:rFonts w:hint="eastAsia" w:ascii="宋体" w:hAnsi="宋体" w:eastAsia="宋体" w:cs="Times New Roman"/>
                <w:color w:val="auto"/>
                <w:kern w:val="0"/>
                <w:sz w:val="21"/>
                <w:szCs w:val="30"/>
                <w:highlight w:val="none"/>
                <w:lang w:val="en-US" w:eastAsia="zh-CN" w:bidi="ar-SA"/>
              </w:rPr>
            </w:pPr>
            <w:r>
              <w:rPr>
                <w:rFonts w:hint="eastAsia" w:ascii="宋体" w:hAnsi="宋体" w:eastAsia="宋体" w:cs="Times New Roman"/>
                <w:color w:val="auto"/>
                <w:kern w:val="0"/>
                <w:sz w:val="21"/>
                <w:szCs w:val="30"/>
                <w:highlight w:val="none"/>
                <w:lang w:val="en-US" w:eastAsia="zh-CN" w:bidi="ar-SA"/>
              </w:rPr>
              <w:t>(2)垃圾装运量应以车辆的额定荷载和有效容积为限，不得超重、超高运输</w:t>
            </w:r>
            <w:r>
              <w:rPr>
                <w:rFonts w:hint="eastAsia" w:ascii="宋体" w:hAnsi="宋体" w:cs="Times New Roman"/>
                <w:color w:val="auto"/>
                <w:kern w:val="0"/>
                <w:sz w:val="21"/>
                <w:szCs w:val="30"/>
                <w:highlight w:val="none"/>
                <w:lang w:val="en-US" w:eastAsia="zh-CN" w:bidi="ar-SA"/>
              </w:rPr>
              <w:t>；</w:t>
            </w:r>
          </w:p>
          <w:p w14:paraId="28B65D13">
            <w:pPr>
              <w:pStyle w:val="15"/>
              <w:spacing w:line="360" w:lineRule="auto"/>
              <w:ind w:firstLine="420" w:firstLineChars="200"/>
              <w:rPr>
                <w:rFonts w:hint="eastAsia" w:ascii="宋体" w:hAnsi="宋体" w:eastAsia="宋体" w:cs="Times New Roman"/>
                <w:color w:val="auto"/>
                <w:kern w:val="0"/>
                <w:sz w:val="21"/>
                <w:szCs w:val="30"/>
                <w:highlight w:val="none"/>
                <w:lang w:val="en-US" w:eastAsia="zh-CN" w:bidi="ar-SA"/>
              </w:rPr>
            </w:pPr>
            <w:r>
              <w:rPr>
                <w:rFonts w:hint="eastAsia" w:ascii="宋体" w:hAnsi="宋体" w:eastAsia="宋体" w:cs="Times New Roman"/>
                <w:color w:val="auto"/>
                <w:kern w:val="0"/>
                <w:sz w:val="21"/>
                <w:szCs w:val="30"/>
                <w:highlight w:val="none"/>
                <w:lang w:val="en-US" w:eastAsia="zh-CN" w:bidi="ar-SA"/>
              </w:rPr>
              <w:t>(3)作业车辆标志清晰、车容整洁美观，车体外无污物、无吊挂垃圾、杂物和污垢，车体无损，密闭运输，按指定地点倾倒，无乱倒、乱卸现象</w:t>
            </w:r>
            <w:r>
              <w:rPr>
                <w:rFonts w:hint="eastAsia" w:ascii="宋体" w:hAnsi="宋体" w:cs="Times New Roman"/>
                <w:color w:val="auto"/>
                <w:kern w:val="0"/>
                <w:sz w:val="21"/>
                <w:szCs w:val="30"/>
                <w:highlight w:val="none"/>
                <w:lang w:val="en-US" w:eastAsia="zh-CN" w:bidi="ar-SA"/>
              </w:rPr>
              <w:t>；</w:t>
            </w:r>
          </w:p>
          <w:p w14:paraId="54D04F7F">
            <w:pPr>
              <w:pStyle w:val="15"/>
              <w:spacing w:line="360" w:lineRule="auto"/>
              <w:ind w:firstLine="420" w:firstLineChars="200"/>
              <w:rPr>
                <w:rFonts w:hint="eastAsia" w:ascii="宋体" w:hAnsi="宋体" w:eastAsia="宋体" w:cs="Times New Roman"/>
                <w:color w:val="auto"/>
                <w:kern w:val="0"/>
                <w:sz w:val="21"/>
                <w:szCs w:val="30"/>
                <w:highlight w:val="none"/>
                <w:lang w:val="en-US" w:eastAsia="zh-CN" w:bidi="ar-SA"/>
              </w:rPr>
            </w:pPr>
            <w:r>
              <w:rPr>
                <w:rFonts w:hint="eastAsia" w:ascii="宋体" w:hAnsi="宋体" w:eastAsia="宋体" w:cs="Times New Roman"/>
                <w:color w:val="auto"/>
                <w:kern w:val="0"/>
                <w:sz w:val="21"/>
                <w:szCs w:val="30"/>
                <w:highlight w:val="none"/>
                <w:lang w:val="en-US" w:eastAsia="zh-CN" w:bidi="ar-SA"/>
              </w:rPr>
              <w:t>(4)环卫车辆在作业时必须开启行车记录仪及GPS系统。</w:t>
            </w:r>
          </w:p>
          <w:p w14:paraId="73CA6980">
            <w:pPr>
              <w:pStyle w:val="15"/>
              <w:spacing w:line="360" w:lineRule="auto"/>
              <w:ind w:firstLine="420" w:firstLineChars="200"/>
              <w:rPr>
                <w:rFonts w:hint="eastAsia" w:ascii="宋体" w:hAnsi="宋体" w:eastAsia="宋体" w:cs="Times New Roman"/>
                <w:color w:val="auto"/>
                <w:kern w:val="0"/>
                <w:sz w:val="21"/>
                <w:szCs w:val="30"/>
                <w:highlight w:val="none"/>
                <w:lang w:val="en-US" w:eastAsia="zh-CN" w:bidi="ar-SA"/>
              </w:rPr>
            </w:pPr>
            <w:r>
              <w:rPr>
                <w:rFonts w:hint="eastAsia" w:ascii="宋体" w:hAnsi="宋体" w:cs="Times New Roman"/>
                <w:color w:val="auto"/>
                <w:kern w:val="0"/>
                <w:sz w:val="21"/>
                <w:szCs w:val="30"/>
                <w:highlight w:val="none"/>
                <w:lang w:val="en-US" w:eastAsia="zh-CN" w:bidi="ar-SA"/>
              </w:rPr>
              <w:t>4.3</w:t>
            </w:r>
            <w:r>
              <w:rPr>
                <w:rFonts w:hint="eastAsia" w:ascii="宋体" w:hAnsi="宋体" w:eastAsia="宋体" w:cs="Times New Roman"/>
                <w:color w:val="auto"/>
                <w:kern w:val="0"/>
                <w:sz w:val="21"/>
                <w:szCs w:val="30"/>
                <w:highlight w:val="none"/>
                <w:lang w:val="en-US" w:eastAsia="zh-CN" w:bidi="ar-SA"/>
              </w:rPr>
              <w:t>作业质量标准</w:t>
            </w:r>
          </w:p>
          <w:p w14:paraId="7B736A2D">
            <w:pPr>
              <w:pStyle w:val="15"/>
              <w:spacing w:line="360" w:lineRule="auto"/>
              <w:ind w:firstLine="420" w:firstLineChars="200"/>
              <w:rPr>
                <w:rFonts w:hint="eastAsia" w:ascii="宋体" w:hAnsi="宋体" w:eastAsia="宋体" w:cs="Times New Roman"/>
                <w:color w:val="auto"/>
                <w:kern w:val="0"/>
                <w:sz w:val="21"/>
                <w:szCs w:val="30"/>
                <w:highlight w:val="none"/>
                <w:lang w:val="en-US" w:eastAsia="zh-CN" w:bidi="ar-SA"/>
              </w:rPr>
            </w:pPr>
            <w:r>
              <w:rPr>
                <w:rFonts w:hint="eastAsia" w:ascii="宋体" w:hAnsi="宋体" w:eastAsia="宋体" w:cs="Times New Roman"/>
                <w:color w:val="auto"/>
                <w:kern w:val="0"/>
                <w:sz w:val="21"/>
                <w:szCs w:val="30"/>
                <w:highlight w:val="none"/>
                <w:lang w:val="en-US" w:eastAsia="zh-CN" w:bidi="ar-SA"/>
              </w:rPr>
              <w:t>(1)车辆挂牌作业，按交通规则和作业路线行驶，文明礼让</w:t>
            </w:r>
            <w:r>
              <w:rPr>
                <w:rFonts w:hint="eastAsia" w:ascii="宋体" w:hAnsi="宋体" w:cs="Times New Roman"/>
                <w:color w:val="auto"/>
                <w:kern w:val="0"/>
                <w:sz w:val="21"/>
                <w:szCs w:val="30"/>
                <w:highlight w:val="none"/>
                <w:lang w:val="en-US" w:eastAsia="zh-CN" w:bidi="ar-SA"/>
              </w:rPr>
              <w:t>；</w:t>
            </w:r>
          </w:p>
          <w:p w14:paraId="194F4480">
            <w:pPr>
              <w:pStyle w:val="15"/>
              <w:spacing w:line="360" w:lineRule="auto"/>
              <w:ind w:firstLine="420" w:firstLineChars="200"/>
              <w:rPr>
                <w:rFonts w:hint="eastAsia" w:ascii="宋体" w:hAnsi="宋体" w:eastAsia="宋体" w:cs="Times New Roman"/>
                <w:color w:val="auto"/>
                <w:kern w:val="0"/>
                <w:sz w:val="21"/>
                <w:szCs w:val="30"/>
                <w:highlight w:val="none"/>
                <w:lang w:val="en-US" w:eastAsia="zh-CN" w:bidi="ar-SA"/>
              </w:rPr>
            </w:pPr>
            <w:r>
              <w:rPr>
                <w:rFonts w:hint="eastAsia" w:ascii="宋体" w:hAnsi="宋体" w:eastAsia="宋体" w:cs="Times New Roman"/>
                <w:color w:val="auto"/>
                <w:kern w:val="0"/>
                <w:sz w:val="21"/>
                <w:szCs w:val="30"/>
                <w:highlight w:val="none"/>
                <w:lang w:val="en-US" w:eastAsia="zh-CN" w:bidi="ar-SA"/>
              </w:rPr>
              <w:t>(2)生活垃圾运输车辆从起点至中转站卸垃圾平台过程中，要密闭运输，做到无垃圾散落、飘挂，无垃圾污水洒漏，无沿路乱倒垃圾</w:t>
            </w:r>
            <w:r>
              <w:rPr>
                <w:rFonts w:hint="eastAsia" w:ascii="宋体" w:hAnsi="宋体" w:cs="Times New Roman"/>
                <w:color w:val="auto"/>
                <w:kern w:val="0"/>
                <w:sz w:val="21"/>
                <w:szCs w:val="30"/>
                <w:highlight w:val="none"/>
                <w:lang w:val="en-US" w:eastAsia="zh-CN" w:bidi="ar-SA"/>
              </w:rPr>
              <w:t>；</w:t>
            </w:r>
          </w:p>
          <w:p w14:paraId="63599E08">
            <w:pPr>
              <w:pStyle w:val="15"/>
              <w:spacing w:line="360" w:lineRule="auto"/>
              <w:ind w:firstLine="420" w:firstLineChars="200"/>
              <w:rPr>
                <w:rFonts w:hint="eastAsia" w:ascii="宋体" w:hAnsi="宋体" w:eastAsia="宋体" w:cs="Times New Roman"/>
                <w:color w:val="auto"/>
                <w:kern w:val="0"/>
                <w:sz w:val="21"/>
                <w:szCs w:val="30"/>
                <w:highlight w:val="none"/>
                <w:lang w:val="en-US" w:eastAsia="zh-CN" w:bidi="ar-SA"/>
              </w:rPr>
            </w:pPr>
            <w:r>
              <w:rPr>
                <w:rFonts w:hint="eastAsia" w:ascii="宋体" w:hAnsi="宋体" w:eastAsia="宋体" w:cs="Times New Roman"/>
                <w:color w:val="auto"/>
                <w:kern w:val="0"/>
                <w:sz w:val="21"/>
                <w:szCs w:val="30"/>
                <w:highlight w:val="none"/>
                <w:lang w:val="en-US" w:eastAsia="zh-CN" w:bidi="ar-SA"/>
              </w:rPr>
              <w:t>(3)车容车貌完好美观、干净整洁、标识规范</w:t>
            </w:r>
            <w:r>
              <w:rPr>
                <w:rFonts w:hint="eastAsia" w:ascii="宋体" w:hAnsi="宋体" w:cs="Times New Roman"/>
                <w:color w:val="auto"/>
                <w:kern w:val="0"/>
                <w:sz w:val="21"/>
                <w:szCs w:val="30"/>
                <w:highlight w:val="none"/>
                <w:lang w:val="en-US" w:eastAsia="zh-CN" w:bidi="ar-SA"/>
              </w:rPr>
              <w:t>；</w:t>
            </w:r>
          </w:p>
          <w:p w14:paraId="4D4EEA95">
            <w:pPr>
              <w:pStyle w:val="15"/>
              <w:spacing w:line="360" w:lineRule="auto"/>
              <w:ind w:firstLine="420" w:firstLineChars="200"/>
              <w:rPr>
                <w:rFonts w:hint="eastAsia" w:ascii="宋体" w:hAnsi="宋体" w:eastAsia="宋体" w:cs="Times New Roman"/>
                <w:color w:val="auto"/>
                <w:kern w:val="0"/>
                <w:sz w:val="21"/>
                <w:szCs w:val="30"/>
                <w:highlight w:val="none"/>
                <w:lang w:val="en-US" w:eastAsia="zh-CN" w:bidi="ar-SA"/>
              </w:rPr>
            </w:pPr>
            <w:r>
              <w:rPr>
                <w:rFonts w:hint="eastAsia" w:ascii="宋体" w:hAnsi="宋体" w:eastAsia="宋体" w:cs="Times New Roman"/>
                <w:color w:val="auto"/>
                <w:kern w:val="0"/>
                <w:sz w:val="21"/>
                <w:szCs w:val="30"/>
                <w:highlight w:val="none"/>
                <w:lang w:val="en-US" w:eastAsia="zh-CN" w:bidi="ar-SA"/>
              </w:rPr>
              <w:t>(4)严格执行进磅计量，索取计量单，服从检查指挥</w:t>
            </w:r>
            <w:r>
              <w:rPr>
                <w:rFonts w:hint="eastAsia" w:ascii="宋体" w:hAnsi="宋体" w:cs="Times New Roman"/>
                <w:color w:val="auto"/>
                <w:kern w:val="0"/>
                <w:sz w:val="21"/>
                <w:szCs w:val="30"/>
                <w:highlight w:val="none"/>
                <w:lang w:val="en-US" w:eastAsia="zh-CN" w:bidi="ar-SA"/>
              </w:rPr>
              <w:t>；</w:t>
            </w:r>
          </w:p>
          <w:p w14:paraId="0BC1AB2B">
            <w:pPr>
              <w:pStyle w:val="15"/>
              <w:spacing w:line="360" w:lineRule="auto"/>
              <w:ind w:firstLine="420" w:firstLineChars="200"/>
              <w:rPr>
                <w:rFonts w:hint="eastAsia" w:ascii="宋体" w:hAnsi="宋体" w:eastAsia="宋体" w:cs="Times New Roman"/>
                <w:color w:val="auto"/>
                <w:kern w:val="0"/>
                <w:sz w:val="21"/>
                <w:szCs w:val="30"/>
                <w:highlight w:val="none"/>
                <w:lang w:val="en-US" w:eastAsia="zh-CN" w:bidi="ar-SA"/>
              </w:rPr>
            </w:pPr>
            <w:r>
              <w:rPr>
                <w:rFonts w:hint="eastAsia" w:ascii="宋体" w:hAnsi="宋体" w:eastAsia="宋体" w:cs="Times New Roman"/>
                <w:color w:val="auto"/>
                <w:kern w:val="0"/>
                <w:sz w:val="21"/>
                <w:szCs w:val="30"/>
                <w:highlight w:val="none"/>
                <w:lang w:val="en-US" w:eastAsia="zh-CN" w:bidi="ar-SA"/>
              </w:rPr>
              <w:t>(5)在中转站卸垃圾时，垃圾运输车辆必须听从现场人员指挥，在卸垃圾平台卸完垃圾后，即予关闭复位车箱，并把车箱周边拖挂的垃圾清理干净方能离开卸垃圾平台。雨天平台泥泞时可在填埋区入口指定位置清理车箱周边拖挂的垃圾</w:t>
            </w:r>
            <w:r>
              <w:rPr>
                <w:rFonts w:hint="eastAsia" w:ascii="宋体" w:hAnsi="宋体" w:cs="Times New Roman"/>
                <w:color w:val="auto"/>
                <w:kern w:val="0"/>
                <w:sz w:val="21"/>
                <w:szCs w:val="30"/>
                <w:highlight w:val="none"/>
                <w:lang w:val="en-US" w:eastAsia="zh-CN" w:bidi="ar-SA"/>
              </w:rPr>
              <w:t>；</w:t>
            </w:r>
          </w:p>
          <w:p w14:paraId="4865F800">
            <w:pPr>
              <w:pStyle w:val="15"/>
              <w:spacing w:line="360" w:lineRule="auto"/>
              <w:ind w:firstLine="420" w:firstLineChars="200"/>
              <w:rPr>
                <w:rFonts w:hint="eastAsia" w:ascii="宋体" w:hAnsi="宋体" w:eastAsia="宋体" w:cs="Times New Roman"/>
                <w:color w:val="auto"/>
                <w:kern w:val="0"/>
                <w:sz w:val="21"/>
                <w:szCs w:val="30"/>
                <w:highlight w:val="none"/>
                <w:lang w:val="en-US" w:eastAsia="zh-CN" w:bidi="ar-SA"/>
              </w:rPr>
            </w:pPr>
            <w:r>
              <w:rPr>
                <w:rFonts w:hint="eastAsia" w:ascii="宋体" w:hAnsi="宋体" w:eastAsia="宋体" w:cs="Times New Roman"/>
                <w:color w:val="auto"/>
                <w:kern w:val="0"/>
                <w:sz w:val="21"/>
                <w:szCs w:val="30"/>
                <w:highlight w:val="none"/>
                <w:lang w:val="en-US" w:eastAsia="zh-CN" w:bidi="ar-SA"/>
              </w:rPr>
              <w:t>(6)生活垃圾运输车辆离开中转站后必须依次减速通过车轮清洗平台，使车辆车轮自动清洗干净，同时再次检查确认车辆完全密闭后再上路</w:t>
            </w:r>
            <w:r>
              <w:rPr>
                <w:rFonts w:hint="eastAsia" w:ascii="宋体" w:hAnsi="宋体" w:cs="Times New Roman"/>
                <w:color w:val="auto"/>
                <w:kern w:val="0"/>
                <w:sz w:val="21"/>
                <w:szCs w:val="30"/>
                <w:highlight w:val="none"/>
                <w:lang w:val="en-US" w:eastAsia="zh-CN" w:bidi="ar-SA"/>
              </w:rPr>
              <w:t>；</w:t>
            </w:r>
          </w:p>
          <w:p w14:paraId="20A12574">
            <w:pPr>
              <w:pStyle w:val="15"/>
              <w:spacing w:line="360" w:lineRule="auto"/>
              <w:ind w:firstLine="420" w:firstLineChars="200"/>
              <w:rPr>
                <w:rFonts w:hint="default" w:ascii="宋体" w:hAnsi="宋体" w:cs="Times New Roman"/>
                <w:color w:val="auto"/>
                <w:kern w:val="0"/>
                <w:sz w:val="21"/>
                <w:szCs w:val="30"/>
                <w:highlight w:val="none"/>
                <w:lang w:val="en-US" w:eastAsia="zh-CN" w:bidi="ar-SA"/>
              </w:rPr>
            </w:pPr>
            <w:r>
              <w:rPr>
                <w:rFonts w:hint="eastAsia" w:ascii="宋体" w:hAnsi="宋体" w:eastAsia="宋体" w:cs="Times New Roman"/>
                <w:color w:val="auto"/>
                <w:kern w:val="0"/>
                <w:sz w:val="21"/>
                <w:szCs w:val="30"/>
                <w:highlight w:val="none"/>
                <w:lang w:val="en-US" w:eastAsia="zh-CN" w:bidi="ar-SA"/>
              </w:rPr>
              <w:t>(7)环卫停车场和修理厂的管理必须遵守《环卫车辆停车场（修理厂）考核办法》</w:t>
            </w:r>
            <w:r>
              <w:rPr>
                <w:rFonts w:hint="eastAsia" w:ascii="宋体" w:hAnsi="宋体" w:cs="Times New Roman"/>
                <w:color w:val="auto"/>
                <w:kern w:val="0"/>
                <w:sz w:val="21"/>
                <w:szCs w:val="30"/>
                <w:highlight w:val="none"/>
                <w:lang w:val="en-US" w:eastAsia="zh-CN" w:bidi="ar-SA"/>
              </w:rPr>
              <w:t>（详见附件1）</w:t>
            </w:r>
            <w:r>
              <w:rPr>
                <w:rFonts w:hint="eastAsia" w:ascii="宋体" w:hAnsi="宋体" w:eastAsia="宋体" w:cs="Times New Roman"/>
                <w:color w:val="auto"/>
                <w:kern w:val="0"/>
                <w:sz w:val="21"/>
                <w:szCs w:val="30"/>
                <w:highlight w:val="none"/>
                <w:lang w:val="en-US" w:eastAsia="zh-CN" w:bidi="ar-SA"/>
              </w:rPr>
              <w:t>规章制度。</w:t>
            </w:r>
          </w:p>
          <w:p w14:paraId="74702302">
            <w:pPr>
              <w:pStyle w:val="15"/>
              <w:numPr>
                <w:ilvl w:val="0"/>
                <w:numId w:val="0"/>
              </w:numPr>
              <w:spacing w:line="360" w:lineRule="auto"/>
              <w:ind w:firstLine="422" w:firstLineChars="200"/>
              <w:rPr>
                <w:rFonts w:hint="eastAsia" w:ascii="宋体" w:hAnsi="宋体" w:cs="Times New Roman"/>
                <w:b/>
                <w:bCs/>
                <w:color w:val="auto"/>
                <w:kern w:val="0"/>
                <w:sz w:val="21"/>
                <w:szCs w:val="30"/>
                <w:highlight w:val="none"/>
                <w:lang w:val="en-US" w:eastAsia="zh-CN" w:bidi="ar-SA"/>
              </w:rPr>
            </w:pPr>
            <w:r>
              <w:rPr>
                <w:rFonts w:hint="eastAsia" w:ascii="宋体" w:hAnsi="宋体" w:cs="Times New Roman"/>
                <w:b/>
                <w:bCs/>
                <w:color w:val="auto"/>
                <w:kern w:val="0"/>
                <w:sz w:val="21"/>
                <w:szCs w:val="30"/>
                <w:highlight w:val="none"/>
                <w:lang w:val="en-US" w:eastAsia="zh-CN" w:bidi="ar-SA"/>
              </w:rPr>
              <w:t>五、保洁人员配备要求</w:t>
            </w:r>
          </w:p>
          <w:p w14:paraId="2539B72A">
            <w:pPr>
              <w:pStyle w:val="15"/>
              <w:numPr>
                <w:ilvl w:val="0"/>
                <w:numId w:val="0"/>
              </w:numPr>
              <w:spacing w:line="360" w:lineRule="auto"/>
              <w:ind w:firstLine="420" w:firstLineChars="200"/>
              <w:rPr>
                <w:rFonts w:hint="eastAsia" w:ascii="宋体" w:hAnsi="宋体" w:cs="Times New Roman"/>
                <w:b w:val="0"/>
                <w:bCs w:val="0"/>
                <w:color w:val="auto"/>
                <w:kern w:val="0"/>
                <w:sz w:val="21"/>
                <w:szCs w:val="30"/>
                <w:highlight w:val="none"/>
                <w:lang w:val="en-US" w:eastAsia="zh-CN" w:bidi="ar-SA"/>
              </w:rPr>
            </w:pPr>
            <w:r>
              <w:rPr>
                <w:rFonts w:hint="eastAsia" w:ascii="宋体" w:hAnsi="宋体" w:cs="Times New Roman"/>
                <w:b w:val="0"/>
                <w:bCs w:val="0"/>
                <w:color w:val="auto"/>
                <w:kern w:val="0"/>
                <w:sz w:val="21"/>
                <w:szCs w:val="30"/>
                <w:highlight w:val="none"/>
                <w:lang w:val="en-US" w:eastAsia="zh-CN" w:bidi="ar-SA"/>
              </w:rPr>
              <w:t>5.1本项目总配置工人数不得少于21名，人员方面由8名专职司机、9名装卸工、2名专职车辆维修人员以及2名项目管理人员，共21名人员组成。</w:t>
            </w:r>
          </w:p>
          <w:p w14:paraId="637A7D42">
            <w:pPr>
              <w:pStyle w:val="15"/>
              <w:numPr>
                <w:ilvl w:val="0"/>
                <w:numId w:val="0"/>
              </w:numPr>
              <w:spacing w:line="360" w:lineRule="auto"/>
              <w:ind w:firstLine="420" w:firstLineChars="200"/>
              <w:rPr>
                <w:rFonts w:hint="eastAsia" w:ascii="宋体" w:hAnsi="宋体" w:cs="Times New Roman"/>
                <w:b w:val="0"/>
                <w:bCs w:val="0"/>
                <w:color w:val="auto"/>
                <w:kern w:val="0"/>
                <w:sz w:val="21"/>
                <w:szCs w:val="30"/>
                <w:highlight w:val="none"/>
                <w:lang w:val="en-US" w:eastAsia="zh-CN" w:bidi="ar-SA"/>
              </w:rPr>
            </w:pPr>
            <w:r>
              <w:rPr>
                <w:rFonts w:hint="eastAsia" w:ascii="宋体" w:hAnsi="宋体" w:cs="Times New Roman"/>
                <w:b w:val="0"/>
                <w:bCs w:val="0"/>
                <w:color w:val="auto"/>
                <w:kern w:val="0"/>
                <w:sz w:val="21"/>
                <w:szCs w:val="30"/>
                <w:highlight w:val="none"/>
                <w:lang w:val="en-US" w:eastAsia="zh-CN" w:bidi="ar-SA"/>
              </w:rPr>
              <w:t>5.2中标供应商投入该片区的人员中需优先考虑当地劳动力。要求男性60岁以下，女性55岁以下。</w:t>
            </w:r>
          </w:p>
          <w:p w14:paraId="4B5CD910">
            <w:pPr>
              <w:pStyle w:val="15"/>
              <w:numPr>
                <w:ilvl w:val="0"/>
                <w:numId w:val="0"/>
              </w:numPr>
              <w:spacing w:line="360" w:lineRule="auto"/>
              <w:ind w:firstLine="420" w:firstLineChars="200"/>
              <w:rPr>
                <w:rFonts w:hint="eastAsia" w:ascii="宋体" w:hAnsi="宋体" w:cs="Times New Roman"/>
                <w:b w:val="0"/>
                <w:bCs w:val="0"/>
                <w:color w:val="auto"/>
                <w:kern w:val="0"/>
                <w:sz w:val="21"/>
                <w:szCs w:val="30"/>
                <w:highlight w:val="none"/>
                <w:lang w:val="en-US" w:eastAsia="zh-CN" w:bidi="ar-SA"/>
              </w:rPr>
            </w:pPr>
            <w:r>
              <w:rPr>
                <w:rFonts w:hint="eastAsia" w:ascii="宋体" w:hAnsi="宋体" w:cs="Times New Roman"/>
                <w:b w:val="0"/>
                <w:bCs w:val="0"/>
                <w:color w:val="auto"/>
                <w:kern w:val="0"/>
                <w:sz w:val="21"/>
                <w:szCs w:val="30"/>
                <w:highlight w:val="none"/>
                <w:lang w:val="en-US" w:eastAsia="zh-CN" w:bidi="ar-SA"/>
              </w:rPr>
              <w:t>5.3中标供应商应编制详细的人员排班表由专人管理，落实至具体责任人员。</w:t>
            </w:r>
          </w:p>
          <w:p w14:paraId="23E7A82F">
            <w:pPr>
              <w:pStyle w:val="15"/>
              <w:numPr>
                <w:ilvl w:val="0"/>
                <w:numId w:val="0"/>
              </w:numPr>
              <w:spacing w:line="360" w:lineRule="auto"/>
              <w:ind w:firstLine="420" w:firstLineChars="200"/>
              <w:rPr>
                <w:rFonts w:hint="eastAsia" w:ascii="宋体" w:hAnsi="宋体" w:cs="Times New Roman"/>
                <w:b w:val="0"/>
                <w:bCs w:val="0"/>
                <w:color w:val="auto"/>
                <w:kern w:val="0"/>
                <w:sz w:val="21"/>
                <w:szCs w:val="30"/>
                <w:highlight w:val="none"/>
                <w:lang w:val="en-US" w:eastAsia="zh-CN" w:bidi="ar-SA"/>
              </w:rPr>
            </w:pPr>
            <w:r>
              <w:rPr>
                <w:rFonts w:hint="eastAsia" w:ascii="宋体" w:hAnsi="宋体" w:cs="Times New Roman"/>
                <w:b w:val="0"/>
                <w:bCs w:val="0"/>
                <w:color w:val="auto"/>
                <w:kern w:val="0"/>
                <w:sz w:val="21"/>
                <w:szCs w:val="30"/>
                <w:highlight w:val="none"/>
                <w:lang w:val="en-US" w:eastAsia="zh-CN" w:bidi="ar-SA"/>
              </w:rPr>
              <w:t>5.4中标供应商应配备一支应急队伍，供采购人调配。一旦发生突发事件和群众投诉，必须30分钟内安排作业人员到现场清理。所发生的费用包含在项目总承包费用中，不另行追加服务费。</w:t>
            </w:r>
          </w:p>
          <w:p w14:paraId="79BEE39F">
            <w:pPr>
              <w:pStyle w:val="15"/>
              <w:numPr>
                <w:ilvl w:val="0"/>
                <w:numId w:val="3"/>
              </w:numPr>
              <w:spacing w:line="360" w:lineRule="auto"/>
              <w:ind w:firstLine="422" w:firstLineChars="200"/>
              <w:rPr>
                <w:rFonts w:hint="eastAsia" w:ascii="宋体" w:hAnsi="宋体" w:cs="Times New Roman"/>
                <w:b/>
                <w:bCs/>
                <w:color w:val="auto"/>
                <w:kern w:val="0"/>
                <w:sz w:val="21"/>
                <w:szCs w:val="30"/>
                <w:highlight w:val="none"/>
                <w:lang w:val="en-US" w:eastAsia="zh-CN" w:bidi="ar-SA"/>
              </w:rPr>
            </w:pPr>
            <w:r>
              <w:rPr>
                <w:rFonts w:hint="eastAsia" w:ascii="宋体" w:hAnsi="宋体" w:cs="Times New Roman"/>
                <w:b/>
                <w:bCs/>
                <w:color w:val="auto"/>
                <w:kern w:val="0"/>
                <w:sz w:val="21"/>
                <w:szCs w:val="30"/>
                <w:highlight w:val="none"/>
                <w:lang w:val="en-US" w:eastAsia="zh-CN" w:bidi="ar-SA"/>
              </w:rPr>
              <w:t>服务要求</w:t>
            </w:r>
          </w:p>
          <w:p w14:paraId="03567F3C">
            <w:pPr>
              <w:pStyle w:val="15"/>
              <w:numPr>
                <w:ilvl w:val="0"/>
                <w:numId w:val="0"/>
              </w:numPr>
              <w:spacing w:line="360" w:lineRule="auto"/>
              <w:ind w:firstLine="420" w:firstLineChars="200"/>
              <w:rPr>
                <w:rFonts w:hint="eastAsia" w:ascii="宋体" w:hAnsi="宋体" w:cs="Times New Roman"/>
                <w:b w:val="0"/>
                <w:bCs w:val="0"/>
                <w:color w:val="auto"/>
                <w:kern w:val="0"/>
                <w:sz w:val="21"/>
                <w:szCs w:val="30"/>
                <w:highlight w:val="none"/>
                <w:lang w:val="en-US" w:eastAsia="zh-CN" w:bidi="ar-SA"/>
              </w:rPr>
            </w:pPr>
            <w:r>
              <w:rPr>
                <w:rFonts w:hint="eastAsia" w:ascii="宋体" w:hAnsi="宋体" w:cs="Times New Roman"/>
                <w:b w:val="0"/>
                <w:bCs w:val="0"/>
                <w:color w:val="auto"/>
                <w:kern w:val="0"/>
                <w:sz w:val="21"/>
                <w:szCs w:val="30"/>
                <w:highlight w:val="none"/>
                <w:lang w:val="en-US" w:eastAsia="zh-CN" w:bidi="ar-SA"/>
              </w:rPr>
              <w:t>6.1每天按规定时间进行垃圾转运，具体作业时间安排：6:00到12:00  14：00到20:00（可根据实际情况及政府的要求调整作业时间）</w:t>
            </w:r>
          </w:p>
          <w:p w14:paraId="1505B813">
            <w:pPr>
              <w:pStyle w:val="15"/>
              <w:numPr>
                <w:ilvl w:val="0"/>
                <w:numId w:val="0"/>
              </w:numPr>
              <w:spacing w:line="360" w:lineRule="auto"/>
              <w:ind w:firstLine="420" w:firstLineChars="200"/>
              <w:rPr>
                <w:rFonts w:hint="eastAsia" w:ascii="宋体" w:hAnsi="宋体" w:cs="Times New Roman"/>
                <w:b w:val="0"/>
                <w:bCs w:val="0"/>
                <w:color w:val="auto"/>
                <w:kern w:val="0"/>
                <w:sz w:val="21"/>
                <w:szCs w:val="30"/>
                <w:highlight w:val="none"/>
                <w:lang w:val="en-US" w:eastAsia="zh-CN" w:bidi="ar-SA"/>
              </w:rPr>
            </w:pPr>
            <w:r>
              <w:rPr>
                <w:rFonts w:hint="eastAsia" w:ascii="宋体" w:hAnsi="宋体" w:cs="Times New Roman"/>
                <w:b w:val="0"/>
                <w:bCs w:val="0"/>
                <w:color w:val="auto"/>
                <w:kern w:val="0"/>
                <w:sz w:val="21"/>
                <w:szCs w:val="30"/>
                <w:highlight w:val="none"/>
                <w:lang w:val="en-US" w:eastAsia="zh-CN" w:bidi="ar-SA"/>
              </w:rPr>
              <w:t>6.2作业时注意节约易耗工具，作业后工具要放在规定的地方，并保持车辆干净、整洁。</w:t>
            </w:r>
          </w:p>
          <w:p w14:paraId="08D05902">
            <w:pPr>
              <w:pStyle w:val="15"/>
              <w:numPr>
                <w:ilvl w:val="0"/>
                <w:numId w:val="0"/>
              </w:numPr>
              <w:spacing w:line="360" w:lineRule="auto"/>
              <w:ind w:firstLine="420" w:firstLineChars="200"/>
              <w:rPr>
                <w:rFonts w:hint="eastAsia" w:ascii="宋体" w:hAnsi="宋体" w:cs="Times New Roman"/>
                <w:b w:val="0"/>
                <w:bCs w:val="0"/>
                <w:color w:val="auto"/>
                <w:kern w:val="0"/>
                <w:sz w:val="21"/>
                <w:szCs w:val="30"/>
                <w:highlight w:val="none"/>
                <w:lang w:val="en-US" w:eastAsia="zh-CN" w:bidi="ar-SA"/>
              </w:rPr>
            </w:pPr>
            <w:r>
              <w:rPr>
                <w:rFonts w:hint="eastAsia" w:ascii="宋体" w:hAnsi="宋体" w:cs="Times New Roman"/>
                <w:b w:val="0"/>
                <w:bCs w:val="0"/>
                <w:color w:val="auto"/>
                <w:kern w:val="0"/>
                <w:sz w:val="21"/>
                <w:szCs w:val="30"/>
                <w:highlight w:val="none"/>
                <w:lang w:val="en-US" w:eastAsia="zh-CN" w:bidi="ar-SA"/>
              </w:rPr>
              <w:t>6.3按标准完成垃圾转运工作，如遇检查或重大活动，无条件服从采购人安排。</w:t>
            </w:r>
          </w:p>
          <w:p w14:paraId="0524E1AB">
            <w:pPr>
              <w:pStyle w:val="15"/>
              <w:numPr>
                <w:ilvl w:val="0"/>
                <w:numId w:val="0"/>
              </w:numPr>
              <w:spacing w:line="360" w:lineRule="auto"/>
              <w:ind w:firstLine="420" w:firstLineChars="200"/>
              <w:rPr>
                <w:rFonts w:hint="eastAsia" w:ascii="宋体" w:hAnsi="宋体" w:cs="Times New Roman"/>
                <w:b w:val="0"/>
                <w:bCs w:val="0"/>
                <w:color w:val="auto"/>
                <w:kern w:val="0"/>
                <w:sz w:val="21"/>
                <w:szCs w:val="30"/>
                <w:highlight w:val="none"/>
                <w:lang w:val="en-US" w:eastAsia="zh-CN" w:bidi="ar-SA"/>
              </w:rPr>
            </w:pPr>
            <w:r>
              <w:rPr>
                <w:rFonts w:hint="eastAsia" w:ascii="宋体" w:hAnsi="宋体" w:cs="Times New Roman"/>
                <w:b w:val="0"/>
                <w:bCs w:val="0"/>
                <w:color w:val="auto"/>
                <w:kern w:val="0"/>
                <w:sz w:val="21"/>
                <w:szCs w:val="30"/>
                <w:highlight w:val="none"/>
                <w:lang w:val="en-US" w:eastAsia="zh-CN" w:bidi="ar-SA"/>
              </w:rPr>
              <w:t>6.4积极响应并接受采购人的监督，随时、随地接受广大居民的监督，若受到居民投诉，在规定时间内及时处理好。</w:t>
            </w:r>
          </w:p>
          <w:p w14:paraId="619391E9">
            <w:pPr>
              <w:pStyle w:val="15"/>
              <w:numPr>
                <w:ilvl w:val="0"/>
                <w:numId w:val="0"/>
              </w:numPr>
              <w:spacing w:line="360" w:lineRule="auto"/>
              <w:ind w:firstLine="420" w:firstLineChars="200"/>
              <w:rPr>
                <w:rFonts w:hint="eastAsia" w:ascii="宋体" w:hAnsi="宋体" w:cs="Times New Roman"/>
                <w:b w:val="0"/>
                <w:bCs w:val="0"/>
                <w:color w:val="auto"/>
                <w:kern w:val="0"/>
                <w:sz w:val="21"/>
                <w:szCs w:val="30"/>
                <w:highlight w:val="none"/>
                <w:lang w:val="en-US" w:eastAsia="zh-CN" w:bidi="ar-SA"/>
              </w:rPr>
            </w:pPr>
            <w:r>
              <w:rPr>
                <w:rFonts w:hint="eastAsia" w:ascii="宋体" w:hAnsi="宋体" w:cs="Times New Roman"/>
                <w:b w:val="0"/>
                <w:bCs w:val="0"/>
                <w:color w:val="auto"/>
                <w:kern w:val="0"/>
                <w:sz w:val="21"/>
                <w:szCs w:val="30"/>
                <w:highlight w:val="none"/>
                <w:lang w:val="en-US" w:eastAsia="zh-CN" w:bidi="ar-SA"/>
              </w:rPr>
              <w:t>6.5由中标供应商负责垃圾转运车辆燃料费、保险费、养路费、保养费及维修费、工人工资、管理费、风险、税费等相关费用。</w:t>
            </w:r>
          </w:p>
          <w:p w14:paraId="7348DFFD">
            <w:pPr>
              <w:pStyle w:val="15"/>
              <w:numPr>
                <w:ilvl w:val="0"/>
                <w:numId w:val="0"/>
              </w:numPr>
              <w:spacing w:line="360" w:lineRule="auto"/>
              <w:ind w:firstLine="420" w:firstLineChars="200"/>
              <w:rPr>
                <w:rFonts w:hint="eastAsia" w:ascii="宋体" w:hAnsi="宋体" w:cs="Times New Roman"/>
                <w:b w:val="0"/>
                <w:bCs w:val="0"/>
                <w:color w:val="auto"/>
                <w:kern w:val="0"/>
                <w:sz w:val="21"/>
                <w:szCs w:val="30"/>
                <w:highlight w:val="none"/>
                <w:lang w:val="en-US" w:eastAsia="zh-CN" w:bidi="ar-SA"/>
              </w:rPr>
            </w:pPr>
            <w:r>
              <w:rPr>
                <w:rFonts w:hint="eastAsia" w:ascii="宋体" w:hAnsi="宋体" w:cs="Times New Roman"/>
                <w:b w:val="0"/>
                <w:bCs w:val="0"/>
                <w:color w:val="auto"/>
                <w:kern w:val="0"/>
                <w:sz w:val="21"/>
                <w:szCs w:val="30"/>
                <w:highlight w:val="none"/>
                <w:lang w:val="en-US" w:eastAsia="zh-CN" w:bidi="ar-SA"/>
              </w:rPr>
              <w:t>6.6车辆进入发电厂后，需遵守发电厂规章制度，服从指挥。</w:t>
            </w:r>
          </w:p>
          <w:p w14:paraId="7A22C84E">
            <w:pPr>
              <w:pStyle w:val="15"/>
              <w:numPr>
                <w:ilvl w:val="0"/>
                <w:numId w:val="0"/>
              </w:numPr>
              <w:spacing w:line="360" w:lineRule="auto"/>
              <w:ind w:firstLine="420" w:firstLineChars="200"/>
              <w:rPr>
                <w:rFonts w:hint="eastAsia" w:ascii="宋体" w:hAnsi="宋体" w:cs="Times New Roman"/>
                <w:b w:val="0"/>
                <w:bCs w:val="0"/>
                <w:color w:val="auto"/>
                <w:kern w:val="0"/>
                <w:sz w:val="21"/>
                <w:szCs w:val="30"/>
                <w:highlight w:val="none"/>
                <w:lang w:val="en-US" w:eastAsia="zh-CN" w:bidi="ar-SA"/>
              </w:rPr>
            </w:pPr>
            <w:r>
              <w:rPr>
                <w:rFonts w:hint="eastAsia" w:ascii="宋体" w:hAnsi="宋体" w:cs="Times New Roman"/>
                <w:b w:val="0"/>
                <w:bCs w:val="0"/>
                <w:color w:val="auto"/>
                <w:kern w:val="0"/>
                <w:sz w:val="21"/>
                <w:szCs w:val="30"/>
                <w:highlight w:val="none"/>
                <w:lang w:val="en-US" w:eastAsia="zh-CN" w:bidi="ar-SA"/>
              </w:rPr>
              <w:t>6.7</w:t>
            </w:r>
            <w:r>
              <w:rPr>
                <w:rFonts w:hint="eastAsia" w:ascii="宋体" w:hAnsi="宋体" w:cs="宋体"/>
                <w:color w:val="auto"/>
                <w:highlight w:val="none"/>
                <w:lang w:val="en-US" w:eastAsia="zh-CN"/>
              </w:rPr>
              <w:t>每月的承包费用</w:t>
            </w:r>
            <w:r>
              <w:rPr>
                <w:rFonts w:hint="eastAsia" w:ascii="宋体" w:hAnsi="宋体" w:eastAsia="宋体" w:cs="宋体"/>
                <w:color w:val="auto"/>
                <w:highlight w:val="none"/>
              </w:rPr>
              <w:t>=</w:t>
            </w:r>
            <w:r>
              <w:rPr>
                <w:rFonts w:hint="eastAsia" w:ascii="宋体" w:hAnsi="宋体" w:cs="宋体"/>
                <w:color w:val="auto"/>
                <w:highlight w:val="none"/>
                <w:lang w:val="en-US" w:eastAsia="zh-CN"/>
              </w:rPr>
              <w:t>中标</w:t>
            </w:r>
            <w:r>
              <w:rPr>
                <w:rFonts w:hint="eastAsia" w:ascii="宋体" w:hAnsi="宋体" w:eastAsia="宋体" w:cs="宋体"/>
                <w:color w:val="auto"/>
                <w:highlight w:val="none"/>
              </w:rPr>
              <w:t>单价</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rPr>
              <w:t>（元/吨）×</w:t>
            </w:r>
            <w:r>
              <w:rPr>
                <w:rFonts w:hint="eastAsia" w:ascii="宋体" w:hAnsi="宋体" w:cs="宋体"/>
                <w:color w:val="auto"/>
                <w:highlight w:val="none"/>
                <w:lang w:val="en-US" w:eastAsia="zh-CN"/>
              </w:rPr>
              <w:t>当月</w:t>
            </w:r>
            <w:r>
              <w:rPr>
                <w:rFonts w:hint="eastAsia" w:ascii="宋体" w:hAnsi="宋体" w:eastAsia="宋体" w:cs="宋体"/>
                <w:color w:val="auto"/>
                <w:highlight w:val="none"/>
              </w:rPr>
              <w:t>垃圾运输量（吨）</w:t>
            </w:r>
            <w:r>
              <w:rPr>
                <w:rFonts w:hint="eastAsia" w:ascii="宋体" w:hAnsi="宋体" w:cs="宋体"/>
                <w:color w:val="auto"/>
                <w:highlight w:val="none"/>
                <w:lang w:eastAsia="zh-CN"/>
              </w:rPr>
              <w:t>。</w:t>
            </w:r>
            <w:r>
              <w:rPr>
                <w:rFonts w:hint="eastAsia" w:ascii="宋体" w:hAnsi="宋体" w:eastAsia="宋体" w:cs="宋体"/>
                <w:color w:val="auto"/>
                <w:highlight w:val="none"/>
              </w:rPr>
              <w:t>垃圾运输量</w:t>
            </w:r>
            <w:r>
              <w:rPr>
                <w:rFonts w:hint="eastAsia" w:ascii="宋体" w:hAnsi="宋体" w:cs="宋体"/>
                <w:color w:val="auto"/>
                <w:highlight w:val="none"/>
                <w:lang w:val="en-US" w:eastAsia="zh-CN"/>
              </w:rPr>
              <w:t>以</w:t>
            </w:r>
            <w:r>
              <w:rPr>
                <w:rFonts w:hint="eastAsia" w:ascii="宋体" w:hAnsi="宋体" w:eastAsia="宋体" w:cs="宋体"/>
                <w:color w:val="auto"/>
                <w:highlight w:val="none"/>
              </w:rPr>
              <w:t>梧州康恒再生能源有限公司</w:t>
            </w:r>
            <w:r>
              <w:rPr>
                <w:rFonts w:hint="eastAsia" w:ascii="宋体" w:hAnsi="宋体" w:cs="宋体"/>
                <w:color w:val="auto"/>
                <w:highlight w:val="none"/>
                <w:lang w:val="en-US" w:eastAsia="zh-CN"/>
              </w:rPr>
              <w:t>称重</w:t>
            </w:r>
            <w:r>
              <w:rPr>
                <w:rFonts w:hint="eastAsia" w:ascii="宋体" w:hAnsi="宋体" w:eastAsia="宋体" w:cs="宋体"/>
                <w:color w:val="auto"/>
                <w:highlight w:val="none"/>
              </w:rPr>
              <w:t>的</w:t>
            </w:r>
            <w:r>
              <w:rPr>
                <w:rFonts w:hint="eastAsia" w:ascii="宋体" w:hAnsi="宋体" w:cs="宋体"/>
                <w:color w:val="auto"/>
                <w:highlight w:val="none"/>
                <w:lang w:val="en-US" w:eastAsia="zh-CN"/>
              </w:rPr>
              <w:t>数值为准，</w:t>
            </w:r>
            <w:r>
              <w:rPr>
                <w:rFonts w:hint="eastAsia" w:ascii="宋体" w:hAnsi="宋体"/>
                <w:color w:val="auto"/>
                <w:szCs w:val="21"/>
                <w:highlight w:val="none"/>
                <w:lang w:val="en-US" w:eastAsia="zh-CN"/>
              </w:rPr>
              <w:t>藤县县城环境卫生管理站</w:t>
            </w:r>
            <w:r>
              <w:rPr>
                <w:rFonts w:hint="eastAsia" w:ascii="宋体" w:hAnsi="宋体" w:cs="宋体"/>
                <w:color w:val="auto"/>
                <w:highlight w:val="none"/>
                <w:lang w:val="en-US" w:eastAsia="zh-CN"/>
              </w:rPr>
              <w:t>称重</w:t>
            </w:r>
            <w:r>
              <w:rPr>
                <w:rFonts w:hint="eastAsia" w:ascii="宋体" w:hAnsi="宋体"/>
                <w:color w:val="auto"/>
                <w:szCs w:val="21"/>
                <w:highlight w:val="none"/>
                <w:lang w:val="en-US" w:eastAsia="zh-CN"/>
              </w:rPr>
              <w:t>的数值为重要参考，若双边数值相差大于5%(不含5%)的，须由采购人组织人员核实后确定。</w:t>
            </w:r>
            <w:r>
              <w:rPr>
                <w:rFonts w:hint="eastAsia" w:ascii="宋体" w:hAnsi="宋体" w:eastAsia="宋体" w:cs="宋体"/>
                <w:color w:val="auto"/>
                <w:highlight w:val="none"/>
              </w:rPr>
              <w:t>每月</w:t>
            </w:r>
            <w:r>
              <w:rPr>
                <w:rFonts w:hint="eastAsia" w:ascii="宋体" w:hAnsi="宋体" w:eastAsia="宋体" w:cs="宋体"/>
                <w:color w:val="auto"/>
                <w:highlight w:val="none"/>
                <w:lang w:val="en-US" w:eastAsia="zh-CN"/>
              </w:rPr>
              <w:t>由</w:t>
            </w:r>
            <w:r>
              <w:rPr>
                <w:rFonts w:hint="eastAsia" w:ascii="宋体" w:hAnsi="宋体"/>
                <w:color w:val="auto"/>
                <w:szCs w:val="21"/>
                <w:highlight w:val="none"/>
                <w:lang w:val="en-US" w:eastAsia="zh-CN"/>
              </w:rPr>
              <w:t>藤县县城环境卫生管理站</w:t>
            </w:r>
            <w:r>
              <w:rPr>
                <w:rFonts w:hint="eastAsia" w:ascii="宋体" w:hAnsi="宋体" w:eastAsia="宋体" w:cs="宋体"/>
                <w:color w:val="auto"/>
                <w:highlight w:val="none"/>
              </w:rPr>
              <w:t>按</w:t>
            </w:r>
            <w:r>
              <w:rPr>
                <w:rFonts w:hint="eastAsia" w:ascii="宋体" w:hAnsi="宋体" w:cs="宋体"/>
                <w:color w:val="auto"/>
                <w:highlight w:val="none"/>
                <w:lang w:val="en-US" w:eastAsia="zh-CN"/>
              </w:rPr>
              <w:t>双方</w:t>
            </w:r>
            <w:r>
              <w:rPr>
                <w:rFonts w:hint="eastAsia" w:ascii="宋体" w:hAnsi="宋体" w:eastAsia="宋体" w:cs="宋体"/>
                <w:color w:val="auto"/>
                <w:highlight w:val="none"/>
              </w:rPr>
              <w:t>核实</w:t>
            </w:r>
            <w:r>
              <w:rPr>
                <w:rFonts w:hint="eastAsia" w:ascii="宋体" w:hAnsi="宋体" w:cs="宋体"/>
                <w:color w:val="auto"/>
                <w:highlight w:val="none"/>
                <w:lang w:val="en-US" w:eastAsia="zh-CN"/>
              </w:rPr>
              <w:t>的</w:t>
            </w:r>
            <w:r>
              <w:rPr>
                <w:rFonts w:hint="eastAsia" w:ascii="宋体" w:hAnsi="宋体" w:eastAsia="宋体" w:cs="宋体"/>
                <w:color w:val="auto"/>
                <w:highlight w:val="none"/>
              </w:rPr>
              <w:t>垃圾</w:t>
            </w:r>
            <w:r>
              <w:rPr>
                <w:rFonts w:hint="eastAsia" w:ascii="宋体" w:hAnsi="宋体" w:cs="宋体"/>
                <w:color w:val="auto"/>
                <w:highlight w:val="none"/>
                <w:lang w:val="en-US" w:eastAsia="zh-CN"/>
              </w:rPr>
              <w:t>运输</w:t>
            </w:r>
            <w:r>
              <w:rPr>
                <w:rFonts w:hint="eastAsia" w:ascii="宋体" w:hAnsi="宋体" w:eastAsia="宋体" w:cs="宋体"/>
                <w:color w:val="auto"/>
                <w:highlight w:val="none"/>
              </w:rPr>
              <w:t>量</w:t>
            </w:r>
            <w:r>
              <w:rPr>
                <w:rFonts w:hint="eastAsia" w:ascii="宋体" w:hAnsi="宋体" w:cs="宋体"/>
                <w:color w:val="auto"/>
                <w:highlight w:val="none"/>
                <w:lang w:eastAsia="zh-CN"/>
              </w:rPr>
              <w:t>，</w:t>
            </w:r>
            <w:r>
              <w:rPr>
                <w:rFonts w:hint="eastAsia" w:ascii="宋体" w:hAnsi="宋体" w:eastAsia="宋体" w:cs="宋体"/>
                <w:color w:val="auto"/>
                <w:highlight w:val="none"/>
                <w:lang w:val="en-US" w:eastAsia="zh-CN"/>
              </w:rPr>
              <w:t>以</w:t>
            </w:r>
            <w:r>
              <w:rPr>
                <w:rFonts w:hint="eastAsia" w:ascii="宋体" w:hAnsi="宋体"/>
                <w:color w:val="auto"/>
                <w:szCs w:val="21"/>
                <w:highlight w:val="none"/>
                <w:lang w:val="en-US" w:eastAsia="zh-CN"/>
              </w:rPr>
              <w:t>采购人</w:t>
            </w:r>
            <w:r>
              <w:rPr>
                <w:rFonts w:hint="eastAsia" w:ascii="宋体" w:hAnsi="宋体" w:eastAsia="宋体" w:cs="宋体"/>
                <w:color w:val="auto"/>
                <w:highlight w:val="none"/>
                <w:lang w:val="en-US" w:eastAsia="zh-CN"/>
              </w:rPr>
              <w:t>名义</w:t>
            </w:r>
            <w:r>
              <w:rPr>
                <w:rFonts w:hint="eastAsia" w:ascii="宋体" w:hAnsi="宋体" w:cs="宋体"/>
                <w:color w:val="auto"/>
                <w:highlight w:val="none"/>
                <w:lang w:val="en-US" w:eastAsia="zh-CN"/>
              </w:rPr>
              <w:t>向藤县</w:t>
            </w:r>
            <w:r>
              <w:rPr>
                <w:rFonts w:hint="eastAsia" w:ascii="宋体" w:hAnsi="宋体" w:eastAsia="宋体" w:cs="宋体"/>
                <w:color w:val="auto"/>
                <w:highlight w:val="none"/>
              </w:rPr>
              <w:t>财政</w:t>
            </w:r>
            <w:r>
              <w:rPr>
                <w:rFonts w:hint="eastAsia" w:ascii="宋体" w:hAnsi="宋体" w:cs="宋体"/>
                <w:color w:val="auto"/>
                <w:highlight w:val="none"/>
                <w:lang w:val="en-US" w:eastAsia="zh-CN"/>
              </w:rPr>
              <w:t>局</w:t>
            </w:r>
            <w:r>
              <w:rPr>
                <w:rFonts w:hint="eastAsia" w:ascii="宋体" w:hAnsi="宋体" w:eastAsia="宋体" w:cs="宋体"/>
                <w:color w:val="auto"/>
                <w:highlight w:val="none"/>
              </w:rPr>
              <w:t>申请资金支付</w:t>
            </w:r>
            <w:r>
              <w:rPr>
                <w:rFonts w:hint="eastAsia" w:ascii="宋体" w:hAnsi="宋体" w:cs="宋体"/>
                <w:color w:val="auto"/>
                <w:highlight w:val="none"/>
                <w:lang w:val="en-US" w:eastAsia="zh-CN"/>
              </w:rPr>
              <w:t>承包费用</w:t>
            </w:r>
            <w:r>
              <w:rPr>
                <w:rFonts w:hint="eastAsia" w:ascii="宋体" w:hAnsi="宋体" w:cs="Times New Roman"/>
                <w:b w:val="0"/>
                <w:bCs w:val="0"/>
                <w:color w:val="auto"/>
                <w:kern w:val="0"/>
                <w:sz w:val="21"/>
                <w:szCs w:val="30"/>
                <w:highlight w:val="none"/>
                <w:lang w:val="en-US" w:eastAsia="zh-CN" w:bidi="ar-SA"/>
              </w:rPr>
              <w:t>。</w:t>
            </w:r>
          </w:p>
          <w:p w14:paraId="546D4D3D">
            <w:pPr>
              <w:pStyle w:val="15"/>
              <w:numPr>
                <w:ilvl w:val="0"/>
                <w:numId w:val="0"/>
              </w:numPr>
              <w:spacing w:line="360" w:lineRule="auto"/>
              <w:ind w:firstLine="420" w:firstLineChars="200"/>
              <w:rPr>
                <w:rFonts w:hint="default" w:ascii="宋体" w:hAnsi="宋体" w:cs="Times New Roman"/>
                <w:b w:val="0"/>
                <w:bCs w:val="0"/>
                <w:color w:val="auto"/>
                <w:kern w:val="0"/>
                <w:sz w:val="21"/>
                <w:szCs w:val="30"/>
                <w:highlight w:val="none"/>
                <w:lang w:val="en-US" w:eastAsia="zh-CN" w:bidi="ar-SA"/>
              </w:rPr>
            </w:pPr>
            <w:r>
              <w:rPr>
                <w:rFonts w:hint="eastAsia" w:ascii="宋体" w:hAnsi="宋体" w:cs="Times New Roman"/>
                <w:b w:val="0"/>
                <w:bCs w:val="0"/>
                <w:color w:val="auto"/>
                <w:kern w:val="0"/>
                <w:sz w:val="21"/>
                <w:szCs w:val="30"/>
                <w:highlight w:val="none"/>
                <w:lang w:val="en-US" w:eastAsia="zh-CN" w:bidi="ar-SA"/>
              </w:rPr>
              <w:t>6.8中标供应商需无条件配合采购人做好县重大活动应急任务时的相关垃圾转运工作。</w:t>
            </w:r>
          </w:p>
          <w:p w14:paraId="0C706F22">
            <w:pPr>
              <w:pStyle w:val="15"/>
              <w:numPr>
                <w:ilvl w:val="0"/>
                <w:numId w:val="0"/>
              </w:numPr>
              <w:spacing w:line="360" w:lineRule="auto"/>
              <w:ind w:firstLine="422" w:firstLineChars="200"/>
              <w:rPr>
                <w:rFonts w:hint="eastAsia" w:ascii="宋体" w:hAnsi="宋体" w:cs="Times New Roman"/>
                <w:b/>
                <w:bCs/>
                <w:color w:val="auto"/>
                <w:kern w:val="0"/>
                <w:sz w:val="21"/>
                <w:szCs w:val="30"/>
                <w:highlight w:val="none"/>
                <w:lang w:val="en-US" w:eastAsia="zh-CN" w:bidi="ar-SA"/>
              </w:rPr>
            </w:pPr>
            <w:r>
              <w:rPr>
                <w:rFonts w:hint="eastAsia" w:ascii="宋体" w:hAnsi="宋体" w:cs="Times New Roman"/>
                <w:b/>
                <w:bCs/>
                <w:color w:val="auto"/>
                <w:kern w:val="0"/>
                <w:sz w:val="21"/>
                <w:szCs w:val="30"/>
                <w:highlight w:val="none"/>
                <w:lang w:val="en-US" w:eastAsia="zh-CN" w:bidi="ar-SA"/>
              </w:rPr>
              <w:t>七、项目其它要求</w:t>
            </w:r>
          </w:p>
          <w:p w14:paraId="79674C9B">
            <w:pPr>
              <w:pStyle w:val="15"/>
              <w:numPr>
                <w:ilvl w:val="0"/>
                <w:numId w:val="0"/>
              </w:numPr>
              <w:spacing w:line="360" w:lineRule="auto"/>
              <w:ind w:firstLine="420" w:firstLineChars="200"/>
              <w:rPr>
                <w:rFonts w:hint="default" w:ascii="宋体" w:hAnsi="宋体" w:cs="Times New Roman"/>
                <w:color w:val="auto"/>
                <w:kern w:val="0"/>
                <w:sz w:val="21"/>
                <w:szCs w:val="30"/>
                <w:highlight w:val="none"/>
                <w:lang w:val="en-US" w:eastAsia="zh-CN" w:bidi="ar-SA"/>
              </w:rPr>
            </w:pPr>
            <w:r>
              <w:rPr>
                <w:rFonts w:hint="eastAsia" w:ascii="宋体" w:hAnsi="宋体" w:cs="Times New Roman"/>
                <w:color w:val="auto"/>
                <w:kern w:val="0"/>
                <w:sz w:val="21"/>
                <w:szCs w:val="30"/>
                <w:highlight w:val="none"/>
                <w:lang w:val="en-US" w:eastAsia="zh-CN" w:bidi="ar-SA"/>
              </w:rPr>
              <w:t>7.1</w:t>
            </w:r>
            <w:r>
              <w:rPr>
                <w:rFonts w:hint="eastAsia" w:ascii="宋体" w:hAnsi="宋体" w:cs="Times New Roman"/>
                <w:b w:val="0"/>
                <w:bCs w:val="0"/>
                <w:color w:val="auto"/>
                <w:kern w:val="0"/>
                <w:sz w:val="21"/>
                <w:szCs w:val="30"/>
                <w:highlight w:val="none"/>
                <w:lang w:val="en-US" w:eastAsia="zh-CN" w:bidi="ar-SA"/>
              </w:rPr>
              <w:t>中标供应商</w:t>
            </w:r>
            <w:r>
              <w:rPr>
                <w:rFonts w:hint="eastAsia" w:ascii="宋体" w:hAnsi="宋体" w:eastAsia="宋体" w:cs="宋体"/>
                <w:color w:val="auto"/>
                <w:highlight w:val="none"/>
                <w:lang w:val="en-US" w:eastAsia="zh-CN"/>
              </w:rPr>
              <w:t>须在</w:t>
            </w:r>
            <w:r>
              <w:rPr>
                <w:rFonts w:hint="eastAsia" w:ascii="宋体" w:hAnsi="宋体" w:eastAsia="宋体" w:cs="宋体"/>
                <w:color w:val="auto"/>
                <w:highlight w:val="none"/>
              </w:rPr>
              <w:t>藤县富吉生活垃圾卫生填埋场</w:t>
            </w:r>
            <w:r>
              <w:rPr>
                <w:rFonts w:hint="eastAsia" w:ascii="宋体" w:hAnsi="宋体" w:eastAsia="宋体" w:cs="宋体"/>
                <w:color w:val="auto"/>
                <w:highlight w:val="none"/>
                <w:lang w:val="en-US" w:eastAsia="zh-CN"/>
              </w:rPr>
              <w:t>合适位置修建临时的垃圾转运站，要求面积</w:t>
            </w:r>
            <w:r>
              <w:rPr>
                <w:rFonts w:hint="eastAsia" w:ascii="宋体" w:hAnsi="宋体" w:cs="宋体"/>
                <w:color w:val="auto"/>
                <w:highlight w:val="none"/>
                <w:lang w:val="en-US" w:eastAsia="zh-CN"/>
              </w:rPr>
              <w:t>硬化水泥混凝土地面</w:t>
            </w:r>
            <w:r>
              <w:rPr>
                <w:rFonts w:hint="eastAsia" w:ascii="宋体" w:hAnsi="宋体" w:eastAsia="宋体" w:cs="宋体"/>
                <w:color w:val="auto"/>
                <w:highlight w:val="none"/>
                <w:lang w:val="en-US" w:eastAsia="zh-CN"/>
              </w:rPr>
              <w:t>约500平方，并搭建</w:t>
            </w:r>
            <w:r>
              <w:rPr>
                <w:rFonts w:hint="eastAsia" w:ascii="宋体" w:hAnsi="宋体" w:cs="宋体"/>
                <w:color w:val="auto"/>
                <w:highlight w:val="none"/>
                <w:lang w:val="en-US" w:eastAsia="zh-CN"/>
              </w:rPr>
              <w:t>满足转运垃圾要求</w:t>
            </w:r>
            <w:r>
              <w:rPr>
                <w:rFonts w:hint="eastAsia" w:ascii="宋体" w:hAnsi="宋体" w:eastAsia="宋体" w:cs="宋体"/>
                <w:color w:val="auto"/>
                <w:highlight w:val="none"/>
                <w:lang w:val="en-US" w:eastAsia="zh-CN"/>
              </w:rPr>
              <w:t>星铁皮棚顶，同时做好周边污水排放设施</w:t>
            </w:r>
            <w:r>
              <w:rPr>
                <w:rFonts w:hint="eastAsia" w:ascii="宋体" w:hAnsi="宋体" w:cs="Times New Roman"/>
                <w:color w:val="auto"/>
                <w:kern w:val="0"/>
                <w:sz w:val="21"/>
                <w:szCs w:val="30"/>
                <w:highlight w:val="none"/>
                <w:lang w:val="en-US" w:eastAsia="zh-CN" w:bidi="ar-SA"/>
              </w:rPr>
              <w:t>。临时转运场</w:t>
            </w:r>
            <w:r>
              <w:rPr>
                <w:rFonts w:hint="eastAsia" w:ascii="宋体" w:hAnsi="宋体" w:eastAsia="宋体" w:cs="Times New Roman"/>
                <w:color w:val="auto"/>
                <w:kern w:val="0"/>
                <w:sz w:val="21"/>
                <w:szCs w:val="30"/>
                <w:highlight w:val="none"/>
                <w:lang w:val="en-US" w:eastAsia="zh-CN" w:bidi="ar-SA"/>
              </w:rPr>
              <w:t>的管理必须遵守《临时垃圾转运站考核细则》</w:t>
            </w:r>
            <w:r>
              <w:rPr>
                <w:rFonts w:hint="eastAsia" w:ascii="宋体" w:hAnsi="宋体" w:cs="Times New Roman"/>
                <w:color w:val="auto"/>
                <w:kern w:val="0"/>
                <w:sz w:val="21"/>
                <w:szCs w:val="30"/>
                <w:highlight w:val="none"/>
                <w:lang w:val="en-US" w:eastAsia="zh-CN" w:bidi="ar-SA"/>
              </w:rPr>
              <w:t>（详见附件2）</w:t>
            </w:r>
            <w:r>
              <w:rPr>
                <w:rFonts w:hint="eastAsia" w:ascii="宋体" w:hAnsi="宋体" w:eastAsia="宋体" w:cs="Times New Roman"/>
                <w:color w:val="auto"/>
                <w:kern w:val="0"/>
                <w:sz w:val="21"/>
                <w:szCs w:val="30"/>
                <w:highlight w:val="none"/>
                <w:lang w:val="en-US" w:eastAsia="zh-CN" w:bidi="ar-SA"/>
              </w:rPr>
              <w:t>规章制度</w:t>
            </w:r>
            <w:r>
              <w:rPr>
                <w:rFonts w:hint="eastAsia" w:ascii="宋体" w:hAnsi="宋体" w:cs="Times New Roman"/>
                <w:color w:val="auto"/>
                <w:kern w:val="0"/>
                <w:sz w:val="21"/>
                <w:szCs w:val="30"/>
                <w:highlight w:val="none"/>
                <w:lang w:val="en-US" w:eastAsia="zh-CN" w:bidi="ar-SA"/>
              </w:rPr>
              <w:t>。</w:t>
            </w:r>
          </w:p>
          <w:p w14:paraId="4DB54E2C">
            <w:pPr>
              <w:pStyle w:val="29"/>
              <w:spacing w:line="360" w:lineRule="auto"/>
              <w:ind w:firstLine="420" w:firstLineChars="200"/>
              <w:rPr>
                <w:rFonts w:hint="eastAsia" w:ascii="宋体" w:hAnsi="宋体" w:cs="Times New Roman"/>
                <w:color w:val="auto"/>
                <w:kern w:val="0"/>
                <w:sz w:val="21"/>
                <w:szCs w:val="30"/>
                <w:highlight w:val="none"/>
                <w:lang w:val="en-US" w:eastAsia="zh-CN" w:bidi="ar-SA"/>
              </w:rPr>
            </w:pPr>
            <w:r>
              <w:rPr>
                <w:rFonts w:hint="eastAsia" w:ascii="宋体" w:hAnsi="宋体" w:cs="Times New Roman"/>
                <w:color w:val="auto"/>
                <w:kern w:val="0"/>
                <w:sz w:val="21"/>
                <w:szCs w:val="30"/>
                <w:highlight w:val="none"/>
                <w:lang w:val="en-US" w:eastAsia="zh-CN" w:bidi="ar-SA"/>
              </w:rPr>
              <w:t>7.2要求每次车辆转运时需经藤县富吉垃圾填埋场磅称以控制垃圾转运输量。</w:t>
            </w:r>
          </w:p>
          <w:p w14:paraId="3F403897">
            <w:pPr>
              <w:pStyle w:val="29"/>
              <w:spacing w:line="360" w:lineRule="auto"/>
              <w:ind w:firstLine="420" w:firstLineChars="200"/>
              <w:rPr>
                <w:rFonts w:hint="eastAsia" w:ascii="宋体" w:hAnsi="宋体" w:eastAsia="宋体" w:cs="Times New Roman"/>
                <w:b w:val="0"/>
                <w:bCs w:val="0"/>
                <w:color w:val="auto"/>
                <w:kern w:val="0"/>
                <w:sz w:val="21"/>
                <w:szCs w:val="30"/>
                <w:highlight w:val="none"/>
                <w:lang w:val="en-US" w:eastAsia="zh-CN" w:bidi="ar-SA"/>
              </w:rPr>
            </w:pPr>
            <w:r>
              <w:rPr>
                <w:rFonts w:hint="eastAsia" w:ascii="宋体" w:hAnsi="宋体" w:cs="Times New Roman"/>
                <w:b w:val="0"/>
                <w:bCs w:val="0"/>
                <w:color w:val="auto"/>
                <w:kern w:val="0"/>
                <w:sz w:val="21"/>
                <w:szCs w:val="30"/>
                <w:highlight w:val="none"/>
                <w:lang w:val="en-US" w:eastAsia="zh-CN" w:bidi="ar-SA"/>
              </w:rPr>
              <w:t>7.3中标供应商</w:t>
            </w:r>
            <w:r>
              <w:rPr>
                <w:rFonts w:hint="eastAsia" w:ascii="宋体" w:hAnsi="宋体" w:eastAsia="宋体" w:cs="Times New Roman"/>
                <w:b w:val="0"/>
                <w:bCs w:val="0"/>
                <w:color w:val="auto"/>
                <w:kern w:val="0"/>
                <w:sz w:val="21"/>
                <w:szCs w:val="30"/>
                <w:highlight w:val="none"/>
                <w:lang w:val="en-US" w:eastAsia="zh-CN" w:bidi="ar-SA"/>
              </w:rPr>
              <w:t>自行租赁场地停放车辆，并自行负责水电费用。</w:t>
            </w:r>
          </w:p>
          <w:p w14:paraId="37AED02E">
            <w:pPr>
              <w:pStyle w:val="15"/>
              <w:numPr>
                <w:ilvl w:val="0"/>
                <w:numId w:val="0"/>
              </w:numPr>
              <w:spacing w:line="360" w:lineRule="auto"/>
              <w:ind w:firstLine="420" w:firstLineChars="200"/>
              <w:rPr>
                <w:rFonts w:hint="default" w:ascii="宋体" w:hAnsi="宋体" w:cs="Times New Roman"/>
                <w:color w:val="auto"/>
                <w:kern w:val="0"/>
                <w:sz w:val="21"/>
                <w:szCs w:val="30"/>
                <w:highlight w:val="none"/>
                <w:lang w:val="en-US" w:eastAsia="zh-CN" w:bidi="ar-SA"/>
              </w:rPr>
            </w:pPr>
            <w:r>
              <w:rPr>
                <w:rFonts w:hint="eastAsia" w:ascii="宋体" w:hAnsi="宋体" w:cs="Times New Roman"/>
                <w:color w:val="auto"/>
                <w:kern w:val="0"/>
                <w:sz w:val="21"/>
                <w:szCs w:val="30"/>
                <w:highlight w:val="none"/>
                <w:lang w:val="en-US" w:eastAsia="zh-CN" w:bidi="ar-SA"/>
              </w:rPr>
              <w:t>7.4中标供应商</w:t>
            </w:r>
            <w:r>
              <w:rPr>
                <w:rFonts w:hint="default" w:ascii="宋体" w:hAnsi="宋体" w:cs="Times New Roman"/>
                <w:color w:val="auto"/>
                <w:kern w:val="0"/>
                <w:sz w:val="21"/>
                <w:szCs w:val="30"/>
                <w:highlight w:val="none"/>
                <w:lang w:val="en-US" w:eastAsia="zh-CN" w:bidi="ar-SA"/>
              </w:rPr>
              <w:t>负责员工的工资和社会养老、医疗、工伤、失业、生育保险费用，若发生劳动争议均由</w:t>
            </w:r>
            <w:r>
              <w:rPr>
                <w:rFonts w:hint="eastAsia" w:ascii="宋体" w:hAnsi="宋体" w:cs="Times New Roman"/>
                <w:color w:val="auto"/>
                <w:kern w:val="0"/>
                <w:sz w:val="21"/>
                <w:szCs w:val="30"/>
                <w:highlight w:val="none"/>
                <w:lang w:val="en-US" w:eastAsia="zh-CN" w:bidi="ar-SA"/>
              </w:rPr>
              <w:t>中标供应商</w:t>
            </w:r>
            <w:r>
              <w:rPr>
                <w:rFonts w:hint="default" w:ascii="宋体" w:hAnsi="宋体" w:cs="Times New Roman"/>
                <w:color w:val="auto"/>
                <w:kern w:val="0"/>
                <w:sz w:val="21"/>
                <w:szCs w:val="30"/>
                <w:highlight w:val="none"/>
                <w:lang w:val="en-US" w:eastAsia="zh-CN" w:bidi="ar-SA"/>
              </w:rPr>
              <w:t>自己解决，</w:t>
            </w:r>
            <w:r>
              <w:rPr>
                <w:rFonts w:hint="eastAsia" w:ascii="宋体" w:hAnsi="宋体" w:cs="Times New Roman"/>
                <w:color w:val="auto"/>
                <w:kern w:val="0"/>
                <w:sz w:val="21"/>
                <w:szCs w:val="30"/>
                <w:highlight w:val="none"/>
                <w:lang w:val="en-US" w:eastAsia="zh-CN" w:bidi="ar-SA"/>
              </w:rPr>
              <w:t>采购人</w:t>
            </w:r>
            <w:r>
              <w:rPr>
                <w:rFonts w:hint="default" w:ascii="宋体" w:hAnsi="宋体" w:cs="Times New Roman"/>
                <w:color w:val="auto"/>
                <w:kern w:val="0"/>
                <w:sz w:val="21"/>
                <w:szCs w:val="30"/>
                <w:highlight w:val="none"/>
                <w:lang w:val="en-US" w:eastAsia="zh-CN" w:bidi="ar-SA"/>
              </w:rPr>
              <w:t>不负连带关系和责任。</w:t>
            </w:r>
          </w:p>
          <w:p w14:paraId="764A2CE7">
            <w:pPr>
              <w:pStyle w:val="15"/>
              <w:numPr>
                <w:ilvl w:val="0"/>
                <w:numId w:val="0"/>
              </w:numPr>
              <w:spacing w:line="360" w:lineRule="auto"/>
              <w:ind w:firstLine="420" w:firstLineChars="200"/>
              <w:rPr>
                <w:rFonts w:hint="default" w:ascii="宋体" w:hAnsi="宋体" w:cs="Times New Roman"/>
                <w:color w:val="auto"/>
                <w:kern w:val="0"/>
                <w:sz w:val="21"/>
                <w:szCs w:val="30"/>
                <w:highlight w:val="none"/>
                <w:lang w:val="en-US" w:eastAsia="zh-CN" w:bidi="ar-SA"/>
              </w:rPr>
            </w:pPr>
            <w:r>
              <w:rPr>
                <w:rFonts w:hint="eastAsia" w:ascii="宋体" w:hAnsi="宋体" w:cs="Times New Roman"/>
                <w:color w:val="auto"/>
                <w:kern w:val="0"/>
                <w:sz w:val="21"/>
                <w:szCs w:val="30"/>
                <w:highlight w:val="none"/>
                <w:lang w:val="en-US" w:eastAsia="zh-CN" w:bidi="ar-SA"/>
              </w:rPr>
              <w:t>7.5中标供应商</w:t>
            </w:r>
            <w:r>
              <w:rPr>
                <w:rFonts w:hint="default" w:ascii="宋体" w:hAnsi="宋体" w:cs="Times New Roman"/>
                <w:color w:val="auto"/>
                <w:kern w:val="0"/>
                <w:sz w:val="21"/>
                <w:szCs w:val="30"/>
                <w:highlight w:val="none"/>
                <w:lang w:val="en-US" w:eastAsia="zh-CN" w:bidi="ar-SA"/>
              </w:rPr>
              <w:t>应遵守国家的有关法律、法规及当地政府的有关规定，严格内部管理并负责其为完成本项目承包合同全部人员的劳动合同及劳动法律关系和相应的风险责任。否则，由此产生的一切后果，均由</w:t>
            </w:r>
            <w:r>
              <w:rPr>
                <w:rFonts w:hint="eastAsia" w:ascii="宋体" w:hAnsi="宋体" w:cs="Times New Roman"/>
                <w:color w:val="auto"/>
                <w:kern w:val="0"/>
                <w:sz w:val="21"/>
                <w:szCs w:val="30"/>
                <w:highlight w:val="none"/>
                <w:lang w:val="en-US" w:eastAsia="zh-CN" w:bidi="ar-SA"/>
              </w:rPr>
              <w:t>中标供应商</w:t>
            </w:r>
            <w:r>
              <w:rPr>
                <w:rFonts w:hint="default" w:ascii="宋体" w:hAnsi="宋体" w:cs="Times New Roman"/>
                <w:color w:val="auto"/>
                <w:kern w:val="0"/>
                <w:sz w:val="21"/>
                <w:szCs w:val="30"/>
                <w:highlight w:val="none"/>
                <w:lang w:val="en-US" w:eastAsia="zh-CN" w:bidi="ar-SA"/>
              </w:rPr>
              <w:t>负责，</w:t>
            </w:r>
            <w:r>
              <w:rPr>
                <w:rFonts w:hint="eastAsia" w:ascii="宋体" w:hAnsi="宋体" w:cs="Times New Roman"/>
                <w:color w:val="auto"/>
                <w:kern w:val="0"/>
                <w:sz w:val="21"/>
                <w:szCs w:val="30"/>
                <w:highlight w:val="none"/>
                <w:lang w:val="en-US" w:eastAsia="zh-CN" w:bidi="ar-SA"/>
              </w:rPr>
              <w:t>中标供应商</w:t>
            </w:r>
            <w:r>
              <w:rPr>
                <w:rFonts w:hint="default" w:ascii="宋体" w:hAnsi="宋体" w:cs="Times New Roman"/>
                <w:color w:val="auto"/>
                <w:kern w:val="0"/>
                <w:sz w:val="21"/>
                <w:szCs w:val="30"/>
                <w:highlight w:val="none"/>
                <w:lang w:val="en-US" w:eastAsia="zh-CN" w:bidi="ar-SA"/>
              </w:rPr>
              <w:t>不得以任何理由向</w:t>
            </w:r>
            <w:r>
              <w:rPr>
                <w:rFonts w:hint="eastAsia" w:ascii="宋体" w:hAnsi="宋体" w:cs="Times New Roman"/>
                <w:color w:val="auto"/>
                <w:kern w:val="0"/>
                <w:sz w:val="21"/>
                <w:szCs w:val="30"/>
                <w:highlight w:val="none"/>
                <w:lang w:val="en-US" w:eastAsia="zh-CN" w:bidi="ar-SA"/>
              </w:rPr>
              <w:t>采购人</w:t>
            </w:r>
            <w:r>
              <w:rPr>
                <w:rFonts w:hint="default" w:ascii="宋体" w:hAnsi="宋体" w:cs="Times New Roman"/>
                <w:color w:val="auto"/>
                <w:kern w:val="0"/>
                <w:sz w:val="21"/>
                <w:szCs w:val="30"/>
                <w:highlight w:val="none"/>
                <w:lang w:val="en-US" w:eastAsia="zh-CN" w:bidi="ar-SA"/>
              </w:rPr>
              <w:t>追偿。</w:t>
            </w:r>
          </w:p>
          <w:p w14:paraId="518E6404">
            <w:pPr>
              <w:pStyle w:val="15"/>
              <w:numPr>
                <w:ilvl w:val="0"/>
                <w:numId w:val="0"/>
              </w:numPr>
              <w:spacing w:line="360" w:lineRule="auto"/>
              <w:ind w:firstLine="420" w:firstLineChars="200"/>
              <w:rPr>
                <w:rFonts w:hint="default" w:ascii="宋体" w:hAnsi="宋体" w:cs="Times New Roman"/>
                <w:color w:val="auto"/>
                <w:kern w:val="0"/>
                <w:sz w:val="21"/>
                <w:szCs w:val="30"/>
                <w:highlight w:val="none"/>
                <w:lang w:val="en-US" w:eastAsia="zh-CN" w:bidi="ar-SA"/>
              </w:rPr>
            </w:pPr>
            <w:r>
              <w:rPr>
                <w:rFonts w:hint="eastAsia" w:ascii="宋体" w:hAnsi="宋体" w:cs="Times New Roman"/>
                <w:color w:val="auto"/>
                <w:kern w:val="0"/>
                <w:sz w:val="21"/>
                <w:szCs w:val="30"/>
                <w:highlight w:val="none"/>
                <w:lang w:val="en-US" w:eastAsia="zh-CN" w:bidi="ar-SA"/>
              </w:rPr>
              <w:t>7.6</w:t>
            </w:r>
            <w:r>
              <w:rPr>
                <w:rFonts w:hint="default" w:ascii="宋体" w:hAnsi="宋体" w:cs="Times New Roman"/>
                <w:color w:val="auto"/>
                <w:kern w:val="0"/>
                <w:sz w:val="21"/>
                <w:szCs w:val="30"/>
                <w:highlight w:val="none"/>
                <w:lang w:val="en-US" w:eastAsia="zh-CN" w:bidi="ar-SA"/>
              </w:rPr>
              <w:t>承包期内，发生治安、交通、安全生产事故、员工工伤、火灾等安全案件或违反计划生育、社保政策及劳资纠纷等，出现人员伤亡和车辆财产损失，均由</w:t>
            </w:r>
            <w:r>
              <w:rPr>
                <w:rFonts w:hint="eastAsia" w:ascii="宋体" w:hAnsi="宋体" w:cs="Times New Roman"/>
                <w:color w:val="auto"/>
                <w:kern w:val="0"/>
                <w:sz w:val="21"/>
                <w:szCs w:val="30"/>
                <w:highlight w:val="none"/>
                <w:lang w:val="en-US" w:eastAsia="zh-CN" w:bidi="ar-SA"/>
              </w:rPr>
              <w:t>中标供应商</w:t>
            </w:r>
            <w:r>
              <w:rPr>
                <w:rFonts w:hint="default" w:ascii="宋体" w:hAnsi="宋体" w:cs="Times New Roman"/>
                <w:color w:val="auto"/>
                <w:kern w:val="0"/>
                <w:sz w:val="21"/>
                <w:szCs w:val="30"/>
                <w:highlight w:val="none"/>
                <w:lang w:val="en-US" w:eastAsia="zh-CN" w:bidi="ar-SA"/>
              </w:rPr>
              <w:t>依法负全责，并负贵支付由此产生的一切费用，不得以任何理由借口向</w:t>
            </w:r>
            <w:r>
              <w:rPr>
                <w:rFonts w:hint="eastAsia" w:ascii="宋体" w:hAnsi="宋体" w:cs="Times New Roman"/>
                <w:color w:val="auto"/>
                <w:kern w:val="0"/>
                <w:sz w:val="21"/>
                <w:szCs w:val="30"/>
                <w:highlight w:val="none"/>
                <w:lang w:val="en-US" w:eastAsia="zh-CN" w:bidi="ar-SA"/>
              </w:rPr>
              <w:t>采购人</w:t>
            </w:r>
            <w:r>
              <w:rPr>
                <w:rFonts w:hint="default" w:ascii="宋体" w:hAnsi="宋体" w:cs="Times New Roman"/>
                <w:color w:val="auto"/>
                <w:kern w:val="0"/>
                <w:sz w:val="21"/>
                <w:szCs w:val="30"/>
                <w:highlight w:val="none"/>
                <w:lang w:val="en-US" w:eastAsia="zh-CN" w:bidi="ar-SA"/>
              </w:rPr>
              <w:t>追偿。</w:t>
            </w:r>
          </w:p>
          <w:p w14:paraId="619B7E29">
            <w:pPr>
              <w:pStyle w:val="15"/>
              <w:numPr>
                <w:ilvl w:val="0"/>
                <w:numId w:val="0"/>
              </w:numPr>
              <w:spacing w:line="360" w:lineRule="auto"/>
              <w:ind w:firstLine="420" w:firstLineChars="200"/>
              <w:rPr>
                <w:rFonts w:hint="default" w:ascii="宋体" w:hAnsi="宋体" w:cs="Times New Roman"/>
                <w:color w:val="auto"/>
                <w:kern w:val="0"/>
                <w:sz w:val="21"/>
                <w:szCs w:val="30"/>
                <w:highlight w:val="none"/>
                <w:lang w:val="en-US" w:eastAsia="zh-CN" w:bidi="ar-SA"/>
              </w:rPr>
            </w:pPr>
            <w:r>
              <w:rPr>
                <w:rFonts w:hint="eastAsia" w:ascii="宋体" w:hAnsi="宋体" w:cs="Times New Roman"/>
                <w:color w:val="auto"/>
                <w:kern w:val="0"/>
                <w:sz w:val="21"/>
                <w:szCs w:val="30"/>
                <w:highlight w:val="none"/>
                <w:lang w:val="en-US" w:eastAsia="zh-CN" w:bidi="ar-SA"/>
              </w:rPr>
              <w:t>7.7中标供应商</w:t>
            </w:r>
            <w:r>
              <w:rPr>
                <w:rFonts w:hint="default" w:ascii="宋体" w:hAnsi="宋体" w:cs="Times New Roman"/>
                <w:color w:val="auto"/>
                <w:kern w:val="0"/>
                <w:sz w:val="21"/>
                <w:szCs w:val="30"/>
                <w:highlight w:val="none"/>
                <w:lang w:val="en-US" w:eastAsia="zh-CN" w:bidi="ar-SA"/>
              </w:rPr>
              <w:t>须遵守环卫保洁行业的相关安全生产管理规定，严格按安全标准组织实施，采取必要的安全防护措施，消除事故隐患，并接受</w:t>
            </w:r>
            <w:r>
              <w:rPr>
                <w:rFonts w:hint="eastAsia" w:ascii="宋体" w:hAnsi="宋体" w:cs="Times New Roman"/>
                <w:color w:val="auto"/>
                <w:kern w:val="0"/>
                <w:sz w:val="21"/>
                <w:szCs w:val="30"/>
                <w:highlight w:val="none"/>
                <w:lang w:val="en-US" w:eastAsia="zh-CN" w:bidi="ar-SA"/>
              </w:rPr>
              <w:t>采购人</w:t>
            </w:r>
            <w:r>
              <w:rPr>
                <w:rFonts w:hint="default" w:ascii="宋体" w:hAnsi="宋体" w:cs="Times New Roman"/>
                <w:color w:val="auto"/>
                <w:kern w:val="0"/>
                <w:sz w:val="21"/>
                <w:szCs w:val="30"/>
                <w:highlight w:val="none"/>
                <w:lang w:val="en-US" w:eastAsia="zh-CN" w:bidi="ar-SA"/>
              </w:rPr>
              <w:t>的监督检查。项目执行期间，因</w:t>
            </w:r>
            <w:r>
              <w:rPr>
                <w:rFonts w:hint="eastAsia" w:ascii="宋体" w:hAnsi="宋体" w:cs="Times New Roman"/>
                <w:color w:val="auto"/>
                <w:kern w:val="0"/>
                <w:sz w:val="21"/>
                <w:szCs w:val="30"/>
                <w:highlight w:val="none"/>
                <w:lang w:val="en-US" w:eastAsia="zh-CN" w:bidi="ar-SA"/>
              </w:rPr>
              <w:t>中标供应商</w:t>
            </w:r>
            <w:r>
              <w:rPr>
                <w:rFonts w:hint="default" w:ascii="宋体" w:hAnsi="宋体" w:cs="Times New Roman"/>
                <w:color w:val="auto"/>
                <w:kern w:val="0"/>
                <w:sz w:val="21"/>
                <w:szCs w:val="30"/>
                <w:highlight w:val="none"/>
                <w:lang w:val="en-US" w:eastAsia="zh-CN" w:bidi="ar-SA"/>
              </w:rPr>
              <w:t>违反安全操作规程或安全措施不力造成的损失和责任均由</w:t>
            </w:r>
            <w:r>
              <w:rPr>
                <w:rFonts w:hint="eastAsia" w:ascii="宋体" w:hAnsi="宋体" w:cs="Times New Roman"/>
                <w:color w:val="auto"/>
                <w:kern w:val="0"/>
                <w:sz w:val="21"/>
                <w:szCs w:val="30"/>
                <w:highlight w:val="none"/>
                <w:lang w:val="en-US" w:eastAsia="zh-CN" w:bidi="ar-SA"/>
              </w:rPr>
              <w:t>中标供应商</w:t>
            </w:r>
            <w:r>
              <w:rPr>
                <w:rFonts w:hint="default" w:ascii="宋体" w:hAnsi="宋体" w:cs="Times New Roman"/>
                <w:color w:val="auto"/>
                <w:kern w:val="0"/>
                <w:sz w:val="21"/>
                <w:szCs w:val="30"/>
                <w:highlight w:val="none"/>
                <w:lang w:val="en-US" w:eastAsia="zh-CN" w:bidi="ar-SA"/>
              </w:rPr>
              <w:t>承担，</w:t>
            </w:r>
            <w:r>
              <w:rPr>
                <w:rFonts w:hint="eastAsia" w:ascii="宋体" w:hAnsi="宋体" w:cs="Times New Roman"/>
                <w:color w:val="auto"/>
                <w:kern w:val="0"/>
                <w:sz w:val="21"/>
                <w:szCs w:val="30"/>
                <w:highlight w:val="none"/>
                <w:lang w:val="en-US" w:eastAsia="zh-CN" w:bidi="ar-SA"/>
              </w:rPr>
              <w:t>采购人</w:t>
            </w:r>
            <w:r>
              <w:rPr>
                <w:rFonts w:hint="default" w:ascii="宋体" w:hAnsi="宋体" w:cs="Times New Roman"/>
                <w:color w:val="auto"/>
                <w:kern w:val="0"/>
                <w:sz w:val="21"/>
                <w:szCs w:val="30"/>
                <w:highlight w:val="none"/>
                <w:lang w:val="en-US" w:eastAsia="zh-CN" w:bidi="ar-SA"/>
              </w:rPr>
              <w:t>有保留延迟支付、扣罚经费和追究责任的权利。</w:t>
            </w:r>
          </w:p>
        </w:tc>
      </w:tr>
      <w:tr w14:paraId="24136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11" w:type="dxa"/>
            <w:gridSpan w:val="6"/>
            <w:tcBorders>
              <w:top w:val="single" w:color="auto" w:sz="4" w:space="0"/>
              <w:left w:val="single" w:color="auto" w:sz="4" w:space="0"/>
              <w:bottom w:val="single" w:color="auto" w:sz="4" w:space="0"/>
              <w:right w:val="single" w:color="auto" w:sz="4" w:space="0"/>
            </w:tcBorders>
          </w:tcPr>
          <w:p w14:paraId="5C64DE61">
            <w:pPr>
              <w:spacing w:line="360" w:lineRule="auto"/>
              <w:rPr>
                <w:rFonts w:ascii="宋体" w:hAnsi="宋体"/>
                <w:b/>
                <w:bCs/>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一、商务要求</w:t>
            </w:r>
          </w:p>
        </w:tc>
      </w:tr>
      <w:tr w14:paraId="325E4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0" w:type="dxa"/>
            <w:gridSpan w:val="3"/>
            <w:tcBorders>
              <w:top w:val="single" w:color="auto" w:sz="4" w:space="0"/>
              <w:left w:val="single" w:color="auto" w:sz="4" w:space="0"/>
              <w:bottom w:val="single" w:color="auto" w:sz="4" w:space="0"/>
              <w:right w:val="single" w:color="auto" w:sz="4" w:space="0"/>
            </w:tcBorders>
            <w:vAlign w:val="center"/>
          </w:tcPr>
          <w:p w14:paraId="75F1D24D">
            <w:pPr>
              <w:spacing w:line="360" w:lineRule="auto"/>
              <w:rPr>
                <w:rFonts w:ascii="宋体" w:hAnsi="宋体"/>
                <w:b/>
                <w:color w:val="auto"/>
                <w:szCs w:val="21"/>
                <w:highlight w:val="none"/>
              </w:rPr>
            </w:pPr>
            <w:r>
              <w:rPr>
                <w:rFonts w:hint="eastAsia" w:ascii="宋体" w:hAnsi="宋体" w:cs="宋体"/>
                <w:color w:val="auto"/>
                <w:szCs w:val="21"/>
                <w:highlight w:val="none"/>
                <w:lang w:eastAsia="zh-CN"/>
              </w:rPr>
              <w:t>服务期限</w:t>
            </w:r>
            <w:r>
              <w:rPr>
                <w:rFonts w:hint="eastAsia" w:ascii="宋体" w:hAnsi="宋体" w:cs="宋体"/>
                <w:color w:val="auto"/>
                <w:szCs w:val="21"/>
                <w:highlight w:val="none"/>
              </w:rPr>
              <w:t>和地点</w:t>
            </w:r>
          </w:p>
        </w:tc>
        <w:tc>
          <w:tcPr>
            <w:tcW w:w="7621" w:type="dxa"/>
            <w:gridSpan w:val="3"/>
            <w:tcBorders>
              <w:top w:val="single" w:color="auto" w:sz="4" w:space="0"/>
              <w:left w:val="single" w:color="auto" w:sz="4" w:space="0"/>
              <w:bottom w:val="single" w:color="auto" w:sz="4" w:space="0"/>
              <w:right w:val="single" w:color="auto" w:sz="4" w:space="0"/>
            </w:tcBorders>
            <w:vAlign w:val="center"/>
          </w:tcPr>
          <w:p w14:paraId="677935C2">
            <w:pPr>
              <w:spacing w:line="360" w:lineRule="auto"/>
              <w:rPr>
                <w:rFonts w:ascii="宋体" w:hAnsi="宋体" w:cs="宋体"/>
                <w:color w:val="auto"/>
                <w:szCs w:val="21"/>
                <w:highlight w:val="none"/>
              </w:rPr>
            </w:pPr>
            <w:r>
              <w:rPr>
                <w:rFonts w:hint="eastAsia" w:ascii="宋体" w:hAnsi="宋体"/>
                <w:b/>
                <w:color w:val="auto"/>
                <w:szCs w:val="21"/>
                <w:highlight w:val="none"/>
              </w:rPr>
              <w:t>1.</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服务期限</w:t>
            </w:r>
            <w:r>
              <w:rPr>
                <w:rFonts w:hint="eastAsia" w:ascii="宋体" w:hAnsi="宋体" w:cs="宋体"/>
                <w:color w:val="auto"/>
                <w:szCs w:val="21"/>
                <w:highlight w:val="none"/>
              </w:rPr>
              <w:t>：</w:t>
            </w:r>
            <w:r>
              <w:rPr>
                <w:rFonts w:hint="eastAsia" w:ascii="宋体" w:hAnsi="宋体" w:cs="宋体"/>
                <w:color w:val="auto"/>
                <w:szCs w:val="21"/>
                <w:highlight w:val="none"/>
                <w:lang w:eastAsia="zh-CN"/>
              </w:rPr>
              <w:t>自合同签订之日起两年</w:t>
            </w:r>
            <w:r>
              <w:rPr>
                <w:rFonts w:hint="eastAsia" w:ascii="宋体" w:hAnsi="宋体" w:cs="宋体"/>
                <w:color w:val="auto"/>
                <w:szCs w:val="21"/>
                <w:highlight w:val="none"/>
              </w:rPr>
              <w:t>。</w:t>
            </w:r>
          </w:p>
          <w:p w14:paraId="4810E6BA">
            <w:pPr>
              <w:spacing w:line="360" w:lineRule="auto"/>
              <w:rPr>
                <w:rFonts w:ascii="宋体" w:hAnsi="宋体"/>
                <w:b/>
                <w:color w:val="auto"/>
                <w:szCs w:val="21"/>
                <w:highlight w:val="none"/>
              </w:rPr>
            </w:pPr>
            <w:r>
              <w:rPr>
                <w:rFonts w:hint="eastAsia" w:ascii="宋体" w:hAnsi="宋体" w:cs="宋体"/>
                <w:color w:val="auto"/>
                <w:szCs w:val="21"/>
                <w:highlight w:val="none"/>
              </w:rPr>
              <w:t xml:space="preserve">2. </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的地点：</w:t>
            </w:r>
            <w:r>
              <w:rPr>
                <w:rFonts w:hint="eastAsia" w:ascii="宋体" w:hAnsi="宋体"/>
                <w:color w:val="auto"/>
                <w:szCs w:val="21"/>
                <w:highlight w:val="none"/>
                <w:lang w:eastAsia="zh-CN"/>
              </w:rPr>
              <w:t>广西藤县</w:t>
            </w:r>
            <w:r>
              <w:rPr>
                <w:rFonts w:hint="eastAsia" w:ascii="宋体" w:hAnsi="宋体"/>
                <w:color w:val="auto"/>
                <w:szCs w:val="21"/>
                <w:highlight w:val="none"/>
              </w:rPr>
              <w:t>采购人指定地点。</w:t>
            </w:r>
          </w:p>
        </w:tc>
      </w:tr>
      <w:tr w14:paraId="40B0A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0" w:type="dxa"/>
            <w:gridSpan w:val="3"/>
            <w:tcBorders>
              <w:top w:val="single" w:color="auto" w:sz="4" w:space="0"/>
              <w:left w:val="single" w:color="auto" w:sz="4" w:space="0"/>
              <w:bottom w:val="single" w:color="auto" w:sz="4" w:space="0"/>
              <w:right w:val="single" w:color="auto" w:sz="4" w:space="0"/>
            </w:tcBorders>
            <w:vAlign w:val="center"/>
          </w:tcPr>
          <w:p w14:paraId="259E85F4">
            <w:pPr>
              <w:spacing w:line="360" w:lineRule="auto"/>
              <w:rPr>
                <w:rFonts w:ascii="宋体" w:hAnsi="宋体"/>
                <w:b/>
                <w:color w:val="auto"/>
                <w:szCs w:val="21"/>
                <w:highlight w:val="none"/>
              </w:rPr>
            </w:pPr>
            <w:r>
              <w:rPr>
                <w:rFonts w:hint="eastAsia" w:ascii="宋体" w:hAnsi="宋体"/>
                <w:color w:val="auto"/>
                <w:szCs w:val="21"/>
                <w:highlight w:val="none"/>
              </w:rPr>
              <w:t>合同签订时间</w:t>
            </w:r>
          </w:p>
        </w:tc>
        <w:tc>
          <w:tcPr>
            <w:tcW w:w="7621" w:type="dxa"/>
            <w:gridSpan w:val="3"/>
            <w:tcBorders>
              <w:top w:val="single" w:color="auto" w:sz="4" w:space="0"/>
              <w:left w:val="single" w:color="auto" w:sz="4" w:space="0"/>
              <w:bottom w:val="single" w:color="auto" w:sz="4" w:space="0"/>
              <w:right w:val="single" w:color="auto" w:sz="4" w:space="0"/>
            </w:tcBorders>
            <w:vAlign w:val="center"/>
          </w:tcPr>
          <w:p w14:paraId="0CE326CA">
            <w:pPr>
              <w:spacing w:line="360" w:lineRule="auto"/>
              <w:rPr>
                <w:rFonts w:ascii="宋体" w:hAnsi="宋体"/>
                <w:b/>
                <w:color w:val="auto"/>
                <w:szCs w:val="21"/>
                <w:highlight w:val="none"/>
              </w:rPr>
            </w:pPr>
            <w:r>
              <w:rPr>
                <w:rFonts w:hint="eastAsia" w:ascii="宋体" w:hAnsi="宋体"/>
                <w:color w:val="auto"/>
                <w:szCs w:val="21"/>
                <w:highlight w:val="none"/>
              </w:rPr>
              <w:t>自中标通知书发出之日起</w:t>
            </w:r>
            <w:r>
              <w:rPr>
                <w:rFonts w:ascii="宋体" w:hAnsi="宋体"/>
                <w:color w:val="auto"/>
                <w:szCs w:val="21"/>
                <w:highlight w:val="none"/>
              </w:rPr>
              <w:t xml:space="preserve"> </w:t>
            </w:r>
            <w:r>
              <w:rPr>
                <w:rFonts w:hint="eastAsia" w:ascii="宋体" w:hAnsi="宋体"/>
                <w:color w:val="auto"/>
                <w:szCs w:val="21"/>
                <w:highlight w:val="none"/>
                <w:u w:val="single"/>
              </w:rPr>
              <w:t>15</w:t>
            </w:r>
            <w:r>
              <w:rPr>
                <w:rFonts w:hint="eastAsia" w:ascii="宋体" w:hAnsi="宋体"/>
                <w:color w:val="auto"/>
                <w:szCs w:val="21"/>
                <w:highlight w:val="none"/>
              </w:rPr>
              <w:t>日内</w:t>
            </w:r>
          </w:p>
        </w:tc>
      </w:tr>
      <w:tr w14:paraId="75386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0" w:type="dxa"/>
            <w:gridSpan w:val="3"/>
            <w:tcBorders>
              <w:top w:val="single" w:color="auto" w:sz="4" w:space="0"/>
              <w:left w:val="single" w:color="auto" w:sz="4" w:space="0"/>
              <w:bottom w:val="single" w:color="auto" w:sz="4" w:space="0"/>
              <w:right w:val="single" w:color="auto" w:sz="4" w:space="0"/>
            </w:tcBorders>
            <w:vAlign w:val="center"/>
          </w:tcPr>
          <w:p w14:paraId="3EE61120">
            <w:pPr>
              <w:spacing w:line="360" w:lineRule="auto"/>
              <w:rPr>
                <w:rFonts w:ascii="宋体" w:hAnsi="宋体"/>
                <w:b/>
                <w:color w:val="auto"/>
                <w:szCs w:val="21"/>
                <w:highlight w:val="none"/>
              </w:rPr>
            </w:pPr>
            <w:r>
              <w:rPr>
                <w:rFonts w:hint="eastAsia" w:ascii="宋体" w:hAnsi="宋体"/>
                <w:color w:val="auto"/>
                <w:szCs w:val="21"/>
                <w:highlight w:val="none"/>
              </w:rPr>
              <w:t>付款条件（进度和方式）</w:t>
            </w:r>
          </w:p>
        </w:tc>
        <w:tc>
          <w:tcPr>
            <w:tcW w:w="7621" w:type="dxa"/>
            <w:gridSpan w:val="3"/>
            <w:tcBorders>
              <w:top w:val="single" w:color="auto" w:sz="4" w:space="0"/>
              <w:left w:val="single" w:color="auto" w:sz="4" w:space="0"/>
              <w:bottom w:val="single" w:color="auto" w:sz="4" w:space="0"/>
              <w:right w:val="single" w:color="auto" w:sz="4" w:space="0"/>
            </w:tcBorders>
            <w:vAlign w:val="center"/>
          </w:tcPr>
          <w:p w14:paraId="45AF3585">
            <w:pPr>
              <w:spacing w:line="360" w:lineRule="auto"/>
              <w:ind w:firstLine="420" w:firstLineChars="200"/>
              <w:rPr>
                <w:rFonts w:hint="eastAsia" w:ascii="宋体" w:hAnsi="宋体" w:eastAsia="宋体" w:cs="Times New Roman"/>
                <w:color w:val="auto"/>
                <w:kern w:val="0"/>
                <w:sz w:val="21"/>
                <w:szCs w:val="30"/>
                <w:highlight w:val="none"/>
                <w:lang w:val="en-US" w:eastAsia="zh-CN" w:bidi="ar-SA"/>
              </w:rPr>
            </w:pPr>
            <w:r>
              <w:rPr>
                <w:rFonts w:hint="eastAsia" w:ascii="宋体" w:hAnsi="宋体" w:cs="Times New Roman"/>
                <w:color w:val="auto"/>
                <w:kern w:val="0"/>
                <w:sz w:val="21"/>
                <w:szCs w:val="30"/>
                <w:highlight w:val="none"/>
                <w:lang w:val="en-US" w:eastAsia="zh-CN" w:bidi="ar-SA"/>
              </w:rPr>
              <w:t>中标供应商</w:t>
            </w:r>
            <w:r>
              <w:rPr>
                <w:rFonts w:hint="eastAsia" w:ascii="宋体" w:hAnsi="宋体" w:cs="宋体"/>
                <w:color w:val="auto"/>
                <w:highlight w:val="none"/>
                <w:lang w:val="en-US" w:eastAsia="zh-CN"/>
              </w:rPr>
              <w:t>每月10日前提供符合财政支付要求的申请材料由采购人</w:t>
            </w:r>
            <w:r>
              <w:rPr>
                <w:rFonts w:hint="eastAsia" w:ascii="宋体" w:hAnsi="宋体" w:eastAsia="宋体" w:cs="Times New Roman"/>
                <w:color w:val="auto"/>
                <w:kern w:val="0"/>
                <w:sz w:val="21"/>
                <w:szCs w:val="30"/>
                <w:highlight w:val="none"/>
                <w:lang w:val="en-US" w:eastAsia="zh-CN" w:bidi="ar-SA"/>
              </w:rPr>
              <w:t>向藤县财政局申请承包费用拨款，藤县财政局批复并</w:t>
            </w:r>
            <w:r>
              <w:rPr>
                <w:rFonts w:hint="eastAsia" w:ascii="宋体" w:hAnsi="宋体" w:cs="Times New Roman"/>
                <w:color w:val="auto"/>
                <w:kern w:val="0"/>
                <w:sz w:val="21"/>
                <w:szCs w:val="30"/>
                <w:highlight w:val="none"/>
                <w:lang w:val="en-US" w:eastAsia="zh-CN" w:bidi="ar-SA"/>
              </w:rPr>
              <w:t>将</w:t>
            </w:r>
            <w:r>
              <w:rPr>
                <w:rFonts w:hint="eastAsia" w:ascii="宋体" w:hAnsi="宋体" w:eastAsia="宋体" w:cs="Times New Roman"/>
                <w:color w:val="auto"/>
                <w:kern w:val="0"/>
                <w:sz w:val="21"/>
                <w:szCs w:val="30"/>
                <w:highlight w:val="none"/>
                <w:lang w:val="en-US" w:eastAsia="zh-CN" w:bidi="ar-SA"/>
              </w:rPr>
              <w:t>承包费用拨款到达</w:t>
            </w:r>
            <w:r>
              <w:rPr>
                <w:rFonts w:hint="eastAsia" w:ascii="宋体" w:hAnsi="宋体" w:cs="Times New Roman"/>
                <w:color w:val="auto"/>
                <w:kern w:val="0"/>
                <w:sz w:val="21"/>
                <w:szCs w:val="30"/>
                <w:highlight w:val="none"/>
                <w:lang w:val="en-US" w:eastAsia="zh-CN" w:bidi="ar-SA"/>
              </w:rPr>
              <w:t>采购人</w:t>
            </w:r>
            <w:r>
              <w:rPr>
                <w:rFonts w:hint="eastAsia" w:ascii="宋体" w:hAnsi="宋体" w:eastAsia="宋体" w:cs="Times New Roman"/>
                <w:color w:val="auto"/>
                <w:kern w:val="0"/>
                <w:sz w:val="21"/>
                <w:szCs w:val="30"/>
                <w:highlight w:val="none"/>
                <w:lang w:val="en-US" w:eastAsia="zh-CN" w:bidi="ar-SA"/>
              </w:rPr>
              <w:t>账户后10日内，</w:t>
            </w:r>
            <w:r>
              <w:rPr>
                <w:rFonts w:hint="eastAsia" w:ascii="宋体" w:hAnsi="宋体" w:cs="Times New Roman"/>
                <w:color w:val="auto"/>
                <w:kern w:val="0"/>
                <w:sz w:val="21"/>
                <w:szCs w:val="30"/>
                <w:highlight w:val="none"/>
                <w:lang w:val="en-US" w:eastAsia="zh-CN" w:bidi="ar-SA"/>
              </w:rPr>
              <w:t>采购人</w:t>
            </w:r>
            <w:r>
              <w:rPr>
                <w:rFonts w:hint="eastAsia" w:ascii="宋体" w:hAnsi="宋体" w:eastAsia="宋体" w:cs="Times New Roman"/>
                <w:color w:val="auto"/>
                <w:kern w:val="0"/>
                <w:sz w:val="21"/>
                <w:szCs w:val="30"/>
                <w:highlight w:val="none"/>
                <w:lang w:val="en-US" w:eastAsia="zh-CN" w:bidi="ar-SA"/>
              </w:rPr>
              <w:t>以银行划账形式向中标供应商支付上月所得的承包费用。</w:t>
            </w:r>
          </w:p>
          <w:p w14:paraId="4AE73C86">
            <w:pPr>
              <w:spacing w:line="360" w:lineRule="auto"/>
              <w:ind w:firstLine="420" w:firstLineChars="200"/>
              <w:rPr>
                <w:rFonts w:hint="eastAsia" w:ascii="宋体" w:hAnsi="宋体" w:eastAsia="宋体" w:cs="Times New Roman"/>
                <w:color w:val="auto"/>
                <w:kern w:val="0"/>
                <w:sz w:val="21"/>
                <w:szCs w:val="30"/>
                <w:highlight w:val="none"/>
                <w:lang w:val="en-US" w:eastAsia="zh-CN" w:bidi="ar-SA"/>
              </w:rPr>
            </w:pPr>
            <w:r>
              <w:rPr>
                <w:rFonts w:hint="eastAsia" w:ascii="宋体" w:hAnsi="宋体" w:cs="Times New Roman"/>
                <w:color w:val="auto"/>
                <w:kern w:val="0"/>
                <w:sz w:val="21"/>
                <w:szCs w:val="30"/>
                <w:highlight w:val="none"/>
                <w:lang w:val="en-US" w:eastAsia="zh-CN" w:bidi="ar-SA"/>
              </w:rPr>
              <w:t>注：</w:t>
            </w:r>
            <w:r>
              <w:rPr>
                <w:rFonts w:hint="eastAsia" w:ascii="宋体" w:hAnsi="宋体" w:eastAsia="宋体" w:cs="宋体"/>
                <w:color w:val="auto"/>
                <w:highlight w:val="none"/>
              </w:rPr>
              <w:t>根据</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环境卫生质量检评标准表》（详见附件3）</w:t>
            </w:r>
            <w:r>
              <w:rPr>
                <w:rFonts w:hint="eastAsia" w:ascii="宋体" w:hAnsi="宋体" w:eastAsia="宋体" w:cs="宋体"/>
                <w:color w:val="auto"/>
                <w:highlight w:val="none"/>
              </w:rPr>
              <w:t>、每月的考核评分结果按比例向中标供应商支付每月的承包</w:t>
            </w:r>
            <w:r>
              <w:rPr>
                <w:rFonts w:hint="eastAsia" w:ascii="宋体" w:hAnsi="宋体" w:eastAsia="宋体" w:cs="宋体"/>
                <w:color w:val="auto"/>
                <w:highlight w:val="none"/>
                <w:lang w:val="en-US" w:eastAsia="zh-CN"/>
              </w:rPr>
              <w:t>费</w:t>
            </w:r>
            <w:r>
              <w:rPr>
                <w:rFonts w:hint="eastAsia" w:ascii="宋体" w:hAnsi="宋体" w:eastAsia="宋体" w:cs="宋体"/>
                <w:color w:val="auto"/>
                <w:highlight w:val="none"/>
              </w:rPr>
              <w:t>用。另外，若中标供应商有违规的行为被扣发费用的，所需处罚金额从当月的月</w:t>
            </w:r>
            <w:r>
              <w:rPr>
                <w:rFonts w:hint="eastAsia" w:ascii="宋体" w:hAnsi="宋体" w:eastAsia="宋体" w:cs="宋体"/>
                <w:color w:val="auto"/>
                <w:highlight w:val="none"/>
                <w:lang w:val="en-US" w:eastAsia="zh-CN"/>
              </w:rPr>
              <w:t>承包</w:t>
            </w:r>
            <w:r>
              <w:rPr>
                <w:rFonts w:hint="eastAsia" w:ascii="宋体" w:hAnsi="宋体" w:eastAsia="宋体" w:cs="宋体"/>
                <w:color w:val="auto"/>
                <w:highlight w:val="none"/>
              </w:rPr>
              <w:t>费中相应扣除</w:t>
            </w:r>
            <w:r>
              <w:rPr>
                <w:rFonts w:hint="eastAsia" w:ascii="宋体" w:hAnsi="宋体" w:cs="宋体"/>
                <w:color w:val="auto"/>
                <w:highlight w:val="none"/>
                <w:lang w:eastAsia="zh-CN"/>
              </w:rPr>
              <w:t>。</w:t>
            </w:r>
          </w:p>
        </w:tc>
      </w:tr>
      <w:tr w14:paraId="5D020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0" w:type="dxa"/>
            <w:gridSpan w:val="3"/>
            <w:tcBorders>
              <w:top w:val="single" w:color="auto" w:sz="4" w:space="0"/>
              <w:left w:val="single" w:color="auto" w:sz="4" w:space="0"/>
              <w:bottom w:val="single" w:color="auto" w:sz="4" w:space="0"/>
              <w:right w:val="single" w:color="auto" w:sz="4" w:space="0"/>
            </w:tcBorders>
            <w:vAlign w:val="center"/>
          </w:tcPr>
          <w:p w14:paraId="7776193A">
            <w:p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委托管理</w:t>
            </w:r>
          </w:p>
        </w:tc>
        <w:tc>
          <w:tcPr>
            <w:tcW w:w="7621" w:type="dxa"/>
            <w:gridSpan w:val="3"/>
            <w:tcBorders>
              <w:top w:val="single" w:color="auto" w:sz="4" w:space="0"/>
              <w:left w:val="single" w:color="auto" w:sz="4" w:space="0"/>
              <w:bottom w:val="single" w:color="auto" w:sz="4" w:space="0"/>
              <w:right w:val="single" w:color="auto" w:sz="4" w:space="0"/>
            </w:tcBorders>
            <w:vAlign w:val="center"/>
          </w:tcPr>
          <w:p w14:paraId="17C568DB">
            <w:pPr>
              <w:spacing w:line="360" w:lineRule="auto"/>
              <w:rPr>
                <w:rFonts w:hint="eastAsia" w:ascii="宋体" w:hAnsi="宋体"/>
                <w:b w:val="0"/>
                <w:bCs/>
                <w:color w:val="auto"/>
                <w:szCs w:val="21"/>
                <w:highlight w:val="none"/>
                <w:lang w:val="en-US" w:eastAsia="zh-CN"/>
              </w:rPr>
            </w:pPr>
            <w:r>
              <w:rPr>
                <w:rFonts w:hint="eastAsia" w:ascii="宋体" w:hAnsi="宋体"/>
                <w:color w:val="auto"/>
                <w:szCs w:val="21"/>
                <w:highlight w:val="none"/>
                <w:lang w:val="en-US" w:eastAsia="zh-CN"/>
              </w:rPr>
              <w:t>采购人委托藤县县城环境卫生管理站作为管理单位，对本项目的实施全程进行跟踪管理。</w:t>
            </w:r>
          </w:p>
        </w:tc>
      </w:tr>
      <w:tr w14:paraId="5A26B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11" w:type="dxa"/>
            <w:gridSpan w:val="6"/>
            <w:tcBorders>
              <w:top w:val="single" w:color="auto" w:sz="4" w:space="0"/>
              <w:left w:val="single" w:color="auto" w:sz="4" w:space="0"/>
              <w:bottom w:val="single" w:color="auto" w:sz="4" w:space="0"/>
              <w:right w:val="single" w:color="auto" w:sz="4" w:space="0"/>
            </w:tcBorders>
            <w:vAlign w:val="center"/>
          </w:tcPr>
          <w:p w14:paraId="5CA3DC11">
            <w:pPr>
              <w:spacing w:line="360" w:lineRule="auto"/>
              <w:rPr>
                <w:rFonts w:ascii="宋体" w:hAnsi="宋体"/>
                <w:b/>
                <w:color w:val="auto"/>
                <w:szCs w:val="21"/>
                <w:highlight w:val="none"/>
              </w:rPr>
            </w:pPr>
            <w:r>
              <w:rPr>
                <w:rFonts w:hint="eastAsia" w:ascii="宋体" w:hAnsi="宋体"/>
                <w:b/>
                <w:bCs/>
                <w:color w:val="auto"/>
                <w:szCs w:val="21"/>
                <w:highlight w:val="none"/>
              </w:rPr>
              <w:t>二、与实现项目目标相关的其他要求</w:t>
            </w:r>
          </w:p>
        </w:tc>
      </w:tr>
      <w:tr w14:paraId="53EC82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11" w:type="dxa"/>
            <w:gridSpan w:val="6"/>
            <w:tcBorders>
              <w:top w:val="single" w:color="auto" w:sz="4" w:space="0"/>
              <w:left w:val="single" w:color="auto" w:sz="4" w:space="0"/>
              <w:bottom w:val="single" w:color="auto" w:sz="4" w:space="0"/>
              <w:right w:val="single" w:color="auto" w:sz="4" w:space="0"/>
            </w:tcBorders>
            <w:vAlign w:val="center"/>
          </w:tcPr>
          <w:p w14:paraId="25787874">
            <w:pPr>
              <w:tabs>
                <w:tab w:val="left" w:pos="180"/>
                <w:tab w:val="left" w:pos="1620"/>
              </w:tabs>
              <w:spacing w:line="360" w:lineRule="auto"/>
              <w:rPr>
                <w:rFonts w:ascii="宋体" w:hAnsi="宋体" w:cs="宋体"/>
                <w:bCs/>
                <w:color w:val="auto"/>
                <w:szCs w:val="21"/>
                <w:highlight w:val="none"/>
              </w:rPr>
            </w:pPr>
            <w:r>
              <w:rPr>
                <w:rFonts w:hint="eastAsia" w:ascii="宋体" w:hAnsi="宋体"/>
                <w:b/>
                <w:color w:val="auto"/>
                <w:szCs w:val="21"/>
                <w:highlight w:val="none"/>
              </w:rPr>
              <w:t>（一）验收标准</w:t>
            </w:r>
          </w:p>
        </w:tc>
      </w:tr>
      <w:tr w14:paraId="13724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11" w:type="dxa"/>
            <w:gridSpan w:val="6"/>
            <w:tcBorders>
              <w:top w:val="single" w:color="auto" w:sz="4" w:space="0"/>
              <w:left w:val="single" w:color="auto" w:sz="4" w:space="0"/>
              <w:bottom w:val="single" w:color="auto" w:sz="4" w:space="0"/>
              <w:right w:val="single" w:color="auto" w:sz="4" w:space="0"/>
            </w:tcBorders>
            <w:vAlign w:val="center"/>
          </w:tcPr>
          <w:p w14:paraId="3D64B05F">
            <w:pPr>
              <w:tabs>
                <w:tab w:val="left" w:pos="180"/>
                <w:tab w:val="left" w:pos="1620"/>
              </w:tabs>
              <w:spacing w:line="360" w:lineRule="auto"/>
              <w:rPr>
                <w:rFonts w:ascii="宋体" w:hAnsi="宋体"/>
                <w:color w:val="auto"/>
                <w:szCs w:val="21"/>
                <w:highlight w:val="none"/>
              </w:rPr>
            </w:pPr>
            <w:r>
              <w:rPr>
                <w:rFonts w:hint="eastAsia" w:ascii="宋体" w:hAnsi="宋体" w:cs="宋体"/>
                <w:bCs/>
                <w:color w:val="auto"/>
                <w:szCs w:val="21"/>
                <w:highlight w:val="none"/>
              </w:rPr>
              <w:t>符合现行国家相关标准、行业标准、地方标准或者其他标准、规范。</w:t>
            </w:r>
          </w:p>
        </w:tc>
      </w:tr>
      <w:tr w14:paraId="69FD2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11" w:type="dxa"/>
            <w:gridSpan w:val="6"/>
            <w:tcBorders>
              <w:top w:val="single" w:color="auto" w:sz="4" w:space="0"/>
              <w:left w:val="single" w:color="auto" w:sz="4" w:space="0"/>
              <w:bottom w:val="single" w:color="auto" w:sz="4" w:space="0"/>
              <w:right w:val="single" w:color="auto" w:sz="4" w:space="0"/>
            </w:tcBorders>
            <w:vAlign w:val="center"/>
          </w:tcPr>
          <w:p w14:paraId="5A3C5C27">
            <w:pPr>
              <w:spacing w:line="360" w:lineRule="auto"/>
              <w:rPr>
                <w:rFonts w:ascii="宋体" w:hAnsi="宋体"/>
                <w:color w:val="auto"/>
                <w:szCs w:val="21"/>
                <w:highlight w:val="none"/>
              </w:rPr>
            </w:pPr>
            <w:r>
              <w:rPr>
                <w:rFonts w:hint="eastAsia" w:ascii="宋体" w:hAnsi="宋体"/>
                <w:b/>
                <w:color w:val="auto"/>
                <w:szCs w:val="21"/>
                <w:highlight w:val="none"/>
              </w:rPr>
              <w:t>（二）其他要求</w:t>
            </w:r>
          </w:p>
        </w:tc>
      </w:tr>
      <w:tr w14:paraId="2CE80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9611" w:type="dxa"/>
            <w:gridSpan w:val="6"/>
            <w:tcBorders>
              <w:top w:val="single" w:color="auto" w:sz="4" w:space="0"/>
              <w:left w:val="single" w:color="auto" w:sz="4" w:space="0"/>
              <w:bottom w:val="single" w:color="auto" w:sz="4" w:space="0"/>
              <w:right w:val="single" w:color="auto" w:sz="4" w:space="0"/>
            </w:tcBorders>
            <w:vAlign w:val="center"/>
          </w:tcPr>
          <w:p w14:paraId="08350808">
            <w:pPr>
              <w:numPr>
                <w:ilvl w:val="0"/>
                <w:numId w:val="0"/>
              </w:numPr>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rPr>
              <w:t>投标人可根据本项目采购需求及评标标准提供项目实施方案。</w:t>
            </w:r>
          </w:p>
        </w:tc>
      </w:tr>
      <w:tr w14:paraId="433DC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11" w:type="dxa"/>
            <w:gridSpan w:val="6"/>
            <w:tcBorders>
              <w:top w:val="single" w:color="auto" w:sz="4" w:space="0"/>
              <w:left w:val="single" w:color="auto" w:sz="4" w:space="0"/>
              <w:bottom w:val="single" w:color="auto" w:sz="4" w:space="0"/>
              <w:right w:val="single" w:color="auto" w:sz="4" w:space="0"/>
            </w:tcBorders>
            <w:vAlign w:val="center"/>
          </w:tcPr>
          <w:p w14:paraId="7DE12515">
            <w:pPr>
              <w:spacing w:line="360" w:lineRule="auto"/>
              <w:rPr>
                <w:rFonts w:ascii="宋体" w:hAnsi="宋体"/>
                <w:color w:val="auto"/>
                <w:szCs w:val="21"/>
                <w:highlight w:val="none"/>
              </w:rPr>
            </w:pPr>
            <w:r>
              <w:rPr>
                <w:rFonts w:hint="eastAsia" w:ascii="宋体" w:hAnsi="宋体"/>
                <w:b/>
                <w:bCs/>
                <w:color w:val="auto"/>
                <w:szCs w:val="21"/>
                <w:highlight w:val="none"/>
              </w:rPr>
              <w:t>三、核心产品说明</w:t>
            </w:r>
          </w:p>
        </w:tc>
      </w:tr>
      <w:tr w14:paraId="12FDD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11" w:type="dxa"/>
            <w:gridSpan w:val="6"/>
            <w:tcBorders>
              <w:top w:val="single" w:color="auto" w:sz="4" w:space="0"/>
              <w:left w:val="single" w:color="auto" w:sz="4" w:space="0"/>
              <w:bottom w:val="single" w:color="auto" w:sz="4" w:space="0"/>
              <w:right w:val="single" w:color="auto" w:sz="4" w:space="0"/>
            </w:tcBorders>
            <w:vAlign w:val="center"/>
          </w:tcPr>
          <w:p w14:paraId="06F3745F">
            <w:pPr>
              <w:spacing w:line="360" w:lineRule="auto"/>
              <w:rPr>
                <w:rFonts w:ascii="宋体" w:hAnsi="宋体"/>
                <w:color w:val="auto"/>
                <w:szCs w:val="21"/>
                <w:highlight w:val="none"/>
              </w:rPr>
            </w:pPr>
            <w:r>
              <w:rPr>
                <w:rFonts w:hint="eastAsia" w:ascii="宋体" w:hAnsi="宋体"/>
                <w:color w:val="auto"/>
                <w:szCs w:val="21"/>
                <w:highlight w:val="none"/>
              </w:rPr>
              <w:t>本项目属于服务类项目，无核心产品。</w:t>
            </w:r>
          </w:p>
        </w:tc>
      </w:tr>
    </w:tbl>
    <w:p w14:paraId="6A86561A">
      <w:pPr>
        <w:keepNext/>
        <w:pageBreakBefore w:val="0"/>
        <w:widowControl w:val="0"/>
        <w:tabs>
          <w:tab w:val="left" w:pos="180"/>
          <w:tab w:val="left" w:pos="1620"/>
        </w:tabs>
        <w:kinsoku/>
        <w:wordWrap w:val="0"/>
        <w:overflowPunct/>
        <w:topLinePunct w:val="0"/>
        <w:autoSpaceDE/>
        <w:autoSpaceDN/>
        <w:bidi w:val="0"/>
        <w:adjustRightInd/>
        <w:snapToGrid/>
        <w:spacing w:line="360" w:lineRule="auto"/>
        <w:ind w:firstLine="422" w:firstLineChars="200"/>
        <w:textAlignment w:val="auto"/>
        <w:rPr>
          <w:rFonts w:ascii="宋体" w:hAnsi="宋体" w:cs="宋体"/>
          <w:b/>
          <w:bCs/>
          <w:color w:val="auto"/>
          <w:szCs w:val="21"/>
          <w:highlight w:val="none"/>
        </w:rPr>
      </w:pPr>
    </w:p>
    <w:p w14:paraId="50C7EFC9">
      <w:pPr>
        <w:rPr>
          <w:color w:val="auto"/>
          <w:highlight w:val="none"/>
        </w:rPr>
      </w:pPr>
      <w:r>
        <w:rPr>
          <w:color w:val="auto"/>
          <w:highlight w:val="none"/>
        </w:rPr>
        <w:br w:type="page"/>
      </w:r>
    </w:p>
    <w:p w14:paraId="71C5D6D4">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附件1：《环卫车辆停车场（修理厂）考核办法》</w:t>
      </w:r>
    </w:p>
    <w:p w14:paraId="072E03FA">
      <w:pPr>
        <w:rPr>
          <w:rFonts w:hint="eastAsia" w:ascii="黑体" w:hAnsi="黑体" w:eastAsia="黑体" w:cs="黑体"/>
          <w:color w:val="auto"/>
          <w:sz w:val="32"/>
          <w:szCs w:val="32"/>
          <w:highlight w:val="none"/>
          <w:lang w:val="en-US" w:eastAsia="zh-CN"/>
        </w:rPr>
      </w:pPr>
    </w:p>
    <w:p w14:paraId="77EF4D97">
      <w:pPr>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为加强对环卫车辆停车场的日常管理，规范停车和车辆维护维修，确保无安全事故，特制定此办法。</w:t>
      </w:r>
    </w:p>
    <w:p w14:paraId="6E6BEB31">
      <w:pPr>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1、停车场严格执行梧州市、藤县有关停车场管理法规、规章的规定，中标人将各规章制度上墙。</w:t>
      </w:r>
    </w:p>
    <w:p w14:paraId="71A02DED">
      <w:pPr>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2、停车场配备专职管理人员管理，配备适当消防器材，并定期检验合格。</w:t>
      </w:r>
    </w:p>
    <w:p w14:paraId="09AACEBE">
      <w:pPr>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3、停车场内设专职保洁员，负责车场保洁工作，做到随脏随扫，时刻保持停车场地地面干净整洁，维修场地明亮、通风，各区域、岗位有标识。</w:t>
      </w:r>
    </w:p>
    <w:p w14:paraId="28FB0709">
      <w:pPr>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4、停车场秩序井然，根据实际情况设置禁烟、禁火标志牌，各类维修物资定置存放，堆放整齐，废旧物及时清理。</w:t>
      </w:r>
    </w:p>
    <w:p w14:paraId="4CF43819">
      <w:pPr>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5、严禁携带易燃、易爆、剧毒等危险品进入车场。</w:t>
      </w:r>
    </w:p>
    <w:p w14:paraId="2BD45506">
      <w:pPr>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6、每日工作检查，填写车辆管理日检表。</w:t>
      </w:r>
    </w:p>
    <w:p w14:paraId="66D3C689">
      <w:pPr>
        <w:spacing w:line="360" w:lineRule="auto"/>
        <w:ind w:firstLine="640" w:firstLineChars="200"/>
        <w:rPr>
          <w:rFonts w:hint="eastAsia" w:ascii="宋体" w:hAnsi="宋体" w:eastAsia="宋体" w:cs="宋体"/>
          <w:color w:val="auto"/>
          <w:sz w:val="24"/>
          <w:szCs w:val="24"/>
          <w:highlight w:val="none"/>
          <w:lang w:val="en-US" w:eastAsia="zh-CN"/>
        </w:rPr>
      </w:pPr>
      <w:r>
        <w:rPr>
          <w:rFonts w:hint="eastAsia" w:ascii="仿宋" w:hAnsi="仿宋" w:eastAsia="仿宋" w:cs="仿宋"/>
          <w:color w:val="auto"/>
          <w:sz w:val="32"/>
          <w:szCs w:val="32"/>
          <w:highlight w:val="none"/>
          <w:lang w:val="en-US" w:eastAsia="zh-CN"/>
        </w:rPr>
        <w:t>7、接受藤县县城环境卫生管理站的日常监督和检查。</w:t>
      </w:r>
      <w:r>
        <w:rPr>
          <w:rFonts w:hint="eastAsia" w:ascii="宋体" w:hAnsi="宋体" w:eastAsia="宋体" w:cs="宋体"/>
          <w:color w:val="auto"/>
          <w:sz w:val="24"/>
          <w:szCs w:val="24"/>
          <w:highlight w:val="none"/>
          <w:lang w:val="en-US" w:eastAsia="zh-CN"/>
        </w:rPr>
        <w:br w:type="page"/>
      </w:r>
    </w:p>
    <w:p w14:paraId="1185CE6E">
      <w:pPr>
        <w:spacing w:line="360" w:lineRule="auto"/>
        <w:ind w:firstLine="640" w:firstLineChars="200"/>
        <w:rPr>
          <w:rFonts w:hint="eastAsia" w:ascii="宋体" w:hAnsi="宋体" w:eastAsia="宋体" w:cs="宋体"/>
          <w:color w:val="auto"/>
          <w:sz w:val="24"/>
          <w:szCs w:val="24"/>
          <w:highlight w:val="none"/>
          <w:lang w:val="en-US" w:eastAsia="zh-CN"/>
        </w:rPr>
      </w:pPr>
      <w:r>
        <w:rPr>
          <w:rFonts w:hint="eastAsia" w:ascii="黑体" w:hAnsi="黑体" w:eastAsia="黑体" w:cs="黑体"/>
          <w:color w:val="auto"/>
          <w:sz w:val="32"/>
          <w:szCs w:val="32"/>
          <w:highlight w:val="none"/>
          <w:lang w:val="en-US" w:eastAsia="zh-CN"/>
        </w:rPr>
        <w:t>附件2：《临时垃圾转运站考核细则》</w:t>
      </w:r>
    </w:p>
    <w:p w14:paraId="29EF4668">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一、考核指标</w:t>
      </w:r>
    </w:p>
    <w:p w14:paraId="349A84C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1、垃圾收运管理：垃圾中转站应建立完善的收运制度，包括垃圾收运车辆的配备和管理、垃圾存放设施的维护和清洁等，确保垃圾能够及时、安全地运往梧州市静脉园区。</w:t>
      </w:r>
    </w:p>
    <w:p w14:paraId="76C49FA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2、环境保护管理：垃圾中转站应建立环保管理制度，包括防止二次污染措施的建立和执行、中转站周边环境的保护等，确保中转站的运营不对环境造成污染和危害。</w:t>
      </w:r>
    </w:p>
    <w:p w14:paraId="6BD325D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3、设备管理：垃圾中转站应对设备的维护和保养，以及设备使用过程中的安全管理和检测，确保设备的正常运转和安全性。</w:t>
      </w:r>
    </w:p>
    <w:p w14:paraId="41C7885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4、人员管理:垃圾中转站应对人员的培训和管理，确保员工的专业素质和职业道德符合国家和地方的相关规定。</w:t>
      </w:r>
    </w:p>
    <w:p w14:paraId="2B21DE23">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二、考核办法</w:t>
      </w:r>
    </w:p>
    <w:p w14:paraId="0466484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1、现场检查：藤县县城环境卫生管理站定期对垃圾中转站进行现场检查，结合现场实际，制定考核评分标准，对垃圾分类、收运、处理效果、环境保护、设备和人员管理、服务质量等方面进行检查考核。</w:t>
      </w:r>
    </w:p>
    <w:p w14:paraId="0574D2F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2、抽查检查：县住建局通过定期抽查的方式，对垃圾中转站进行检查，以检查运营情况。</w:t>
      </w:r>
    </w:p>
    <w:p w14:paraId="6AD38AC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3、自查检查：中标人应积极开展自查，对自己的工作进行全面的自我审查，及时发现、上报和改正问题。</w:t>
      </w:r>
    </w:p>
    <w:p w14:paraId="59A58A3B">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三、考核结果</w:t>
      </w:r>
    </w:p>
    <w:p w14:paraId="5B5A706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根据藤县县城环境卫生管理站对垃圾中转站的检查结果，对其进行评价，并结合评价结果给予相应扣罚金额的建议。县住建局给予最后的结果确认。</w:t>
      </w:r>
    </w:p>
    <w:p w14:paraId="49071DF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br w:type="page"/>
      </w:r>
    </w:p>
    <w:p w14:paraId="7CC42F48">
      <w:pPr>
        <w:spacing w:line="360" w:lineRule="auto"/>
        <w:ind w:firstLine="640" w:firstLineChars="200"/>
        <w:rPr>
          <w:rFonts w:hint="eastAsia" w:ascii="宋体" w:hAnsi="宋体" w:eastAsia="宋体" w:cs="宋体"/>
          <w:color w:val="auto"/>
          <w:sz w:val="24"/>
          <w:szCs w:val="24"/>
          <w:highlight w:val="none"/>
          <w:lang w:val="en-US" w:eastAsia="zh-CN"/>
        </w:rPr>
      </w:pPr>
      <w:r>
        <w:rPr>
          <w:rFonts w:hint="eastAsia" w:ascii="黑体" w:hAnsi="黑体" w:eastAsia="黑体" w:cs="黑体"/>
          <w:color w:val="auto"/>
          <w:sz w:val="32"/>
          <w:szCs w:val="32"/>
          <w:highlight w:val="none"/>
          <w:lang w:val="en-US" w:eastAsia="zh-CN"/>
        </w:rPr>
        <w:t>附件3：《环境卫生质量检评标准表》</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4076"/>
        <w:gridCol w:w="966"/>
        <w:gridCol w:w="1117"/>
        <w:gridCol w:w="1417"/>
      </w:tblGrid>
      <w:tr w14:paraId="438F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219D9A93">
            <w:pPr>
              <w:rPr>
                <w:rFonts w:hint="default"/>
                <w:b/>
                <w:bCs/>
                <w:color w:val="auto"/>
                <w:sz w:val="24"/>
                <w:szCs w:val="24"/>
                <w:highlight w:val="none"/>
                <w:vertAlign w:val="baseline"/>
                <w:lang w:val="en-US" w:eastAsia="zh-CN"/>
              </w:rPr>
            </w:pPr>
            <w:r>
              <w:rPr>
                <w:rFonts w:hint="eastAsia"/>
                <w:b/>
                <w:bCs/>
                <w:color w:val="auto"/>
                <w:sz w:val="24"/>
                <w:szCs w:val="24"/>
                <w:highlight w:val="none"/>
                <w:vertAlign w:val="baseline"/>
                <w:lang w:val="en-US" w:eastAsia="zh-CN"/>
              </w:rPr>
              <w:t>类别</w:t>
            </w:r>
          </w:p>
        </w:tc>
        <w:tc>
          <w:tcPr>
            <w:tcW w:w="4076" w:type="dxa"/>
          </w:tcPr>
          <w:p w14:paraId="3878A758">
            <w:pPr>
              <w:rPr>
                <w:rFonts w:hint="default"/>
                <w:b/>
                <w:bCs/>
                <w:color w:val="auto"/>
                <w:sz w:val="24"/>
                <w:szCs w:val="24"/>
                <w:highlight w:val="none"/>
                <w:vertAlign w:val="baseline"/>
                <w:lang w:val="en-US" w:eastAsia="zh-CN"/>
              </w:rPr>
            </w:pPr>
            <w:r>
              <w:rPr>
                <w:rFonts w:hint="eastAsia"/>
                <w:b/>
                <w:bCs/>
                <w:color w:val="auto"/>
                <w:sz w:val="24"/>
                <w:szCs w:val="24"/>
                <w:highlight w:val="none"/>
                <w:vertAlign w:val="baseline"/>
                <w:lang w:val="en-US" w:eastAsia="zh-CN"/>
              </w:rPr>
              <w:t>扣分标准</w:t>
            </w:r>
          </w:p>
        </w:tc>
        <w:tc>
          <w:tcPr>
            <w:tcW w:w="966" w:type="dxa"/>
          </w:tcPr>
          <w:p w14:paraId="4D364520">
            <w:pPr>
              <w:rPr>
                <w:rFonts w:hint="default"/>
                <w:b/>
                <w:bCs/>
                <w:color w:val="auto"/>
                <w:sz w:val="24"/>
                <w:szCs w:val="24"/>
                <w:highlight w:val="none"/>
                <w:vertAlign w:val="baseline"/>
                <w:lang w:val="en-US" w:eastAsia="zh-CN"/>
              </w:rPr>
            </w:pPr>
            <w:r>
              <w:rPr>
                <w:rFonts w:hint="eastAsia"/>
                <w:b/>
                <w:bCs/>
                <w:color w:val="auto"/>
                <w:sz w:val="24"/>
                <w:szCs w:val="24"/>
                <w:highlight w:val="none"/>
                <w:vertAlign w:val="baseline"/>
                <w:lang w:val="en-US" w:eastAsia="zh-CN"/>
              </w:rPr>
              <w:t>项目最高分（分）</w:t>
            </w:r>
          </w:p>
        </w:tc>
        <w:tc>
          <w:tcPr>
            <w:tcW w:w="1117" w:type="dxa"/>
          </w:tcPr>
          <w:p w14:paraId="4CBE4D67">
            <w:pPr>
              <w:rPr>
                <w:rFonts w:hint="default"/>
                <w:b/>
                <w:bCs/>
                <w:color w:val="auto"/>
                <w:sz w:val="24"/>
                <w:szCs w:val="24"/>
                <w:highlight w:val="none"/>
                <w:vertAlign w:val="baseline"/>
                <w:lang w:val="en-US" w:eastAsia="zh-CN"/>
              </w:rPr>
            </w:pPr>
            <w:r>
              <w:rPr>
                <w:rFonts w:hint="eastAsia"/>
                <w:b/>
                <w:bCs/>
                <w:color w:val="auto"/>
                <w:sz w:val="24"/>
                <w:szCs w:val="24"/>
                <w:highlight w:val="none"/>
                <w:vertAlign w:val="baseline"/>
                <w:lang w:val="en-US" w:eastAsia="zh-CN"/>
              </w:rPr>
              <w:t>当月检查得分（分）</w:t>
            </w:r>
          </w:p>
        </w:tc>
        <w:tc>
          <w:tcPr>
            <w:tcW w:w="1417" w:type="dxa"/>
          </w:tcPr>
          <w:p w14:paraId="263DFB63">
            <w:pPr>
              <w:rPr>
                <w:rFonts w:hint="default"/>
                <w:b/>
                <w:bCs/>
                <w:color w:val="auto"/>
                <w:sz w:val="24"/>
                <w:szCs w:val="24"/>
                <w:highlight w:val="none"/>
                <w:vertAlign w:val="baseline"/>
                <w:lang w:val="en-US" w:eastAsia="zh-CN"/>
              </w:rPr>
            </w:pPr>
            <w:r>
              <w:rPr>
                <w:rFonts w:hint="eastAsia"/>
                <w:b/>
                <w:bCs/>
                <w:color w:val="auto"/>
                <w:sz w:val="24"/>
                <w:szCs w:val="24"/>
                <w:highlight w:val="none"/>
                <w:vertAlign w:val="baseline"/>
                <w:lang w:val="en-US" w:eastAsia="zh-CN"/>
              </w:rPr>
              <w:t>备注</w:t>
            </w:r>
          </w:p>
        </w:tc>
      </w:tr>
      <w:tr w14:paraId="4ADC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423BB242">
            <w:pPr>
              <w:rPr>
                <w:rFonts w:hint="default"/>
                <w:b/>
                <w:bCs/>
                <w:color w:val="auto"/>
                <w:sz w:val="24"/>
                <w:szCs w:val="24"/>
                <w:highlight w:val="none"/>
                <w:vertAlign w:val="baseline"/>
                <w:lang w:val="en-US" w:eastAsia="zh-CN"/>
              </w:rPr>
            </w:pPr>
            <w:r>
              <w:rPr>
                <w:rFonts w:hint="eastAsia"/>
                <w:b/>
                <w:bCs/>
                <w:color w:val="auto"/>
                <w:sz w:val="24"/>
                <w:szCs w:val="24"/>
                <w:highlight w:val="none"/>
                <w:vertAlign w:val="baseline"/>
                <w:lang w:val="en-US" w:eastAsia="zh-CN"/>
              </w:rPr>
              <w:t>一、员工形象、纪律类</w:t>
            </w:r>
          </w:p>
        </w:tc>
        <w:tc>
          <w:tcPr>
            <w:tcW w:w="4076" w:type="dxa"/>
          </w:tcPr>
          <w:p w14:paraId="36AA55D7">
            <w:pPr>
              <w:rPr>
                <w:rFonts w:hint="default"/>
                <w:color w:val="auto"/>
                <w:sz w:val="21"/>
                <w:szCs w:val="21"/>
                <w:highlight w:val="none"/>
                <w:vertAlign w:val="baseline"/>
                <w:lang w:val="en-US" w:eastAsia="zh-CN"/>
              </w:rPr>
            </w:pPr>
            <w:r>
              <w:rPr>
                <w:rFonts w:hint="default"/>
                <w:color w:val="auto"/>
                <w:sz w:val="21"/>
                <w:szCs w:val="21"/>
                <w:highlight w:val="none"/>
                <w:vertAlign w:val="baseline"/>
                <w:lang w:val="en-US" w:eastAsia="zh-CN"/>
              </w:rPr>
              <w:t>1.迟到、早退10分钟每人次扣</w:t>
            </w:r>
            <w:r>
              <w:rPr>
                <w:rFonts w:hint="eastAsia"/>
                <w:color w:val="auto"/>
                <w:sz w:val="21"/>
                <w:szCs w:val="21"/>
                <w:highlight w:val="none"/>
                <w:vertAlign w:val="baseline"/>
                <w:lang w:val="en-US" w:eastAsia="zh-CN"/>
              </w:rPr>
              <w:t>0.5</w:t>
            </w:r>
            <w:r>
              <w:rPr>
                <w:rFonts w:hint="default"/>
                <w:color w:val="auto"/>
                <w:sz w:val="21"/>
                <w:szCs w:val="21"/>
                <w:highlight w:val="none"/>
                <w:vertAlign w:val="baseline"/>
                <w:lang w:val="en-US" w:eastAsia="zh-CN"/>
              </w:rPr>
              <w:t>分</w:t>
            </w:r>
          </w:p>
          <w:p w14:paraId="37F01D95">
            <w:pPr>
              <w:rPr>
                <w:rFonts w:hint="default"/>
                <w:color w:val="auto"/>
                <w:sz w:val="21"/>
                <w:szCs w:val="21"/>
                <w:highlight w:val="none"/>
                <w:vertAlign w:val="baseline"/>
                <w:lang w:val="en-US" w:eastAsia="zh-CN"/>
              </w:rPr>
            </w:pPr>
            <w:r>
              <w:rPr>
                <w:rFonts w:hint="default"/>
                <w:color w:val="auto"/>
                <w:sz w:val="21"/>
                <w:szCs w:val="21"/>
                <w:highlight w:val="none"/>
                <w:vertAlign w:val="baseline"/>
                <w:lang w:val="en-US" w:eastAsia="zh-CN"/>
              </w:rPr>
              <w:t>2. 不按要求穿着环卫制服每人次扣0.5分</w:t>
            </w:r>
          </w:p>
          <w:p w14:paraId="49226E12">
            <w:pPr>
              <w:rPr>
                <w:rFonts w:hint="default"/>
                <w:color w:val="auto"/>
                <w:sz w:val="21"/>
                <w:szCs w:val="21"/>
                <w:highlight w:val="none"/>
                <w:vertAlign w:val="baseline"/>
                <w:lang w:val="en-US" w:eastAsia="zh-CN"/>
              </w:rPr>
            </w:pPr>
            <w:r>
              <w:rPr>
                <w:rFonts w:hint="default"/>
                <w:color w:val="auto"/>
                <w:sz w:val="21"/>
                <w:szCs w:val="21"/>
                <w:highlight w:val="none"/>
                <w:vertAlign w:val="baseline"/>
                <w:lang w:val="en-US" w:eastAsia="zh-CN"/>
              </w:rPr>
              <w:t>3. 不按规定的时间完成作业，每次扣1分</w:t>
            </w:r>
          </w:p>
          <w:p w14:paraId="58FC8E14">
            <w:pPr>
              <w:rPr>
                <w:rFonts w:hint="default"/>
                <w:color w:val="auto"/>
                <w:sz w:val="21"/>
                <w:szCs w:val="21"/>
                <w:highlight w:val="none"/>
                <w:vertAlign w:val="baseline"/>
                <w:lang w:val="en-US" w:eastAsia="zh-CN"/>
              </w:rPr>
            </w:pPr>
            <w:r>
              <w:rPr>
                <w:rFonts w:hint="default"/>
                <w:color w:val="auto"/>
                <w:sz w:val="21"/>
                <w:szCs w:val="21"/>
                <w:highlight w:val="none"/>
                <w:vertAlign w:val="baseline"/>
                <w:lang w:val="en-US" w:eastAsia="zh-CN"/>
              </w:rPr>
              <w:t>4.擅自离岗，每人次扣</w:t>
            </w:r>
            <w:r>
              <w:rPr>
                <w:rFonts w:hint="eastAsia"/>
                <w:color w:val="auto"/>
                <w:sz w:val="21"/>
                <w:szCs w:val="21"/>
                <w:highlight w:val="none"/>
                <w:vertAlign w:val="baseline"/>
                <w:lang w:val="en-US" w:eastAsia="zh-CN"/>
              </w:rPr>
              <w:t>0.5</w:t>
            </w:r>
            <w:r>
              <w:rPr>
                <w:rFonts w:hint="default"/>
                <w:color w:val="auto"/>
                <w:sz w:val="21"/>
                <w:szCs w:val="21"/>
                <w:highlight w:val="none"/>
                <w:vertAlign w:val="baseline"/>
                <w:lang w:val="en-US" w:eastAsia="zh-CN"/>
              </w:rPr>
              <w:t>分</w:t>
            </w:r>
          </w:p>
          <w:p w14:paraId="67C606E2">
            <w:pPr>
              <w:rPr>
                <w:rFonts w:hint="default"/>
                <w:color w:val="auto"/>
                <w:sz w:val="21"/>
                <w:szCs w:val="21"/>
                <w:highlight w:val="none"/>
                <w:vertAlign w:val="baseline"/>
                <w:lang w:val="en-US" w:eastAsia="zh-CN"/>
              </w:rPr>
            </w:pPr>
            <w:r>
              <w:rPr>
                <w:rFonts w:hint="default"/>
                <w:color w:val="auto"/>
                <w:sz w:val="21"/>
                <w:szCs w:val="21"/>
                <w:highlight w:val="none"/>
                <w:vertAlign w:val="baseline"/>
                <w:lang w:val="en-US" w:eastAsia="zh-CN"/>
              </w:rPr>
              <w:t>5. 工作人员未按规定路线行驶，每人次扣1分</w:t>
            </w:r>
          </w:p>
          <w:p w14:paraId="136C4F37">
            <w:pPr>
              <w:rPr>
                <w:rFonts w:hint="default"/>
                <w:color w:val="auto"/>
                <w:sz w:val="21"/>
                <w:szCs w:val="21"/>
                <w:highlight w:val="none"/>
                <w:vertAlign w:val="baseline"/>
                <w:lang w:val="en-US" w:eastAsia="zh-CN"/>
              </w:rPr>
            </w:pPr>
            <w:r>
              <w:rPr>
                <w:rFonts w:hint="default"/>
                <w:color w:val="auto"/>
                <w:sz w:val="21"/>
                <w:szCs w:val="21"/>
                <w:highlight w:val="none"/>
                <w:vertAlign w:val="baseline"/>
                <w:lang w:val="en-US" w:eastAsia="zh-CN"/>
              </w:rPr>
              <w:t>6.不服从安排，不遵守纪律，每人次扣1分</w:t>
            </w:r>
          </w:p>
        </w:tc>
        <w:tc>
          <w:tcPr>
            <w:tcW w:w="966" w:type="dxa"/>
          </w:tcPr>
          <w:p w14:paraId="2CC12B03">
            <w:pPr>
              <w:rPr>
                <w:rFonts w:hint="default"/>
                <w:color w:val="auto"/>
                <w:highlight w:val="none"/>
                <w:vertAlign w:val="baseline"/>
                <w:lang w:val="en-US" w:eastAsia="zh-CN"/>
              </w:rPr>
            </w:pPr>
            <w:r>
              <w:rPr>
                <w:rFonts w:hint="eastAsia"/>
                <w:color w:val="auto"/>
                <w:highlight w:val="none"/>
                <w:vertAlign w:val="baseline"/>
                <w:lang w:val="en-US" w:eastAsia="zh-CN"/>
              </w:rPr>
              <w:t>20</w:t>
            </w:r>
          </w:p>
        </w:tc>
        <w:tc>
          <w:tcPr>
            <w:tcW w:w="1117" w:type="dxa"/>
          </w:tcPr>
          <w:p w14:paraId="25467205">
            <w:pPr>
              <w:rPr>
                <w:rFonts w:hint="default"/>
                <w:color w:val="auto"/>
                <w:highlight w:val="none"/>
                <w:vertAlign w:val="baseline"/>
                <w:lang w:val="en-US" w:eastAsia="zh-CN"/>
              </w:rPr>
            </w:pPr>
          </w:p>
        </w:tc>
        <w:tc>
          <w:tcPr>
            <w:tcW w:w="1417" w:type="dxa"/>
          </w:tcPr>
          <w:p w14:paraId="3AC4B53F">
            <w:pPr>
              <w:rPr>
                <w:rFonts w:hint="default"/>
                <w:color w:val="auto"/>
                <w:highlight w:val="none"/>
                <w:vertAlign w:val="baseline"/>
                <w:lang w:val="en-US" w:eastAsia="zh-CN"/>
              </w:rPr>
            </w:pPr>
          </w:p>
        </w:tc>
      </w:tr>
      <w:tr w14:paraId="6927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48AF8A34">
            <w:pPr>
              <w:rPr>
                <w:rFonts w:hint="default"/>
                <w:b/>
                <w:bCs/>
                <w:color w:val="auto"/>
                <w:sz w:val="24"/>
                <w:szCs w:val="24"/>
                <w:highlight w:val="none"/>
                <w:vertAlign w:val="baseline"/>
                <w:lang w:val="en-US" w:eastAsia="zh-CN"/>
              </w:rPr>
            </w:pPr>
            <w:r>
              <w:rPr>
                <w:rFonts w:hint="eastAsia"/>
                <w:b/>
                <w:bCs/>
                <w:color w:val="auto"/>
                <w:sz w:val="24"/>
                <w:szCs w:val="24"/>
                <w:highlight w:val="none"/>
                <w:vertAlign w:val="baseline"/>
                <w:lang w:val="en-US" w:eastAsia="zh-CN"/>
              </w:rPr>
              <w:t>二、收运垃圾类</w:t>
            </w:r>
          </w:p>
        </w:tc>
        <w:tc>
          <w:tcPr>
            <w:tcW w:w="4076" w:type="dxa"/>
          </w:tcPr>
          <w:p w14:paraId="6A0ED888">
            <w:pPr>
              <w:rPr>
                <w:rFonts w:hint="default"/>
                <w:color w:val="auto"/>
                <w:sz w:val="21"/>
                <w:szCs w:val="21"/>
                <w:highlight w:val="none"/>
                <w:vertAlign w:val="baseline"/>
                <w:lang w:val="en-US" w:eastAsia="zh-CN"/>
              </w:rPr>
            </w:pPr>
            <w:r>
              <w:rPr>
                <w:rFonts w:hint="default"/>
                <w:color w:val="auto"/>
                <w:sz w:val="21"/>
                <w:szCs w:val="21"/>
                <w:highlight w:val="none"/>
                <w:vertAlign w:val="baseline"/>
                <w:lang w:val="en-US" w:eastAsia="zh-CN"/>
              </w:rPr>
              <w:t>1.没有按照规定时间清运垃圾的，每</w:t>
            </w:r>
            <w:r>
              <w:rPr>
                <w:rFonts w:hint="eastAsia"/>
                <w:color w:val="auto"/>
                <w:sz w:val="21"/>
                <w:szCs w:val="21"/>
                <w:highlight w:val="none"/>
                <w:vertAlign w:val="baseline"/>
                <w:lang w:val="en-US" w:eastAsia="zh-CN"/>
              </w:rPr>
              <w:t>次</w:t>
            </w:r>
            <w:r>
              <w:rPr>
                <w:rFonts w:hint="default"/>
                <w:color w:val="auto"/>
                <w:sz w:val="21"/>
                <w:szCs w:val="21"/>
                <w:highlight w:val="none"/>
                <w:vertAlign w:val="baseline"/>
                <w:lang w:val="en-US" w:eastAsia="zh-CN"/>
              </w:rPr>
              <w:t>扣2分：</w:t>
            </w:r>
          </w:p>
          <w:p w14:paraId="61FDFD59">
            <w:pPr>
              <w:rPr>
                <w:rFonts w:hint="default"/>
                <w:color w:val="auto"/>
                <w:sz w:val="21"/>
                <w:szCs w:val="21"/>
                <w:highlight w:val="none"/>
                <w:vertAlign w:val="baseline"/>
                <w:lang w:val="en-US" w:eastAsia="zh-CN"/>
              </w:rPr>
            </w:pPr>
            <w:r>
              <w:rPr>
                <w:rFonts w:hint="default"/>
                <w:color w:val="auto"/>
                <w:sz w:val="21"/>
                <w:szCs w:val="21"/>
                <w:highlight w:val="none"/>
                <w:vertAlign w:val="baseline"/>
                <w:lang w:val="en-US" w:eastAsia="zh-CN"/>
              </w:rPr>
              <w:t>2.</w:t>
            </w:r>
            <w:r>
              <w:rPr>
                <w:rFonts w:hint="eastAsia"/>
                <w:color w:val="auto"/>
                <w:sz w:val="21"/>
                <w:szCs w:val="21"/>
                <w:highlight w:val="none"/>
                <w:vertAlign w:val="baseline"/>
                <w:lang w:val="en-US" w:eastAsia="zh-CN"/>
              </w:rPr>
              <w:t>转运</w:t>
            </w:r>
            <w:r>
              <w:rPr>
                <w:rFonts w:hint="default"/>
                <w:color w:val="auto"/>
                <w:sz w:val="21"/>
                <w:szCs w:val="21"/>
                <w:highlight w:val="none"/>
                <w:vertAlign w:val="baseline"/>
                <w:lang w:val="en-US" w:eastAsia="zh-CN"/>
              </w:rPr>
              <w:t>垃圾过程中，垃圾车没有密封，导致垃圾散漏在路面的，每人次扣1分；</w:t>
            </w:r>
          </w:p>
          <w:p w14:paraId="762092CA">
            <w:pP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3</w:t>
            </w:r>
            <w:r>
              <w:rPr>
                <w:rFonts w:hint="default"/>
                <w:color w:val="auto"/>
                <w:sz w:val="21"/>
                <w:szCs w:val="21"/>
                <w:highlight w:val="none"/>
                <w:vertAlign w:val="baseline"/>
                <w:lang w:val="en-US" w:eastAsia="zh-CN"/>
              </w:rPr>
              <w:t>.发现成堆垃圾未在当天</w:t>
            </w:r>
            <w:r>
              <w:rPr>
                <w:rFonts w:hint="eastAsia"/>
                <w:color w:val="auto"/>
                <w:sz w:val="21"/>
                <w:szCs w:val="21"/>
                <w:highlight w:val="none"/>
                <w:vertAlign w:val="baseline"/>
                <w:lang w:val="en-US" w:eastAsia="zh-CN"/>
              </w:rPr>
              <w:t>转</w:t>
            </w:r>
            <w:r>
              <w:rPr>
                <w:rFonts w:hint="default"/>
                <w:color w:val="auto"/>
                <w:sz w:val="21"/>
                <w:szCs w:val="21"/>
                <w:highlight w:val="none"/>
                <w:vertAlign w:val="baseline"/>
                <w:lang w:val="en-US" w:eastAsia="zh-CN"/>
              </w:rPr>
              <w:t>运</w:t>
            </w:r>
            <w:r>
              <w:rPr>
                <w:rFonts w:hint="eastAsia"/>
                <w:color w:val="auto"/>
                <w:sz w:val="21"/>
                <w:szCs w:val="21"/>
                <w:highlight w:val="none"/>
                <w:vertAlign w:val="baseline"/>
                <w:lang w:val="en-US" w:eastAsia="zh-CN"/>
              </w:rPr>
              <w:t>且未达到每天转运量的</w:t>
            </w:r>
            <w:r>
              <w:rPr>
                <w:rFonts w:hint="default"/>
                <w:color w:val="auto"/>
                <w:sz w:val="21"/>
                <w:szCs w:val="21"/>
                <w:highlight w:val="none"/>
                <w:vertAlign w:val="baseline"/>
                <w:lang w:val="en-US" w:eastAsia="zh-CN"/>
              </w:rPr>
              <w:t>，每次扣1分；</w:t>
            </w:r>
          </w:p>
          <w:p w14:paraId="53F46CC5">
            <w:pP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w:t>
            </w:r>
            <w:r>
              <w:rPr>
                <w:rFonts w:hint="default"/>
                <w:color w:val="auto"/>
                <w:sz w:val="21"/>
                <w:szCs w:val="21"/>
                <w:highlight w:val="none"/>
                <w:vertAlign w:val="baseline"/>
                <w:lang w:val="en-US" w:eastAsia="zh-CN"/>
              </w:rPr>
              <w:t>.垃圾运输车辆不整洁、车体外有污垢，标志不清晰的，每车次扣1分；</w:t>
            </w:r>
          </w:p>
          <w:p w14:paraId="5D1CFF22">
            <w:pP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5</w:t>
            </w:r>
            <w:r>
              <w:rPr>
                <w:rFonts w:hint="default"/>
                <w:color w:val="auto"/>
                <w:sz w:val="21"/>
                <w:szCs w:val="21"/>
                <w:highlight w:val="none"/>
                <w:vertAlign w:val="baseline"/>
                <w:lang w:val="en-US" w:eastAsia="zh-CN"/>
              </w:rPr>
              <w:t>.不及时清运和沿途撒漏污水受群众投诉的，每次扣2分。</w:t>
            </w:r>
          </w:p>
          <w:p w14:paraId="2B0D4AAC">
            <w:pP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6.</w:t>
            </w:r>
            <w:r>
              <w:rPr>
                <w:rFonts w:hint="default"/>
                <w:color w:val="auto"/>
                <w:sz w:val="21"/>
                <w:szCs w:val="21"/>
                <w:highlight w:val="none"/>
                <w:vertAlign w:val="baseline"/>
                <w:lang w:val="en-US" w:eastAsia="zh-CN"/>
              </w:rPr>
              <w:t>压缩垃圾污水污染不及时清洗</w:t>
            </w:r>
            <w:r>
              <w:rPr>
                <w:rFonts w:hint="eastAsia"/>
                <w:color w:val="auto"/>
                <w:sz w:val="21"/>
                <w:szCs w:val="21"/>
                <w:highlight w:val="none"/>
                <w:vertAlign w:val="baseline"/>
                <w:lang w:val="en-US" w:eastAsia="zh-CN"/>
              </w:rPr>
              <w:t>、清理和处理</w:t>
            </w:r>
            <w:r>
              <w:rPr>
                <w:rFonts w:hint="default"/>
                <w:color w:val="auto"/>
                <w:sz w:val="21"/>
                <w:szCs w:val="21"/>
                <w:highlight w:val="none"/>
                <w:vertAlign w:val="baseline"/>
                <w:lang w:val="en-US" w:eastAsia="zh-CN"/>
              </w:rPr>
              <w:t>的，每次扣2分。</w:t>
            </w:r>
          </w:p>
        </w:tc>
        <w:tc>
          <w:tcPr>
            <w:tcW w:w="966" w:type="dxa"/>
          </w:tcPr>
          <w:p w14:paraId="7569E022">
            <w:pPr>
              <w:rPr>
                <w:rFonts w:hint="default"/>
                <w:color w:val="auto"/>
                <w:highlight w:val="none"/>
                <w:vertAlign w:val="baseline"/>
                <w:lang w:val="en-US" w:eastAsia="zh-CN"/>
              </w:rPr>
            </w:pPr>
            <w:r>
              <w:rPr>
                <w:rFonts w:hint="eastAsia"/>
                <w:color w:val="auto"/>
                <w:highlight w:val="none"/>
                <w:vertAlign w:val="baseline"/>
                <w:lang w:val="en-US" w:eastAsia="zh-CN"/>
              </w:rPr>
              <w:t>35</w:t>
            </w:r>
          </w:p>
        </w:tc>
        <w:tc>
          <w:tcPr>
            <w:tcW w:w="1117" w:type="dxa"/>
          </w:tcPr>
          <w:p w14:paraId="6B8C0462">
            <w:pPr>
              <w:rPr>
                <w:rFonts w:hint="default"/>
                <w:color w:val="auto"/>
                <w:highlight w:val="none"/>
                <w:vertAlign w:val="baseline"/>
                <w:lang w:val="en-US" w:eastAsia="zh-CN"/>
              </w:rPr>
            </w:pPr>
          </w:p>
        </w:tc>
        <w:tc>
          <w:tcPr>
            <w:tcW w:w="1417" w:type="dxa"/>
          </w:tcPr>
          <w:p w14:paraId="149F088D">
            <w:pPr>
              <w:rPr>
                <w:rFonts w:hint="default"/>
                <w:color w:val="auto"/>
                <w:highlight w:val="none"/>
                <w:vertAlign w:val="baseline"/>
                <w:lang w:val="en-US" w:eastAsia="zh-CN"/>
              </w:rPr>
            </w:pPr>
          </w:p>
        </w:tc>
      </w:tr>
      <w:tr w14:paraId="6132E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0F59282D">
            <w:pPr>
              <w:rPr>
                <w:rFonts w:hint="default"/>
                <w:b/>
                <w:bCs/>
                <w:color w:val="auto"/>
                <w:sz w:val="24"/>
                <w:szCs w:val="24"/>
                <w:highlight w:val="none"/>
                <w:vertAlign w:val="baseline"/>
                <w:lang w:val="en-US" w:eastAsia="zh-CN"/>
              </w:rPr>
            </w:pPr>
            <w:r>
              <w:rPr>
                <w:rFonts w:hint="eastAsia"/>
                <w:b/>
                <w:bCs/>
                <w:color w:val="auto"/>
                <w:sz w:val="24"/>
                <w:szCs w:val="24"/>
                <w:highlight w:val="none"/>
                <w:vertAlign w:val="baseline"/>
                <w:lang w:val="en-US" w:eastAsia="zh-CN"/>
              </w:rPr>
              <w:t>三、安全作业</w:t>
            </w:r>
          </w:p>
        </w:tc>
        <w:tc>
          <w:tcPr>
            <w:tcW w:w="4076" w:type="dxa"/>
          </w:tcPr>
          <w:p w14:paraId="5796FC29">
            <w:pPr>
              <w:rPr>
                <w:rFonts w:hint="default"/>
                <w:color w:val="auto"/>
                <w:sz w:val="21"/>
                <w:szCs w:val="21"/>
                <w:highlight w:val="none"/>
                <w:vertAlign w:val="baseline"/>
                <w:lang w:val="en-US" w:eastAsia="zh-CN"/>
              </w:rPr>
            </w:pPr>
            <w:r>
              <w:rPr>
                <w:rFonts w:hint="default"/>
                <w:color w:val="auto"/>
                <w:sz w:val="21"/>
                <w:szCs w:val="21"/>
                <w:highlight w:val="none"/>
                <w:vertAlign w:val="baseline"/>
                <w:lang w:val="en-US" w:eastAsia="zh-CN"/>
              </w:rPr>
              <w:t>1.无安全生产会议及培训记录（每月一次以上），每项扣2分。</w:t>
            </w:r>
          </w:p>
          <w:p w14:paraId="1C9B8161">
            <w:pPr>
              <w:rPr>
                <w:rFonts w:hint="default"/>
                <w:color w:val="auto"/>
                <w:sz w:val="21"/>
                <w:szCs w:val="21"/>
                <w:highlight w:val="none"/>
                <w:vertAlign w:val="baseline"/>
                <w:lang w:val="en-US" w:eastAsia="zh-CN"/>
              </w:rPr>
            </w:pPr>
            <w:r>
              <w:rPr>
                <w:rFonts w:hint="default"/>
                <w:color w:val="auto"/>
                <w:sz w:val="21"/>
                <w:szCs w:val="21"/>
                <w:highlight w:val="none"/>
                <w:vertAlign w:val="baseline"/>
                <w:lang w:val="en-US" w:eastAsia="zh-CN"/>
              </w:rPr>
              <w:t>2. 未配工牌号或不穿反光安全背心上岗的，每人/次扣1分。</w:t>
            </w:r>
          </w:p>
          <w:p w14:paraId="4630987D">
            <w:pPr>
              <w:rPr>
                <w:rFonts w:hint="default"/>
                <w:color w:val="auto"/>
                <w:sz w:val="21"/>
                <w:szCs w:val="21"/>
                <w:highlight w:val="none"/>
                <w:vertAlign w:val="baseline"/>
                <w:lang w:val="en-US" w:eastAsia="zh-CN"/>
              </w:rPr>
            </w:pPr>
            <w:r>
              <w:rPr>
                <w:rFonts w:hint="default"/>
                <w:color w:val="auto"/>
                <w:sz w:val="21"/>
                <w:szCs w:val="21"/>
                <w:highlight w:val="none"/>
                <w:vertAlign w:val="baseline"/>
                <w:lang w:val="en-US" w:eastAsia="zh-CN"/>
              </w:rPr>
              <w:t>3. 无持证驾驶、不进行出车前安全检查、作业时不设置安全标志的，每人/次扣1分。</w:t>
            </w:r>
          </w:p>
          <w:p w14:paraId="2FFDE225">
            <w:pPr>
              <w:rPr>
                <w:rFonts w:hint="default"/>
                <w:color w:val="auto"/>
                <w:sz w:val="21"/>
                <w:szCs w:val="21"/>
                <w:highlight w:val="none"/>
                <w:vertAlign w:val="baseline"/>
                <w:lang w:val="en-US" w:eastAsia="zh-CN"/>
              </w:rPr>
            </w:pPr>
            <w:r>
              <w:rPr>
                <w:rFonts w:hint="default"/>
                <w:color w:val="auto"/>
                <w:sz w:val="21"/>
                <w:szCs w:val="21"/>
                <w:highlight w:val="none"/>
                <w:vertAlign w:val="baseline"/>
                <w:lang w:val="en-US" w:eastAsia="zh-CN"/>
              </w:rPr>
              <w:t>4.发生交通事故，经交管部门认定属乙方责任的，每次扣2分</w:t>
            </w:r>
          </w:p>
        </w:tc>
        <w:tc>
          <w:tcPr>
            <w:tcW w:w="966" w:type="dxa"/>
          </w:tcPr>
          <w:p w14:paraId="58499090">
            <w:pPr>
              <w:rPr>
                <w:rFonts w:hint="default"/>
                <w:color w:val="auto"/>
                <w:highlight w:val="none"/>
                <w:vertAlign w:val="baseline"/>
                <w:lang w:val="en-US" w:eastAsia="zh-CN"/>
              </w:rPr>
            </w:pPr>
            <w:r>
              <w:rPr>
                <w:rFonts w:hint="eastAsia"/>
                <w:color w:val="auto"/>
                <w:highlight w:val="none"/>
                <w:vertAlign w:val="baseline"/>
                <w:lang w:val="en-US" w:eastAsia="zh-CN"/>
              </w:rPr>
              <w:t>25</w:t>
            </w:r>
          </w:p>
        </w:tc>
        <w:tc>
          <w:tcPr>
            <w:tcW w:w="1117" w:type="dxa"/>
          </w:tcPr>
          <w:p w14:paraId="2A54E6A6">
            <w:pPr>
              <w:rPr>
                <w:rFonts w:hint="default"/>
                <w:color w:val="auto"/>
                <w:highlight w:val="none"/>
                <w:vertAlign w:val="baseline"/>
                <w:lang w:val="en-US" w:eastAsia="zh-CN"/>
              </w:rPr>
            </w:pPr>
          </w:p>
        </w:tc>
        <w:tc>
          <w:tcPr>
            <w:tcW w:w="1417" w:type="dxa"/>
          </w:tcPr>
          <w:p w14:paraId="3DD39529">
            <w:pPr>
              <w:rPr>
                <w:rFonts w:hint="default"/>
                <w:color w:val="auto"/>
                <w:highlight w:val="none"/>
                <w:vertAlign w:val="baseline"/>
                <w:lang w:val="en-US" w:eastAsia="zh-CN"/>
              </w:rPr>
            </w:pPr>
          </w:p>
        </w:tc>
      </w:tr>
      <w:tr w14:paraId="3F91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5AD1CBB0">
            <w:pPr>
              <w:rPr>
                <w:rFonts w:hint="default"/>
                <w:b/>
                <w:bCs/>
                <w:color w:val="auto"/>
                <w:sz w:val="24"/>
                <w:szCs w:val="24"/>
                <w:highlight w:val="none"/>
                <w:vertAlign w:val="baseline"/>
                <w:lang w:val="en-US" w:eastAsia="zh-CN"/>
              </w:rPr>
            </w:pPr>
            <w:r>
              <w:rPr>
                <w:rFonts w:hint="eastAsia"/>
                <w:b/>
                <w:bCs/>
                <w:color w:val="auto"/>
                <w:sz w:val="24"/>
                <w:szCs w:val="24"/>
                <w:highlight w:val="none"/>
                <w:vertAlign w:val="baseline"/>
                <w:lang w:val="en-US" w:eastAsia="zh-CN"/>
              </w:rPr>
              <w:t>四、整改落实情况</w:t>
            </w:r>
          </w:p>
        </w:tc>
        <w:tc>
          <w:tcPr>
            <w:tcW w:w="4076" w:type="dxa"/>
          </w:tcPr>
          <w:p w14:paraId="55245061">
            <w:pP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1.收到整改通知后，没有按时限、按要求整改的，每一次扣2分；</w:t>
            </w:r>
          </w:p>
          <w:p w14:paraId="5332063D">
            <w:pP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2.因对临时中转站维护和管理不当，受到市级以上通报的，每次扣2分。</w:t>
            </w:r>
          </w:p>
        </w:tc>
        <w:tc>
          <w:tcPr>
            <w:tcW w:w="966" w:type="dxa"/>
          </w:tcPr>
          <w:p w14:paraId="6C8D3D90">
            <w:pPr>
              <w:rPr>
                <w:rFonts w:hint="default"/>
                <w:color w:val="auto"/>
                <w:highlight w:val="none"/>
                <w:vertAlign w:val="baseline"/>
                <w:lang w:val="en-US" w:eastAsia="zh-CN"/>
              </w:rPr>
            </w:pPr>
            <w:r>
              <w:rPr>
                <w:rFonts w:hint="eastAsia"/>
                <w:color w:val="auto"/>
                <w:highlight w:val="none"/>
                <w:vertAlign w:val="baseline"/>
                <w:lang w:val="en-US" w:eastAsia="zh-CN"/>
              </w:rPr>
              <w:t>20</w:t>
            </w:r>
          </w:p>
        </w:tc>
        <w:tc>
          <w:tcPr>
            <w:tcW w:w="1117" w:type="dxa"/>
          </w:tcPr>
          <w:p w14:paraId="55D4AEAA">
            <w:pPr>
              <w:rPr>
                <w:rFonts w:hint="default"/>
                <w:color w:val="auto"/>
                <w:highlight w:val="none"/>
                <w:vertAlign w:val="baseline"/>
                <w:lang w:val="en-US" w:eastAsia="zh-CN"/>
              </w:rPr>
            </w:pPr>
          </w:p>
        </w:tc>
        <w:tc>
          <w:tcPr>
            <w:tcW w:w="1417" w:type="dxa"/>
          </w:tcPr>
          <w:p w14:paraId="49EA16C2">
            <w:pPr>
              <w:rPr>
                <w:rFonts w:hint="default"/>
                <w:color w:val="auto"/>
                <w:highlight w:val="none"/>
                <w:vertAlign w:val="baseline"/>
                <w:lang w:val="en-US" w:eastAsia="zh-CN"/>
              </w:rPr>
            </w:pPr>
          </w:p>
        </w:tc>
      </w:tr>
    </w:tbl>
    <w:p w14:paraId="62BF4A76">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扣分标准：每1分扣500元，以此类推</w:t>
      </w:r>
      <w:r>
        <w:rPr>
          <w:rFonts w:hint="eastAsia" w:ascii="黑体" w:hAnsi="黑体" w:eastAsia="黑体" w:cs="黑体"/>
          <w:color w:val="auto"/>
          <w:sz w:val="32"/>
          <w:szCs w:val="32"/>
          <w:highlight w:val="none"/>
          <w:lang w:val="en-US" w:eastAsia="zh-CN"/>
        </w:rPr>
        <w:t>.</w:t>
      </w:r>
    </w:p>
    <w:p w14:paraId="5D67C1F2">
      <w:pPr>
        <w:keepNext/>
        <w:pageBreakBefore w:val="0"/>
        <w:widowControl w:val="0"/>
        <w:kinsoku/>
        <w:wordWrap w:val="0"/>
        <w:overflowPunct/>
        <w:topLinePunct w:val="0"/>
        <w:autoSpaceDE/>
        <w:autoSpaceDN/>
        <w:bidi w:val="0"/>
        <w:adjustRightInd/>
        <w:snapToGrid/>
        <w:textAlignment w:val="auto"/>
        <w:rPr>
          <w:color w:val="auto"/>
          <w:highlight w:val="none"/>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entury">
    <w:altName w:val="Times New Roman"/>
    <w:panose1 w:val="02040604050505020304"/>
    <w:charset w:val="00"/>
    <w:family w:val="roman"/>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43966"/>
      <w:docPartObj>
        <w:docPartGallery w:val="autotext"/>
      </w:docPartObj>
    </w:sdtPr>
    <w:sdtContent>
      <w:p w14:paraId="19E78AD7">
        <w:pPr>
          <w:pStyle w:val="29"/>
          <w:jc w:val="center"/>
        </w:pPr>
        <w:r>
          <w:fldChar w:fldCharType="begin"/>
        </w:r>
        <w:r>
          <w:instrText xml:space="preserve"> PAGE   \* MERGEFORMAT </w:instrText>
        </w:r>
        <w:r>
          <w:fldChar w:fldCharType="separate"/>
        </w:r>
        <w:r>
          <w:rPr>
            <w:lang w:val="zh-CN"/>
          </w:rPr>
          <w:t>98</w:t>
        </w:r>
        <w:r>
          <w:rPr>
            <w:lang w:val="zh-CN"/>
          </w:rPr>
          <w:fldChar w:fldCharType="end"/>
        </w:r>
      </w:p>
    </w:sdtContent>
  </w:sdt>
  <w:p w14:paraId="38157F36">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9"/>
      <w:lvlText w:val="%1."/>
      <w:lvlJc w:val="left"/>
      <w:pPr>
        <w:tabs>
          <w:tab w:val="left" w:pos="1200"/>
        </w:tabs>
        <w:ind w:left="1200" w:hanging="360"/>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7"/>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2">
    <w:nsid w:val="72EE8A99"/>
    <w:multiLevelType w:val="singleLevel"/>
    <w:tmpl w:val="72EE8A99"/>
    <w:lvl w:ilvl="0" w:tentative="0">
      <w:start w:val="6"/>
      <w:numFmt w:val="chineseCounting"/>
      <w:suff w:val="nothing"/>
      <w:lvlText w:val="%1、"/>
      <w:lvlJc w:val="left"/>
      <w:rPr>
        <w:rFonts w:hint="eastAsi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EzOTEwYWRjNzc4Mzg2MzNhZGY5Yzk3ZTk3NzAwN2EifQ=="/>
  </w:docVars>
  <w:rsids>
    <w:rsidRoot w:val="00E96363"/>
    <w:rsid w:val="000E53A5"/>
    <w:rsid w:val="00141EFA"/>
    <w:rsid w:val="003D14B3"/>
    <w:rsid w:val="004163E9"/>
    <w:rsid w:val="004C509F"/>
    <w:rsid w:val="006C2649"/>
    <w:rsid w:val="006C685F"/>
    <w:rsid w:val="007A7952"/>
    <w:rsid w:val="00931D49"/>
    <w:rsid w:val="009F0485"/>
    <w:rsid w:val="00AB4664"/>
    <w:rsid w:val="00C27AE9"/>
    <w:rsid w:val="00D975ED"/>
    <w:rsid w:val="00E63EE5"/>
    <w:rsid w:val="00E96363"/>
    <w:rsid w:val="37361BAC"/>
    <w:rsid w:val="39AE101D"/>
    <w:rsid w:val="49091C8E"/>
    <w:rsid w:val="56C5757D"/>
    <w:rsid w:val="7539786F"/>
    <w:rsid w:val="7F971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qFormat="1" w:uiPriority="99" w:name="envelope return"/>
    <w:lsdException w:qFormat="1" w:uiPriority="99" w:name="footnote reference"/>
    <w:lsdException w:qFormat="1" w:uiPriority="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uiPriority="99" w:name="List Bullet"/>
    <w:lsdException w:qFormat="1"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semiHidden="0"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name="Hyperlink"/>
    <w:lsdException w:qFormat="1" w:uiPriority="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64"/>
    <w:semiHidden/>
    <w:unhideWhenUsed/>
    <w:qFormat/>
    <w:uiPriority w:val="0"/>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65"/>
    <w:semiHidden/>
    <w:unhideWhenUsed/>
    <w:qFormat/>
    <w:uiPriority w:val="0"/>
    <w:pPr>
      <w:keepNext/>
      <w:keepLines/>
      <w:spacing w:before="260" w:after="260" w:line="415" w:lineRule="auto"/>
      <w:outlineLvl w:val="2"/>
    </w:pPr>
    <w:rPr>
      <w:b/>
      <w:bCs/>
      <w:kern w:val="0"/>
      <w:sz w:val="32"/>
      <w:szCs w:val="32"/>
    </w:rPr>
  </w:style>
  <w:style w:type="paragraph" w:styleId="5">
    <w:name w:val="heading 4"/>
    <w:basedOn w:val="1"/>
    <w:next w:val="1"/>
    <w:link w:val="66"/>
    <w:semiHidden/>
    <w:unhideWhenUsed/>
    <w:qFormat/>
    <w:uiPriority w:val="9"/>
    <w:pPr>
      <w:keepNext/>
      <w:keepLines/>
      <w:spacing w:before="280" w:after="290" w:line="374" w:lineRule="auto"/>
      <w:outlineLvl w:val="3"/>
    </w:pPr>
    <w:rPr>
      <w:rFonts w:ascii="Cambria" w:hAnsi="Cambria" w:cs="宋体"/>
      <w:b/>
      <w:bCs/>
      <w:sz w:val="28"/>
      <w:szCs w:val="28"/>
    </w:rPr>
  </w:style>
  <w:style w:type="paragraph" w:styleId="6">
    <w:name w:val="heading 5"/>
    <w:basedOn w:val="1"/>
    <w:next w:val="1"/>
    <w:link w:val="113"/>
    <w:semiHidden/>
    <w:unhideWhenUsed/>
    <w:qFormat/>
    <w:uiPriority w:val="0"/>
    <w:pPr>
      <w:keepNext/>
      <w:keepLines/>
      <w:numPr>
        <w:ilvl w:val="4"/>
        <w:numId w:val="1"/>
      </w:numPr>
      <w:spacing w:before="280" w:after="290" w:line="374" w:lineRule="auto"/>
      <w:outlineLvl w:val="4"/>
    </w:pPr>
    <w:rPr>
      <w:b/>
      <w:sz w:val="28"/>
    </w:rPr>
  </w:style>
  <w:style w:type="paragraph" w:styleId="7">
    <w:name w:val="heading 6"/>
    <w:basedOn w:val="1"/>
    <w:next w:val="8"/>
    <w:link w:val="68"/>
    <w:semiHidden/>
    <w:unhideWhenUsed/>
    <w:qFormat/>
    <w:uiPriority w:val="0"/>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8"/>
    <w:link w:val="69"/>
    <w:semiHidden/>
    <w:unhideWhenUsed/>
    <w:qFormat/>
    <w:uiPriority w:val="99"/>
    <w:pPr>
      <w:keepNext/>
      <w:keepLines/>
      <w:numPr>
        <w:ilvl w:val="6"/>
        <w:numId w:val="1"/>
      </w:numPr>
      <w:spacing w:before="240" w:after="64" w:line="319" w:lineRule="auto"/>
      <w:outlineLvl w:val="6"/>
    </w:pPr>
    <w:rPr>
      <w:b/>
      <w:sz w:val="24"/>
    </w:rPr>
  </w:style>
  <w:style w:type="paragraph" w:styleId="10">
    <w:name w:val="heading 8"/>
    <w:basedOn w:val="1"/>
    <w:next w:val="8"/>
    <w:link w:val="70"/>
    <w:semiHidden/>
    <w:unhideWhenUsed/>
    <w:qFormat/>
    <w:uiPriority w:val="9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8"/>
    <w:link w:val="71"/>
    <w:semiHidden/>
    <w:unhideWhenUsed/>
    <w:qFormat/>
    <w:uiPriority w:val="99"/>
    <w:pPr>
      <w:keepNext/>
      <w:keepLines/>
      <w:numPr>
        <w:ilvl w:val="8"/>
        <w:numId w:val="1"/>
      </w:numPr>
      <w:spacing w:before="240" w:after="64" w:line="319" w:lineRule="auto"/>
      <w:outlineLvl w:val="8"/>
    </w:pPr>
    <w:rPr>
      <w:rFonts w:ascii="Arial" w:hAnsi="Arial" w:eastAsia="黑体"/>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8">
    <w:name w:val="Normal Indent"/>
    <w:basedOn w:val="1"/>
    <w:next w:val="1"/>
    <w:semiHidden/>
    <w:unhideWhenUsed/>
    <w:qFormat/>
    <w:uiPriority w:val="99"/>
    <w:pPr>
      <w:ind w:firstLine="420"/>
    </w:pPr>
    <w:rPr>
      <w:szCs w:val="20"/>
    </w:rPr>
  </w:style>
  <w:style w:type="paragraph" w:styleId="12">
    <w:name w:val="toc 7"/>
    <w:basedOn w:val="1"/>
    <w:next w:val="1"/>
    <w:autoRedefine/>
    <w:semiHidden/>
    <w:unhideWhenUsed/>
    <w:qFormat/>
    <w:uiPriority w:val="39"/>
    <w:pPr>
      <w:ind w:left="2520" w:leftChars="1200"/>
    </w:pPr>
    <w:rPr>
      <w:rFonts w:ascii="Calibri" w:hAnsi="Calibri"/>
      <w:szCs w:val="22"/>
    </w:rPr>
  </w:style>
  <w:style w:type="paragraph" w:styleId="13">
    <w:name w:val="List Number"/>
    <w:basedOn w:val="1"/>
    <w:semiHidden/>
    <w:unhideWhenUsed/>
    <w:qFormat/>
    <w:uiPriority w:val="99"/>
    <w:pPr>
      <w:widowControl/>
      <w:tabs>
        <w:tab w:val="left" w:pos="454"/>
        <w:tab w:val="left" w:pos="720"/>
        <w:tab w:val="left" w:pos="840"/>
      </w:tabs>
      <w:ind w:left="454" w:hanging="284"/>
      <w:jc w:val="left"/>
    </w:pPr>
    <w:rPr>
      <w:kern w:val="0"/>
      <w:sz w:val="24"/>
      <w:szCs w:val="20"/>
    </w:rPr>
  </w:style>
  <w:style w:type="paragraph" w:styleId="14">
    <w:name w:val="caption"/>
    <w:basedOn w:val="1"/>
    <w:next w:val="1"/>
    <w:semiHidden/>
    <w:unhideWhenUsed/>
    <w:qFormat/>
    <w:uiPriority w:val="99"/>
    <w:pPr>
      <w:spacing w:before="152" w:after="160"/>
    </w:pPr>
    <w:rPr>
      <w:rFonts w:ascii="Arial" w:hAnsi="Arial" w:eastAsia="黑体" w:cs="Arial"/>
      <w:sz w:val="20"/>
      <w:szCs w:val="20"/>
    </w:rPr>
  </w:style>
  <w:style w:type="paragraph" w:styleId="15">
    <w:name w:val="annotation text"/>
    <w:basedOn w:val="1"/>
    <w:link w:val="114"/>
    <w:unhideWhenUsed/>
    <w:qFormat/>
    <w:uiPriority w:val="99"/>
    <w:pPr>
      <w:jc w:val="left"/>
    </w:pPr>
  </w:style>
  <w:style w:type="paragraph" w:styleId="16">
    <w:name w:val="Body Text 3"/>
    <w:basedOn w:val="1"/>
    <w:link w:val="84"/>
    <w:semiHidden/>
    <w:unhideWhenUsed/>
    <w:qFormat/>
    <w:uiPriority w:val="99"/>
    <w:pPr>
      <w:spacing w:line="500" w:lineRule="exact"/>
    </w:pPr>
    <w:rPr>
      <w:b/>
      <w:bCs/>
      <w:kern w:val="0"/>
      <w:sz w:val="24"/>
    </w:rPr>
  </w:style>
  <w:style w:type="paragraph" w:styleId="17">
    <w:name w:val="Body Text"/>
    <w:basedOn w:val="1"/>
    <w:next w:val="8"/>
    <w:link w:val="78"/>
    <w:semiHidden/>
    <w:unhideWhenUsed/>
    <w:qFormat/>
    <w:uiPriority w:val="99"/>
    <w:pPr>
      <w:spacing w:line="380" w:lineRule="exact"/>
    </w:pPr>
    <w:rPr>
      <w:kern w:val="0"/>
      <w:sz w:val="24"/>
    </w:rPr>
  </w:style>
  <w:style w:type="paragraph" w:styleId="18">
    <w:name w:val="Body Text Indent"/>
    <w:basedOn w:val="1"/>
    <w:link w:val="79"/>
    <w:semiHidden/>
    <w:unhideWhenUsed/>
    <w:qFormat/>
    <w:uiPriority w:val="99"/>
    <w:pPr>
      <w:spacing w:after="120"/>
      <w:ind w:left="420" w:leftChars="200"/>
    </w:pPr>
  </w:style>
  <w:style w:type="paragraph" w:styleId="19">
    <w:name w:val="List Number 3"/>
    <w:basedOn w:val="1"/>
    <w:semiHidden/>
    <w:unhideWhenUsed/>
    <w:qFormat/>
    <w:uiPriority w:val="99"/>
    <w:pPr>
      <w:numPr>
        <w:ilvl w:val="0"/>
        <w:numId w:val="2"/>
      </w:numPr>
    </w:pPr>
  </w:style>
  <w:style w:type="paragraph" w:styleId="20">
    <w:name w:val="List 2"/>
    <w:basedOn w:val="1"/>
    <w:semiHidden/>
    <w:unhideWhenUsed/>
    <w:qFormat/>
    <w:uiPriority w:val="99"/>
    <w:pPr>
      <w:ind w:left="100" w:leftChars="200" w:hanging="200" w:hangingChars="200"/>
    </w:pPr>
    <w:rPr>
      <w:sz w:val="28"/>
    </w:rPr>
  </w:style>
  <w:style w:type="paragraph" w:styleId="21">
    <w:name w:val="toc 5"/>
    <w:basedOn w:val="1"/>
    <w:next w:val="1"/>
    <w:autoRedefine/>
    <w:semiHidden/>
    <w:unhideWhenUsed/>
    <w:qFormat/>
    <w:uiPriority w:val="39"/>
    <w:pPr>
      <w:ind w:left="1680" w:leftChars="800"/>
    </w:pPr>
    <w:rPr>
      <w:rFonts w:ascii="Calibri" w:hAnsi="Calibri"/>
      <w:szCs w:val="22"/>
    </w:rPr>
  </w:style>
  <w:style w:type="paragraph" w:styleId="22">
    <w:name w:val="toc 3"/>
    <w:basedOn w:val="1"/>
    <w:next w:val="1"/>
    <w:autoRedefine/>
    <w:semiHidden/>
    <w:unhideWhenUsed/>
    <w:qFormat/>
    <w:uiPriority w:val="39"/>
    <w:pPr>
      <w:ind w:left="840" w:leftChars="400"/>
    </w:pPr>
    <w:rPr>
      <w:rFonts w:ascii="Calibri" w:hAnsi="Calibri"/>
      <w:szCs w:val="22"/>
    </w:rPr>
  </w:style>
  <w:style w:type="paragraph" w:styleId="23">
    <w:name w:val="Plain Text"/>
    <w:basedOn w:val="1"/>
    <w:next w:val="1"/>
    <w:link w:val="115"/>
    <w:unhideWhenUsed/>
    <w:qFormat/>
    <w:uiPriority w:val="99"/>
    <w:rPr>
      <w:rFonts w:ascii="宋体" w:hAnsi="Courier New"/>
      <w:kern w:val="0"/>
      <w:sz w:val="20"/>
      <w:szCs w:val="21"/>
    </w:rPr>
  </w:style>
  <w:style w:type="paragraph" w:styleId="24">
    <w:name w:val="toc 8"/>
    <w:basedOn w:val="1"/>
    <w:next w:val="1"/>
    <w:autoRedefine/>
    <w:semiHidden/>
    <w:unhideWhenUsed/>
    <w:qFormat/>
    <w:uiPriority w:val="39"/>
    <w:pPr>
      <w:ind w:left="2940" w:leftChars="1400"/>
    </w:pPr>
    <w:rPr>
      <w:rFonts w:ascii="Calibri" w:hAnsi="Calibri"/>
      <w:szCs w:val="22"/>
    </w:rPr>
  </w:style>
  <w:style w:type="paragraph" w:styleId="25">
    <w:name w:val="Date"/>
    <w:basedOn w:val="1"/>
    <w:next w:val="1"/>
    <w:link w:val="80"/>
    <w:semiHidden/>
    <w:unhideWhenUsed/>
    <w:qFormat/>
    <w:uiPriority w:val="99"/>
    <w:pPr>
      <w:ind w:left="100" w:leftChars="2500"/>
    </w:pPr>
    <w:rPr>
      <w:rFonts w:ascii="宋体" w:hAnsi="Courier New"/>
      <w:kern w:val="0"/>
      <w:sz w:val="20"/>
      <w:szCs w:val="21"/>
    </w:rPr>
  </w:style>
  <w:style w:type="paragraph" w:styleId="26">
    <w:name w:val="Body Text Indent 2"/>
    <w:basedOn w:val="1"/>
    <w:link w:val="85"/>
    <w:semiHidden/>
    <w:unhideWhenUsed/>
    <w:qFormat/>
    <w:uiPriority w:val="99"/>
    <w:pPr>
      <w:ind w:firstLine="630"/>
    </w:pPr>
    <w:rPr>
      <w:kern w:val="0"/>
      <w:sz w:val="32"/>
      <w:szCs w:val="20"/>
    </w:rPr>
  </w:style>
  <w:style w:type="paragraph" w:styleId="27">
    <w:name w:val="endnote text"/>
    <w:basedOn w:val="1"/>
    <w:link w:val="76"/>
    <w:semiHidden/>
    <w:unhideWhenUsed/>
    <w:qFormat/>
    <w:uiPriority w:val="99"/>
    <w:pPr>
      <w:snapToGrid w:val="0"/>
      <w:jc w:val="left"/>
    </w:pPr>
  </w:style>
  <w:style w:type="paragraph" w:styleId="28">
    <w:name w:val="Balloon Text"/>
    <w:basedOn w:val="1"/>
    <w:link w:val="89"/>
    <w:semiHidden/>
    <w:unhideWhenUsed/>
    <w:qFormat/>
    <w:uiPriority w:val="99"/>
    <w:rPr>
      <w:kern w:val="0"/>
      <w:sz w:val="18"/>
      <w:szCs w:val="18"/>
    </w:rPr>
  </w:style>
  <w:style w:type="paragraph" w:styleId="29">
    <w:name w:val="footer"/>
    <w:basedOn w:val="1"/>
    <w:link w:val="75"/>
    <w:unhideWhenUsed/>
    <w:qFormat/>
    <w:uiPriority w:val="99"/>
    <w:pPr>
      <w:tabs>
        <w:tab w:val="center" w:pos="4153"/>
        <w:tab w:val="right" w:pos="8306"/>
      </w:tabs>
      <w:snapToGrid w:val="0"/>
      <w:jc w:val="left"/>
    </w:pPr>
    <w:rPr>
      <w:kern w:val="0"/>
      <w:sz w:val="18"/>
      <w:szCs w:val="18"/>
    </w:rPr>
  </w:style>
  <w:style w:type="paragraph" w:styleId="30">
    <w:name w:val="envelope return"/>
    <w:basedOn w:val="1"/>
    <w:semiHidden/>
    <w:unhideWhenUsed/>
    <w:qFormat/>
    <w:uiPriority w:val="99"/>
    <w:pPr>
      <w:adjustRightInd w:val="0"/>
      <w:snapToGrid w:val="0"/>
      <w:spacing w:line="360" w:lineRule="atLeast"/>
      <w:ind w:firstLine="640" w:firstLineChars="200"/>
    </w:pPr>
    <w:rPr>
      <w:rFonts w:ascii="Arial" w:hAnsi="Arial"/>
    </w:rPr>
  </w:style>
  <w:style w:type="paragraph" w:styleId="31">
    <w:name w:val="header"/>
    <w:basedOn w:val="1"/>
    <w:link w:val="74"/>
    <w:semiHidden/>
    <w:unhideWhenUsed/>
    <w:qFormat/>
    <w:uiPriority w:val="99"/>
    <w:pPr>
      <w:pBdr>
        <w:bottom w:val="single" w:color="auto" w:sz="6" w:space="1"/>
      </w:pBdr>
      <w:tabs>
        <w:tab w:val="center" w:pos="0"/>
        <w:tab w:val="left" w:pos="8306"/>
      </w:tabs>
      <w:snapToGrid w:val="0"/>
      <w:jc w:val="center"/>
    </w:pPr>
    <w:rPr>
      <w:sz w:val="18"/>
      <w:szCs w:val="18"/>
    </w:rPr>
  </w:style>
  <w:style w:type="paragraph" w:styleId="32">
    <w:name w:val="toc 1"/>
    <w:basedOn w:val="1"/>
    <w:next w:val="1"/>
    <w:autoRedefine/>
    <w:semiHidden/>
    <w:unhideWhenUsed/>
    <w:qFormat/>
    <w:uiPriority w:val="39"/>
    <w:pPr>
      <w:tabs>
        <w:tab w:val="right" w:leader="dot" w:pos="8398"/>
      </w:tabs>
      <w:spacing w:before="120" w:after="120"/>
      <w:ind w:firstLine="240" w:firstLineChars="100"/>
      <w:jc w:val="left"/>
    </w:pPr>
    <w:rPr>
      <w:rFonts w:ascii="宋体" w:hAnsi="宋体"/>
      <w:b/>
      <w:bCs/>
      <w:caps/>
      <w:sz w:val="24"/>
    </w:rPr>
  </w:style>
  <w:style w:type="paragraph" w:styleId="33">
    <w:name w:val="toc 4"/>
    <w:basedOn w:val="1"/>
    <w:next w:val="1"/>
    <w:autoRedefine/>
    <w:semiHidden/>
    <w:unhideWhenUsed/>
    <w:qFormat/>
    <w:uiPriority w:val="39"/>
    <w:pPr>
      <w:ind w:left="1260" w:leftChars="600"/>
    </w:pPr>
    <w:rPr>
      <w:rFonts w:ascii="Calibri" w:hAnsi="Calibri"/>
      <w:szCs w:val="22"/>
    </w:rPr>
  </w:style>
  <w:style w:type="paragraph" w:styleId="34">
    <w:name w:val="List"/>
    <w:basedOn w:val="1"/>
    <w:semiHidden/>
    <w:unhideWhenUsed/>
    <w:qFormat/>
    <w:uiPriority w:val="99"/>
    <w:pPr>
      <w:ind w:left="200" w:hanging="200" w:hangingChars="200"/>
    </w:pPr>
    <w:rPr>
      <w:sz w:val="28"/>
    </w:rPr>
  </w:style>
  <w:style w:type="paragraph" w:styleId="35">
    <w:name w:val="footnote text"/>
    <w:basedOn w:val="1"/>
    <w:link w:val="72"/>
    <w:semiHidden/>
    <w:unhideWhenUsed/>
    <w:qFormat/>
    <w:uiPriority w:val="99"/>
    <w:pPr>
      <w:snapToGrid w:val="0"/>
      <w:jc w:val="left"/>
    </w:pPr>
    <w:rPr>
      <w:sz w:val="18"/>
      <w:szCs w:val="18"/>
    </w:rPr>
  </w:style>
  <w:style w:type="paragraph" w:styleId="36">
    <w:name w:val="toc 6"/>
    <w:basedOn w:val="1"/>
    <w:next w:val="1"/>
    <w:autoRedefine/>
    <w:semiHidden/>
    <w:unhideWhenUsed/>
    <w:qFormat/>
    <w:uiPriority w:val="39"/>
    <w:pPr>
      <w:ind w:left="2100" w:leftChars="1000"/>
    </w:pPr>
    <w:rPr>
      <w:rFonts w:ascii="Calibri" w:hAnsi="Calibri"/>
      <w:szCs w:val="22"/>
    </w:rPr>
  </w:style>
  <w:style w:type="paragraph" w:styleId="37">
    <w:name w:val="Body Text Indent 3"/>
    <w:basedOn w:val="1"/>
    <w:link w:val="86"/>
    <w:semiHidden/>
    <w:unhideWhenUsed/>
    <w:qFormat/>
    <w:uiPriority w:val="99"/>
    <w:pPr>
      <w:spacing w:after="120"/>
      <w:ind w:left="420" w:leftChars="200"/>
    </w:pPr>
    <w:rPr>
      <w:kern w:val="0"/>
      <w:sz w:val="16"/>
      <w:szCs w:val="16"/>
    </w:rPr>
  </w:style>
  <w:style w:type="paragraph" w:styleId="38">
    <w:name w:val="toc 2"/>
    <w:basedOn w:val="1"/>
    <w:next w:val="1"/>
    <w:autoRedefine/>
    <w:semiHidden/>
    <w:unhideWhenUsed/>
    <w:qFormat/>
    <w:uiPriority w:val="39"/>
    <w:pPr>
      <w:ind w:left="420" w:leftChars="200"/>
    </w:pPr>
  </w:style>
  <w:style w:type="paragraph" w:styleId="39">
    <w:name w:val="toc 9"/>
    <w:basedOn w:val="1"/>
    <w:next w:val="1"/>
    <w:autoRedefine/>
    <w:semiHidden/>
    <w:unhideWhenUsed/>
    <w:qFormat/>
    <w:uiPriority w:val="39"/>
    <w:pPr>
      <w:ind w:left="3360" w:leftChars="1600"/>
    </w:pPr>
    <w:rPr>
      <w:rFonts w:ascii="Calibri" w:hAnsi="Calibri"/>
      <w:szCs w:val="22"/>
    </w:rPr>
  </w:style>
  <w:style w:type="paragraph" w:styleId="40">
    <w:name w:val="Body Text 2"/>
    <w:basedOn w:val="1"/>
    <w:link w:val="83"/>
    <w:semiHidden/>
    <w:unhideWhenUsed/>
    <w:qFormat/>
    <w:uiPriority w:val="99"/>
    <w:pPr>
      <w:spacing w:after="120" w:line="480" w:lineRule="auto"/>
    </w:pPr>
    <w:rPr>
      <w:kern w:val="0"/>
      <w:sz w:val="20"/>
    </w:rPr>
  </w:style>
  <w:style w:type="paragraph" w:styleId="41">
    <w:name w:val="Normal (Web)"/>
    <w:basedOn w:val="1"/>
    <w:semiHidden/>
    <w:unhideWhenUsed/>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autoRedefine/>
    <w:semiHidden/>
    <w:unhideWhenUsed/>
    <w:qFormat/>
    <w:uiPriority w:val="99"/>
    <w:pPr>
      <w:spacing w:line="400" w:lineRule="exact"/>
      <w:ind w:firstLine="420" w:firstLineChars="200"/>
    </w:pPr>
    <w:rPr>
      <w:rFonts w:ascii="宋体" w:hAnsi="Courier New"/>
      <w:b/>
      <w:szCs w:val="20"/>
    </w:rPr>
  </w:style>
  <w:style w:type="paragraph" w:styleId="43">
    <w:name w:val="Title"/>
    <w:basedOn w:val="1"/>
    <w:next w:val="1"/>
    <w:link w:val="77"/>
    <w:qFormat/>
    <w:uiPriority w:val="10"/>
    <w:pPr>
      <w:spacing w:before="240" w:after="60"/>
      <w:jc w:val="center"/>
      <w:outlineLvl w:val="0"/>
    </w:pPr>
    <w:rPr>
      <w:rFonts w:ascii="Cambria" w:hAnsi="Cambria"/>
      <w:b/>
      <w:bCs/>
      <w:sz w:val="32"/>
      <w:szCs w:val="32"/>
    </w:rPr>
  </w:style>
  <w:style w:type="paragraph" w:styleId="44">
    <w:name w:val="annotation subject"/>
    <w:basedOn w:val="15"/>
    <w:next w:val="15"/>
    <w:link w:val="88"/>
    <w:semiHidden/>
    <w:unhideWhenUsed/>
    <w:qFormat/>
    <w:uiPriority w:val="99"/>
    <w:rPr>
      <w:b/>
      <w:bCs/>
    </w:rPr>
  </w:style>
  <w:style w:type="paragraph" w:styleId="45">
    <w:name w:val="Body Text First Indent"/>
    <w:basedOn w:val="17"/>
    <w:link w:val="81"/>
    <w:semiHidden/>
    <w:unhideWhenUsed/>
    <w:qFormat/>
    <w:uiPriority w:val="99"/>
    <w:pPr>
      <w:ind w:firstLine="420" w:firstLineChars="100"/>
    </w:pPr>
    <w:rPr>
      <w:rFonts w:ascii="Calibri" w:hAnsi="Calibri"/>
    </w:rPr>
  </w:style>
  <w:style w:type="paragraph" w:styleId="46">
    <w:name w:val="Body Text First Indent 2"/>
    <w:basedOn w:val="18"/>
    <w:link w:val="82"/>
    <w:unhideWhenUsed/>
    <w:qFormat/>
    <w:uiPriority w:val="99"/>
    <w:pPr>
      <w:ind w:firstLine="420" w:firstLineChars="200"/>
    </w:pPr>
  </w:style>
  <w:style w:type="table" w:styleId="48">
    <w:name w:val="Table Grid"/>
    <w:basedOn w:val="4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endnote reference"/>
    <w:semiHidden/>
    <w:unhideWhenUsed/>
    <w:qFormat/>
    <w:uiPriority w:val="99"/>
    <w:rPr>
      <w:vertAlign w:val="superscript"/>
    </w:rPr>
  </w:style>
  <w:style w:type="character" w:styleId="51">
    <w:name w:val="FollowedHyperlink"/>
    <w:semiHidden/>
    <w:unhideWhenUsed/>
    <w:qFormat/>
    <w:uiPriority w:val="0"/>
    <w:rPr>
      <w:color w:val="000000"/>
      <w:u w:val="none"/>
    </w:rPr>
  </w:style>
  <w:style w:type="character" w:styleId="52">
    <w:name w:val="Emphasis"/>
    <w:basedOn w:val="49"/>
    <w:qFormat/>
    <w:uiPriority w:val="20"/>
    <w:rPr>
      <w:b/>
      <w:bCs/>
    </w:rPr>
  </w:style>
  <w:style w:type="character" w:styleId="53">
    <w:name w:val="HTML Definition"/>
    <w:basedOn w:val="49"/>
    <w:semiHidden/>
    <w:unhideWhenUsed/>
    <w:qFormat/>
    <w:uiPriority w:val="99"/>
  </w:style>
  <w:style w:type="character" w:styleId="54">
    <w:name w:val="HTML Typewriter"/>
    <w:basedOn w:val="49"/>
    <w:semiHidden/>
    <w:unhideWhenUsed/>
    <w:qFormat/>
    <w:uiPriority w:val="99"/>
    <w:rPr>
      <w:rFonts w:hint="default" w:ascii="Courier New" w:hAnsi="Courier New" w:eastAsia="Courier New" w:cs="Courier New"/>
      <w:sz w:val="24"/>
      <w:szCs w:val="24"/>
    </w:rPr>
  </w:style>
  <w:style w:type="character" w:styleId="55">
    <w:name w:val="HTML Variable"/>
    <w:basedOn w:val="49"/>
    <w:semiHidden/>
    <w:unhideWhenUsed/>
    <w:qFormat/>
    <w:uiPriority w:val="99"/>
  </w:style>
  <w:style w:type="character" w:styleId="56">
    <w:name w:val="Hyperlink"/>
    <w:semiHidden/>
    <w:unhideWhenUsed/>
    <w:qFormat/>
    <w:uiPriority w:val="99"/>
    <w:rPr>
      <w:color w:val="000000"/>
      <w:u w:val="none"/>
    </w:rPr>
  </w:style>
  <w:style w:type="character" w:styleId="57">
    <w:name w:val="HTML Code"/>
    <w:basedOn w:val="49"/>
    <w:semiHidden/>
    <w:unhideWhenUsed/>
    <w:qFormat/>
    <w:uiPriority w:val="99"/>
    <w:rPr>
      <w:rFonts w:hint="default" w:ascii="Courier New" w:hAnsi="Courier New" w:eastAsia="Courier New" w:cs="Courier New"/>
      <w:sz w:val="24"/>
      <w:szCs w:val="24"/>
    </w:rPr>
  </w:style>
  <w:style w:type="character" w:styleId="58">
    <w:name w:val="annotation reference"/>
    <w:semiHidden/>
    <w:unhideWhenUsed/>
    <w:qFormat/>
    <w:uiPriority w:val="0"/>
    <w:rPr>
      <w:sz w:val="21"/>
      <w:szCs w:val="21"/>
    </w:rPr>
  </w:style>
  <w:style w:type="character" w:styleId="59">
    <w:name w:val="HTML Cite"/>
    <w:basedOn w:val="49"/>
    <w:semiHidden/>
    <w:unhideWhenUsed/>
    <w:qFormat/>
    <w:uiPriority w:val="99"/>
  </w:style>
  <w:style w:type="character" w:styleId="60">
    <w:name w:val="footnote reference"/>
    <w:semiHidden/>
    <w:unhideWhenUsed/>
    <w:qFormat/>
    <w:uiPriority w:val="99"/>
    <w:rPr>
      <w:vertAlign w:val="superscript"/>
    </w:rPr>
  </w:style>
  <w:style w:type="character" w:styleId="61">
    <w:name w:val="HTML Keyboard"/>
    <w:basedOn w:val="49"/>
    <w:semiHidden/>
    <w:unhideWhenUsed/>
    <w:qFormat/>
    <w:uiPriority w:val="99"/>
    <w:rPr>
      <w:rFonts w:hint="default" w:ascii="Courier New" w:hAnsi="Courier New" w:eastAsia="Courier New" w:cs="Courier New"/>
      <w:sz w:val="24"/>
      <w:szCs w:val="24"/>
    </w:rPr>
  </w:style>
  <w:style w:type="character" w:styleId="62">
    <w:name w:val="HTML Sample"/>
    <w:basedOn w:val="49"/>
    <w:semiHidden/>
    <w:unhideWhenUsed/>
    <w:qFormat/>
    <w:uiPriority w:val="99"/>
    <w:rPr>
      <w:rFonts w:hint="default" w:ascii="Courier New" w:hAnsi="Courier New" w:eastAsia="Courier New" w:cs="Courier New"/>
    </w:rPr>
  </w:style>
  <w:style w:type="character" w:customStyle="1" w:styleId="63">
    <w:name w:val="标题 1 Char"/>
    <w:basedOn w:val="49"/>
    <w:link w:val="2"/>
    <w:qFormat/>
    <w:uiPriority w:val="0"/>
    <w:rPr>
      <w:rFonts w:ascii="Times New Roman" w:hAnsi="Times New Roman" w:eastAsia="宋体" w:cs="Times New Roman"/>
      <w:b/>
      <w:bCs/>
      <w:kern w:val="44"/>
      <w:sz w:val="44"/>
      <w:szCs w:val="44"/>
    </w:rPr>
  </w:style>
  <w:style w:type="character" w:customStyle="1" w:styleId="64">
    <w:name w:val="标题 2 Char"/>
    <w:basedOn w:val="49"/>
    <w:link w:val="3"/>
    <w:semiHidden/>
    <w:qFormat/>
    <w:uiPriority w:val="0"/>
    <w:rPr>
      <w:rFonts w:ascii="Arial" w:hAnsi="Arial" w:eastAsia="黑体" w:cs="Times New Roman"/>
      <w:b/>
      <w:bCs/>
      <w:kern w:val="0"/>
      <w:sz w:val="32"/>
      <w:szCs w:val="32"/>
    </w:rPr>
  </w:style>
  <w:style w:type="character" w:customStyle="1" w:styleId="65">
    <w:name w:val="标题 3 Char"/>
    <w:basedOn w:val="49"/>
    <w:link w:val="4"/>
    <w:semiHidden/>
    <w:qFormat/>
    <w:uiPriority w:val="0"/>
    <w:rPr>
      <w:rFonts w:ascii="Times New Roman" w:hAnsi="Times New Roman" w:eastAsia="宋体" w:cs="Times New Roman"/>
      <w:b/>
      <w:bCs/>
      <w:kern w:val="0"/>
      <w:sz w:val="32"/>
      <w:szCs w:val="32"/>
    </w:rPr>
  </w:style>
  <w:style w:type="character" w:customStyle="1" w:styleId="66">
    <w:name w:val="标题 4 Char"/>
    <w:basedOn w:val="49"/>
    <w:link w:val="5"/>
    <w:semiHidden/>
    <w:qFormat/>
    <w:uiPriority w:val="9"/>
    <w:rPr>
      <w:rFonts w:ascii="Cambria" w:hAnsi="Cambria" w:eastAsia="宋体" w:cs="宋体"/>
      <w:b/>
      <w:bCs/>
      <w:sz w:val="28"/>
      <w:szCs w:val="28"/>
    </w:rPr>
  </w:style>
  <w:style w:type="character" w:customStyle="1" w:styleId="67">
    <w:name w:val="标题 5 Char"/>
    <w:basedOn w:val="49"/>
    <w:link w:val="6"/>
    <w:semiHidden/>
    <w:qFormat/>
    <w:uiPriority w:val="0"/>
    <w:rPr>
      <w:rFonts w:ascii="Times New Roman" w:hAnsi="Times New Roman" w:eastAsia="宋体" w:cs="Times New Roman"/>
      <w:b/>
      <w:bCs/>
      <w:sz w:val="28"/>
      <w:szCs w:val="28"/>
    </w:rPr>
  </w:style>
  <w:style w:type="character" w:customStyle="1" w:styleId="68">
    <w:name w:val="标题 6 Char"/>
    <w:basedOn w:val="49"/>
    <w:link w:val="7"/>
    <w:semiHidden/>
    <w:qFormat/>
    <w:uiPriority w:val="0"/>
    <w:rPr>
      <w:rFonts w:ascii="Arial" w:hAnsi="Arial" w:eastAsia="黑体" w:cs="Times New Roman"/>
      <w:b/>
      <w:sz w:val="24"/>
      <w:szCs w:val="24"/>
    </w:rPr>
  </w:style>
  <w:style w:type="character" w:customStyle="1" w:styleId="69">
    <w:name w:val="标题 7 Char"/>
    <w:basedOn w:val="49"/>
    <w:link w:val="9"/>
    <w:semiHidden/>
    <w:qFormat/>
    <w:uiPriority w:val="99"/>
    <w:rPr>
      <w:rFonts w:ascii="Times New Roman" w:hAnsi="Times New Roman" w:eastAsia="宋体" w:cs="Times New Roman"/>
      <w:b/>
      <w:sz w:val="24"/>
      <w:szCs w:val="24"/>
    </w:rPr>
  </w:style>
  <w:style w:type="character" w:customStyle="1" w:styleId="70">
    <w:name w:val="标题 8 Char"/>
    <w:basedOn w:val="49"/>
    <w:link w:val="10"/>
    <w:semiHidden/>
    <w:qFormat/>
    <w:uiPriority w:val="99"/>
    <w:rPr>
      <w:rFonts w:ascii="Arial" w:hAnsi="Arial" w:eastAsia="黑体" w:cs="Times New Roman"/>
      <w:sz w:val="24"/>
      <w:szCs w:val="24"/>
    </w:rPr>
  </w:style>
  <w:style w:type="character" w:customStyle="1" w:styleId="71">
    <w:name w:val="标题 9 Char"/>
    <w:basedOn w:val="49"/>
    <w:link w:val="11"/>
    <w:semiHidden/>
    <w:qFormat/>
    <w:uiPriority w:val="99"/>
    <w:rPr>
      <w:rFonts w:ascii="Arial" w:hAnsi="Arial" w:eastAsia="黑体" w:cs="Times New Roman"/>
      <w:szCs w:val="24"/>
    </w:rPr>
  </w:style>
  <w:style w:type="character" w:customStyle="1" w:styleId="72">
    <w:name w:val="脚注文本 Char"/>
    <w:basedOn w:val="49"/>
    <w:link w:val="35"/>
    <w:semiHidden/>
    <w:qFormat/>
    <w:uiPriority w:val="99"/>
    <w:rPr>
      <w:rFonts w:ascii="Times New Roman" w:hAnsi="Times New Roman" w:eastAsia="宋体" w:cs="Times New Roman"/>
      <w:sz w:val="18"/>
      <w:szCs w:val="18"/>
    </w:rPr>
  </w:style>
  <w:style w:type="character" w:customStyle="1" w:styleId="73">
    <w:name w:val="批注文字 Char"/>
    <w:basedOn w:val="49"/>
    <w:link w:val="15"/>
    <w:semiHidden/>
    <w:qFormat/>
    <w:uiPriority w:val="99"/>
    <w:rPr>
      <w:rFonts w:ascii="Times New Roman" w:hAnsi="Times New Roman" w:eastAsia="宋体" w:cs="Times New Roman"/>
      <w:szCs w:val="24"/>
    </w:rPr>
  </w:style>
  <w:style w:type="character" w:customStyle="1" w:styleId="74">
    <w:name w:val="页眉 Char"/>
    <w:basedOn w:val="49"/>
    <w:link w:val="31"/>
    <w:semiHidden/>
    <w:qFormat/>
    <w:uiPriority w:val="99"/>
    <w:rPr>
      <w:rFonts w:ascii="Times New Roman" w:hAnsi="Times New Roman" w:eastAsia="宋体" w:cs="Times New Roman"/>
      <w:sz w:val="18"/>
      <w:szCs w:val="18"/>
    </w:rPr>
  </w:style>
  <w:style w:type="character" w:customStyle="1" w:styleId="75">
    <w:name w:val="页脚 Char"/>
    <w:basedOn w:val="49"/>
    <w:link w:val="29"/>
    <w:qFormat/>
    <w:uiPriority w:val="99"/>
    <w:rPr>
      <w:rFonts w:ascii="Times New Roman" w:hAnsi="Times New Roman" w:eastAsia="宋体" w:cs="Times New Roman"/>
      <w:kern w:val="0"/>
      <w:sz w:val="18"/>
      <w:szCs w:val="18"/>
    </w:rPr>
  </w:style>
  <w:style w:type="character" w:customStyle="1" w:styleId="76">
    <w:name w:val="尾注文本 Char"/>
    <w:basedOn w:val="49"/>
    <w:link w:val="27"/>
    <w:semiHidden/>
    <w:qFormat/>
    <w:uiPriority w:val="99"/>
    <w:rPr>
      <w:rFonts w:ascii="Times New Roman" w:hAnsi="Times New Roman" w:eastAsia="宋体" w:cs="Times New Roman"/>
      <w:szCs w:val="24"/>
    </w:rPr>
  </w:style>
  <w:style w:type="character" w:customStyle="1" w:styleId="77">
    <w:name w:val="标题 Char"/>
    <w:basedOn w:val="49"/>
    <w:link w:val="43"/>
    <w:qFormat/>
    <w:uiPriority w:val="10"/>
    <w:rPr>
      <w:rFonts w:ascii="Cambria" w:hAnsi="Cambria" w:eastAsia="宋体" w:cs="Times New Roman"/>
      <w:b/>
      <w:bCs/>
      <w:sz w:val="32"/>
      <w:szCs w:val="32"/>
    </w:rPr>
  </w:style>
  <w:style w:type="character" w:customStyle="1" w:styleId="78">
    <w:name w:val="正文文本 Char"/>
    <w:basedOn w:val="49"/>
    <w:link w:val="17"/>
    <w:semiHidden/>
    <w:qFormat/>
    <w:uiPriority w:val="99"/>
    <w:rPr>
      <w:rFonts w:ascii="Times New Roman" w:hAnsi="Times New Roman" w:eastAsia="宋体" w:cs="Times New Roman"/>
      <w:kern w:val="0"/>
      <w:sz w:val="24"/>
      <w:szCs w:val="24"/>
    </w:rPr>
  </w:style>
  <w:style w:type="character" w:customStyle="1" w:styleId="79">
    <w:name w:val="正文文本缩进 Char"/>
    <w:basedOn w:val="49"/>
    <w:link w:val="18"/>
    <w:semiHidden/>
    <w:qFormat/>
    <w:uiPriority w:val="99"/>
    <w:rPr>
      <w:rFonts w:ascii="Times New Roman" w:hAnsi="Times New Roman" w:eastAsia="宋体" w:cs="Times New Roman"/>
      <w:szCs w:val="24"/>
    </w:rPr>
  </w:style>
  <w:style w:type="character" w:customStyle="1" w:styleId="80">
    <w:name w:val="日期 Char"/>
    <w:basedOn w:val="49"/>
    <w:link w:val="25"/>
    <w:semiHidden/>
    <w:qFormat/>
    <w:uiPriority w:val="99"/>
    <w:rPr>
      <w:rFonts w:ascii="宋体" w:hAnsi="Courier New" w:eastAsia="宋体" w:cs="Times New Roman"/>
      <w:kern w:val="0"/>
      <w:sz w:val="20"/>
      <w:szCs w:val="21"/>
    </w:rPr>
  </w:style>
  <w:style w:type="character" w:customStyle="1" w:styleId="81">
    <w:name w:val="正文首行缩进 Char"/>
    <w:basedOn w:val="78"/>
    <w:link w:val="45"/>
    <w:semiHidden/>
    <w:qFormat/>
    <w:uiPriority w:val="99"/>
    <w:rPr>
      <w:rFonts w:ascii="Calibri" w:hAnsi="Calibri"/>
    </w:rPr>
  </w:style>
  <w:style w:type="character" w:customStyle="1" w:styleId="82">
    <w:name w:val="正文首行缩进 2 Char"/>
    <w:basedOn w:val="79"/>
    <w:link w:val="46"/>
    <w:qFormat/>
    <w:uiPriority w:val="99"/>
  </w:style>
  <w:style w:type="character" w:customStyle="1" w:styleId="83">
    <w:name w:val="正文文本 2 Char"/>
    <w:basedOn w:val="49"/>
    <w:link w:val="40"/>
    <w:semiHidden/>
    <w:qFormat/>
    <w:uiPriority w:val="99"/>
    <w:rPr>
      <w:rFonts w:ascii="Times New Roman" w:hAnsi="Times New Roman" w:eastAsia="宋体" w:cs="Times New Roman"/>
      <w:kern w:val="0"/>
      <w:sz w:val="20"/>
      <w:szCs w:val="24"/>
    </w:rPr>
  </w:style>
  <w:style w:type="character" w:customStyle="1" w:styleId="84">
    <w:name w:val="正文文本 3 Char"/>
    <w:basedOn w:val="49"/>
    <w:link w:val="16"/>
    <w:semiHidden/>
    <w:qFormat/>
    <w:uiPriority w:val="99"/>
    <w:rPr>
      <w:rFonts w:ascii="Times New Roman" w:hAnsi="Times New Roman" w:eastAsia="宋体" w:cs="Times New Roman"/>
      <w:b/>
      <w:bCs/>
      <w:kern w:val="0"/>
      <w:sz w:val="24"/>
      <w:szCs w:val="24"/>
    </w:rPr>
  </w:style>
  <w:style w:type="character" w:customStyle="1" w:styleId="85">
    <w:name w:val="正文文本缩进 2 Char"/>
    <w:basedOn w:val="49"/>
    <w:link w:val="26"/>
    <w:semiHidden/>
    <w:qFormat/>
    <w:uiPriority w:val="99"/>
    <w:rPr>
      <w:rFonts w:ascii="Times New Roman" w:hAnsi="Times New Roman" w:eastAsia="宋体" w:cs="Times New Roman"/>
      <w:kern w:val="0"/>
      <w:sz w:val="32"/>
      <w:szCs w:val="20"/>
    </w:rPr>
  </w:style>
  <w:style w:type="character" w:customStyle="1" w:styleId="86">
    <w:name w:val="正文文本缩进 3 Char"/>
    <w:basedOn w:val="49"/>
    <w:link w:val="37"/>
    <w:semiHidden/>
    <w:qFormat/>
    <w:uiPriority w:val="99"/>
    <w:rPr>
      <w:rFonts w:ascii="Times New Roman" w:hAnsi="Times New Roman" w:eastAsia="宋体" w:cs="Times New Roman"/>
      <w:kern w:val="0"/>
      <w:sz w:val="16"/>
      <w:szCs w:val="16"/>
    </w:rPr>
  </w:style>
  <w:style w:type="character" w:customStyle="1" w:styleId="87">
    <w:name w:val="纯文本 Char"/>
    <w:basedOn w:val="49"/>
    <w:link w:val="23"/>
    <w:semiHidden/>
    <w:qFormat/>
    <w:uiPriority w:val="0"/>
    <w:rPr>
      <w:rFonts w:ascii="宋体" w:hAnsi="Courier New" w:eastAsia="宋体" w:cs="Courier New"/>
      <w:szCs w:val="21"/>
    </w:rPr>
  </w:style>
  <w:style w:type="character" w:customStyle="1" w:styleId="88">
    <w:name w:val="批注主题 Char"/>
    <w:basedOn w:val="73"/>
    <w:link w:val="44"/>
    <w:semiHidden/>
    <w:qFormat/>
    <w:uiPriority w:val="99"/>
    <w:rPr>
      <w:b/>
      <w:bCs/>
    </w:rPr>
  </w:style>
  <w:style w:type="character" w:customStyle="1" w:styleId="89">
    <w:name w:val="批注框文本 Char"/>
    <w:basedOn w:val="49"/>
    <w:link w:val="28"/>
    <w:semiHidden/>
    <w:qFormat/>
    <w:uiPriority w:val="99"/>
    <w:rPr>
      <w:rFonts w:ascii="Times New Roman" w:hAnsi="Times New Roman" w:eastAsia="宋体" w:cs="Times New Roman"/>
      <w:kern w:val="0"/>
      <w:sz w:val="18"/>
      <w:szCs w:val="18"/>
    </w:rPr>
  </w:style>
  <w:style w:type="paragraph" w:styleId="90">
    <w:name w:val="List Paragraph"/>
    <w:basedOn w:val="1"/>
    <w:qFormat/>
    <w:uiPriority w:val="99"/>
    <w:pPr>
      <w:ind w:firstLine="420" w:firstLineChars="200"/>
    </w:pPr>
  </w:style>
  <w:style w:type="paragraph" w:customStyle="1" w:styleId="91">
    <w:name w:val="TOC 71"/>
    <w:next w:val="1"/>
    <w:qFormat/>
    <w:uiPriority w:val="99"/>
    <w:pPr>
      <w:wordWrap w:val="0"/>
      <w:ind w:left="2550"/>
      <w:jc w:val="both"/>
    </w:pPr>
    <w:rPr>
      <w:rFonts w:ascii="Times New Roman" w:hAnsi="Times New Roman" w:eastAsia="宋体" w:cs="Times New Roman"/>
      <w:kern w:val="0"/>
      <w:sz w:val="21"/>
      <w:szCs w:val="22"/>
      <w:lang w:val="en-US" w:eastAsia="zh-CN" w:bidi="ar-SA"/>
    </w:rPr>
  </w:style>
  <w:style w:type="paragraph" w:customStyle="1" w:styleId="92">
    <w:name w:val="Default"/>
    <w:next w:val="91"/>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93">
    <w:name w:val="正文段"/>
    <w:basedOn w:val="1"/>
    <w:qFormat/>
    <w:uiPriority w:val="99"/>
    <w:pPr>
      <w:widowControl/>
      <w:snapToGrid w:val="0"/>
      <w:ind w:firstLine="200" w:firstLineChars="200"/>
    </w:pPr>
    <w:rPr>
      <w:kern w:val="0"/>
      <w:sz w:val="24"/>
      <w:szCs w:val="20"/>
    </w:rPr>
  </w:style>
  <w:style w:type="paragraph" w:customStyle="1" w:styleId="94">
    <w:name w:val="p16"/>
    <w:basedOn w:val="1"/>
    <w:qFormat/>
    <w:uiPriority w:val="99"/>
    <w:pPr>
      <w:widowControl/>
      <w:autoSpaceDE w:val="0"/>
      <w:autoSpaceDN w:val="0"/>
      <w:jc w:val="left"/>
    </w:pPr>
    <w:rPr>
      <w:rFonts w:ascii="宋体" w:hAnsi="宋体" w:cs="宋体"/>
      <w:kern w:val="0"/>
      <w:sz w:val="22"/>
      <w:szCs w:val="21"/>
      <w:lang w:val="zh-CN" w:bidi="zh-CN"/>
    </w:rPr>
  </w:style>
  <w:style w:type="paragraph" w:customStyle="1" w:styleId="95">
    <w:name w:val="xl22"/>
    <w:basedOn w:val="1"/>
    <w:qFormat/>
    <w:uiPriority w:val="99"/>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96">
    <w:name w:val="纯文本1"/>
    <w:basedOn w:val="1"/>
    <w:qFormat/>
    <w:uiPriority w:val="99"/>
    <w:rPr>
      <w:rFonts w:ascii="宋体" w:hAnsi="Courier New" w:cs="Century"/>
      <w:szCs w:val="21"/>
    </w:rPr>
  </w:style>
  <w:style w:type="paragraph" w:customStyle="1" w:styleId="97">
    <w:name w:val="正文首行缩进两字符"/>
    <w:basedOn w:val="1"/>
    <w:qFormat/>
    <w:uiPriority w:val="99"/>
    <w:pPr>
      <w:spacing w:line="360" w:lineRule="auto"/>
      <w:ind w:firstLine="200" w:firstLineChars="200"/>
    </w:pPr>
  </w:style>
  <w:style w:type="paragraph" w:customStyle="1" w:styleId="98">
    <w:name w:val="正文2"/>
    <w:basedOn w:val="1"/>
    <w:qFormat/>
    <w:uiPriority w:val="99"/>
    <w:pPr>
      <w:adjustRightInd w:val="0"/>
      <w:spacing w:before="156" w:line="360" w:lineRule="auto"/>
      <w:ind w:firstLine="510" w:firstLineChars="200"/>
    </w:pPr>
    <w:rPr>
      <w:sz w:val="24"/>
      <w:szCs w:val="20"/>
    </w:rPr>
  </w:style>
  <w:style w:type="paragraph" w:customStyle="1" w:styleId="99">
    <w:name w:val="样式 标题 2 + Times New Roman 四号 非加粗 段前: 5 磅 段后: 0 磅 行距: 固定值 20..."/>
    <w:basedOn w:val="3"/>
    <w:qFormat/>
    <w:uiPriority w:val="99"/>
    <w:pPr>
      <w:spacing w:before="100" w:after="0" w:line="400" w:lineRule="exact"/>
    </w:pPr>
    <w:rPr>
      <w:rFonts w:ascii="Times New Roman" w:hAnsi="Times New Roman" w:cs="宋体"/>
      <w:b w:val="0"/>
      <w:bCs w:val="0"/>
      <w:sz w:val="28"/>
      <w:szCs w:val="20"/>
    </w:rPr>
  </w:style>
  <w:style w:type="paragraph" w:customStyle="1" w:styleId="100">
    <w:name w:val="样式 标题 3 + (中文) 黑体 小四 非加粗 段前: 7.8 磅 段后: 0 磅 行距: 固定值 20 磅"/>
    <w:basedOn w:val="4"/>
    <w:qFormat/>
    <w:uiPriority w:val="99"/>
    <w:pPr>
      <w:spacing w:before="0" w:after="0" w:line="400" w:lineRule="exact"/>
    </w:pPr>
    <w:rPr>
      <w:rFonts w:eastAsia="黑体" w:cs="宋体"/>
      <w:b w:val="0"/>
      <w:bCs w:val="0"/>
      <w:sz w:val="24"/>
      <w:szCs w:val="20"/>
    </w:rPr>
  </w:style>
  <w:style w:type="paragraph" w:customStyle="1" w:styleId="101">
    <w:name w:val="样式"/>
    <w:qFormat/>
    <w:uiPriority w:val="99"/>
    <w:pPr>
      <w:widowControl w:val="0"/>
      <w:autoSpaceDE w:val="0"/>
      <w:autoSpaceDN w:val="0"/>
      <w:adjustRightInd w:val="0"/>
      <w:jc w:val="center"/>
    </w:pPr>
    <w:rPr>
      <w:rFonts w:ascii="宋体" w:hAnsi="宋体" w:eastAsia="宋体" w:cs="宋体"/>
      <w:kern w:val="0"/>
      <w:sz w:val="24"/>
      <w:szCs w:val="24"/>
      <w:lang w:val="en-US" w:eastAsia="zh-CN" w:bidi="ar-SA"/>
    </w:rPr>
  </w:style>
  <w:style w:type="paragraph" w:customStyle="1" w:styleId="102">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103">
    <w:name w:val="样式 首行缩进:  2 字符"/>
    <w:basedOn w:val="1"/>
    <w:qFormat/>
    <w:uiPriority w:val="99"/>
    <w:pPr>
      <w:spacing w:line="400" w:lineRule="exact"/>
      <w:ind w:firstLine="200" w:firstLineChars="200"/>
    </w:pPr>
    <w:rPr>
      <w:rFonts w:cs="宋体"/>
      <w:sz w:val="24"/>
    </w:rPr>
  </w:style>
  <w:style w:type="paragraph" w:customStyle="1" w:styleId="104">
    <w:name w:val="Table Paragraph"/>
    <w:basedOn w:val="1"/>
    <w:qFormat/>
    <w:uiPriority w:val="1"/>
    <w:pPr>
      <w:jc w:val="left"/>
    </w:pPr>
    <w:rPr>
      <w:rFonts w:ascii="Calibri" w:hAnsi="Calibri"/>
      <w:kern w:val="0"/>
      <w:sz w:val="22"/>
      <w:szCs w:val="22"/>
      <w:lang w:eastAsia="en-US"/>
    </w:rPr>
  </w:style>
  <w:style w:type="paragraph" w:customStyle="1" w:styleId="105">
    <w:name w:val="Char1"/>
    <w:basedOn w:val="1"/>
    <w:qFormat/>
    <w:uiPriority w:val="99"/>
    <w:rPr>
      <w:szCs w:val="21"/>
    </w:rPr>
  </w:style>
  <w:style w:type="paragraph" w:customStyle="1" w:styleId="106">
    <w:name w:val="表格"/>
    <w:basedOn w:val="1"/>
    <w:qFormat/>
    <w:uiPriority w:val="99"/>
    <w:pPr>
      <w:spacing w:line="400" w:lineRule="exact"/>
    </w:pPr>
    <w:rPr>
      <w:sz w:val="24"/>
    </w:rPr>
  </w:style>
  <w:style w:type="paragraph" w:customStyle="1" w:styleId="107">
    <w:name w:val="默认段落字体 Para Char Char Char Char Char Char Char Char Char1 Char Char Char Char"/>
    <w:basedOn w:val="1"/>
    <w:qFormat/>
    <w:uiPriority w:val="99"/>
    <w:rPr>
      <w:rFonts w:ascii="Tahoma" w:hAnsi="Tahoma"/>
      <w:sz w:val="24"/>
      <w:szCs w:val="20"/>
    </w:rPr>
  </w:style>
  <w:style w:type="paragraph" w:customStyle="1" w:styleId="108">
    <w:name w:val="5.1.1"/>
    <w:basedOn w:val="1"/>
    <w:next w:val="90"/>
    <w:qFormat/>
    <w:uiPriority w:val="99"/>
    <w:pPr>
      <w:ind w:firstLine="420" w:firstLineChars="200"/>
    </w:pPr>
    <w:rPr>
      <w:sz w:val="24"/>
    </w:rPr>
  </w:style>
  <w:style w:type="paragraph" w:customStyle="1" w:styleId="109">
    <w:name w:val="表格文字（两侧对齐）"/>
    <w:basedOn w:val="1"/>
    <w:qFormat/>
    <w:uiPriority w:val="99"/>
    <w:pPr>
      <w:snapToGrid w:val="0"/>
    </w:pPr>
    <w:rPr>
      <w:rFonts w:ascii="Calibri" w:hAnsi="Calibri"/>
      <w:kern w:val="0"/>
      <w:sz w:val="20"/>
    </w:rPr>
  </w:style>
  <w:style w:type="paragraph" w:customStyle="1" w:styleId="110">
    <w:name w:val="font6"/>
    <w:basedOn w:val="1"/>
    <w:qFormat/>
    <w:uiPriority w:val="99"/>
    <w:pPr>
      <w:widowControl/>
      <w:spacing w:before="100" w:beforeAutospacing="1" w:after="100" w:afterAutospacing="1"/>
      <w:jc w:val="left"/>
    </w:pPr>
    <w:rPr>
      <w:rFonts w:ascii="宋体" w:hAnsi="宋体" w:eastAsia="Arial Unicode MS" w:cs="宋体"/>
      <w:kern w:val="0"/>
      <w:sz w:val="24"/>
    </w:rPr>
  </w:style>
  <w:style w:type="paragraph" w:customStyle="1" w:styleId="111">
    <w:name w:val="_Style 132"/>
    <w:qFormat/>
    <w:uiPriority w:val="99"/>
    <w:rPr>
      <w:rFonts w:ascii="Times New Roman" w:hAnsi="Times New Roman" w:eastAsia="宋体" w:cs="Times New Roman"/>
      <w:kern w:val="2"/>
      <w:sz w:val="21"/>
      <w:szCs w:val="24"/>
      <w:lang w:val="en-US" w:eastAsia="zh-CN" w:bidi="ar-SA"/>
    </w:rPr>
  </w:style>
  <w:style w:type="paragraph" w:customStyle="1" w:styleId="112">
    <w:name w:val="p0"/>
    <w:basedOn w:val="1"/>
    <w:qFormat/>
    <w:uiPriority w:val="99"/>
    <w:pPr>
      <w:widowControl/>
    </w:pPr>
    <w:rPr>
      <w:kern w:val="0"/>
      <w:szCs w:val="21"/>
    </w:rPr>
  </w:style>
  <w:style w:type="character" w:customStyle="1" w:styleId="113">
    <w:name w:val="标题 5 Char2"/>
    <w:link w:val="6"/>
    <w:semiHidden/>
    <w:qFormat/>
    <w:locked/>
    <w:uiPriority w:val="0"/>
    <w:rPr>
      <w:rFonts w:ascii="Times New Roman" w:hAnsi="Times New Roman" w:eastAsia="宋体" w:cs="Times New Roman"/>
      <w:b/>
      <w:sz w:val="28"/>
      <w:szCs w:val="24"/>
    </w:rPr>
  </w:style>
  <w:style w:type="character" w:customStyle="1" w:styleId="114">
    <w:name w:val="批注文字 Char2"/>
    <w:link w:val="15"/>
    <w:qFormat/>
    <w:locked/>
    <w:uiPriority w:val="99"/>
    <w:rPr>
      <w:rFonts w:ascii="Times New Roman" w:hAnsi="Times New Roman" w:eastAsia="宋体" w:cs="Times New Roman"/>
      <w:szCs w:val="24"/>
    </w:rPr>
  </w:style>
  <w:style w:type="character" w:customStyle="1" w:styleId="115">
    <w:name w:val="纯文本 Char2"/>
    <w:link w:val="23"/>
    <w:qFormat/>
    <w:locked/>
    <w:uiPriority w:val="99"/>
    <w:rPr>
      <w:rFonts w:ascii="宋体" w:hAnsi="Courier New" w:eastAsia="宋体" w:cs="Times New Roman"/>
      <w:kern w:val="0"/>
      <w:sz w:val="20"/>
      <w:szCs w:val="21"/>
    </w:rPr>
  </w:style>
  <w:style w:type="character" w:customStyle="1" w:styleId="116">
    <w:name w:val="headline-content4"/>
    <w:qFormat/>
    <w:uiPriority w:val="0"/>
  </w:style>
  <w:style w:type="character" w:customStyle="1" w:styleId="117">
    <w:name w:val="正文文本缩进 字符"/>
    <w:qFormat/>
    <w:uiPriority w:val="0"/>
    <w:rPr>
      <w:rFonts w:hint="eastAsia" w:ascii="仿宋_GB2312" w:hAnsi="Times New Roman" w:eastAsia="仿宋_GB2312" w:cs="Times New Roman"/>
      <w:sz w:val="32"/>
      <w:szCs w:val="20"/>
    </w:rPr>
  </w:style>
  <w:style w:type="character" w:customStyle="1" w:styleId="118">
    <w:name w:val="font01"/>
    <w:qFormat/>
    <w:uiPriority w:val="0"/>
    <w:rPr>
      <w:rFonts w:hint="eastAsia" w:ascii="宋体" w:hAnsi="宋体" w:eastAsia="宋体" w:cs="宋体"/>
      <w:color w:val="000000"/>
      <w:sz w:val="22"/>
      <w:szCs w:val="22"/>
      <w:u w:val="none"/>
    </w:rPr>
  </w:style>
  <w:style w:type="character" w:customStyle="1" w:styleId="119">
    <w:name w:val="case31"/>
    <w:qFormat/>
    <w:uiPriority w:val="0"/>
    <w:rPr>
      <w:rFonts w:hint="default" w:ascii="_x000B__x000C_" w:hAnsi="_x000B__x000C_"/>
      <w:sz w:val="21"/>
      <w:szCs w:val="21"/>
    </w:rPr>
  </w:style>
  <w:style w:type="character" w:customStyle="1" w:styleId="120">
    <w:name w:val="纯文本 Char1"/>
    <w:qFormat/>
    <w:uiPriority w:val="0"/>
    <w:rPr>
      <w:rFonts w:hint="eastAsia" w:ascii="宋体" w:hAnsi="Courier New" w:eastAsia="宋体" w:cs="Courier New"/>
      <w:szCs w:val="21"/>
    </w:rPr>
  </w:style>
  <w:style w:type="character" w:customStyle="1" w:styleId="121">
    <w:name w:val="批注文字 Char1"/>
    <w:semiHidden/>
    <w:qFormat/>
    <w:locked/>
    <w:uiPriority w:val="0"/>
    <w:rPr>
      <w:rFonts w:hint="default" w:ascii="Times New Roman" w:hAnsi="Times New Roman" w:cs="Times New Roman"/>
      <w:kern w:val="2"/>
      <w:sz w:val="21"/>
      <w:szCs w:val="24"/>
    </w:rPr>
  </w:style>
  <w:style w:type="character" w:customStyle="1" w:styleId="122">
    <w:name w:val="apple-style-span"/>
    <w:qFormat/>
    <w:uiPriority w:val="0"/>
  </w:style>
  <w:style w:type="character" w:customStyle="1" w:styleId="123">
    <w:name w:val="普通文字 Char Char2"/>
    <w:qFormat/>
    <w:uiPriority w:val="0"/>
    <w:rPr>
      <w:rFonts w:hint="eastAsia" w:ascii="宋体" w:hAnsi="Courier New" w:eastAsia="宋体"/>
      <w:kern w:val="2"/>
      <w:sz w:val="21"/>
      <w:lang w:val="en-US" w:eastAsia="zh-CN" w:bidi="ar-SA"/>
    </w:rPr>
  </w:style>
  <w:style w:type="character" w:customStyle="1" w:styleId="124">
    <w:name w:val="批注文字 字符2"/>
    <w:qFormat/>
    <w:uiPriority w:val="0"/>
    <w:rPr>
      <w:rFonts w:hint="default" w:ascii="Times New Roman" w:hAnsi="Times New Roman" w:cs="Times New Roman"/>
      <w:kern w:val="2"/>
      <w:sz w:val="21"/>
      <w:szCs w:val="24"/>
    </w:rPr>
  </w:style>
  <w:style w:type="character" w:customStyle="1" w:styleId="125">
    <w:name w:val="font11"/>
    <w:qFormat/>
    <w:uiPriority w:val="0"/>
    <w:rPr>
      <w:rFonts w:hint="eastAsia" w:ascii="宋体" w:hAnsi="宋体" w:eastAsia="宋体" w:cs="宋体"/>
      <w:color w:val="FF0000"/>
      <w:sz w:val="22"/>
      <w:szCs w:val="22"/>
      <w:u w:val="none"/>
    </w:rPr>
  </w:style>
  <w:style w:type="character" w:customStyle="1" w:styleId="126">
    <w:name w:val="标题 5 Char1"/>
    <w:qFormat/>
    <w:uiPriority w:val="0"/>
    <w:rPr>
      <w:b/>
      <w:kern w:val="2"/>
      <w:sz w:val="28"/>
      <w:szCs w:val="24"/>
    </w:rPr>
  </w:style>
  <w:style w:type="character" w:customStyle="1" w:styleId="127">
    <w:name w:val="批注文字 字符"/>
    <w:qFormat/>
    <w:uiPriority w:val="0"/>
    <w:rPr>
      <w:rFonts w:hint="default" w:ascii="Times New Roman" w:hAnsi="Times New Roman" w:cs="Times New Roman"/>
      <w:kern w:val="2"/>
      <w:sz w:val="21"/>
      <w:szCs w:val="24"/>
    </w:rPr>
  </w:style>
  <w:style w:type="character" w:customStyle="1" w:styleId="128">
    <w:name w:val="正文文本 (26) + 间距 0 pt"/>
    <w:qFormat/>
    <w:uiPriority w:val="0"/>
    <w:rPr>
      <w:rFonts w:hint="eastAsia" w:ascii="宋体" w:hAnsi="宋体" w:eastAsia="宋体" w:cs="宋体"/>
      <w:color w:val="000000"/>
      <w:spacing w:val="0"/>
      <w:w w:val="100"/>
      <w:position w:val="0"/>
      <w:sz w:val="22"/>
      <w:szCs w:val="22"/>
      <w:u w:val="none"/>
      <w:lang w:val="zh-CN" w:eastAsia="zh-CN" w:bidi="zh-CN"/>
    </w:rPr>
  </w:style>
  <w:style w:type="character" w:customStyle="1" w:styleId="129">
    <w:name w:val="纯文本 字符"/>
    <w:qFormat/>
    <w:uiPriority w:val="0"/>
    <w:rPr>
      <w:rFonts w:hint="eastAsia" w:ascii="宋体" w:hAnsi="Courier New" w:eastAsia="宋体" w:cs="Courier New"/>
      <w:szCs w:val="21"/>
    </w:rPr>
  </w:style>
  <w:style w:type="character" w:customStyle="1" w:styleId="130">
    <w:name w:val="font21"/>
    <w:qFormat/>
    <w:uiPriority w:val="0"/>
    <w:rPr>
      <w:rFonts w:hint="eastAsia" w:ascii="宋体" w:hAnsi="宋体" w:eastAsia="宋体" w:cs="宋体"/>
      <w:color w:val="FF0000"/>
      <w:sz w:val="22"/>
      <w:szCs w:val="22"/>
      <w:u w:val="none"/>
    </w:rPr>
  </w:style>
  <w:style w:type="character" w:customStyle="1" w:styleId="131">
    <w:name w:val="纯文本 字符1"/>
    <w:qFormat/>
    <w:uiPriority w:val="0"/>
    <w:rPr>
      <w:rFonts w:hint="eastAsia" w:ascii="宋体" w:hAnsi="Courier New" w:eastAsia="宋体"/>
    </w:rPr>
  </w:style>
  <w:style w:type="character" w:customStyle="1" w:styleId="132">
    <w:name w:val="标题 1 字符"/>
    <w:qFormat/>
    <w:uiPriority w:val="9"/>
    <w:rPr>
      <w:rFonts w:hint="default" w:ascii="Times New Roman" w:hAnsi="Times New Roman" w:eastAsia="宋体" w:cs="Times New Roman"/>
      <w:b/>
      <w:bCs/>
      <w:kern w:val="44"/>
      <w:sz w:val="44"/>
      <w:szCs w:val="44"/>
    </w:rPr>
  </w:style>
  <w:style w:type="character" w:customStyle="1" w:styleId="133">
    <w:name w:val="textcontents"/>
    <w:qFormat/>
    <w:uiPriority w:val="0"/>
  </w:style>
  <w:style w:type="character" w:customStyle="1" w:styleId="134">
    <w:name w:val="NormalCharacter"/>
    <w:qFormat/>
    <w:uiPriority w:val="0"/>
    <w:rPr>
      <w:rFonts w:hint="default" w:ascii="Calibri" w:hAnsi="Calibri" w:cs="Calibri"/>
      <w:kern w:val="2"/>
      <w:sz w:val="21"/>
      <w:szCs w:val="24"/>
      <w:lang w:val="en-US" w:eastAsia="zh-CN" w:bidi="ar-SA"/>
    </w:rPr>
  </w:style>
  <w:style w:type="character" w:customStyle="1" w:styleId="135">
    <w:name w:val="hover"/>
    <w:basedOn w:val="49"/>
    <w:qFormat/>
    <w:uiPriority w:val="0"/>
    <w:rPr>
      <w:color w:val="2590EB"/>
    </w:rPr>
  </w:style>
  <w:style w:type="character" w:customStyle="1" w:styleId="136">
    <w:name w:val="hover1"/>
    <w:basedOn w:val="49"/>
    <w:qFormat/>
    <w:uiPriority w:val="0"/>
    <w:rPr>
      <w:color w:val="2590EB"/>
    </w:rPr>
  </w:style>
  <w:style w:type="character" w:customStyle="1" w:styleId="137">
    <w:name w:val="hover2"/>
    <w:basedOn w:val="49"/>
    <w:qFormat/>
    <w:uiPriority w:val="0"/>
  </w:style>
  <w:style w:type="character" w:customStyle="1" w:styleId="138">
    <w:name w:val="hover3"/>
    <w:basedOn w:val="49"/>
    <w:qFormat/>
    <w:uiPriority w:val="0"/>
  </w:style>
  <w:style w:type="table" w:customStyle="1" w:styleId="139">
    <w:name w:val="Table Normal"/>
    <w:semiHidden/>
    <w:qFormat/>
    <w:uiPriority w:val="2"/>
    <w:pPr>
      <w:widowControl w:val="0"/>
    </w:pPr>
    <w:rPr>
      <w:rFonts w:ascii="Calibri" w:hAnsi="Calibri" w:eastAsia="Times New Roman" w:cs="Times New Roman"/>
      <w:kern w:val="0"/>
      <w:sz w:val="22"/>
      <w:lang w:eastAsia="en-US"/>
    </w:rPr>
    <w:tblPr>
      <w:tblCellMar>
        <w:top w:w="0" w:type="dxa"/>
        <w:left w:w="0" w:type="dxa"/>
        <w:bottom w:w="0" w:type="dxa"/>
        <w:right w:w="0" w:type="dxa"/>
      </w:tblCellMar>
    </w:tblPr>
  </w:style>
  <w:style w:type="paragraph" w:customStyle="1" w:styleId="140">
    <w:name w:val="表格文字"/>
    <w:basedOn w:val="109"/>
    <w:qFormat/>
    <w:uiPriority w:val="99"/>
    <w:pPr>
      <w:spacing w:before="25" w:after="25"/>
      <w:jc w:val="left"/>
    </w:pPr>
    <w:rPr>
      <w:rFonts w:ascii="Times New Roman" w:hAnsi="Times New Roman"/>
      <w:bCs/>
      <w:spacing w:val="1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4783</Words>
  <Characters>5068</Characters>
  <Lines>1088</Lines>
  <Paragraphs>306</Paragraphs>
  <TotalTime>0</TotalTime>
  <ScaleCrop>false</ScaleCrop>
  <LinksUpToDate>false</LinksUpToDate>
  <CharactersWithSpaces>5091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2023-10-09T08:37:00Z</dcterms:created>
  <dc:creator>AutoBVT</dc:creator>
  <cp:lastModifiedBy>everyone</cp:lastModifiedBy>
  <dcterms:modified xsi:type="dcterms:W3CDTF">2024-12-27T04:02:39Z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8E7AEEFB2CF44CDEA12F867D387D1A3F_12</vt:lpwstr>
  </property>
</Properties>
</file>