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EDD" w:rsidRDefault="00276EDD" w:rsidP="00276EDD">
      <w:pPr>
        <w:spacing w:line="320" w:lineRule="exact"/>
        <w:rPr>
          <w:rFonts w:ascii="宋体" w:hAnsi="宋体" w:cs="仿宋" w:hint="eastAsia"/>
          <w:szCs w:val="21"/>
        </w:rPr>
      </w:pPr>
      <w:r>
        <w:rPr>
          <w:rFonts w:ascii="宋体" w:hAnsi="宋体" w:cs="仿宋" w:hint="eastAsia"/>
          <w:szCs w:val="21"/>
        </w:rPr>
        <w:t>其他补充事宜：</w:t>
      </w:r>
    </w:p>
    <w:p w:rsidR="00276EDD" w:rsidRDefault="00276EDD" w:rsidP="00276EDD">
      <w:pPr>
        <w:spacing w:line="360" w:lineRule="exact"/>
        <w:rPr>
          <w:rFonts w:ascii="宋体" w:hAnsi="宋体" w:cs="宋体"/>
          <w:kern w:val="0"/>
          <w:szCs w:val="21"/>
        </w:rPr>
      </w:pPr>
      <w:bookmarkStart w:id="0" w:name="OLE_LINK2"/>
      <w:bookmarkStart w:id="1" w:name="OLE_LINK3"/>
      <w:r>
        <w:rPr>
          <w:rFonts w:ascii="宋体" w:hAnsi="宋体" w:cs="宋体" w:hint="eastAsia"/>
          <w:kern w:val="0"/>
          <w:szCs w:val="21"/>
        </w:rPr>
        <w:t>（1）未通过资格性审查的供应商情况：无；</w:t>
      </w:r>
    </w:p>
    <w:p w:rsidR="00276EDD" w:rsidRDefault="00276EDD" w:rsidP="00276EDD">
      <w:pPr>
        <w:spacing w:line="360" w:lineRule="exact"/>
        <w:rPr>
          <w:rFonts w:ascii="宋体" w:hAnsi="宋体" w:cs="宋体" w:hint="eastAsia"/>
          <w:kern w:val="0"/>
        </w:rPr>
      </w:pPr>
      <w:r>
        <w:rPr>
          <w:rFonts w:ascii="宋体" w:hAnsi="宋体" w:cs="宋体" w:hint="eastAsia"/>
          <w:kern w:val="0"/>
          <w:szCs w:val="21"/>
        </w:rPr>
        <w:t>（2）</w:t>
      </w:r>
      <w:r>
        <w:rPr>
          <w:rFonts w:ascii="宋体" w:hAnsi="宋体" w:cs="宋体" w:hint="eastAsia"/>
          <w:kern w:val="0"/>
        </w:rPr>
        <w:t>供应商评审得分及排序：</w:t>
      </w:r>
    </w:p>
    <w:p w:rsidR="00276EDD" w:rsidRDefault="00276EDD" w:rsidP="00276EDD">
      <w:pPr>
        <w:spacing w:line="360" w:lineRule="exact"/>
        <w:rPr>
          <w:rFonts w:ascii="宋体" w:hAnsi="宋体" w:cs="宋体" w:hint="eastAsia"/>
          <w:kern w:val="0"/>
        </w:rPr>
      </w:pPr>
      <w:r>
        <w:rPr>
          <w:rFonts w:ascii="宋体" w:hAnsi="宋体" w:cs="宋体" w:hint="eastAsia"/>
          <w:kern w:val="0"/>
        </w:rPr>
        <w:t>分标1：广西博测检测技术服务有限公司评审得分为89.29，排序第1；广西益全检测评价有限公司评审得分为84.00，排序第2；广西桂林金桂环境监测有限公司评审得分为82.13，排序第3；桂林千卓环境检测技术服务有限公司评审得分为75.63，排序第4；广西保利环境监测有限公司评审得分为66.69，排序第5；广西生之源环境监测有限责任公司评审得分为62.63，排序第6。</w:t>
      </w:r>
    </w:p>
    <w:p w:rsidR="00276EDD" w:rsidRDefault="00276EDD" w:rsidP="00276EDD">
      <w:pPr>
        <w:spacing w:line="360" w:lineRule="exact"/>
        <w:rPr>
          <w:rFonts w:ascii="宋体" w:hAnsi="宋体" w:cs="宋体" w:hint="eastAsia"/>
          <w:kern w:val="0"/>
        </w:rPr>
      </w:pPr>
      <w:r>
        <w:rPr>
          <w:rFonts w:ascii="宋体" w:hAnsi="宋体" w:cs="宋体" w:hint="eastAsia"/>
          <w:kern w:val="0"/>
        </w:rPr>
        <w:t>分标2：广西博测检测技术服务有限公司评审得分为89.29，排序第1；恒晟水环境治理股份有限公司评审得分为88.19，排序第2；广西益全检测评价有限公司评审得分为84.00，排序第3；广西桂林金桂环境监测有限公司评审得分为82.13，排序第4；桂林千卓环境检测技术服务有限公司评审得分为75.63，排序第5；广西保利环境监测有限公司评审得分为70.03，排序第6；广西生之源环境监测有限责任公司评审得分62.63，排序第7。</w:t>
      </w:r>
    </w:p>
    <w:p w:rsidR="00276EDD" w:rsidRDefault="00276EDD" w:rsidP="00276EDD">
      <w:pPr>
        <w:spacing w:line="360" w:lineRule="exact"/>
        <w:rPr>
          <w:rFonts w:ascii="宋体" w:hAnsi="宋体" w:cs="宋体" w:hint="eastAsia"/>
          <w:kern w:val="0"/>
        </w:rPr>
      </w:pPr>
      <w:r>
        <w:rPr>
          <w:rFonts w:ascii="宋体" w:hAnsi="宋体" w:cs="宋体" w:hint="eastAsia"/>
          <w:kern w:val="0"/>
        </w:rPr>
        <w:t>分标3：广西博测检测技术服务有限公司评审得分为88.86，排序第1；恒晟水环境治理股份有限公司评审得分为87.81，排序第2；广西益全检测评价有限公司评审得分为83.49，排序第3；广西桂林金</w:t>
      </w:r>
    </w:p>
    <w:p w:rsidR="00276EDD" w:rsidRDefault="00276EDD" w:rsidP="00276EDD">
      <w:pPr>
        <w:spacing w:line="360" w:lineRule="exact"/>
        <w:rPr>
          <w:rFonts w:ascii="宋体" w:hAnsi="宋体" w:cs="宋体"/>
          <w:kern w:val="0"/>
        </w:rPr>
      </w:pPr>
      <w:r>
        <w:rPr>
          <w:rFonts w:ascii="宋体" w:hAnsi="宋体" w:cs="宋体" w:hint="eastAsia"/>
          <w:kern w:val="0"/>
        </w:rPr>
        <w:t>桂环境监测有限公司评审得分为81.75，排序第4；桂林千卓环境检测技术服务有限公司评审得分为75.25，排序第5；广西保利环境监测有限公司评审得分为74.00，排序第6；广西生之源环境监测有限责任公司评审得分62.25，排序第7。</w:t>
      </w:r>
    </w:p>
    <w:p w:rsidR="00276EDD" w:rsidRDefault="00276EDD" w:rsidP="00276EDD">
      <w:pPr>
        <w:spacing w:line="360" w:lineRule="exact"/>
        <w:rPr>
          <w:rFonts w:ascii="宋体" w:hAnsi="宋体" w:cs="宋体" w:hint="eastAsia"/>
          <w:kern w:val="0"/>
        </w:rPr>
      </w:pPr>
      <w:r>
        <w:rPr>
          <w:rFonts w:ascii="宋体" w:hAnsi="宋体" w:cs="宋体" w:hint="eastAsia"/>
          <w:kern w:val="0"/>
        </w:rPr>
        <w:t>分标4：广西博测检测技术服务有限公司评审得分为88.86，排序第1；广西益全检测评价有限公司评审得分为83.49，排序第2；广西桂林金桂环境监测有限公司评审得分为81.75，排序第3；桂林千卓环</w:t>
      </w:r>
    </w:p>
    <w:p w:rsidR="00276EDD" w:rsidRDefault="00276EDD" w:rsidP="00276EDD">
      <w:pPr>
        <w:spacing w:line="360" w:lineRule="exact"/>
        <w:rPr>
          <w:rFonts w:ascii="宋体" w:hAnsi="宋体" w:cs="宋体" w:hint="eastAsia"/>
          <w:kern w:val="0"/>
        </w:rPr>
      </w:pPr>
      <w:r>
        <w:rPr>
          <w:rFonts w:ascii="宋体" w:hAnsi="宋体" w:cs="宋体" w:hint="eastAsia"/>
          <w:kern w:val="0"/>
        </w:rPr>
        <w:t>境检测技术服务有限公司评审得分为75.25，排序第4；广西保利环境监测有限公司评审得分为74.00，排序第5；广西生之源环境监测有限责任公司评审得分为62.25，排序第6。</w:t>
      </w:r>
    </w:p>
    <w:p w:rsidR="00A51C4B" w:rsidRDefault="00276EDD" w:rsidP="00276EDD">
      <w:r>
        <w:rPr>
          <w:rFonts w:ascii="宋体" w:hAnsi="宋体" w:cs="宋体" w:hint="eastAsia"/>
          <w:kern w:val="0"/>
        </w:rPr>
        <w:t>备注：本项目共分为分标</w:t>
      </w:r>
      <w:r>
        <w:rPr>
          <w:rFonts w:ascii="宋体" w:hAnsi="宋体" w:cs="宋体"/>
          <w:kern w:val="0"/>
        </w:rPr>
        <w:t>1</w:t>
      </w:r>
      <w:r>
        <w:rPr>
          <w:rFonts w:ascii="宋体" w:hAnsi="宋体" w:cs="宋体" w:hint="eastAsia"/>
          <w:kern w:val="0"/>
        </w:rPr>
        <w:t>、分标</w:t>
      </w:r>
      <w:r>
        <w:rPr>
          <w:rFonts w:ascii="宋体" w:hAnsi="宋体" w:cs="宋体"/>
          <w:kern w:val="0"/>
        </w:rPr>
        <w:t>2</w:t>
      </w:r>
      <w:r>
        <w:rPr>
          <w:rFonts w:ascii="宋体" w:hAnsi="宋体" w:cs="宋体" w:hint="eastAsia"/>
          <w:kern w:val="0"/>
        </w:rPr>
        <w:t>、分标</w:t>
      </w:r>
      <w:r>
        <w:rPr>
          <w:rFonts w:ascii="宋体" w:hAnsi="宋体" w:cs="宋体"/>
          <w:kern w:val="0"/>
        </w:rPr>
        <w:t>3</w:t>
      </w:r>
      <w:r>
        <w:rPr>
          <w:rFonts w:ascii="宋体" w:hAnsi="宋体" w:cs="宋体" w:hint="eastAsia"/>
          <w:kern w:val="0"/>
        </w:rPr>
        <w:t>、分标</w:t>
      </w:r>
      <w:r>
        <w:rPr>
          <w:rFonts w:ascii="宋体" w:hAnsi="宋体" w:cs="宋体"/>
          <w:kern w:val="0"/>
        </w:rPr>
        <w:t>4</w:t>
      </w:r>
      <w:r>
        <w:rPr>
          <w:rFonts w:ascii="宋体" w:hAnsi="宋体" w:cs="宋体" w:hint="eastAsia"/>
          <w:kern w:val="0"/>
        </w:rPr>
        <w:t>四个分标，供应商可以参与任意一个或多个分标的磋商，但原则上最多只能成为其中一个分标的成交供应商。处理原则如下：若某供应商同时在两个或以上分标综合得分排名第一时，则按分标</w:t>
      </w:r>
      <w:r>
        <w:rPr>
          <w:rFonts w:ascii="宋体" w:hAnsi="宋体" w:cs="宋体"/>
          <w:kern w:val="0"/>
        </w:rPr>
        <w:t>1→</w:t>
      </w:r>
      <w:r>
        <w:rPr>
          <w:rFonts w:ascii="宋体" w:hAnsi="宋体" w:cs="宋体" w:hint="eastAsia"/>
          <w:kern w:val="0"/>
        </w:rPr>
        <w:t>分标</w:t>
      </w:r>
      <w:r>
        <w:rPr>
          <w:rFonts w:ascii="宋体" w:hAnsi="宋体" w:cs="宋体"/>
          <w:kern w:val="0"/>
        </w:rPr>
        <w:t>2→</w:t>
      </w:r>
      <w:r>
        <w:rPr>
          <w:rFonts w:ascii="宋体" w:hAnsi="宋体" w:cs="宋体" w:hint="eastAsia"/>
          <w:kern w:val="0"/>
        </w:rPr>
        <w:t>分标</w:t>
      </w:r>
      <w:r>
        <w:rPr>
          <w:rFonts w:ascii="宋体" w:hAnsi="宋体" w:cs="宋体"/>
          <w:kern w:val="0"/>
        </w:rPr>
        <w:t>3→</w:t>
      </w:r>
      <w:r>
        <w:rPr>
          <w:rFonts w:ascii="宋体" w:hAnsi="宋体" w:cs="宋体" w:hint="eastAsia"/>
          <w:kern w:val="0"/>
        </w:rPr>
        <w:t>分标</w:t>
      </w:r>
      <w:r>
        <w:rPr>
          <w:rFonts w:ascii="宋体" w:hAnsi="宋体" w:cs="宋体"/>
          <w:kern w:val="0"/>
        </w:rPr>
        <w:t>4</w:t>
      </w:r>
      <w:r>
        <w:rPr>
          <w:rFonts w:ascii="宋体" w:hAnsi="宋体" w:cs="宋体" w:hint="eastAsia"/>
          <w:kern w:val="0"/>
        </w:rPr>
        <w:t>的先后顺序推荐成交候选供应商，该供应商一旦被推荐为某一分标的第一成交候选供应商，则在其他分标不再推荐为成交候选供应商。若分标</w:t>
      </w:r>
      <w:r>
        <w:rPr>
          <w:rFonts w:ascii="宋体" w:hAnsi="宋体" w:cs="宋体"/>
          <w:kern w:val="0"/>
        </w:rPr>
        <w:t>4</w:t>
      </w:r>
      <w:r>
        <w:rPr>
          <w:rFonts w:ascii="宋体" w:hAnsi="宋体" w:cs="宋体" w:hint="eastAsia"/>
          <w:kern w:val="0"/>
        </w:rPr>
        <w:t>符合实质性要求的有效供应商分别被推荐为分标</w:t>
      </w:r>
      <w:r>
        <w:rPr>
          <w:rFonts w:ascii="宋体" w:hAnsi="宋体" w:cs="宋体"/>
          <w:kern w:val="0"/>
        </w:rPr>
        <w:t>1</w:t>
      </w:r>
      <w:r>
        <w:rPr>
          <w:rFonts w:ascii="宋体" w:hAnsi="宋体" w:cs="宋体" w:hint="eastAsia"/>
          <w:kern w:val="0"/>
        </w:rPr>
        <w:t>、分标</w:t>
      </w:r>
      <w:r>
        <w:rPr>
          <w:rFonts w:ascii="宋体" w:hAnsi="宋体" w:cs="宋体"/>
          <w:kern w:val="0"/>
        </w:rPr>
        <w:t>2</w:t>
      </w:r>
      <w:r>
        <w:rPr>
          <w:rFonts w:ascii="宋体" w:hAnsi="宋体" w:cs="宋体" w:hint="eastAsia"/>
          <w:kern w:val="0"/>
        </w:rPr>
        <w:t>、分标</w:t>
      </w:r>
      <w:r>
        <w:rPr>
          <w:rFonts w:ascii="宋体" w:hAnsi="宋体" w:cs="宋体"/>
          <w:kern w:val="0"/>
        </w:rPr>
        <w:t>3</w:t>
      </w:r>
      <w:r>
        <w:rPr>
          <w:rFonts w:ascii="宋体" w:hAnsi="宋体" w:cs="宋体" w:hint="eastAsia"/>
          <w:kern w:val="0"/>
        </w:rPr>
        <w:t>的第一成交候选供应商，磋商小组则按有效供应商的综合得分由高到低顺序推荐成交候选供应商。</w:t>
      </w:r>
      <w:bookmarkStart w:id="2" w:name="_GoBack"/>
      <w:bookmarkEnd w:id="0"/>
      <w:bookmarkEnd w:id="1"/>
      <w:bookmarkEnd w:id="2"/>
    </w:p>
    <w:sectPr w:rsidR="00A51C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E71" w:rsidRDefault="00820E71" w:rsidP="00276EDD">
      <w:r>
        <w:separator/>
      </w:r>
    </w:p>
  </w:endnote>
  <w:endnote w:type="continuationSeparator" w:id="0">
    <w:p w:rsidR="00820E71" w:rsidRDefault="00820E71" w:rsidP="0027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E71" w:rsidRDefault="00820E71" w:rsidP="00276EDD">
      <w:r>
        <w:separator/>
      </w:r>
    </w:p>
  </w:footnote>
  <w:footnote w:type="continuationSeparator" w:id="0">
    <w:p w:rsidR="00820E71" w:rsidRDefault="00820E71" w:rsidP="00276E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9FF"/>
    <w:rsid w:val="00276EDD"/>
    <w:rsid w:val="004629FF"/>
    <w:rsid w:val="00820E71"/>
    <w:rsid w:val="00A51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38E68F-7D2C-4AD3-A433-4D4850FB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EDD"/>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ED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76EDD"/>
    <w:rPr>
      <w:sz w:val="18"/>
      <w:szCs w:val="18"/>
    </w:rPr>
  </w:style>
  <w:style w:type="paragraph" w:styleId="a5">
    <w:name w:val="footer"/>
    <w:basedOn w:val="a"/>
    <w:link w:val="a6"/>
    <w:uiPriority w:val="99"/>
    <w:unhideWhenUsed/>
    <w:rsid w:val="00276ED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76E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Microsoft</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2025-05-12T08:52:00Z</dcterms:created>
  <dcterms:modified xsi:type="dcterms:W3CDTF">2025-05-12T08:52:00Z</dcterms:modified>
</cp:coreProperties>
</file>