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20B89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422" w:firstLineChars="200"/>
        <w:jc w:val="both"/>
        <w:textAlignment w:val="auto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八、其他补充事宜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                   </w:t>
      </w:r>
    </w:p>
    <w:p w14:paraId="57ABB80F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420" w:firstLineChars="200"/>
        <w:textAlignment w:val="auto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3、各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投标人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的评审得分与排序：</w:t>
      </w:r>
    </w:p>
    <w:p w14:paraId="36F036C2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420" w:firstLineChars="200"/>
        <w:textAlignment w:val="auto"/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分标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：广西鑫美达商贸有限公司（评标得分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87.6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，排序1）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；广西众联康泰医疗科技有限公司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（评标得分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70.6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，排序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2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）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；桂林昌众贸易有限公司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（评标得分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69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，排序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3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）</w:t>
      </w:r>
    </w:p>
    <w:p w14:paraId="529C2F65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420" w:firstLineChars="200"/>
        <w:textAlignment w:val="auto"/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分标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2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：广西南宁高跃医疗器械有限公司（评标得分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87.2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，排序1）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；广西腾风投资有限公司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（评标得分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73.57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，排序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2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）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；桂林麒睿商贸有限公司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（评标得分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67.56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，排序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3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）</w:t>
      </w:r>
    </w:p>
    <w:p w14:paraId="49E54167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480" w:firstLineChars="200"/>
        <w:textAlignment w:val="auto"/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17A67"/>
    <w:rsid w:val="63DA6B00"/>
    <w:rsid w:val="724F577E"/>
    <w:rsid w:val="7479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首行缩进"/>
    <w:basedOn w:val="1"/>
    <w:qFormat/>
    <w:uiPriority w:val="0"/>
    <w:pPr>
      <w:spacing w:line="360" w:lineRule="auto"/>
      <w:ind w:left="210" w:leftChars="100" w:firstLine="420" w:firstLineChars="20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478</Characters>
  <Lines>0</Lines>
  <Paragraphs>0</Paragraphs>
  <TotalTime>3</TotalTime>
  <ScaleCrop>false</ScaleCrop>
  <LinksUpToDate>false</LinksUpToDate>
  <CharactersWithSpaces>497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2025-01-22T07:40:00Z</dcterms:created>
  <dc:creator>小红梅</dc:creator>
  <cp:lastModifiedBy>Holyhigh</cp:lastModifiedBy>
  <dcterms:modified xsi:type="dcterms:W3CDTF">2025-01-24T03:43:10Z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eyJoZGlkIjoiOWM2ZTk2MTZmZTY4ODJmNWJlNjZjNzU1NjA1MWNmMmEiLCJ1c2VySWQiOiI2OTMzOTkzNDIifQ==</vt:lpwstr>
  </property>
  <property fmtid="{D5CDD505-2E9C-101B-9397-08002B2CF9AE}" pid="4" name="ICV">
    <vt:lpwstr>01399BBE23A645218792AA020B88CF54_12</vt:lpwstr>
  </property>
</Properties>
</file>