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DA" w:rsidRPr="00CD58DA" w:rsidRDefault="00CD58DA" w:rsidP="00CD58DA">
      <w:pPr>
        <w:keepNext/>
        <w:keepLines/>
        <w:spacing w:before="340" w:after="330" w:line="578" w:lineRule="auto"/>
        <w:jc w:val="center"/>
        <w:outlineLvl w:val="0"/>
        <w:rPr>
          <w:rFonts w:ascii="Times New Roman" w:eastAsia="宋体" w:hAnsi="Times New Roman" w:cs="Times New Roman"/>
          <w:b/>
          <w:bCs/>
          <w:kern w:val="44"/>
          <w:sz w:val="44"/>
          <w:szCs w:val="44"/>
        </w:rPr>
      </w:pPr>
      <w:r w:rsidRPr="00CD58DA">
        <w:rPr>
          <w:rFonts w:ascii="Times New Roman" w:eastAsia="宋体" w:hAnsi="Times New Roman" w:cs="Times New Roman" w:hint="eastAsia"/>
          <w:b/>
          <w:bCs/>
          <w:kern w:val="44"/>
          <w:sz w:val="44"/>
          <w:szCs w:val="44"/>
        </w:rPr>
        <w:t>采购需求</w:t>
      </w:r>
    </w:p>
    <w:p w:rsidR="00CD58DA" w:rsidRPr="00CD58DA" w:rsidRDefault="00CD58DA" w:rsidP="00CD58DA">
      <w:pPr>
        <w:spacing w:line="360" w:lineRule="auto"/>
        <w:rPr>
          <w:rFonts w:ascii="宋体" w:eastAsia="宋体" w:hAnsi="宋体" w:cs="宋体"/>
          <w:szCs w:val="21"/>
        </w:rPr>
      </w:pPr>
      <w:bookmarkStart w:id="0" w:name="_Toc254970490"/>
      <w:bookmarkStart w:id="1" w:name="_Toc254970631"/>
      <w:r w:rsidRPr="00CD58DA">
        <w:rPr>
          <w:rFonts w:ascii="宋体" w:eastAsia="宋体" w:hAnsi="宋体" w:cs="宋体" w:hint="eastAsia"/>
          <w:szCs w:val="21"/>
        </w:rPr>
        <w:t>说明：</w:t>
      </w:r>
    </w:p>
    <w:p w:rsidR="00CD58DA" w:rsidRPr="00CD58DA" w:rsidRDefault="00CD58DA" w:rsidP="00CD58DA">
      <w:pPr>
        <w:spacing w:line="360" w:lineRule="auto"/>
        <w:ind w:firstLineChars="200" w:firstLine="420"/>
        <w:rPr>
          <w:rFonts w:ascii="宋体" w:eastAsia="宋体" w:hAnsi="宋体" w:cs="宋体"/>
          <w:szCs w:val="21"/>
        </w:rPr>
      </w:pPr>
      <w:r w:rsidRPr="00CD58DA">
        <w:rPr>
          <w:rFonts w:ascii="Times New Roman" w:eastAsia="宋体" w:hAnsi="Times New Roman" w:cs="Times New Roman" w:hint="eastAsia"/>
          <w:szCs w:val="24"/>
        </w:rPr>
        <w:t xml:space="preserve">1. </w:t>
      </w:r>
      <w:r w:rsidRPr="00CD58DA">
        <w:rPr>
          <w:rFonts w:ascii="Times New Roman" w:eastAsia="宋体" w:hAnsi="Times New Roman" w:cs="Times New Roman" w:hint="eastAsia"/>
          <w:szCs w:val="24"/>
        </w:rPr>
        <w:t>为落实政府采购政策需满足的要求</w:t>
      </w:r>
    </w:p>
    <w:p w:rsidR="00CD58DA" w:rsidRPr="00CD58DA" w:rsidRDefault="00CD58DA" w:rsidP="00CD58DA">
      <w:pPr>
        <w:spacing w:line="360" w:lineRule="auto"/>
        <w:ind w:firstLineChars="200" w:firstLine="420"/>
        <w:rPr>
          <w:rFonts w:ascii="宋体" w:eastAsia="宋体" w:hAnsi="宋体" w:cs="宋体"/>
          <w:szCs w:val="21"/>
        </w:rPr>
      </w:pPr>
      <w:r w:rsidRPr="00CD58DA">
        <w:rPr>
          <w:rFonts w:ascii="宋体" w:eastAsia="宋体" w:hAnsi="宋体" w:cs="宋体" w:hint="eastAsia"/>
          <w:szCs w:val="21"/>
        </w:rPr>
        <w:t>（1）本招标文件所称中小企业必须符合《政府采购促进中小企业发展管理办法》（财库〔2020〕46号）的规定。</w:t>
      </w:r>
    </w:p>
    <w:p w:rsidR="00CD58DA" w:rsidRPr="00CD58DA" w:rsidRDefault="00CD58DA" w:rsidP="00CD58DA">
      <w:pPr>
        <w:spacing w:line="360" w:lineRule="auto"/>
        <w:ind w:firstLineChars="202" w:firstLine="424"/>
        <w:rPr>
          <w:rFonts w:ascii="宋体" w:eastAsia="宋体" w:hAnsi="宋体" w:cs="宋体"/>
          <w:szCs w:val="21"/>
        </w:rPr>
      </w:pPr>
      <w:r w:rsidRPr="00CD58DA">
        <w:rPr>
          <w:rFonts w:ascii="宋体" w:eastAsia="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CD58DA">
        <w:rPr>
          <w:rFonts w:ascii="宋体" w:eastAsia="宋体" w:hAnsi="宋体" w:cs="宋体" w:hint="eastAsia"/>
          <w:b/>
          <w:bCs/>
          <w:szCs w:val="21"/>
        </w:rPr>
        <w:t>否则按无效投标处理</w:t>
      </w:r>
      <w:r w:rsidRPr="00CD58DA">
        <w:rPr>
          <w:rFonts w:ascii="宋体" w:eastAsia="宋体" w:hAnsi="宋体" w:cs="宋体" w:hint="eastAsia"/>
          <w:szCs w:val="21"/>
        </w:rPr>
        <w:t>。如本项目包含的货物属于品目清单内非标注“★”的产品时，应优先采购，具体详见“第四章 评标方法及评标标准”。</w:t>
      </w:r>
    </w:p>
    <w:p w:rsidR="00CD58DA" w:rsidRPr="00CD58DA" w:rsidRDefault="00CD58DA" w:rsidP="00CD58DA">
      <w:pPr>
        <w:spacing w:line="360" w:lineRule="auto"/>
        <w:ind w:firstLineChars="202" w:firstLine="424"/>
        <w:rPr>
          <w:rFonts w:ascii="宋体" w:eastAsia="宋体" w:hAnsi="宋体" w:cs="宋体"/>
          <w:szCs w:val="21"/>
        </w:rPr>
      </w:pPr>
      <w:r w:rsidRPr="00CD58DA">
        <w:rPr>
          <w:rFonts w:ascii="宋体" w:eastAsia="宋体" w:hAnsi="宋体" w:cs="宋体" w:hint="eastAsia"/>
          <w:szCs w:val="21"/>
        </w:rPr>
        <w:t>（3）</w:t>
      </w:r>
      <w:r w:rsidRPr="00CD58DA">
        <w:rPr>
          <w:rFonts w:ascii="Times New Roman" w:eastAsia="宋体" w:hAnsi="Times New Roman" w:cs="Times New Roman"/>
          <w:szCs w:val="24"/>
        </w:rPr>
        <w:t>根据《关于调整网络安全专用产品安全管理有关事项的公告》（</w:t>
      </w:r>
      <w:r w:rsidRPr="00CD58DA">
        <w:rPr>
          <w:rFonts w:ascii="Times New Roman" w:eastAsia="宋体" w:hAnsi="Times New Roman" w:cs="Times New Roman"/>
          <w:szCs w:val="24"/>
        </w:rPr>
        <w:t>2023</w:t>
      </w:r>
      <w:r w:rsidRPr="00CD58DA">
        <w:rPr>
          <w:rFonts w:ascii="Times New Roman" w:eastAsia="宋体" w:hAnsi="Times New Roman" w:cs="Times New Roman"/>
          <w:szCs w:val="24"/>
        </w:rPr>
        <w:t>年</w:t>
      </w:r>
      <w:r w:rsidRPr="00CD58DA">
        <w:rPr>
          <w:rFonts w:ascii="Times New Roman" w:eastAsia="宋体" w:hAnsi="Times New Roman" w:cs="Times New Roman"/>
          <w:szCs w:val="24"/>
        </w:rPr>
        <w:t>1</w:t>
      </w:r>
      <w:r w:rsidRPr="00CD58DA">
        <w:rPr>
          <w:rFonts w:ascii="Times New Roman" w:eastAsia="宋体" w:hAnsi="Times New Roman" w:cs="Times New Roman"/>
          <w:szCs w:val="24"/>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CD58DA">
        <w:rPr>
          <w:rFonts w:ascii="Times New Roman" w:eastAsia="宋体" w:hAnsi="Times New Roman" w:cs="Times New Roman"/>
          <w:szCs w:val="24"/>
        </w:rPr>
        <w:t>http://www.cac.gov.cn/index.htm</w:t>
      </w:r>
      <w:r w:rsidRPr="00CD58DA">
        <w:rPr>
          <w:rFonts w:ascii="Times New Roman" w:eastAsia="宋体" w:hAnsi="Times New Roman" w:cs="Times New Roman"/>
          <w:szCs w:val="24"/>
        </w:rPr>
        <w:t>）最新发布的《网络关键设备和网络安全专用产品安全认证和安全检测结果》截图证明材料，</w:t>
      </w:r>
      <w:r w:rsidRPr="00CD58DA">
        <w:rPr>
          <w:rFonts w:ascii="Times New Roman" w:eastAsia="宋体" w:hAnsi="Times New Roman" w:cs="Times New Roman"/>
          <w:b/>
          <w:szCs w:val="24"/>
        </w:rPr>
        <w:t>不在《网络关键设备和网络安全专用产品安全认证和安全检测结果》中或不在有效期内或未提供有效的《计算机信息系统安全专用产品销售许可证》的，</w:t>
      </w:r>
      <w:r w:rsidRPr="00CD58DA">
        <w:rPr>
          <w:rFonts w:ascii="Times New Roman" w:eastAsia="宋体" w:hAnsi="Times New Roman" w:cs="Times New Roman" w:hint="eastAsia"/>
          <w:b/>
          <w:szCs w:val="24"/>
        </w:rPr>
        <w:t>按无效投标处理</w:t>
      </w:r>
      <w:r w:rsidRPr="00CD58DA">
        <w:rPr>
          <w:rFonts w:ascii="Times New Roman" w:eastAsia="宋体" w:hAnsi="Times New Roman" w:cs="Times New Roman"/>
          <w:szCs w:val="24"/>
        </w:rPr>
        <w:t>。如属于《网络关键设备和网络安全专用产品目录》中</w:t>
      </w:r>
      <w:r w:rsidRPr="00CD58DA">
        <w:rPr>
          <w:rFonts w:ascii="Times New Roman" w:eastAsia="宋体" w:hAnsi="Times New Roman" w:cs="Times New Roman"/>
          <w:szCs w:val="24"/>
        </w:rPr>
        <w:t>“</w:t>
      </w:r>
      <w:r w:rsidRPr="00CD58DA">
        <w:rPr>
          <w:rFonts w:ascii="Times New Roman" w:eastAsia="宋体" w:hAnsi="Times New Roman" w:cs="Times New Roman"/>
          <w:szCs w:val="24"/>
        </w:rPr>
        <w:t>二、网络安全专用产品</w:t>
      </w:r>
      <w:r w:rsidRPr="00CD58DA">
        <w:rPr>
          <w:rFonts w:ascii="Times New Roman" w:eastAsia="宋体" w:hAnsi="Times New Roman" w:cs="Times New Roman"/>
          <w:szCs w:val="24"/>
        </w:rPr>
        <w:t>”</w:t>
      </w:r>
      <w:r w:rsidRPr="00CD58DA">
        <w:rPr>
          <w:rFonts w:ascii="Times New Roman" w:eastAsia="宋体" w:hAnsi="Times New Roman" w:cs="Times New Roman"/>
          <w:szCs w:val="24"/>
        </w:rPr>
        <w:t>内</w:t>
      </w:r>
      <w:r w:rsidRPr="00CD58DA">
        <w:rPr>
          <w:rFonts w:ascii="Times New Roman" w:eastAsia="宋体" w:hAnsi="Times New Roman" w:cs="Times New Roman"/>
          <w:szCs w:val="24"/>
        </w:rPr>
        <w:t>“</w:t>
      </w:r>
      <w:r w:rsidRPr="00CD58DA">
        <w:rPr>
          <w:rFonts w:ascii="Times New Roman" w:eastAsia="宋体" w:hAnsi="Times New Roman" w:cs="Times New Roman"/>
          <w:szCs w:val="24"/>
        </w:rPr>
        <w:t>产品类别</w:t>
      </w:r>
      <w:r w:rsidRPr="00CD58DA">
        <w:rPr>
          <w:rFonts w:ascii="Times New Roman" w:eastAsia="宋体" w:hAnsi="Times New Roman" w:cs="Times New Roman"/>
          <w:szCs w:val="24"/>
        </w:rPr>
        <w:t>”</w:t>
      </w:r>
      <w:r w:rsidRPr="00CD58DA">
        <w:rPr>
          <w:rFonts w:ascii="Times New Roman" w:eastAsia="宋体" w:hAnsi="Times New Roman" w:cs="Times New Roman"/>
          <w:szCs w:val="24"/>
        </w:rPr>
        <w:t>中的所描述的产品，但不属于所列</w:t>
      </w:r>
      <w:r w:rsidRPr="00CD58DA">
        <w:rPr>
          <w:rFonts w:ascii="Times New Roman" w:eastAsia="宋体" w:hAnsi="Times New Roman" w:cs="Times New Roman"/>
          <w:szCs w:val="24"/>
        </w:rPr>
        <w:t>“</w:t>
      </w:r>
      <w:r w:rsidRPr="00CD58DA">
        <w:rPr>
          <w:rFonts w:ascii="Times New Roman" w:eastAsia="宋体" w:hAnsi="Times New Roman" w:cs="Times New Roman"/>
          <w:szCs w:val="24"/>
        </w:rPr>
        <w:t>产品描述</w:t>
      </w:r>
      <w:r w:rsidRPr="00CD58DA">
        <w:rPr>
          <w:rFonts w:ascii="Times New Roman" w:eastAsia="宋体" w:hAnsi="Times New Roman" w:cs="Times New Roman"/>
          <w:szCs w:val="24"/>
        </w:rPr>
        <w:t>”</w:t>
      </w:r>
      <w:r w:rsidRPr="00CD58DA">
        <w:rPr>
          <w:rFonts w:ascii="Times New Roman" w:eastAsia="宋体" w:hAnsi="Times New Roman" w:cs="Times New Roman"/>
          <w:szCs w:val="24"/>
        </w:rPr>
        <w:t>情形的，应提供相应的说明及证明材料。</w:t>
      </w:r>
    </w:p>
    <w:p w:rsidR="00CD58DA" w:rsidRPr="00CD58DA" w:rsidRDefault="00CD58DA" w:rsidP="00CD58DA">
      <w:pPr>
        <w:spacing w:line="360" w:lineRule="auto"/>
        <w:ind w:firstLineChars="202" w:firstLine="424"/>
        <w:rPr>
          <w:rFonts w:ascii="宋体" w:eastAsia="宋体" w:hAnsi="宋体" w:cs="宋体"/>
          <w:szCs w:val="21"/>
        </w:rPr>
      </w:pPr>
      <w:r w:rsidRPr="00CD58DA">
        <w:rPr>
          <w:rFonts w:ascii="宋体" w:eastAsia="宋体" w:hAnsi="宋体" w:cs="宋体" w:hint="eastAsia"/>
          <w:szCs w:val="21"/>
        </w:rPr>
        <w:t>2.“实质性要求”是指招标文件中已经指明不满足则投标无效的条款，或者不能负偏离的条款，或者采购需求中带“▲”的条款。</w:t>
      </w:r>
    </w:p>
    <w:p w:rsidR="00CD58DA" w:rsidRPr="00CD58DA" w:rsidRDefault="00CD58DA" w:rsidP="00CD58DA">
      <w:pPr>
        <w:spacing w:line="360" w:lineRule="auto"/>
        <w:ind w:firstLineChars="202" w:firstLine="424"/>
        <w:rPr>
          <w:rFonts w:ascii="宋体" w:eastAsia="宋体" w:hAnsi="宋体" w:cs="宋体"/>
          <w:szCs w:val="21"/>
        </w:rPr>
      </w:pPr>
      <w:r w:rsidRPr="00CD58DA">
        <w:rPr>
          <w:rFonts w:ascii="宋体" w:eastAsia="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CD58DA" w:rsidRPr="00CD58DA" w:rsidRDefault="00CD58DA" w:rsidP="00CD58DA">
      <w:pPr>
        <w:spacing w:line="360" w:lineRule="auto"/>
        <w:ind w:firstLineChars="202" w:firstLine="424"/>
        <w:rPr>
          <w:rFonts w:ascii="Times New Roman" w:eastAsia="宋体" w:hAnsi="Times New Roman" w:cs="Times New Roman"/>
          <w:szCs w:val="24"/>
        </w:rPr>
      </w:pPr>
      <w:r w:rsidRPr="00CD58DA">
        <w:rPr>
          <w:rFonts w:ascii="宋体" w:eastAsia="宋体" w:hAnsi="宋体" w:cs="宋体" w:hint="eastAsia"/>
          <w:szCs w:val="21"/>
        </w:rPr>
        <w:lastRenderedPageBreak/>
        <w:t>4.</w:t>
      </w:r>
      <w:bookmarkStart w:id="2" w:name="_Hlk65055179"/>
      <w:r w:rsidRPr="00CD58DA">
        <w:rPr>
          <w:rFonts w:ascii="宋体" w:eastAsia="宋体" w:hAnsi="宋体" w:cs="宋体" w:hint="eastAsia"/>
          <w:szCs w:val="21"/>
        </w:rPr>
        <w:t xml:space="preserve"> 投标人应根据自身实际情况如实响应招标文件</w:t>
      </w:r>
      <w:r w:rsidRPr="00CD58DA">
        <w:rPr>
          <w:rFonts w:ascii="宋体" w:eastAsia="宋体" w:hAnsi="宋体" w:cs="Times New Roman" w:hint="eastAsia"/>
          <w:szCs w:val="21"/>
        </w:rPr>
        <w:t>，</w:t>
      </w:r>
      <w:r w:rsidRPr="00CD58DA">
        <w:rPr>
          <w:rFonts w:ascii="宋体" w:eastAsia="宋体" w:hAnsi="宋体" w:cs="Times New Roman" w:hint="eastAsia"/>
          <w:sz w:val="22"/>
        </w:rPr>
        <w:t>对招标文件提出的要求和条件作出明确响应</w:t>
      </w:r>
      <w:r w:rsidRPr="00CD58DA">
        <w:rPr>
          <w:rFonts w:ascii="宋体" w:eastAsia="宋体" w:hAnsi="宋体" w:cs="Times New Roman" w:hint="eastAsia"/>
          <w:szCs w:val="21"/>
        </w:rPr>
        <w:t>，</w:t>
      </w:r>
      <w:r w:rsidRPr="00CD58DA">
        <w:rPr>
          <w:rFonts w:ascii="宋体" w:eastAsia="宋体" w:hAnsi="宋体" w:cs="Times New Roman" w:hint="eastAsia"/>
          <w:b/>
          <w:bCs/>
          <w:szCs w:val="21"/>
        </w:rPr>
        <w:t>否则将作无效响应处理</w:t>
      </w:r>
      <w:r w:rsidRPr="00CD58DA">
        <w:rPr>
          <w:rFonts w:ascii="宋体" w:eastAsia="宋体" w:hAnsi="宋体" w:cs="Times New Roman" w:hint="eastAsia"/>
          <w:szCs w:val="21"/>
        </w:rPr>
        <w:t>。</w:t>
      </w:r>
      <w:r w:rsidRPr="00CD58DA">
        <w:rPr>
          <w:rFonts w:ascii="Times New Roman" w:eastAsia="宋体" w:hAnsi="Times New Roman" w:cs="Times New Roman" w:hint="eastAsia"/>
          <w:szCs w:val="24"/>
        </w:rPr>
        <w:t>对于重要技术条款或技术参数应当在投标文件中提供技术支持资料，技术支持资料以招标文件中规定的形式为准，</w:t>
      </w:r>
      <w:r w:rsidRPr="00CD58DA">
        <w:rPr>
          <w:rFonts w:ascii="Times New Roman" w:eastAsia="宋体" w:hAnsi="Times New Roman" w:cs="Times New Roman" w:hint="eastAsia"/>
          <w:b/>
          <w:bCs/>
          <w:szCs w:val="24"/>
        </w:rPr>
        <w:t>否则将视为无效技术支持资料</w:t>
      </w:r>
      <w:r w:rsidRPr="00CD58DA">
        <w:rPr>
          <w:rFonts w:ascii="Times New Roman" w:eastAsia="宋体" w:hAnsi="Times New Roman" w:cs="Times New Roman" w:hint="eastAsia"/>
          <w:szCs w:val="24"/>
        </w:rPr>
        <w:t>。</w:t>
      </w:r>
    </w:p>
    <w:p w:rsidR="00CD58DA" w:rsidRPr="00CD58DA" w:rsidRDefault="00CD58DA" w:rsidP="00CD58DA">
      <w:pPr>
        <w:spacing w:line="360" w:lineRule="auto"/>
        <w:ind w:firstLineChars="202" w:firstLine="424"/>
        <w:rPr>
          <w:rFonts w:ascii="Times New Roman" w:eastAsia="宋体" w:hAnsi="Times New Roman" w:cs="Times New Roman"/>
          <w:szCs w:val="24"/>
        </w:rPr>
      </w:pPr>
      <w:r w:rsidRPr="00CD58DA">
        <w:rPr>
          <w:rFonts w:ascii="宋体" w:eastAsia="宋体" w:hAnsi="宋体" w:cs="宋体" w:hint="eastAsia"/>
          <w:szCs w:val="21"/>
        </w:rPr>
        <w:t>5.</w:t>
      </w:r>
      <w:r w:rsidRPr="00CD58DA">
        <w:rPr>
          <w:rFonts w:ascii="Times New Roman" w:eastAsia="宋体" w:hAnsi="Times New Roman" w:cs="Times New Roman" w:hint="eastAsia"/>
          <w:szCs w:val="24"/>
        </w:rPr>
        <w:t>投标人必须自行为其投标产品侵犯他人的知识产权或者专利成果的行为承担相应法律责任。</w:t>
      </w:r>
    </w:p>
    <w:p w:rsidR="00CD58DA" w:rsidRPr="00CD58DA" w:rsidRDefault="00CD58DA" w:rsidP="00CD58DA">
      <w:pPr>
        <w:spacing w:line="360" w:lineRule="auto"/>
        <w:ind w:firstLineChars="202" w:firstLine="426"/>
        <w:rPr>
          <w:rFonts w:asciiTheme="minorEastAsia" w:hAnsiTheme="minorEastAsia" w:cs="Times New Roman"/>
          <w:b/>
          <w:szCs w:val="21"/>
        </w:rPr>
      </w:pPr>
      <w:r w:rsidRPr="00CD58DA">
        <w:rPr>
          <w:rFonts w:asciiTheme="minorEastAsia" w:hAnsiTheme="minorEastAsia" w:cs="Times New Roman" w:hint="eastAsia"/>
          <w:b/>
          <w:szCs w:val="21"/>
        </w:rPr>
        <w:t>6.投标人对所投设备的技术指标应做到真实响应，如发现有虚假应标情形的，除投标无效外，还将报财政监管部门处理。投标人提供假冒伪劣产品的，将依照《中华人民共和国政府采购法》第七十七条第一款的规定追究法律责任。</w:t>
      </w:r>
    </w:p>
    <w:p w:rsidR="00CD58DA" w:rsidRPr="00CD58DA" w:rsidRDefault="00CD58DA" w:rsidP="00CD58DA">
      <w:pPr>
        <w:spacing w:line="360" w:lineRule="auto"/>
        <w:ind w:firstLineChars="202" w:firstLine="424"/>
        <w:rPr>
          <w:rFonts w:asciiTheme="minorEastAsia" w:hAnsiTheme="minorEastAsia" w:cs="Times New Roman"/>
          <w:szCs w:val="21"/>
        </w:rPr>
      </w:pPr>
      <w:r w:rsidRPr="00CD58DA">
        <w:rPr>
          <w:rFonts w:asciiTheme="minorEastAsia" w:hAnsiTheme="minorEastAsia" w:cs="Times New Roman"/>
          <w:szCs w:val="21"/>
        </w:rPr>
        <w:t>7.</w:t>
      </w:r>
      <w:r w:rsidRPr="00CD58DA">
        <w:rPr>
          <w:rFonts w:asciiTheme="minorEastAsia" w:hAnsiTheme="minorEastAsia" w:cs="Times New Roman" w:hint="eastAsia"/>
          <w:szCs w:val="21"/>
        </w:rPr>
        <w:t xml:space="preserve"> A分标标的所属行业详见采购需求一览表，B分标标的所属行业均为：工业</w:t>
      </w:r>
    </w:p>
    <w:p w:rsidR="00CD58DA" w:rsidRPr="00CD58DA" w:rsidRDefault="00CD58DA" w:rsidP="00CD58DA">
      <w:pPr>
        <w:spacing w:line="360" w:lineRule="auto"/>
        <w:ind w:firstLineChars="202" w:firstLine="424"/>
        <w:rPr>
          <w:rFonts w:ascii="宋体" w:eastAsia="宋体" w:hAnsi="宋体" w:cs="Times New Roman"/>
          <w:szCs w:val="21"/>
        </w:rPr>
      </w:pPr>
    </w:p>
    <w:bookmarkEnd w:id="2"/>
    <w:p w:rsidR="00CD58DA" w:rsidRPr="00CD58DA" w:rsidRDefault="00CD58DA" w:rsidP="00CD58DA">
      <w:pPr>
        <w:spacing w:line="360" w:lineRule="auto"/>
        <w:ind w:firstLineChars="147" w:firstLine="309"/>
        <w:rPr>
          <w:rFonts w:ascii="宋体" w:eastAsia="宋体" w:hAnsi="宋体" w:cs="Arial"/>
          <w:bCs/>
          <w:szCs w:val="21"/>
          <w:u w:val="single"/>
        </w:rPr>
      </w:pPr>
      <w:r w:rsidRPr="00CD58DA">
        <w:rPr>
          <w:rFonts w:ascii="宋体" w:eastAsia="宋体" w:hAnsi="宋体" w:cs="Arial" w:hint="eastAsia"/>
          <w:bCs/>
          <w:szCs w:val="21"/>
          <w:u w:val="single"/>
        </w:rPr>
        <w:t>A</w:t>
      </w:r>
      <w:r w:rsidRPr="00CD58DA">
        <w:rPr>
          <w:rFonts w:ascii="宋体" w:eastAsia="宋体" w:hAnsi="宋体" w:cs="Times New Roman" w:hint="eastAsia"/>
          <w:b/>
          <w:szCs w:val="21"/>
        </w:rPr>
        <w:t>分标      采购预算：</w:t>
      </w:r>
      <w:r w:rsidRPr="00CD58DA">
        <w:rPr>
          <w:rFonts w:ascii="宋体" w:eastAsia="宋体" w:hAnsi="宋体" w:cs="Times New Roman" w:hint="eastAsia"/>
          <w:szCs w:val="21"/>
        </w:rPr>
        <w:t>207.154万元</w:t>
      </w:r>
    </w:p>
    <w:p w:rsidR="00CD58DA" w:rsidRPr="00CD58DA" w:rsidRDefault="00CD58DA" w:rsidP="00CD58DA">
      <w:pPr>
        <w:spacing w:line="360" w:lineRule="auto"/>
        <w:ind w:firstLineChars="147" w:firstLine="310"/>
        <w:rPr>
          <w:rFonts w:asciiTheme="minorEastAsia" w:hAnsiTheme="minorEastAsia" w:cs="Times New Roman"/>
          <w:b/>
          <w:szCs w:val="21"/>
        </w:rPr>
      </w:pPr>
      <w:r w:rsidRPr="00CD58DA">
        <w:rPr>
          <w:rFonts w:ascii="宋体" w:eastAsia="宋体" w:hAnsi="宋体" w:cs="Times New Roman" w:hint="eastAsia"/>
          <w:b/>
          <w:szCs w:val="21"/>
        </w:rPr>
        <w:t>本分标的</w:t>
      </w:r>
      <w:r w:rsidRPr="00CD58DA">
        <w:rPr>
          <w:rFonts w:asciiTheme="minorEastAsia" w:hAnsiTheme="minorEastAsia" w:cs="Times New Roman" w:hint="eastAsia"/>
          <w:b/>
          <w:szCs w:val="21"/>
        </w:rPr>
        <w:t>核心产品为下表的第</w:t>
      </w:r>
      <w:r w:rsidRPr="00CD58DA">
        <w:rPr>
          <w:rFonts w:asciiTheme="minorEastAsia" w:hAnsiTheme="minorEastAsia" w:cs="Times New Roman" w:hint="eastAsia"/>
          <w:b/>
          <w:szCs w:val="21"/>
          <w:u w:val="single"/>
        </w:rPr>
        <w:t>1</w:t>
      </w:r>
      <w:r w:rsidRPr="00CD58DA">
        <w:rPr>
          <w:rFonts w:asciiTheme="minorEastAsia" w:hAnsiTheme="minorEastAsia" w:cs="Times New Roman" w:hint="eastAsia"/>
          <w:b/>
          <w:szCs w:val="21"/>
        </w:rPr>
        <w:t>项产品“单片机创新型综合实验装置”、第</w:t>
      </w:r>
      <w:r w:rsidRPr="00CD58DA">
        <w:rPr>
          <w:rFonts w:asciiTheme="minorEastAsia" w:hAnsiTheme="minorEastAsia" w:cs="Times New Roman" w:hint="eastAsia"/>
          <w:b/>
          <w:szCs w:val="21"/>
          <w:u w:val="single"/>
        </w:rPr>
        <w:t>8</w:t>
      </w:r>
      <w:r w:rsidRPr="00CD58DA">
        <w:rPr>
          <w:rFonts w:asciiTheme="minorEastAsia" w:hAnsiTheme="minorEastAsia" w:cs="Times New Roman" w:hint="eastAsia"/>
          <w:b/>
          <w:szCs w:val="21"/>
        </w:rPr>
        <w:t>项产品:“工业网络智能控制与维护实训考核装置”。</w:t>
      </w:r>
    </w:p>
    <w:p w:rsidR="00CD58DA" w:rsidRPr="00CD58DA" w:rsidRDefault="00CD58DA" w:rsidP="00CD58DA">
      <w:pPr>
        <w:spacing w:line="380" w:lineRule="exact"/>
        <w:jc w:val="center"/>
        <w:rPr>
          <w:rFonts w:ascii="Times New Roman" w:eastAsia="宋体" w:hAnsi="Times New Roman" w:cs="Times New Roman"/>
          <w:kern w:val="0"/>
          <w:sz w:val="24"/>
          <w:szCs w:val="24"/>
        </w:rPr>
      </w:pPr>
      <w:r w:rsidRPr="00CD58DA">
        <w:rPr>
          <w:rFonts w:asciiTheme="minorEastAsia" w:hAnsiTheme="minorEastAsia" w:cs="Times New Roman" w:hint="eastAsia"/>
          <w:kern w:val="0"/>
          <w:sz w:val="24"/>
          <w:szCs w:val="21"/>
        </w:rPr>
        <w:t>采购需求一览表</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7"/>
        <w:gridCol w:w="712"/>
        <w:gridCol w:w="139"/>
        <w:gridCol w:w="708"/>
        <w:gridCol w:w="709"/>
        <w:gridCol w:w="709"/>
        <w:gridCol w:w="5811"/>
      </w:tblGrid>
      <w:tr w:rsidR="00CD58DA" w:rsidRPr="00CD58DA" w:rsidTr="00CA6791">
        <w:trPr>
          <w:trHeight w:val="824"/>
          <w:jc w:val="center"/>
        </w:trPr>
        <w:tc>
          <w:tcPr>
            <w:tcW w:w="767" w:type="dxa"/>
            <w:vAlign w:val="center"/>
          </w:tcPr>
          <w:bookmarkEnd w:id="0"/>
          <w:bookmarkEnd w:id="1"/>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序号</w:t>
            </w:r>
          </w:p>
        </w:tc>
        <w:tc>
          <w:tcPr>
            <w:tcW w:w="851" w:type="dxa"/>
            <w:gridSpan w:val="2"/>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标的的名称</w:t>
            </w:r>
          </w:p>
        </w:tc>
        <w:tc>
          <w:tcPr>
            <w:tcW w:w="708"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数量</w:t>
            </w:r>
          </w:p>
        </w:tc>
        <w:tc>
          <w:tcPr>
            <w:tcW w:w="709"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单位</w:t>
            </w:r>
          </w:p>
        </w:tc>
        <w:tc>
          <w:tcPr>
            <w:tcW w:w="709"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Arial" w:hint="eastAsia"/>
                <w:szCs w:val="21"/>
              </w:rPr>
              <w:t>所属行业</w:t>
            </w:r>
          </w:p>
        </w:tc>
        <w:tc>
          <w:tcPr>
            <w:tcW w:w="5811"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Times New Roman" w:hint="eastAsia"/>
                <w:szCs w:val="21"/>
              </w:rPr>
              <w:t>技术要求</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单片机创新型综合实验装置</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26</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一、功能参数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1、单片机创新型综合实验装置要求集仿真、下载与实验三合一的多功能单片机实验箱，能够帮助学生掌握单片机硬件电路知识、增强编程能力；</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2、实验箱的 I/O 口及外围功能模块硬件资源完全开放，操作者可以使用汇编语言及 C51 语言设计程序完成实验项目；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3、实验箱能够实现硬件仿真和调试功能，还可通过计算机串口将编译器生成的机器码下载至单片机，完成多个项目的实验；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实验箱是由一块底板加上多个子模块组成的，学生可以随意的切换子模块，与核心板自由组合。实验箱配有四块不同型号的单片机，学生可以自由切换不同的核心板与子模块搭配使用，让学生更加透彻的了解每个子模块的性能以及不同型号单片机的功能特性，让不同需求的学生得到不同的体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5、实验箱内包含多个功能模块，学生可以随意的切换模块，</w:t>
            </w:r>
            <w:r w:rsidRPr="00CD58DA">
              <w:rPr>
                <w:rFonts w:ascii="宋体" w:eastAsia="宋体" w:hAnsi="宋体" w:cs="宋体" w:hint="eastAsia"/>
                <w:szCs w:val="21"/>
              </w:rPr>
              <w:lastRenderedPageBreak/>
              <w:t>与核心板自由组合。例如：如果要搭建一个交通灯实验，可以将需要采用的核心板、交通灯模块、液晶屏等组合起来完成实验。如果要搭建一个温度采集实验，可以将核心板、温度传感器模块、液晶屏模块等组合起来完成实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▲6、采用实验箱模块化设计，采用磁吸式连接方式，具有防插错功能，可方便后期按要求扩展增加模块；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▲7、模块采用 Pogo Pin 模式，PCB材质。Pogo Pin 是一种由针头和针管以及弹簧三个基本部件通过精密仪器铆压之后形成的弹簧式探针。Pogo Pin 的针头的底部通常是斜面结构，斜面结构作用是确保 Pogo Pin 在工作时保持针头与针管内壁接触，让电流主要通过镀金的针头和针管以确保 Pogo Pin 的稳定及低阻抗；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8、实验箱底板安装 2 号台阶插座，并可无限拓展；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9、外形尺寸： 实验箱约：尺寸为 435mm×310mm×102mm±5%（长×宽×高），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模块箱约：435mm×320mm×135mm±5%（长×宽×高）；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10、安全保护：具有接地保护、漏电保护功能，安全性符合相关的国家标准。采用绝缘的安全型插座及带绝缘护套的安全型实验导线。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二、可完成的实训项目：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1、灯光闪烁实训：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1）单灯闪烁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2）跑马灯；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3）双色 LED 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2、按键输入实训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1）独立按键；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2）矩阵按键；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3）拨动开关。</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3、数码管显示实训：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1）四位静态数码管；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2）四位动态数码管。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4、点阵屏实训；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5、继电器实训；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6、串口通信实训；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7、IIC 总线 24C02 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8、A/D 和 D/A 转换实训：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1）串行 AD-DA；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2）ADC0809 转换；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3）DAC0832 转换。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9、基本运放电路实训：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1）同向放大；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2）反向放大；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3）电压跟随；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4）差分放大；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10、4HC138 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11、74HC148 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12、CD4040S0 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13、CD40106 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14、看门狗实训；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15、IV 转换实训；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16、VF-FV 转换实训；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17、电平及脉冲输出实训；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18、温度传感器实训；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19、湿度传感器实训；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20、红外遥控实训；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21、酒精传感器实训；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22、超声波传感器实训；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23、RTC 时钟输出实训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24、FLASH 存储实训；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25、LCD 液晶显示实训：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26、电机实训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1)直流电机；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2）步进电机；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3）舵机。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27、RS485 通信实训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28、CAN 总线通信实训；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29、语音合成实训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30、语音录放实训。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 xml:space="preserve">三、设备配置：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1、STC15 单片机核心模块，数量 1个，尺寸要求：80×60mm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2、STM32F103 单片机核心模块，数量 1 个，尺寸要求：80×60mm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3、ADC0809 转换实训模块，数量1个，尺寸要求：40×40mm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4、24c02 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5、W25Q64 实训模块，数量 1 个，尺寸要求：40×40mm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6、74HC138 实训模块，数量 1 个，尺寸要求：40×40mm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7、74HC148 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8、八位 LED 灯实训模块，数量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9、CAN 总线实训模块，数量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10、CD4040 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11、CD40106 实训模块，数量 1个，尺寸要求：40×40mm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12、IV 转换实训模块，数量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13、实时时钟 RTC 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14、温度传感器实训模块，数量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15、湿度传感器实训模块，数量 1 个，尺寸要求：40×40mm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16、红外遥控实训模块，数量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17、看门狗电路实训模块，数量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18、酒精传感器实训模块，数量 1 个，尺寸要求：40×40mm ±</w:t>
            </w:r>
            <w:r w:rsidRPr="00CD58DA">
              <w:rPr>
                <w:rFonts w:ascii="宋体" w:eastAsia="宋体" w:hAnsi="宋体" w:cs="宋体" w:hint="eastAsia"/>
                <w:szCs w:val="21"/>
              </w:rPr>
              <w:lastRenderedPageBreak/>
              <w:t xml:space="preserve">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19、串行 AD-DA 实训模块，数量 1个，尺寸要求：40×40mm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20、串转并实训模块，数量 1 个，尺寸要求：40×40mm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21、并转串实训模块，数量 1 个，尺寸要求：40×40mm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22、双色 LED 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23、DAC0832 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24、语音控制实训模块，数量 1个，尺寸要求：60×60mm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25、步进电机实训模块，数量 1 个，尺寸要求：60×60mm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26、超声波测距实训模块，数量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27、485 通信实训模块，数量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28、直流电机实训模块，数量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29、电平及脉冲输出实训模块，数量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30、十六位逻辑电平显示实训模块，数量 1 个，尺寸要求：60×60mm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31、功放实训模块，数量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32、VF-FV 转换实训模块，数量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33、继电器（串行）实训模块，数量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34、运算放大电路实训模块，数量 1 个，尺寸要求：60×60mm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35、语音录放实训模块，数量 1 个，尺寸要求：60×60mm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36、四位静态数码管实训模块，数量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 xml:space="preserve">37、2.4 寸触摸屏实训模块，数量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38、按键与拨动开关实训模块，数量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39、点阵屏模实训模块，数量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40、舵机实训模块，数量 1 个，尺寸要求：80×80mm ±5%。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41、四位动态数码管实训模块，数量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42、八位动态数码管实训模块，数量 1 个，尺寸要求：80×80mm ±5%。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43、配套工具，数量 1 套，包括一字螺丝刀、十字螺丝刀、 万用表、电子连线。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44、配套实训指导书，数量 1 套。</w:t>
            </w:r>
          </w:p>
          <w:p w:rsidR="00CD58DA" w:rsidRPr="00CD58DA" w:rsidRDefault="00CD58DA" w:rsidP="00CD58DA">
            <w:pPr>
              <w:snapToGrid w:val="0"/>
              <w:spacing w:line="400" w:lineRule="atLeast"/>
              <w:rPr>
                <w:rFonts w:ascii="宋体" w:eastAsia="宋体" w:hAnsi="宋体" w:cs="宋体"/>
                <w:szCs w:val="21"/>
              </w:rPr>
            </w:pP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2</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单片机教学资源包</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imes New Roman" w:eastAsia="宋体" w:hAnsi="Times New Roman" w:cs="Times New Roman" w:hint="eastAsia"/>
                <w:szCs w:val="21"/>
              </w:rPr>
              <w:t>软件和信息技术服务业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1.智能物料搬运装置仿真软件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智能物料搬运装置仿真软件中分成两个部分，一部分是实训实验，另一部分是演示实验。在实训实验部分，学生可以通过自己编写单片机程序来控制智能物料搬运装置的运动，而在演示实验部分，学生可以观看智能物料搬运装置的一般运动过程，有助于自己来编写单片机程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学生把自己编写的单片机程序下载到单片机中，通过使用智能物料搬运装置仿真软件来模拟运行。学生可以在智能物料搬运装置仿真软件中进行端口设置，而智能物料搬运装置仿真软件将会保存学生的端口设置，下次学生进行实验时，智能物料搬运装置仿真软件将直接读取上次学生所设置的端口，学生可以不用再次设置端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3）软件主界面 ：智能物料搬运装置仿真软件主界面上有 6 个按钮：“自动演示”按钮、“启动”按钮、“停止” 按钮、“串口设置”按钮、“端口设置”按钮和“退出”按钮。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▲2.线上教学平台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1）线上教学平台：要求可以通过PC端或手机APP为采购人开放，提供持续的课程资源升级服务，并可定期开展专业教师远程视频、在线直播指导辅助教学、实现多个系统间大范围、</w:t>
            </w:r>
            <w:r w:rsidRPr="00CD58DA">
              <w:rPr>
                <w:rFonts w:ascii="宋体" w:eastAsia="宋体" w:hAnsi="宋体" w:cs="宋体" w:hint="eastAsia"/>
                <w:szCs w:val="21"/>
              </w:rPr>
              <w:lastRenderedPageBreak/>
              <w:t>大容量数据的交互、信息传输等服务功能；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平台提供电气自动化、机电一体化、工业机器人应用、电子电工技术、机械传动、液压与气动、电机装配与维修检测、智能楼宇、供配电技术、智能电网等课程学习，总课时数≥1000课，总视频时间长≥400小时。视频应包括但不限于以下内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单片机：MCU01主机模块、MCU04STC主机模块及程序下载的使用与介绍、灯光闪烁实训、跑马灯实训、金属检测实训、独立按键实训、动态数码管实训、单总线18B20温度采集实训、74HC165并行扩展实训、TLC1549模数转换实训、TLC5615数模转换实训、PCF8563实时时钟实训、24C04EEPROM掉电存储实训、74HC377扩展实训、WiFi通讯模块实训、传感器配接模块实训、74HC595实训、74LS245实训、G001机械手实训、G003智能立体仓库实训、模拟自动售货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电子：单管放大电路的研究、整流、滤波及稳压电路的研究、直流稳压正、负电源电路的研究、OTL功率放大电路调试及故障排除、LM386集成音响功率放大电路及其应用、运算放大器基本运算电路、运放器组成的积分、微分运算电路研究、运放器组成的电压比较器传输特性的研究、方波、三角波和锯齿波发生器电路的研究与测试、三角波、方波及正弦波发生器的制作竞赛、基本逻辑门电路功能测试、555定时器基本应用电路、声光控制节能路灯电路、秒脉冲信号发生器、救护车消防车声响报警电路、移位寄存器彩灯显示电路、8位优先编码器抢答电路、触摸式密码电子锁电路、数字钟电路、单结晶体管触发电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（3）平台应包括：普通用户、学校用户、企业用户、视频搜索模块、视频观看模块、官方信息模块、查询当前设备状态、历史数据、统计分析、年月报表、设备管理和审核信息等模块组成；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▲3.远程监控教学管理系统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1）模块工作电源：DC5V；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2）温度：－10～40℃；环境湿度：≤90%（25℃；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3）模块尺寸：长×宽×高=96mm×64mm×24mm；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4）模块功耗：≤10W；</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5）智能装备云平台系统要求可以通过硬件模块监测设备的运</w:t>
            </w:r>
            <w:r w:rsidRPr="00CD58DA">
              <w:rPr>
                <w:rFonts w:ascii="宋体" w:eastAsia="宋体" w:hAnsi="宋体" w:cs="宋体" w:hint="eastAsia"/>
                <w:szCs w:val="21"/>
              </w:rPr>
              <w:lastRenderedPageBreak/>
              <w:t>行情况并把信息通过GPRS发送给装备云平台服务器，可进行查看及相关管理操作；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6）要求同时支持手机、平板电脑及PC及等通过浏览器计入平台网站进行访问、查询及管理；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7）功能要求功能：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（1）当前介绍：平台介绍及该技术的发展以应用；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（2）当前状态：查看当前全国设备的开机情况，查看学校的设备信息及开机时间，同时可以通过搜索学校来查询该学校设备相关情况；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（3）历史数据：查看目前全国设备的历史使用情况及详细信息；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（4）年月报表：查看全国设备的年月报表情况，通过选择年、月、学校、设备，可以查看该年该月相关设备的使用统计；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（5）设备管理：添加设备、修改设备、删除设备；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（6）用户管理：超级管理员可查看该平台的用户详细情况，修改用户除用户名的信息，修改用户权限；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（7）审核信息：管理员通过确认用户信息，完成用户审核等；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8）智能装备云平台的用户分为4级：1级 超级管理员、2级 管理员、3级 学校教师、4级 未认证用户及待认证用户；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（1）超级管理员：具有系统介绍、当前状态、历史数据、统计分析、年月报表、设备管理、用户管理和审核信息等8项功能；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（2）普通管理员：具有系统介绍、当前状态、历史数据、统计分析、年月报表、设备管理和审核信息等7项功能；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（3）学校用户：注册用户经管理员审核通过后，登录系统，可看到如下界面。具有查看当前状态、历史数据、统计分析和年月报表的功能（具体见使用说明）；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（4）未认证用户：新注册的账户不具有相关操作功能，只有完善信息并通过管理员的审核后才具有相关的功能；</w:t>
            </w:r>
          </w:p>
          <w:p w:rsidR="00CD58DA" w:rsidRPr="00CD58DA" w:rsidRDefault="00CD58DA" w:rsidP="00CD58DA">
            <w:pPr>
              <w:snapToGrid w:val="0"/>
              <w:spacing w:line="400" w:lineRule="atLeast"/>
              <w:rPr>
                <w:rFonts w:ascii="宋体" w:eastAsia="宋体" w:hAnsi="宋体" w:cs="宋体"/>
                <w:szCs w:val="21"/>
              </w:rPr>
            </w:pP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3</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CAD图形设计工作机</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57</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一、显示器要求：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▲1、配套与主机同品牌显示器，显示屏幕≥27英寸，分辨率≥1920×1080，屏幕亮度≥250nit；</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2、为保证屏幕色彩显示真实度，显示屏幕面板采用VA技术；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3、对比度≥2000：1，屏幕刷新率达到≥65Hz，响应时间≤4ms，可视角度≥178°；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4、视频out接口VGA+HDMI；</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二、4U塔式机箱，商用主机：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▲1、CPU：参照或相当于12代I7-12700 英特尔酷睿12核20线程同性能及以上性能处理器 ；睿频≥4.9GHz；≥25M三级缓存；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板：参照或相当于英特尔B660系列芯片组同性能主板及以上性能主板，带BIOS自动控制的可变速CPU风扇，配备智能散热系统包括由BIOS管理的智能风扇通过对机箱内部的温度感应来调节风扇速度，有效的降低噪音的同时高效散热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3、内存：支持双通道内存，最大支持64G内存容量内存及端口：本次配置≥16G DDR4 2933，支持≥4个DIMM插槽扩展， 支持 ECC （错误检查和纠正）；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▲4、硬盘：原厂标配机械硬盘≥1TB+固态硬盘≥256G SSD M.2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5、键盘/鼠标：原厂同品牌标准键盘和鼠标；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6、端口和接口：前置面板接口USB 3.0 Gen 1≥4个；麦克风输入≥1个，音频输出≥1个；后置面板：USB 2.0≥4个；HDMI输出≥1个；VGA输出≥1个；DP输出≥1个；音频输出≥1个；9针串口≥1个；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7、内部插槽：PCIEX16≥1（支持拓展独立显卡）；PCIEX1≥1；RJ45千兆网卡≥1个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▲8、机箱：前置电源开关, 内置≥2W扬声器/0.6mm厚精钢防辐射机箱，≥13.6L机箱；适配电脑桌尺寸；【要求投标文件中提供相关证明材料（可以是彩页、官网和功能截图等），证明具备上述功能或技术参数指标，并加盖供应商公章】。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9、电源：采用要求电源额定≥260W高效率热插拔电源模块或以上，支持睿能技术，噪音优化；兼容市场主流电源；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三、配置教学管理软件要求：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含57个点位授权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1、管理软件支持C/S与B/S混合架构管理，控制台支持多语言（中文简、繁体、英文）（投标文件中需提供双模式管理的功能界面截图，中文简体、繁体、英文界面截图并加盖投标人</w:t>
            </w:r>
            <w:r w:rsidRPr="00CD58DA">
              <w:rPr>
                <w:rFonts w:ascii="宋体" w:eastAsia="宋体" w:hAnsi="宋体" w:cs="宋体" w:hint="eastAsia"/>
                <w:szCs w:val="21"/>
              </w:rPr>
              <w:lastRenderedPageBreak/>
              <w:t>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▲2、在一个界面上， 提供资源概览功能，包括镜像数量， 磁盘数量，分组数量，提供终端统计功能，包含终端总量，在线数量， 离线数量，一键唤醒全部终端，一键关闭全部终端；提供部署进度统计功能，包括完成部署，在整部署，正在分析，以及异常终端统计。（投标文件中提供相关功能截图并加盖投标人公章）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支持授权信息展示，快捷入口（首次使用、上传更新、重新部署），服务器概况图形化展示（负载状态、CPU使用率、内存使用率、硬盘使用率、在线终端），终端状态图形化展示、支持一键唤醒、关机和重启；（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4、支持批量管理设置终端机计算机名、IP地址等配置信息。针对不同的群组指定不同的部署策略、虚拟磁盘。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5、软件需支持磁盘虚拟化技术，实现不同品牌所有的计算机终端集中统一管理。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▲6、支持同传网络探测与网络速度监控，可实时监控所管理的终端的网络速度和部署进度。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7、支持跨网段部署，软件负载要求，单台入门级服务器（或主流PC）可管理客户端≥500台。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8、多环境教学组合：自定义多个教学系统环境的复原组合，独立设置某一系统盘数据盘的还原模式，支持计算机名、IP地址等信息的导入导出功能。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9、服务端软件需支持一键简易升级，原有机房客户端软件无需升级，即可实现不同软件版本的客户端统一管理。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10、支持从服务器端发起对客户端进行远程开机、关机、重启，支持管理员远程控制客户端。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▲11、支持操作系统快照节点间的任意切换及快速恢复，切换恢复后不会删除或影响其他快照节点，且每个操作系统下的快照节点数量不少于12个。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12、支持客户端IP占位功能，实现新客户端加入服务端时，不会由于单点的故障，而影响整体的计算机名和IP排序管理。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▲13、支持批量设定终端的计算机名称和IP地址等信息，并针对不同的系统可设置不同的计算机名称和IP地址，以满足</w:t>
            </w:r>
            <w:r w:rsidRPr="00CD58DA">
              <w:rPr>
                <w:rFonts w:ascii="宋体" w:eastAsia="宋体" w:hAnsi="宋体" w:cs="宋体" w:hint="eastAsia"/>
                <w:szCs w:val="21"/>
              </w:rPr>
              <w:lastRenderedPageBreak/>
              <w:t>教学上课、上机培训、托福考试，高考阅卷等不同的应用需求；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14、为保障教学课堂纪律，在不需要教学管理软件的情况下，禁止学生在教师授课时私自操作电脑，支持管理员一键禁用、启用所有学生机的键盘、鼠标。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▲15、系统需软件预注册功能，一台客户机上传更新并注册软件后，其他客户机只需要重启即可自动注册；（投标文件中提供相关功能截图并加盖投标人公章）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16、双硬盘支持，支持NVME，M.2新型高速固态硬盘，同时支持容量不同的固态硬盘和机械硬盘组成一个全新的虚拟磁盘，虚拟磁盘空间可按需分配，同时兼容新老机型部署。</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管理分组及桌面分配：支持将客户端进行分组的方式管理，管理员可根据配置好的镜像分配给相应的分组，支持P2P部署功能，可在正常上课的同时边部署边使用，支持分区共享，支持断点续传，不需要强制一次下发完成，大幅减少网络传输中的重复数据，可以大幅提高传输效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18、终端在无操作系统的裸机状态下，开机设置网络启动后，连上服务端即可使用，无须提前网络部署或对终端硬盘进行任何的操作。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19、支持客户端双硬盘的统一部署和保护还原，支持每次/天/周/月及手动还原等多种恢复策略。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▲20、支持客户端共存操作系统数量不少于64个，并需具有多项系统部署策略，不局限于部署所有系统，部署默认系统，部署隐藏系统等策略。（投标文件中提供相关功能截图并加盖投标人公章）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21、终端需支持在断网或服务端宕机的极端情况下，部署至本地硬盘的所有操作系统，均可正常使用和每次开机还原，同时提供单机保存的管理接口。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▲22、通过桌面云服务器部署至终端本地硬盘的操作系统，需支持卸载客户端软件，同时保留操作系统的功能，便于管理人员对终端的灵活调配。（投标文件中提供相关功能截图并加盖投标人公章）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23、终端开机操作系统选单需支持中文显示及密码验证进入功能，每个系统名称需支持不少于10个汉字，每个系统可设置不同的验证密码。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24、支持客户端裸机开机使用，并提供开机自动部署的开关，用户可灵活手动调整。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在终端系统每次还原策略下，支持对直连打印机，共享，打印机驱动，以及系统内默认纸张的智能记忆与全自动设置。在减轻维护工作的同时，达到对打印机的智能管理。（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四、服务及保修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▲1、原厂三年有限保修，全年无休。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2、供货时提供3年7×24售后支持服务证明，供货时提供原厂基础安装服务。</w:t>
            </w:r>
          </w:p>
          <w:p w:rsidR="00CD58DA" w:rsidRPr="00CD58DA" w:rsidRDefault="00CD58DA" w:rsidP="00CD58DA">
            <w:pPr>
              <w:snapToGrid w:val="0"/>
              <w:spacing w:line="400" w:lineRule="atLeast"/>
              <w:rPr>
                <w:rFonts w:ascii="宋体" w:eastAsia="宋体" w:hAnsi="宋体" w:cs="宋体"/>
                <w:szCs w:val="21"/>
              </w:rPr>
            </w:pP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4</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CAD多功能图形设计工作平台</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28</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1、台面采用≥25mm厚密度板，抗弯力强，不易变形；耐磨性强，承载能力强，绿色环保，也没有有害物质溢出，桌面采用约2.0mm厚3：1配料PVC封边经200度高温胶全自动机器直封边；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铁架：主台脚架采用≥50×15×1.2mmQ195钢管材质，主脚横梁采用≥50×50×1.2mm钢管材质，连接横梁采用≥50×25×1.2mm厚方管，背板及柜门采用≥0.8mm厚冷轧钢板一次性成形，柜门配一锁通，主台脚均配线槽，金属件涂层无漏喷，锈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光滑均匀，色泽一致，无流挂，疙瘩，皱皮，飞漆等现象缺陷，焊接件焊接时采用二氧化碳保护焊接，焊接件之间的连接部分均应全部圈焊接，不允许脱焊，气孔，焊瘤，焊丝头，咬边飞溅；焊接后经打磨，酸洗，磷化，除油等处理；                                                               4、双人型平台规格：≥1500W×750D×750H(mm)；</w:t>
            </w:r>
          </w:p>
          <w:p w:rsidR="00CD58DA" w:rsidRPr="00CD58DA" w:rsidRDefault="00CD58DA" w:rsidP="00CD58DA">
            <w:pPr>
              <w:snapToGrid w:val="0"/>
              <w:spacing w:line="400" w:lineRule="atLeast"/>
              <w:rPr>
                <w:rFonts w:ascii="Times New Roman" w:eastAsia="宋体" w:hAnsi="Times New Roman" w:cs="Times New Roman"/>
                <w:szCs w:val="24"/>
              </w:rPr>
            </w:pPr>
            <w:r w:rsidRPr="00CD58DA">
              <w:rPr>
                <w:rFonts w:ascii="宋体" w:eastAsia="宋体" w:hAnsi="宋体" w:cs="宋体" w:hint="eastAsia"/>
                <w:szCs w:val="21"/>
              </w:rPr>
              <w:t>5、</w:t>
            </w:r>
            <w:r w:rsidRPr="00CD58DA">
              <w:rPr>
                <w:rFonts w:ascii="Times New Roman" w:eastAsia="宋体" w:hAnsi="Times New Roman" w:cs="Times New Roman" w:hint="eastAsia"/>
                <w:szCs w:val="24"/>
              </w:rPr>
              <w:t>每套平台配备</w:t>
            </w:r>
            <w:r w:rsidRPr="00CD58DA">
              <w:rPr>
                <w:rFonts w:ascii="Times New Roman" w:eastAsia="宋体" w:hAnsi="Times New Roman" w:cs="Times New Roman" w:hint="eastAsia"/>
                <w:szCs w:val="24"/>
              </w:rPr>
              <w:t>2</w:t>
            </w:r>
            <w:r w:rsidRPr="00CD58DA">
              <w:rPr>
                <w:rFonts w:ascii="Times New Roman" w:eastAsia="宋体" w:hAnsi="Times New Roman" w:cs="Times New Roman" w:hint="eastAsia"/>
                <w:szCs w:val="24"/>
              </w:rPr>
              <w:t>张工作凳，规格约：</w:t>
            </w:r>
            <w:r w:rsidRPr="00CD58DA">
              <w:rPr>
                <w:rFonts w:ascii="Times New Roman" w:eastAsia="宋体" w:hAnsi="Times New Roman" w:cs="Times New Roman" w:hint="eastAsia"/>
                <w:szCs w:val="24"/>
              </w:rPr>
              <w:t>340W</w:t>
            </w:r>
            <w:r w:rsidRPr="00CD58DA">
              <w:rPr>
                <w:rFonts w:ascii="Times New Roman" w:eastAsia="宋体" w:hAnsi="Times New Roman" w:cs="Times New Roman" w:hint="eastAsia"/>
                <w:szCs w:val="24"/>
              </w:rPr>
              <w:t>×</w:t>
            </w:r>
            <w:r w:rsidRPr="00CD58DA">
              <w:rPr>
                <w:rFonts w:ascii="Times New Roman" w:eastAsia="宋体" w:hAnsi="Times New Roman" w:cs="Times New Roman" w:hint="eastAsia"/>
                <w:szCs w:val="24"/>
              </w:rPr>
              <w:t>240D</w:t>
            </w:r>
            <w:r w:rsidRPr="00CD58DA">
              <w:rPr>
                <w:rFonts w:ascii="Times New Roman" w:eastAsia="宋体" w:hAnsi="Times New Roman" w:cs="Times New Roman" w:hint="eastAsia"/>
                <w:szCs w:val="24"/>
              </w:rPr>
              <w:t>×</w:t>
            </w:r>
            <w:r w:rsidRPr="00CD58DA">
              <w:rPr>
                <w:rFonts w:ascii="Times New Roman" w:eastAsia="宋体" w:hAnsi="Times New Roman" w:cs="Times New Roman" w:hint="eastAsia"/>
                <w:szCs w:val="24"/>
              </w:rPr>
              <w:t>450H</w:t>
            </w:r>
            <w:r w:rsidRPr="00CD58DA">
              <w:rPr>
                <w:rFonts w:ascii="Times New Roman" w:eastAsia="宋体" w:hAnsi="Times New Roman" w:cs="Times New Roman" w:hint="eastAsia"/>
                <w:szCs w:val="24"/>
              </w:rPr>
              <w:t>（</w:t>
            </w:r>
            <w:r w:rsidRPr="00CD58DA">
              <w:rPr>
                <w:rFonts w:ascii="Times New Roman" w:eastAsia="宋体" w:hAnsi="Times New Roman" w:cs="Times New Roman" w:hint="eastAsia"/>
                <w:szCs w:val="24"/>
              </w:rPr>
              <w:t>mm</w:t>
            </w:r>
            <w:r w:rsidRPr="00CD58DA">
              <w:rPr>
                <w:rFonts w:ascii="Times New Roman" w:eastAsia="宋体" w:hAnsi="Times New Roman" w:cs="Times New Roman" w:hint="eastAsia"/>
                <w:szCs w:val="24"/>
              </w:rPr>
              <w:t>），</w:t>
            </w:r>
            <w:r w:rsidRPr="00CD58DA">
              <w:rPr>
                <w:rFonts w:ascii="宋体" w:eastAsia="宋体" w:hAnsi="宋体" w:cs="宋体" w:hint="eastAsia"/>
                <w:szCs w:val="21"/>
              </w:rPr>
              <w:t>实木结构，全部木材经过打磨，除菌，干燥处理，产品介绍平整、不起皱、不变形，能达到国际硬度标准，牢固而美观；木材喷漆处理，经过特殊表面处理工序，油漆经过多层过滤，使表面光滑不气泡，附着力和耐磨性均符合国际标准，使用环保型油漆。多功能工作凳与多功能设计台配套，外观符合实验室整体色调要求。</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5</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网络机柜</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1、尺寸：≥600×600×1200mm；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2、厚度：方孔条≥1.8，其他≥1.0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 xml:space="preserve">3、材质：SPCC冷轧钢板；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4、防护等级：≥IP20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5、机柜表面处理：脱脂、酸洗、防锈磷化、纯水清洗、静电喷塑：玻璃门及自由拆装的钢板后门；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6、机柜采用框架结构，快开侧门，方便安装和维修，托盘可根据用户要求，上下自由调整。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7、前钢化玻璃门和带透气孔门条及网孔后门，方便通风散热，通风率不小于72%。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8、可同时安装脚轮和支撑脚。</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6</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接入交换机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Times New Roman" w:eastAsia="宋体" w:hAnsi="Times New Roman" w:cs="Times New Roman" w:hint="eastAsia"/>
                <w:szCs w:val="21"/>
              </w:rPr>
              <w:t>3</w:t>
            </w:r>
          </w:p>
        </w:tc>
        <w:tc>
          <w:tcPr>
            <w:tcW w:w="709"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台</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▲1、千兆电口≥24个，1G/2.5G SFP光口≥4个；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2、交换机交换容量：≥336Gbps，包转发率：≥108Mpps；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3.支持二层广播，配置静态IP地址，DHCP Option43方式，DNS域名上线；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4、支持STP、RSTP、MSTP协议；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▲5、支持M-LAG技术，跨设备链路聚合，配对的设备有独立的控制平面（投标文件中提供功能截图等证明）；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6、支持防网关ARP欺骗、管理员分级管理、支持端口保护、隔离；支持防止DOS、ARP攻击功能；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7、支持通过APP进行远程管理，并且可以修改交换机网络配置；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▲8、支持终端类型库，基于指纹自动识别PC、路由器、摄像头设备、无线AP等（投标时要求提供具有CMA和CNAS认证章的第三方权威机构测试报告或相关功能截图证明）；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9、支持可视化查看网关IP、排除IP、预留IP等；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10、支持可视化查看IP冲突次数，终端获取IP地址失败次数，并统计最近发生时间。</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7</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系统集成</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1、根据实际情况设计设备安装最佳位置，整体系统有专业工程师现场安装、联调，确保设备使用达到专业效果；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2、实训室用配电箱、强电布线，信息点布线、相关辅材（配套设备电源线，六类网线，插座，地面保护槽、PVC 线槽、开孔及埋管等费用）等相关费用；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3、整个实训室设备安装、调试、验收、培训，保证学校能正常使用。</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8</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工业网</w:t>
            </w:r>
            <w:r w:rsidRPr="00CD58DA">
              <w:rPr>
                <w:rFonts w:ascii="宋体" w:eastAsia="宋体" w:hAnsi="宋体" w:cs="宋体" w:hint="eastAsia"/>
                <w:szCs w:val="21"/>
              </w:rPr>
              <w:lastRenderedPageBreak/>
              <w:t>络智能控制与维护实训考核装置</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lastRenderedPageBreak/>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一、设备功能要求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1.工业网络智能控制与维护实训考核装置要求以物料自动化供料、传输、检测、分选、装配、入库等生产过程为应用技术场景，集成PLC、工业以太网、现场总线、工业机械手、RFID、传感检测系统、增加信息化器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2.装置要求融入云平台数据管理与MES管理系统，可实现对生产现场的实时监控、调度和优化等功能，与数字孪生融合，贴合行业发展和智能制造技术的进步。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3.装置要求包含工业网络单元、控制单元、检测单元、执行单元、信息管理单元等组成。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（1）工业网络单元主要包括三层交换机、防火墙、边缘网关等部件，利用以太网通信接口实现整个生产线系统的网络通信，能够实现与其它单元的网络通信与数据传输。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（2）控制单元包括 PLC、伺服控制器、远程 I/O 等电气部件，用于接收来自检测单元的传感数据，发送控制指令，实现执行单元的动作执行，以及和信息管理单元实现数据可视化、信息化管理等功能。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（3）检测单元主要包括工业视觉、条码/二维码检测、 称重检测等产品检测装置，以及对整个生产线系统的设备状态、环境参数实时监测的各类传感装置，包括温度、湿度、电能、电量等动力环境监测。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（4）执行单元包括机械手、传输带、气缸等执行元件，能够实现整个生产线系统的物料入库、物料组装、物料搬运等生产执行环节。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5）信息管理单元配置触摸屏（HMI）、显示屏等人机交互硬件，同时也配置基于工业网络仿真测试和生产管理系统（MES）等软件，能够实现工业网络与生产线系统的设计分析、仿真优化，以及整个生产线系统生产状态、生产数据、工艺工序的数字化、信息化管理等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4.装置技术要求及配置要求满足2023年全国职业院校技能大赛“工业网络智能控制与维护”赛项、2024年广西职业院校技能大赛“工业网络智能控制与维护”赛项竞赛要求。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二、设备主要技术参数要求：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1.工作台A尺寸约：长×宽×高1600mm×1120mm×1900mm（±10mm）；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2.工作台B尺寸约：长×宽×高800mm×1120mm×1900mm（±10mm）；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3.工业网络控制柜尺寸约：长×宽×高 800mm×600mm×1800mm（±10mm）；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4.输入电源： AC 220V±10%  50HZ；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5.输入功率：≤3kw；</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6.设备重量： ≤980kg；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7.安全保护：具有接地保护、漏电保护功能，安全性符合相关的国际标准。采用高绝缘的安全型插座及带绝缘护套的高强度安全型实验导线。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三、设备单元功能要求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1.工业网络控制单元技术要求：包含三层工业交换机、防火墙、无线接入点及客户端、工业交换机等组成。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2.工业电气控制单元技术要求：要求采用网孔板结构安装，包含空开、PLC、伺服系统、步进系统、变频器、工业级交换机、继电器、按压式接线端子排等元器件。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输送供料单元技术要求：输送供料单元由传送带、变频电机、RFID、供料单元、称重单元、单元底座、远程IO模块等组成。工件由推料气缸推出后，输送带带动工件运动，从而完成高度检测、大小钢珠装配、视觉检测、颜色检测、工件材质检测等工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 旋转供料单元技术要求：旋转供料单元由步进电机、旋转台、供料机构、传感器、单元底座、远程IO模块等组成。主要放置多类型物料等原材料，可根据工艺流程需要，由步进电机带动转盘旋转从而选择需要的工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5.高度检测单元技术要求：要求由测距传感器、气缸、单元底座、远程IO模块等组成，可检测工件的深度。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6.钢珠装配单元技术要求：要求由大小钢珠料筒、供料机构、电磁阀组、单元底座、远程IO模块等组成。小钢珠物料检测传感器检测到工件后，前后阻挡气缸伸出，小钢珠推料气缸将小钢珠推出，前后阻挡气缸缩回，随后输送带带动工件继续运行。大钢珠物料检测传感器检测到工件后，前后阻挡气缸伸出，大钢珠推料气缸将大钢珠推出，前后阻挡气缸缩回，随后输送带带动工件继续运行；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7.分拣检测单元技术要求：由工业视觉系统、颜色传感器、金属传感器、分拣机构、单元底板、远程IO模块等组成。工件经过视觉下方时进行视觉检测，可检测工件的颜色和形状，扫码器用于工件二维码的检测，配备废料库，不符合要求的由废料推料气缸推至废料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8.搬运装配单元技术要求：搬运装配单元由行程气缸、夹爪气缸、供料机构、物料搬运复合机构、物料抓取装配复合机构、单元底板、远程IO模块等组成。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9.龙门搬运单元技术要求：由伺服电机、龙门架、搬运机构、传感器、单元底座、远程IO模块等组成。工件装配完成后，由龙门搬运单元搬运入库，龙门搬运单元有X轴、Y轴运动，上下运动由气缸完成。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10.智能仓储单元技术要求：由传感器、仓储库位、废料仓、单元底板等组成。 智能仓储单元由九个库位组成，每个库位都配备传感器，将该库位是否有料反馈给PLC。</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11.导轨搬运单元技术要求：由伺服导轨、搬运复合机构、传感器、电磁阀组、单元底座、远程IO模块等组成。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工作台技术要求：实训台承重主体为铝型材拼接而成，侧封板为钣金，正面采用双开门设计，桌面采用铝型材拼接成型；为功能单元的安装提供标准的安装接口，可根据实训任务随意调整单元安装位置；预留有标准气源和电气接口安装位置，根据单元的使用情况进行功能的扩展；为功能单元、功能套件提供稳定的电源；平台上可牢固安装多种多功能多应用单元。实训台内部用于单元和工具存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13.数字仿真软件技术要求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（1）产品建模：提供草图设计、各种曲线生成、编辑、布尔运算、扫掠实体旋转实体、沿导轨扫掠、尺寸驱动、定义、编辑变量及其表达式、非参数化模型后参数化等工具。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（2）自由曲面建模：高级曲面建模工具，实体和曲面建模技术融合在一起，提供生成、编辑和评估复杂曲面的强大功能。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（3）高级装配：增加产品级大装配设计的特殊功能：可以灵活过滤装配结构的数据调用控制； 高速大装配着色；大装配干涉检查功能。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（4）基于物理场引擎运算： 仿真技术基于物理场引擎，可以</w:t>
            </w:r>
            <w:r w:rsidRPr="00CD58DA">
              <w:rPr>
                <w:rFonts w:ascii="宋体" w:eastAsia="宋体" w:hAnsi="宋体" w:cs="宋体" w:hint="eastAsia"/>
                <w:szCs w:val="21"/>
              </w:rPr>
              <w:lastRenderedPageBreak/>
              <w:t>基于简化数学模型将实际物理行为引入虚拟环境，可运行已定义好的驱动器物理场，包括位置、方向、目标和速度等，并提供多种工具，指定时间、位置和操作顺序。仿真技术易于使用，借助优化的现实环境建模，可迅速定义机械概念和所需的机械行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（5）支持多种 3D 模型格式：与 NX 软件无缝集成。同时能够读取 Solidworks，Pro/E、Catia 等不同三维设计软件的数据格式，支持导入 Step、X_t 和 IGES 等中性数据格式，将不同来源的三维数据模型导入平台。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（6）支持机电一体化协作式工程设计方式，机械、电气、自动化设计验证工作在同一平台中协作完成，可以模拟真实设备自动控制流程。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（7）传感器：具备多种传感器种类如：碰撞传感器、距离传感器、位置传感器、倾角传感器、加速传感器、通用传感器、限位开关、继电器等。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（8）碰撞体设计，可设置碰撞体不同材料之间的碰撞效果。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（9）同时还支持其他多种模型运动副、约束、耦合副、液压缸，液压阀，气缸，气动阀、位置控制、速度控制以及凸轮仿真的凸轮曲线图等功能进行参数设置实现控制仿真。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（10）可配合 PLC 编程仿真 PID 控制。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（11）支持多种外部通讯协议，如：OPC DA/UA 、SHM、Matlab、PlcSim、TCP、UDP、Profinet 等。可实现外部数据变量批量导入，实现外部控制变量快速映射关联，方便快捷。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14.MES系统技术要求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服务型制造信息化管理系统为其量身定制软件，选手所有工作任务均从个性化需求订单及共线生产出发，允许用户通过平台进行任务下发，并进行共线生产的全自动化作业。从订单加工、生产、装配到成品的检测，订单制造过程的每一个环节，均可通过MES 软件进行实时查询与追踪。本单元要求包含基础数据、仓位管理、设备单元管理，报警参数设置、设备运行及生产订单管理操作界面。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（1）基础数据界面：可进行对工厂信息、用户信息、设备信息、生产订单进行设置。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（2）数据管理单元：可对设备数据、输送供料、旋转供料、</w:t>
            </w:r>
            <w:r w:rsidRPr="00CD58DA">
              <w:rPr>
                <w:rFonts w:ascii="宋体" w:eastAsia="宋体" w:hAnsi="宋体" w:cs="宋体" w:hint="eastAsia"/>
                <w:szCs w:val="21"/>
              </w:rPr>
              <w:lastRenderedPageBreak/>
              <w:t>高度检测、钢珠装配、龙门入库、分拣检测等单元，可对其进行单站单机运行测试，并提取各设备的状态信息，比如环境检测、伺服状态、生产状态、库位状态等。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（3）设备数据管理界面：可对设备数据状态进行数据采集，包括电压、功率、温度、湿度、大气压力、振动数据等信息。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（4）生产订单界面：可对其进行订单的创建，明细的添加，订单下发等。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（5）报警参数设置界面：可对设备数据状态进行阈值设置，包括电压、功率、温度、湿度、大气压力、振动数据等信息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15.可视化系统技术要求：可以完成生产可视化、设备状态可视化、设备状态管理可视化、维保过程数字化、维保经验数字化等功能。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云平台系统技术要求：云平台功能包括设备接入、设备管理、数据存储、数据展示、数据分析、用户管理、维保工单、配方管理等功能。平台免编程可快速便捷实现产品与系统的联接，实现物联平台。可实现多样快捷的连接监控方式（业务系统、地图、视频监控）， 实时、精准的数据信息来源，精准高效的数据透视（柱状图、趋势图、定制数据透视报表），设备间更紧密的组合联动（ 多台 PLC 构成的设备系统的集中监控）。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17.电气设计软件技术要求：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（1）电气设计系统作为一个独立的程序，兼容目前常用的计算机操作系统。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（2）电气设计系统的用户可以轻松地对工作环境进行个性化设置。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（3）人性化的绘图功能满足电气原理图的所有设计需求，支持符号的自动连接，和”正交布线”，</w:t>
            </w:r>
            <w:r w:rsidRPr="00CD58DA">
              <w:rPr>
                <w:rFonts w:ascii="Times New Roman" w:eastAsia="宋体" w:hAnsi="Times New Roman" w:cs="Times New Roman" w:hint="eastAsia"/>
                <w:szCs w:val="24"/>
              </w:rPr>
              <w:t>设计操作简便</w:t>
            </w:r>
            <w:r w:rsidRPr="00CD58DA">
              <w:rPr>
                <w:rFonts w:ascii="宋体" w:eastAsia="宋体" w:hAnsi="宋体" w:cs="宋体" w:hint="eastAsia"/>
                <w:szCs w:val="21"/>
              </w:rPr>
              <w:t>。</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（4）拥有完善的符号库，并且用户可以快速的创建非标符号，支持拖拽使用。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（5）锁定符号名称可支持用户在更新图纸时，保持现有的符号名称不变。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（6）多种标准和可定制符号自动命名选项可以节省设计时间和减少设计错误。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（7）实时自动核实项目数据，节省审核的时间。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（8）可以快速生成项目图纸目录、BOM清单、电缆清单、端子清单。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（9）可以修改部分或者全部页面模板，以满足不同用户对项目模板的自定义需求。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（10）可同时打开多个项目，修改图纸的工作量显著减少：可以整页复制或通过“拖拽”来移动页面，也可以一步完成多页复制。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（11）集成Microsoft Active接口，直接把其他格式的文档（word、excel、pdf）嵌入到项目结构中。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（12）可以快速进行页面编号，同时与页面相关的符号名称同步更新。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（13）文件支持与打印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（14）可以导入DWG、DXF、DXB格式的文件以及EMF增强型文件，快速与第三方应用进行数据交换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（15）对BMP、JPEG、和PCX等格式的图片文档，可快速插入到电气图纸的图框中。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（16）项目中文档顺序可以自定义调整，快速准确按照用户所需的顺序和规格打印。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（17）项目支持快速打印，通过自定义筛选器，可以定义不同打印配置。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（18）通过集成数据库的“列表和标签”功能，可提供标签和名称自动生成功能。支持全球主流的打印机厂家（魏德米勒、菲尼克斯、万可等）。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（19）完整的继电器触点、辅助触点、连接器和电缆管理系统，有助于在设计阶段避免差错。符号的交叉索引管理可以检查所有配置并实时提供相关信息。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（20）集成“设备库”，方便生成详细的设备清单；设备库更新支持手动、表格导入、网络库下载。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（21）电线可以自动编号格式和规则，可以显示编辑电线方向，还可以生成电线列表。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（22）快速的PLC设计功能，简化用户PLC图纸绘制的繁琐操作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（23）可以预先定义PLC自动编号方式，也可以通过EXCEL表格导入PLC信息。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（24）确保您有更多的时间专注于设计并大幅度降低出错率可以轻松处理同一个设备的符号分布在多张页面的需求。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（25）双击任何一个交叉索引都可以实现跳转（跨页），导航简洁。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（26）从数据库列表到图纸的导航功能可以帮助用户更快捷的找到目标。并且也可以从图形化表单（端子排、PLC、电缆清单等）导航至原理图。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（27）数据库列表编辑器集成了大范围的分类和过滤功能，以列表的形式之间修改数据，节省了修改图纸的时间。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（28）对于不需要出现在图纸中的零件（备用端子、附件等）的管理功能：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（29）预设零件之后，通过“选择列表”来放置在电路图上。</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（30）可以帮助管理采购清单里必须有但并不出现在原理图中的材料。</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（31）可以通过EXCEL文档导入附件信息，例如PDM系统中准备的信息。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（32）管理备用端子、隔离片等其他附件。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（33）提供功能/位置改进项目结构，并支持预定义和分配功能、位置。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（34）可配置的工作区，可创建特殊的SQL查询并生成表单。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（35）可以自定义项目、页面的属性，并快速映射到图框中，快速修改图框中的信息。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（36）含有丰富的页面模板，用户可自主创建页面模板。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（37）集成报表生成器允许用户创建属于自己风格的项目报表。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（38）绘制二维机柜图：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（39）可以自动链接原理图中的组件信息到机柜图。原理图中的组件会自动显示在机柜图选择列表中。当组件被调用后，该组件会从选择列表消失，原理图和机柜图信息会自动同步。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（40）根源根据设备库（设备长×宽×高或自定义的符号）中的信息，按正确比例插入机柜图符号。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（41）根据个性化需求，设计可以从机柜图开始。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（42）具有各种测量、尺寸标注和其他专业CAD的功能，可以辅助绘制专业的机柜图纸。</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（43）根据需要插入标准导轨和线槽，促进机柜进行整齐、合理的布局。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（44）设施功能。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（45）带有专为建筑电气而设计的一系列符号库。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（46）方便自定义符号及在任何位置插入文本功能，确保设计中的想法得以实现。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(47)软件配套线上教学资源，要求如下：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1）视频应是以投标型号软件为载体拍摄，并配有讲解。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2）视频时长应不少于180分钟，清晰度不低于1080p。</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▲3）中标人必须将视频资源放置在线上，用户可以随时随地的通过电脑、手机（安卓端、苹果端、微信端）播放上述视频。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▲(48)符号库要求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1）带有专为建筑电气而设计的一系列符号库，符号库包括PLC库、2D机柜布局图符号库、ABB机柜布局图符号库等使得设计更加方便。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2）方便自定义符号及在任何位置插入文本功能，确保设计中的想法得以实现。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3）PLC库分享必须包含：Attachnents、 Coros、Desigo-TX-I/0 、ET200 、ET200S、Layout 1052 、Layout1055、LOGO Expension Module、LOGO Long Bus Variant 、LOGO OBA 3 、LOGO OBA 4、 LOGO OBA 5、 LOGO OBA 8、 LOGO!、Overview1052、Overview1055 S5、S5-4 S7、S7-1200 S7-1500 、S7-200、S7-300 、S7-400、S7-IU-nodules、 Signals(Down)、 Signals(Up)、Signals Input &amp;Output等符号样式。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4）2D机柜布局图符号库应包含：ATV11-117×142、 ATV11-72×142、 ATV12-HO、ATV12-HU、ATV21-105×143、ATV21-140×170、 ATV21-180×220、 ATV21-240×420、ATV21-245×310、 ATV212 HD15-18、 ATV212 HD22-30、 ATV212 HD37-45、 ATV212、 HD55-75、ATV212 HU15-22 、ATV212 HU30-55、ATV212 HU75-HD11、ATV31-105×143 、ATV31-140×184、 ATV31-180×232、ATV31-245×330、ATV31-72×145、ATV312H-105×143 、ATV312H-142×184、 ATV312H-180×232、ATV312H-245-329.5。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5）ABB机柜布局图符号应包括E441V、E931-050A、E931-125A、E931-931N-032A、E932-032A、E932-931N-050A、</w:t>
            </w:r>
            <w:r w:rsidRPr="00CD58DA">
              <w:rPr>
                <w:rFonts w:ascii="宋体" w:eastAsia="宋体" w:hAnsi="宋体" w:cs="宋体" w:hint="eastAsia"/>
                <w:szCs w:val="21"/>
              </w:rPr>
              <w:lastRenderedPageBreak/>
              <w:t>E932-931N-125A、E933-050A、E933-125A、E933-933N-032A、E933N-050A、E933N-125A、M2060-1p、 M2060-2p、 M2060-3p 、M2060-4p。</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四、实训项目要求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1.系统安装调试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（1）电气安全系统线路连接与调试实训。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（2）工业网络线路连接与调试实训。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（3）气动执行元件机械与气路安装实训。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（4）各单元机械位置布局、基准面几何位置测量与安装位置调整实训。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2.工业网络应用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（1）工业网络关键设备安装实训。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（2）工业网络关键设备接线实训。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（3）三层交换机环网配置实训。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（4）三层交换机跨网段配置实训。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（5）无线AP主站配置实训。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（6）无线AP客户端配置实训。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（7）边缘网关配置实训。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（8）工业互联网技术应用。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（9）物联网技术应用。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（10）网络安全技术应用。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3.PLC设计与应用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（1）逻辑程序编辑实训。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（2）子程序调用功能实训。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（3）PLC与步进、伺服系统的调试。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（4）PLC与变频系统的调试。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（5）PLC与视觉系统的调试。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（6）位置控制系统（步进、伺服）的参数调整及优化。</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（7）PLC与机器人、变频器、上位机之间现场总线配置。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4.数字孪生技术应用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（1）数字孪生仿真实训。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（2）数字孪生通讯配置实训。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5.网络通讯技术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（1）网络通讯基础的原理与应用。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（2）以太网通讯原理与应用。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（3）工业网络系统的方案设计。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（4）远程IO Profinet通信配置实训。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（5）IO-Link模块通信配置实训。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（6）Profibus DP模块通信配置实训。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（7）伺服驱动器通信配置实训。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（8）HMI通信配置实训。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6.信息化管理实训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（1）MES系统应用实训。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（2）云平台系统应用实训。</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7.气动控制技术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（1）电控气动阀的工作原理及应用。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（2）真空发生器的工作原理及应用。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（3）标准气缸的工作原理及应用。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（4）各类气动手爪的工作原理及应用。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（5）空气压缩机的工作原理及应用。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8.组态监控及人机界面技术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（1）组态监控软件的基本应用。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（2）组态监控软件通信应用实验。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五、配置要求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1.工作台，数量1套，功能参数要求：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（1）工作台A尺寸约：1600mm×1120mm×850mm（±10mm）。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（2）工作台B尺寸约：800mm×1120mm×850mm（±10mm）。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（3）实训台承重主体为铝型材拼接而成，侧封板为钣金。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（4）正面要求采用双开门设计，桌面采用铝型材拼接成型，可使用 T 型螺丝快速组装功能；为功能单元的安装提供标准的安装接口，可根据实训任务组合调整单元安装位置。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（5）要求预留有标准气源和电气接口安装位置，根据单元的使用情况进行功能的扩展；为功能单元、功能套件提供稳定的电源。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（6）平台上可牢固安装多种多功能多应用单元。实现单元的自定义位置安装，实训台内部用于单元和工具存放。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（7）带丝口万向脚轮并有刹车功能，装有二节静音滚珠专用导轨键盘托盘，坚固可靠，推拉顺畅，可拆卸式穿线孔等。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（8）气源处理模块由调压过滤器、气压表等组成；用于控制设备气动元件的动作。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2.工业网络控制单元，数量1套，功能参数要求：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▲（1）主控PLC，数量1台，技术要求：满足或优于CPU S7-1500系列，CPU 带有显示屏；工作存储器可存储 150 KB 代码和 1 MB 数据；位指令执行时间 60 ns；4 级防护机制，工艺功能：运动控制，闭环控制，计数与测量；跟踪功能；运行系统选件；等时同步模式（集中）；适用于所有 PROFINET 接口：传输协议 TCP/IP，开放式用户安全通信，S7 通信，S7 路由，IP 转发，Web 服务器，DNS 客户端，OPC UA：服务器 DA，客户端 DA，方法，配套规范；PROFINET IO 控制器，支持 RT/IRT，性能升级 PROFINET V2.3，双端口，智能设备，支持 MRP、MRPD，等时同步模式，存储卡 4MB。</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（2）触摸屏，数量1套，技术要求：触摸屏精智面板,触摸操作, ≥7英寸TFT 显示屏，≥800 × 480 像素，≥64K 色；按键和触摸操作，≥8 个功能键；≥1 × PROFINET，≥1 × USB，安装在移动安装盒上。</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（3）环网三层管理工业交换机，数量3个，技术要求：≥提供 8 个 10/100/1000M 自适应 RJ45 端口和 4 个千兆 SFP 端口，ERPS 环网协议，RPL 配置，宽电压输入：9.6V~60VDC，IEEE1588 精密时钟同步协议，亚微秒级同步精度，多种安装方式：导轨式安装+壁挂安装，三层路由协议、完备的安全防护机制和完善的 ACL\QoS 策略，两路电源输入，冗余备份，提高产品供电可靠性，EMC 高防护等级。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（4）工业级防火墙，数量1个，技术要求：≥双核 64 位网络专用处理器，单核主频 1GHz，≥1GB DDRIV 高速内存；≥3 个10/100/1000M RJ45 端口,≥1 个 MGMT 管理口；工业级工作温度：-40℃~75℃；EMS 高级防护，三冗余电源输入，工作更可靠；支持端口 bypass 功能，断电后端口直连；支持配置安全策略、审计策略、带宽策略、NAT 策略、ALG 策略等；支持多种安全防护功能，防御 ARP 欺骗、ARP 攻击、DDoS 攻击、网络扫描、可疑包攻击等；支持可拓展的一体化 DPI 深度安全（入侵防御、反病毒、文件过滤、恶意域名远程查询、应用行为控制），特征库定期更新；支持策略对象（安全区域、地</w:t>
            </w:r>
            <w:r w:rsidRPr="00CD58DA">
              <w:rPr>
                <w:rFonts w:ascii="宋体" w:eastAsia="宋体" w:hAnsi="宋体" w:cs="宋体" w:hint="eastAsia"/>
                <w:szCs w:val="21"/>
              </w:rPr>
              <w:lastRenderedPageBreak/>
              <w:t>址、用户、服务、网站、应用、黑白名单、安全配置文件、入侵防御、审计配置文件等）；支持网络功能，静态路由、策略路由、智能均衡、VPN（IPSec/PPTP/L2TP VPN）、DDNS 等；多管理员角色，精细化权限管理。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（5）工业级双频无线接入点，数量1套，技术要求：适应-40℃～+75℃温度下严苛的工业级工作环境；冗余双路直流供电，以及标准 PoE 供电，适应工业环境组网要求，稳定可靠；IEC/EN 61000-4 高标准工业级防护设计，适应恶劣环境；2.4GHz 和 5GHz 双频段并发射频，无线速率可达 1900Mbps；独立功放电路，提升发射功率；支持设备工作为 AP 或 Client 两种覆盖/传输模式以及 Router 上网模式，应用灵活；强双频漫游技术，Client 模式设备可快速漫游至信号更优的 AP；无线冗余技术，干扰下设备通信不中断；标准 DIN 导轨/壁挂安装，维护简便；支持 AC 或 TP-LINK 商用网络云平台集中管理。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（6）边缘网关，数量1个，技术要求：采用 mips架构CPU，主频不低于 300MHz，内存≥ 128M DDR，16M FLASH， 支持 WIFI 和以太网接入网络，支持 ≥2路10M/100M自适应端口，支持RS232/RS485/RS422端口，具有看门狗管理，支持数据采集、PLC 远程上下载程序、断网续传和交换机功能。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（7）环境传感器，数量1个，技术要求：可测量湿度、温度、大气压力、二氧化碳环境数据，支持 RS485 通讯，标准 modbusRTU 协议。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（8）智能电表，数量1个，技术要求：可实现对系统电压、电流、功率等电量的采集和显示，支持 RS485 通讯，采集的数据也可通过通讯传输给 PLC。</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（9）LORA 模块，数量1套，技术要求：支持 RS232、485-LoRa 通讯，纯射频模组，支持发送、接收数据，与PLC 直接通讯。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（10）协议网关，数量1个，技术要求：Modbus-RTU/ASCII到ProfiNet协议的转换。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（11）IOT工业控制器，数量1个，技术要求：TSC-LOG10/I3-8145U/8G/128G。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（12）其他器件，数量1套，技术要求：断路器、导轨插座、开关电源、控制器专用导轨等；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▲（13）控制柜，数量1个，技术要求：主控柜尺寸≥800×600×1800mm，柜体主要由钣金框架和高强度玻璃面板构成，钣金厚度不低于 1.2mm；底脚上需安装带刹车制动的承重脚轮，便于主控柜移动。（1）主控PLC-（12）其他器件都要求安装在控制柜中（±10mm）。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3.工业电气控制单元，数量1套，功能参数要求：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（1）PLC，数量2台，技术要求：≥125 KB 工作存储器；24VDC 电源，板载 DI14 × 24VDC 漏型/源型，板载 DQ10 × 24VDC、AI2 和 AQ2；板载 6 个高速计数器和 4 个脉冲输出；信号板扩展板载式 I/O；最多 3 个通信模块用于串行通信；最多 8 个信号模块用于 I/O 扩展；PROFINET IO 控制器，双端口，智能设备，TCP/IP 传输协议，开放式用户安全通信，S7 通信，Web 服务器，OPC UA：服务器 DAPROFINET 接口，用于编程、HMI 以及PLC 间数据通信，配套相应的 PLC 编程软件。配有CB1241通讯板1个；PROFIBUS CM 1243-5通信模块1个。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（2）触摸屏，数量2套，技术要求：可移动工业级彩色触摸屏控制系统包含自复位含环形灯按钮3个、急停按钮、转换开关、蜂鸣器；触摸屏精智面板,触摸操作, ≥7英寸TFT 显示屏，≥800 × 480 像素，≥64K 色；按键和触摸操作，≥8 个功能键；≥1 × PROFINET，≥1 × USB，以上器件均安装在移动安装盒上。</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（3）变频器系统，数量1套，技术要求：驱动器为通用高性能电流矢量变频器，主要用于控制和调节三相交流异步 电机的速度和转矩，最高频率：0 - 500Hz；载波频率：0.8kHz - 11kHz 可根据负载特性，自动调整载波频率；控制方式：V/F控制和SVC控制；转矩提升：自动转矩提升；手动转矩提升0.1% - 30.0%；输入端子：4个数字输入端子，其中1个支持最高20KHz的高速脉冲输入1个模拟量输入端子，支持 0 - 10V/0 - 20mA输入；输出端子：1个继电器输出端子，1个模拟输出端子，支持0 ~10V电压输出；LED显示：显示参数；环境温度：-10℃ 到+ 50℃；湿度：小于 95%RH，无水珠凝结；振动：小于 5.9m/s2(0.6g)；防护等级：IP20；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（4）伺服系统，数量3套，技术要求：支持 PROFINET 通信方式，输入电压200-240V，电机400W.</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（5）步进系统，数量1套，技术要求：输入电压：20-50VDC；脉冲频率：200KHz；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内置微细分技术，可使运行更平稳，降低振动；自动半流功能，有效减少电机和驱动的发热；有过流，过压，短路等保护功能。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（6）远程 I/O，数量1套，技术要求：2 个 RJ45 接口，24VDC 供电 性能稳定、抗干扰性能强，总线协议：PROFINET 、通用线缆：五类双绞线、传输距离：100m（站站距离）、传输速率：100Mbps。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（7）工业交换机，数量1个，技术要求：提供≥8个10/100M自适应RJ45端口，导轨式安装；</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（8）POE交换机，数量1个，技术要求：≥8个10/100 Base-T RJ45端口支持PoE供电；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1个10/100 Base-T RJ45上联端口，包括导轨式安装。</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（9）供电模块，数量1套，技术要求：支持刷卡上电功能。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（10）数显气压表，数量1个，技术要求：量程范围：-0.101~1.000Mpa (可测真空、正压)；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支持RS485通讯。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（11）其他器件，数量1套，技术要求：包括断路器、导轨插座、开关电源、继电器、器件专用导轨等；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4.输送供料单元，数量1套，功能参数要求：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 （1）主要由传送带、变频电机、RFID、气缸、供料结构、铝型材、单元底座等组成，主要采用铝合金材质并应具有用于方形、圆形两类瓶体供料的料仓，应通过气缸的推动，配合导轨搬运单元对瓶体进行抓取工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（2）供料气缸缸径≥16mm，行程≥80mm；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（3）输送带机构由铝材搭建，由变频电器驱动，安装编码器器件，输送带长度≥1050mm，宽度≥25mm；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（4）称重模块：至少由铝合金支架、顶升气缸、微型重量传感器等组成；微型重量传感器检测范围：0-3KG，精度≤0.05% ，支持液晶显示参数调试，支持RS485 通讯。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（5）RFID是一款集天线，放大器，控制器于一体的3合1型高频读写头，工作频率≥13.56MHZ，无线传输速率≥53 kbit/s，协议遵循标准 ISO-15693，读写距离 0～100mm， 通讯协议支持 ModbusTCP、TCP/IP、UDP，通讯速率 10M/100M 自</w:t>
            </w:r>
            <w:r w:rsidRPr="00CD58DA">
              <w:rPr>
                <w:rFonts w:ascii="宋体" w:eastAsia="宋体" w:hAnsi="宋体" w:cs="宋体" w:hint="eastAsia"/>
                <w:szCs w:val="21"/>
              </w:rPr>
              <w:lastRenderedPageBreak/>
              <w:t>适应。</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（6）振动传感器：通过 IO-Link 进行通信。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5.旋转供料单元，数量1套，功能参数要求：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（1）尺寸（长×宽×高）约：400mm×400mm×470mm（±10mm）。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（2）主要由步进旋转台、供料机构、检测传感器、单元底座等组成，主要采用铝合金、透明亚克力材质并应具有种不同形状物料供料的料仓，通过气缸的推动和旋转转台的角度变换，配合推出不同类型的物料。</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（3）推料气缸缸径≥10mm，行程≥80mm；伸缩气缸缸径≥16mm，行程≥100mm；升降气缸缸径≥16mm，行程≥80mm；真空吸盘直径≥4mm。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6.高度检测单元，数量1套，功能参数要求：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（1）尺寸（长×宽×高）约： 285mm×170mm×380mm（±10mm）。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（2）主要由测距传感器、传感器、气缸、单元底座等组成。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（3）完成对装配工件是否合格的检测。测距传感器选用电阻公差：1kΩ±20%、机械行程≥25mm 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7.钢珠装配单元，数量1套，功能参数要求：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（1）尺寸（长×宽×高）约： 280mm×230mm×475mm（±10mm）。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要由大小物料料筒、行程气缸、电磁阀组、单元底座等组成；可完成两种不同规格物料的分装工作。气缸推出钢柱供料，检测传感器检测瓶体是否到位。铝制底架应由铝制支架和底板组成；推料气缸行程≥30mm；料仓可存放直径 10mm 钢球数量≥10 个，可存放直径 8mm 钢球数量≥10 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8.分拣检测单元，数量1套，功能参数要求：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（1）主要由工业视觉系统、颜色传感器、金属传感器、行程气缸、单元底板等组成。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（2）工业视觉由支架、光源、智能相机等组成，可完成物料数量、外观、颜色等检测：具有强大的通信功能，支持 MODBUS-TCP、TCP/IP 和 S7 等通讯；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（3）工业相机彩色相机，尺寸：≥29 mm×29 mm×30 mm，镜头接口：C-Mount，分辨率：≥2592×1944，相机像素≥500 万像素数据接口：USB3.0，传感器类型：CMOS，卷帘快门，工作温度 0 ~ 50℃，储藏温度-30 ~ 70℃；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（4）视觉算法平台软件：兼容GigE Vision和USB3.0 Vision</w:t>
            </w:r>
            <w:r w:rsidRPr="00CD58DA">
              <w:rPr>
                <w:rFonts w:ascii="宋体" w:eastAsia="宋体" w:hAnsi="宋体" w:cs="宋体" w:hint="eastAsia"/>
                <w:szCs w:val="21"/>
              </w:rPr>
              <w:lastRenderedPageBreak/>
              <w:t>协议标准。支持本地图像处理和相机数据图像处理；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光源：白色漫射 LED 环形灯。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（5）扫码器支持通讯触发扫描，支持 USB/串口/以太网，可以全面读取所有主流一维，二维条码。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（6）IO-Link主站SIG200，4×M12 IO-LINK接口，支持Profinet通讯，相关参数可通过集成式web服务器配置。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（7）智能数字颜色传感器：可对物料进行颜色识别。</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9.搬运装配单元，数量1套，功能参数要求：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搬运装配单元由行程气缸、夹爪气缸、供料机构、物料搬运复合机构、物料抓取装配复合机构、单元底板、远程IO模块等组成。通过搬运气缸将工件搬运至称重模块，通过真空吸盘将瓶盖准确抓取并装配到称重合格瓶体上。</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10.龙门搬运单元，数量1套，功能参数要求：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（1）尺寸（长×宽×高）约： 775mm×650mm×730mm（±10mm）。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（2）主要由伺服电机、龙门架、搬运机构、检测传感器、接近传感器、吸盘、限位保护、单元底座等组成；满足工件抓取、搬运功能。X Y 轴由伺服电机驱动，Z 轴采用气缸组合形式完成物料抓取，升降气缸采用三轴气缸，气缸缸径≥12mm，行程≥50mm；伸缩气缸缸径≥16mm，行程≥80mm；气动手指缸径≥16mm，行程≥6mm。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11.智能仓储单元，数量1套，功能参数要求：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（1）主要由铝型材支架、仓储板、传感器组成，用于成品工件的码垛存储。仓位不少于 9 个，每个仓位有检测传感器，用于仓储位置有无料检测。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（2）废料仓至少由型材支架、底板、铝板、流利条、挡板等组成，用于完成不合格工件的存放。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12.导轨搬运单元，数量1套，功能参数要求：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 1380mm×465mm×527mm。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（2）主要由伺服电机及驱动器、直线模组、搬运机构、限位保护等组成，满足物料抓取、搬运功能。直线模组：行程≥1200mm，负载≥8Kg，梁宽≥55mm，导程≥10mm。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13.数字化显示终端，数量3套，功能参数要求：尺寸≥27 英寸，内存≥8G，含有USB、HDMI、音频输出口等。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14.数字仿真软件，数量1套，功能参数要求：不低于NX MCD</w:t>
            </w:r>
            <w:r w:rsidRPr="00CD58DA">
              <w:rPr>
                <w:rFonts w:ascii="宋体" w:eastAsia="宋体" w:hAnsi="宋体" w:cs="宋体" w:hint="eastAsia"/>
                <w:szCs w:val="21"/>
              </w:rPr>
              <w:lastRenderedPageBreak/>
              <w:t>机电一体化概念设计软件。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15.信息化管理单元，数量1套，功能参数要求：含MES、云平台及可视化数据管理软件。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16.数字化编程系统，数量2套，功能参数要求：要求满足NX MCD运行，存储512G。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17.数据终端，数量4套，尺寸≥21.5 英寸。</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18.工作台，数量2套，功能参数要求：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（1）尺寸（长×宽×高）约：800mm×600mm×780mm（±5mm）。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（2）工作台承重主体为铝型材拼接而成，侧封板为钣金，桌面采用板材，配置万向脚轮并有刹车功能。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（3）安装双屏气动支架。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（4）配套椅子，左右腿长460mm（±5mm）×前后腿宽470mm（±5mm）×整体高840mm（±5mm）。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19.电气设计软件，数量1套。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20.空气压缩机，数量1套，功能参数要求：电源220V、额定功率560W、排气量58L/min、排气压力0.8MPa。</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21.教学资源，数量1套，功能参数要求：教学资源包含实训指导说明书、示例程序、数字孪生模型等相关教学资源。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22.配套工具，数量1套，包括：内六角扳手（组套）、美工刀、3×100十字螺丝刀、3×75十字螺丝刀、3×75一字螺丝刀、3英寸一字螺丝刀、3米卷尺、250×30 10"活动扳手、100mm  4"活动扳手、160mm  6"斜口钳、剥线钳、压线钳、尖嘴钳、钟表螺丝刀、网线钳、5米网线、数字万用表、工具箱。</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23.耗材，数量1套，包括：直通6变4、4M5弯头、缠绕管、真空发生器、插针、三通、气管、气管、电气绝缘胶带、扎带。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▲六、其他要求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设备功能达到工业网络智能控制与维护实训考核装置比赛实际使用要求。所提供设备若不符合采购要求，视为虚假应标并追究法律责任。</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9</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仿真课件制作平台</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heme="minorEastAsia" w:hAnsiTheme="minorEastAsia" w:cs="Times New Roman"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imes New Roman" w:eastAsia="宋体" w:hAnsi="Times New Roman" w:cs="Times New Roman" w:hint="eastAsia"/>
                <w:szCs w:val="21"/>
              </w:rPr>
              <w:t>软件和信息技术服务业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一、引擎功能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1.引擎框架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▲（1）网页在线开发：VR虚拟现实引擎是基于HTML5和WebGL的虚拟仿真软件开发平台，无需安装任何第三方软件，直接使用浏览器打开网页即可进行虚拟仿真软件功能开发。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▲（2）跨平台运行：VR虚拟现实引擎是基于浏览器的开发平台，支持跨平台跨终端运行，无论是苹果MacOS系统，微软Windows系统，还是iOS和Android等手机系统，只要浏览器支持WebGL，均可运行VR虚拟现实引擎。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▲（3）支持在线发布：VR虚拟现实引擎支持在线一键发布产品，发布后即可通过网页打开直接使用。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▲（4）支持发布为离线资源：VR虚拟现实引擎支持将开发的虚拟仿真软件产品发布为离线资源，可部署到用户自己的服务器上进行使用。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可视化逻辑图编辑器：支持可视化逻辑图编辑，通过对不同功能节点之间创建关联关系，实现虚拟仿真功能开发。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在线资源库，与VR虚拟现实引擎双向对接：提供在线资源库，可共享模型、功能插件、自定义响应、界面、材质、全息模型等资源，支持一键导入到VR虚拟现实引擎中编辑和使用。同时，在VR虚拟现实引擎中编辑的场景资源也可以一键导入到资源库中进行分享。</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多人协同协同交替开发：VR虚拟现实引擎支持协同交替开发，无需任何硬件介质拷贝传输，通过账户权限管理赋予多个用户可对同一个项目进行交替开发，用户A开发完相关功能后，可将项目工程传递至用户B处，进行其他功能的开发处理。同理，可继续传递至其他用户处，进行项目的交替开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（7）交互外设对接：VR虚拟现实引擎开发的虚拟仿真软件支持手机端、网页端、HTC VIVE头盔以及PICO头盔运行。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（8）数据后台管理：VR虚拟现实引擎支持记录实验操作痕迹并上传至教学管理云平台，实验操作痕迹包括用户姓名、操作成绩、步骤详情、操作时间等。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（9）多终端适配：VR虚拟现实引擎支持开发网页版仿真软件、HTC VIVE头盔版本仿真软件、PICO头盔仿真软件以及手机端仿真软件。用户可通过可编辑文本直接调用填写已封装完成的相关触发响应，完成各个版本仿真软件的开发。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2.核心技术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▲（1）无需编程的开发技术：VR虚拟现实引擎采用了自行研发的在线表格替代编程语言进行程序开发，支持用户无需掌握任何一门编程语言，无需任何专业背景，通过编写可视化逻辑</w:t>
            </w:r>
            <w:r w:rsidRPr="00CD58DA">
              <w:rPr>
                <w:rFonts w:ascii="宋体" w:eastAsia="宋体" w:hAnsi="宋体" w:cs="宋体" w:hint="eastAsia"/>
                <w:szCs w:val="21"/>
              </w:rPr>
              <w:lastRenderedPageBreak/>
              <w:t>图就能开发软件。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（2）可视化逻辑图：VR虚拟现实引擎在摒弃了程序代码开发而用可视化逻辑图开发的同时，支持可视化界面操作，对各个不同功能节点进行逻辑关联，实现功能逻辑开发。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（3）功能自定义可组合：VR虚拟现实引擎支持自由添加各种不同功能插件，实现不同领域中虚拟仿真软件开发，支持随用随调，不需要提前加载处理。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（4）实时保存的开发数据：开发过程中，用户编辑的逻辑图数据内容可实时保存，避免突发断网或断电时的数据丢失，并且可在任何地方任意设备登录自己的账号即可打开最近保存的开发场景以及开发内容。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功能全面的编辑环境：VR虚拟现实引擎是完全自主开发的一款虚拟现实开发平台，全界面均汉化，编辑环境具备开发时所用到的基本编辑功能，比如修改物体名、修改物体层级关系、删除物体、复制物体、更改物体位置状态等，同时物体在环境中的位置状态、角度状态及比例状态通过参数形式展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3.引擎逻辑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以对象为核心：VR虚拟现实引擎将所有的仿真对象都看成是一个个对象，先以独立的对象为核心，将对象的所有变化变成一个个状态，完成独立对象的功能开发。在完成一个个单独对象的开发以后，再梳理对象之间的关系，进行整体的逻辑串联，完成仿真软件的开发。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触发响应分离：VR虚拟现实引擎将仿真软件的主要元素抽象为两个部分，触发和响应。所有的外设，如鼠标、键盘、游戏手柄，以及其他一些特殊的条件，如碰撞、某个参数值大于另一个参数值、程序暂停等，这些条件都归类为触发。其他如物体位置变化、材质变化、形状变化、参数值计算等都归类为响应。触发和响应之间都是相互独立的，客户可根据自己的需求将适当的触发和响应自由联系起来，如触发为鼠标左键按下，对应响应为物体开始运动，左键抬起，对应运动停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软件逻辑自由：触发和响应之间通过对象的状态来进行逻辑的关联和控制。用户可根据实际功能需要，定义不同的状态表示不同的功能，然后为当前状态选择所需要的触发和响应进行搭配，即可关联出所需要的自由逻辑。不同状态之间还</w:t>
            </w:r>
            <w:r w:rsidRPr="00CD58DA">
              <w:rPr>
                <w:rFonts w:ascii="宋体" w:eastAsia="宋体" w:hAnsi="宋体" w:cs="宋体" w:hint="eastAsia"/>
                <w:szCs w:val="21"/>
              </w:rPr>
              <w:lastRenderedPageBreak/>
              <w:t>可使用关联状态进行串联，从而可以在不同状态间传递逻辑。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4.开发功能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公式和变量：VR虚拟现实引擎支持通过文本的方式定义变量和公式，变量和公式可以在触发和响应参数之间引用、改变和传递，以此来实现参数化和部分的逻辑控制。变量类型支持数字、字符串、bool、物体、颜色、UI、数组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（2）外设输入触发：如键盘按下抬起、鼠标按下抬起、鼠标双击滚动、鼠标点选模型、鼠标拖拽、多个键盘按下等。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（3）交互相关触发：如碰撞、碰撞移出、持续碰撞、角色碰撞、模型变不可见、对象失效等。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（4）逻辑条件触发：如布尔值判断、浮点数大于或小于某一范围、整数值比较、字符串值比较、字符串中是否包含某些特定字符、数组中是否包含某些特定单元等。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（5）UI触发：如按钮按下抬起、鼠标移入移出、输入框输入、勾选框勾选、滑动条拖拽等。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（6）位置状态响应：如获取位置、获取角度、比例值设置、角度设置、位置设置、父子关系设置，世界坐标和相对坐标转换，直线运动、自转控制、公转控制等。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（7）鼠标输入相关响应：如点选模型信息、拖拽方向信息、鼠标当前坐标位置等。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（8）模型对象相关响应：如对象名、对象激活状态、对象层级、对象标签管理等控制，对象动态查找关联，对象动态删除，对象间距离计算，对象渲染特性改变等。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（9）数学函数响应：如加减乘除、整数浮点数各种限定、绝对值、取模、随机函数、三角函数、常用对数、开根号、角度和弧度转化等特殊函数控制等。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（10）变量控制响应：如对字符串进行截取、字符串运算、向量进行距离运算、向量加减乘除、向量标准化、设置颜色值、颜色值插值、随机颜色值、变量类型转换等控制响应。</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（11）变量赋值响应：变量快速赋值、将公式运算结果动态赋值给变量等。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（12）相机控制响应：如相机背景照片、相机背景颜色、透视或正交、相机深度值、相机视窗大小、相机渲染层级、相机屏幕坐标转换等控制。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（13）调试响应：如打印适当的变量值、公式值、状态值等，选择打印的颜色，画可视化线条赋值显示等。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（14）场景控制响应：如加载某场景、卸载某场景、重新加载当前场景、同步异步加载方式控制等。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 UI控制响应：如不同UI显示切换、动态创建菜单、UI菜单动画、设置UI文字图片颜色大小位置、UI菜单拖动等。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（16）灯光控制响应：如灯光强度控制、灯光类型控制、灯光颜色和特效控制等。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（17）模板控制响应：动态创建模板、销毁模板等控制。特殊控制响应。如定时器控制、消息传递、同步和顺序运行响应控制等。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5.编辑功能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▲（1）模板UI创建，2DUI和3D UI相互转换。支持直接创建事先预设的复杂模板UI，且可对UI进行实时拖动和实时参数编辑，支持一键实现2D UI和3D UI之间的转换。</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（2）在线三维场景编辑器。VR虚拟现实引擎具有在线可视化场景编辑器，可对模型进行平移、旋转、缩放等操作，支持模型层级显示、复制、删除、重命名、父子关系更改等基础编辑操作。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（3）参数化属性编辑窗口。可实时显示和修改模型属性参数，如位置、角度、比例值、显示或隐藏控制、材质贴图参数、碰撞参数、标签、渲染层级等，场景窗口和属性窗口数据双向同步变化。</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资源管理器。可对模型、功能模型、功能插件、贴图、材质、背景音乐、特效等资源进行统一管理。可创建文件夹对相关资源进行分类管理。材质球通过上传资源库接口，可将本地资源上传到服务器，自动生成共享在线资源，以便于后续使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二、项目管理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▲1.项目管理包括创建、打开、删除、下载、权限管理、备份、大数据面板等功能。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▲2.创建：点击创建项目，创建新项目；点击创建文件夹，创建新的文件夹；项目可以按照需求移动至文件夹中。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3.打开：点击项目图标 直接进入项目编辑开发页面；点击文</w:t>
            </w:r>
            <w:r w:rsidRPr="00CD58DA">
              <w:rPr>
                <w:rFonts w:ascii="宋体" w:eastAsia="宋体" w:hAnsi="宋体" w:cs="宋体" w:hint="eastAsia"/>
                <w:szCs w:val="21"/>
              </w:rPr>
              <w:lastRenderedPageBreak/>
              <w:t>件夹图标即可查看该文件夹内的项目。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4.权限管理：通过账号搜索系统内用户，支持将项目给予该账号协作开发权限，也支持将项目给予该账号转让权限，项目一旦转让，工程就立刻归所有者拥有。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5.删除项目：删除当前创建的项目。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6.大数据面板：可直接进入项目对应的大数据面板工程中，进行大数据面板功能开发及制作。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7.备份项目：点击生成副本，即可自动生成本项目的工程副本。支持对项目是否发布进行状态显示；支持项目文件名及文件夹名称修改。对项目工程编辑时间进行记录显示。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三、在线资源库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平台提供的在线资源库，需包括以下资源：3D模型、功能模型、功能插件、GUI（图形用户界面）、材质球、视频、背景音乐和粒子特效等，涵盖机械制造、汽车维修、电子信息、交通运输、临床护理、旅游管理、红色教育、建筑施工、智能制造、安全管理、水利环境等多个教学领域的VR开发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1.3D模型资源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▲（1）虚拟硬件设备模型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包括云屏、小间距LED灯、卧式触控一体机、VR一体机、VR头盔、VR行走平台、立体触控一体机等模型。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▲（2）虚拟场景模型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包括房间、厨房、教室、实验室、大地、户外场景、室外婚礼场地、演唱会舞台、烟厂、小木屋、工厂、病房、火车站等模型。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▲（3）虚拟机电设备模型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生产线、虚拟五轴加工中心、广数机器人、虚拟三坐标测量机、虚拟电火花、高空作业车、无水乙醇盆、无人机、坐标轴模型、车床货架、车床木质地板、微纳米几何测量模型、起爆器、万用表、推车、大连机床机械十字滑台、减速器模型、虚拟线切割机、法兰克设备模型、虚拟数控铣床、液压模型、广数机械模型、高空作业车、伺服电机、车削夹具、角向定位车削夹具、边定位车削夹具、可移动式花盘夹具、平面定位车削夹具、钻夹具、回转盘夹具、端轴铣方头夹具、六点定位式功能铣削夹具、折合式钻模夹具、功能铣削夹具、连续夹紧铣</w:t>
            </w:r>
            <w:r w:rsidRPr="00CD58DA">
              <w:rPr>
                <w:rFonts w:ascii="宋体" w:eastAsia="宋体" w:hAnsi="宋体" w:cs="宋体" w:hint="eastAsia"/>
                <w:szCs w:val="21"/>
              </w:rPr>
              <w:lastRenderedPageBreak/>
              <w:t>床夹具等模型。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（4）爆破实操虚拟仿真模型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爆破工实操保险管、爆破工实操引线、爆破工实操炮针、爆破工实操炮泥、爆破工实操连接线、爆破工实操胶带、爆破工实操爆表、爆破工实操非金属炮棍、爆破工实操裁纸刀、爆破工实操爆炸材料箱、导爆管雷管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（5）虚拟智能制造设备模型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包括友成生产线、友成主要厂房精加工厂房、友成-牧野五轴、友成-检测设备、友成-复模机、友成-放电机、友成精加工模型、友成主要厂房、友成精加工厂房等模型资源。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（6）虚拟驱动桥拆装设备模型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包括驱动桥六角扳手、驱动桥电动螺母、驱动桥三抓轴承抓手、驱动桥螺母扳手、驱动桥厂房等模型。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（7）虚拟化工设备模型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包含化工实验室玻璃器材（容量瓶、锥形瓶、量筒、滴液管、洗液瓶）、烘箱、填料塔、灭火器、矿泉水瓶、水龙头等模型。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（8）虚拟建筑设备模型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包含钢筋、吊机模型。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（9）航空航天模型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包含AHW、FD-2000地空导弹00、联盟号飞船_05、辽宁号、嫦娥四号、长征火箭、东方红一号、航天飞机-09、联盟号飞船_05、火箭发射场、轰-6K轰炸机、战斧巡航导弹、歼20等模型。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（10）党建模型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包含党徽雕塑、中国梦、共筑中国梦、中国梦雕塑、党建雕塑、中国梦雕塑、社会主义价值观雕塑等模型。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（11）人物模型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工业人物雕塑、人体肌肉、防护服、毛主席、孔子、李时珍、马克思、孟子、敦煌飞天、释迦牟尼佛、敦煌佛像、刘伯承、看书女生、红军雕像、毛泽东雕像、邓小平雕像和底座、陈毅、邓小平半身雕像、朱德、邓小平站立像、大国工匠、人物模型、外国时尚女装、优秀学生作品、中国时尚女装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（12）车辆模型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包含火车头、AIST、独木舟、筏、破冰船、散货船、拖船、蒸</w:t>
            </w:r>
            <w:r w:rsidRPr="00CD58DA">
              <w:rPr>
                <w:rFonts w:ascii="宋体" w:eastAsia="宋体" w:hAnsi="宋体" w:cs="宋体" w:hint="eastAsia"/>
                <w:szCs w:val="21"/>
              </w:rPr>
              <w:lastRenderedPageBreak/>
              <w:t>汽船、集装箱平车、绿皮卡、铁轨、蒸汽机车、南湖红船、别克威朗、挖油机、新能原汽车、模型车、卡车、邮轮、油轮、内燃机车、CRH5转向架、复兴号、HXD1D、悬浮磁力车、单轨、25T、复兴号＋架子、PUZDB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（13）武器模型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包含原子弹、王八盒子、重机枪、98k、战斧巡航导弹、汉阳造、捷克式轻机枪、中正步枪、炸药手雷、震弹筒等模型。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（14）植物模型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包含麻黄、辛夷、灵芝、地黄、黄连、树等模型。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（15）美术陈列品模型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包含艺术雕塑、异性曲面、地球仪、恐龙、异形椅、工业车轮、奖杯、艺术花瓶、天地间、几何体、商标、异形、中药摊位、方桌长椅、美丽乡村、竹简、园艺摆件等模型。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（16）建筑模型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包含敦煌石窟、长城、房、蒙古包等模型。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（17）乐器模型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包含马头琴、电吉他等模型。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（18）家居模型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电热煲、电吹风、保温杯、冰箱、创意音响、电饭锅、电热水壶、空气净化器、水壶、云朵悬浮加湿器、榨汁机、大锅、屏风、扫地机、茶叶罐、空调、红锅、打印机、剃刀、矮柜、桌、长柜、未央高柜、桌柜、水杯、吹风机、洗衣机、音响、蒸汽熨斗、钢管椅、天鹅椅、蚁椅、郁金香椅、钻石椅、桌子、条案、墙前柜、长沙发、单人沙发、健身脱水机、沥水篮、灯、厨房黑锅、移动厨房、面包机、手提发电机、太阳能灯、茶桌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（19）文物模型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包含古代币、刀币、古代柜台、钱币、四羊方尊、编钟、书、书简、齐式三量、蛋壳陶、鼎、铜研船等模型。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（20）科技模型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波士顿动力狗、充电宝充电站、打印机板机、梅克费尔机器人、自助终端机2-08、自助终端、煎饼打印机、智能产品雨天遇见你、激光内雕刻机、彩色多材料3D打印机、无人机、电子显微镜、皮影、测风雷达、风云一号、气象塔、人造卫星、</w:t>
            </w:r>
            <w:r w:rsidRPr="00CD58DA">
              <w:rPr>
                <w:rFonts w:ascii="宋体" w:eastAsia="宋体" w:hAnsi="宋体" w:cs="宋体" w:hint="eastAsia"/>
                <w:szCs w:val="21"/>
              </w:rPr>
              <w:lastRenderedPageBreak/>
              <w:t>太阳能板、雾炮机、飞行器、一体机超薄晶片生产过程智慧检测平台、智能无人机器人等模型。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（21）医疗器械模型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包含医疗器械、医疗产品、护理机等模型。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（22）中草药模型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包含白头翁、白芨、白芷、蝉蜕、莪术、番泻叶、干姜、厚朴、苦杏仁、灵芝片、龙胆、麻黄杆、蒲黄、青黛、秦艽、三棱、血余炭、玄参、射干、浙贝母、紫苏子等模型。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（23）其他模型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含香水瓶、吸管、口罩、松油瓶、圆规、除味剂、世界卫生组织会徽、手套、相机、鲈鱼、DNA、动物细胞横切面、校验仪、会计计算机、拉杆箱、八卦、牙刷、宝灯、螺丝刀、剃毛刀、狮子、废墟、农家小院、高原、受电弓、k6转向架、第三代智能叉车等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2.功能插件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包括数字人导览，内容拓展，知识问答，场景列表，热点编辑，结构树等插件来完成各种不同行业的虚拟仿真功能。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3.GUI（图形用户界面）资源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包括蓝白UI模板、漫游功能按钮、选择题模板、播放速度与动画类型、测试题模板等资源。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4.粒子特效资源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防爆、涉爆粉尘粒子、水花、水柱、粉尘粒子、电火花、烟气粒子、消声室声波、混响室声波、烟雾、喷氨格栅、烟雾净化、烟雾进入、浆液池效果叠加、喷嘴喷水、量大千克烟雾、雨、雪、水滴、火等特效。</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5.材质球资源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包括金属材质库、地板材质库、喷漆材质库、石材材质库、布料材质库、胶类材质库、木材材质库、玻璃材质库以及液体材质库。</w:t>
            </w:r>
          </w:p>
          <w:p w:rsidR="00CD58DA" w:rsidRPr="00CD58DA" w:rsidRDefault="00CD58DA" w:rsidP="00CD58DA">
            <w:pPr>
              <w:jc w:val="both"/>
              <w:rPr>
                <w:rFonts w:ascii="仿宋" w:eastAsia="仿宋" w:hAnsi="仿宋" w:cs="Times New Roman"/>
                <w:b/>
                <w:bCs/>
                <w:sz w:val="28"/>
                <w:szCs w:val="28"/>
              </w:rPr>
            </w:pPr>
            <w:r w:rsidRPr="00CD58DA">
              <w:rPr>
                <w:rFonts w:ascii="仿宋" w:eastAsia="仿宋" w:hAnsi="仿宋" w:cs="Times New Roman" w:hint="eastAsia"/>
                <w:b/>
                <w:bCs/>
                <w:sz w:val="28"/>
                <w:szCs w:val="28"/>
              </w:rPr>
              <w:t>四、作品开发</w:t>
            </w:r>
          </w:p>
          <w:p w:rsidR="00CD58DA" w:rsidRPr="00CD58DA" w:rsidRDefault="00CD58DA" w:rsidP="00CD58DA">
            <w:pPr>
              <w:snapToGrid w:val="0"/>
              <w:spacing w:after="120" w:line="400" w:lineRule="atLeast"/>
              <w:rPr>
                <w:rFonts w:ascii="宋体" w:eastAsia="宋体" w:hAnsi="宋体" w:cs="宋体"/>
                <w:szCs w:val="21"/>
              </w:rPr>
            </w:pPr>
            <w:r w:rsidRPr="00CD58DA">
              <w:rPr>
                <w:rFonts w:ascii="宋体" w:eastAsia="宋体" w:hAnsi="宋体" w:cs="宋体"/>
                <w:szCs w:val="21"/>
              </w:rPr>
              <w:t>VR智慧体验中心展示系统开发指标</w:t>
            </w:r>
          </w:p>
          <w:p w:rsidR="00CD58DA" w:rsidRPr="00CD58DA" w:rsidRDefault="00CD58DA" w:rsidP="00CD58DA">
            <w:pPr>
              <w:snapToGrid w:val="0"/>
              <w:spacing w:after="120" w:line="400" w:lineRule="atLeast"/>
              <w:rPr>
                <w:rFonts w:ascii="宋体" w:eastAsia="宋体" w:hAnsi="宋体" w:cs="宋体"/>
                <w:sz w:val="24"/>
                <w:szCs w:val="21"/>
              </w:rPr>
            </w:pPr>
            <w:r w:rsidRPr="00CD58DA">
              <w:rPr>
                <w:rFonts w:ascii="宋体" w:eastAsia="宋体" w:hAnsi="宋体" w:cs="宋体"/>
                <w:szCs w:val="21"/>
              </w:rPr>
              <w:t>1.项目整体情况</w:t>
            </w:r>
          </w:p>
          <w:p w:rsidR="00CD58DA" w:rsidRPr="00CD58DA" w:rsidRDefault="00CD58DA" w:rsidP="00CD58DA">
            <w:pPr>
              <w:snapToGrid w:val="0"/>
              <w:spacing w:after="120" w:line="400" w:lineRule="atLeast"/>
              <w:rPr>
                <w:rFonts w:ascii="宋体" w:eastAsia="宋体" w:hAnsi="宋体" w:cs="宋体"/>
                <w:sz w:val="24"/>
                <w:szCs w:val="21"/>
              </w:rPr>
            </w:pPr>
            <w:r w:rsidRPr="00CD58DA">
              <w:rPr>
                <w:rFonts w:ascii="宋体" w:eastAsia="宋体" w:hAnsi="宋体" w:cs="宋体" w:hint="eastAsia"/>
                <w:szCs w:val="21"/>
              </w:rPr>
              <w:t>新能源汽车</w:t>
            </w:r>
            <w:r w:rsidRPr="00CD58DA">
              <w:rPr>
                <w:rFonts w:ascii="宋体" w:eastAsia="宋体" w:hAnsi="宋体" w:cs="宋体"/>
                <w:szCs w:val="21"/>
              </w:rPr>
              <w:t>VR智慧体验中心通过程序开发，以后台计算的方</w:t>
            </w:r>
            <w:r w:rsidRPr="00CD58DA">
              <w:rPr>
                <w:rFonts w:ascii="宋体" w:eastAsia="宋体" w:hAnsi="宋体" w:cs="宋体"/>
                <w:szCs w:val="21"/>
              </w:rPr>
              <w:lastRenderedPageBreak/>
              <w:t>法把新能源汽车的技术特点，工作原理，试驾体验，以VR交互技术展示出来，让互动体验者直观的了解新能源汽车的各项信息，可以通过自主漫游和交互的形式，观看和体验虚拟场景内的文字、图片、视频和仿真模型。</w:t>
            </w:r>
          </w:p>
          <w:p w:rsidR="00CD58DA" w:rsidRPr="00CD58DA" w:rsidRDefault="00CD58DA" w:rsidP="00CD58DA">
            <w:pPr>
              <w:snapToGrid w:val="0"/>
              <w:spacing w:after="120" w:line="400" w:lineRule="atLeast"/>
              <w:rPr>
                <w:rFonts w:ascii="宋体" w:eastAsia="宋体" w:hAnsi="宋体" w:cs="宋体"/>
                <w:sz w:val="24"/>
                <w:szCs w:val="21"/>
              </w:rPr>
            </w:pPr>
            <w:r w:rsidRPr="00CD58DA">
              <w:rPr>
                <w:rFonts w:ascii="宋体" w:eastAsia="宋体" w:hAnsi="宋体" w:cs="宋体"/>
                <w:szCs w:val="21"/>
              </w:rPr>
              <w:t>2.主要功能</w:t>
            </w:r>
          </w:p>
          <w:tbl>
            <w:tblPr>
              <w:tblStyle w:val="af5"/>
              <w:tblW w:w="0" w:type="auto"/>
              <w:tblLayout w:type="fixed"/>
              <w:tblLook w:val="04A0"/>
            </w:tblPr>
            <w:tblGrid>
              <w:gridCol w:w="744"/>
              <w:gridCol w:w="1362"/>
              <w:gridCol w:w="3068"/>
            </w:tblGrid>
            <w:tr w:rsidR="00CD58DA" w:rsidRPr="00CD58DA" w:rsidTr="00CA6791">
              <w:tc>
                <w:tcPr>
                  <w:tcW w:w="744"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序号</w:t>
                  </w:r>
                </w:p>
              </w:tc>
              <w:tc>
                <w:tcPr>
                  <w:tcW w:w="1362"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展厅分区</w:t>
                  </w:r>
                </w:p>
              </w:tc>
              <w:tc>
                <w:tcPr>
                  <w:tcW w:w="3068"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主要功能</w:t>
                  </w:r>
                </w:p>
              </w:tc>
            </w:tr>
            <w:tr w:rsidR="00CD58DA" w:rsidRPr="00CD58DA" w:rsidTr="00CA6791">
              <w:tc>
                <w:tcPr>
                  <w:tcW w:w="744" w:type="dxa"/>
                  <w:vAlign w:val="center"/>
                </w:tcPr>
                <w:p w:rsidR="00CD58DA" w:rsidRPr="00CD58DA" w:rsidRDefault="00CD58DA" w:rsidP="00CD58DA">
                  <w:pPr>
                    <w:jc w:val="center"/>
                    <w:rPr>
                      <w:rFonts w:ascii="宋体" w:hAnsi="宋体" w:cs="宋体"/>
                      <w:szCs w:val="21"/>
                    </w:rPr>
                  </w:pPr>
                  <w:r w:rsidRPr="00CD58DA">
                    <w:rPr>
                      <w:rFonts w:ascii="宋体" w:hAnsi="宋体" w:cs="宋体"/>
                      <w:szCs w:val="21"/>
                    </w:rPr>
                    <w:t>1</w:t>
                  </w:r>
                </w:p>
              </w:tc>
              <w:tc>
                <w:tcPr>
                  <w:tcW w:w="1362" w:type="dxa"/>
                  <w:vAlign w:val="center"/>
                </w:tcPr>
                <w:p w:rsidR="00CD58DA" w:rsidRPr="00CD58DA" w:rsidRDefault="00CD58DA" w:rsidP="00CD58DA">
                  <w:pPr>
                    <w:rPr>
                      <w:rFonts w:ascii="宋体" w:hAnsi="宋体" w:cs="宋体"/>
                      <w:szCs w:val="21"/>
                    </w:rPr>
                  </w:pPr>
                  <w:r w:rsidRPr="00CD58DA">
                    <w:rPr>
                      <w:rFonts w:ascii="宋体" w:hAnsi="宋体" w:cs="宋体"/>
                      <w:szCs w:val="21"/>
                    </w:rPr>
                    <w:t>新能源汽车展示A区</w:t>
                  </w:r>
                </w:p>
              </w:tc>
              <w:tc>
                <w:tcPr>
                  <w:tcW w:w="3068" w:type="dxa"/>
                </w:tcPr>
                <w:p w:rsidR="00CD58DA" w:rsidRPr="00CD58DA" w:rsidRDefault="00CD58DA" w:rsidP="00CD58DA">
                  <w:pPr>
                    <w:rPr>
                      <w:rFonts w:ascii="宋体" w:hAnsi="宋体" w:cs="宋体"/>
                      <w:szCs w:val="21"/>
                    </w:rPr>
                  </w:pPr>
                  <w:r w:rsidRPr="00CD58DA">
                    <w:rPr>
                      <w:rFonts w:ascii="宋体" w:hAnsi="宋体" w:cs="宋体" w:hint="eastAsia"/>
                      <w:szCs w:val="21"/>
                    </w:rPr>
                    <w:t>展示最新的新能源汽车产品</w:t>
                  </w:r>
                </w:p>
              </w:tc>
            </w:tr>
            <w:tr w:rsidR="00CD58DA" w:rsidRPr="00CD58DA" w:rsidTr="00CA6791">
              <w:tc>
                <w:tcPr>
                  <w:tcW w:w="744" w:type="dxa"/>
                  <w:vAlign w:val="center"/>
                </w:tcPr>
                <w:p w:rsidR="00CD58DA" w:rsidRPr="00CD58DA" w:rsidRDefault="00CD58DA" w:rsidP="00CD58DA">
                  <w:pPr>
                    <w:jc w:val="center"/>
                    <w:rPr>
                      <w:rFonts w:ascii="宋体" w:hAnsi="宋体" w:cs="宋体"/>
                      <w:szCs w:val="21"/>
                    </w:rPr>
                  </w:pPr>
                  <w:r w:rsidRPr="00CD58DA">
                    <w:rPr>
                      <w:rFonts w:ascii="宋体" w:hAnsi="宋体" w:cs="宋体"/>
                      <w:szCs w:val="21"/>
                    </w:rPr>
                    <w:t>2</w:t>
                  </w:r>
                </w:p>
              </w:tc>
              <w:tc>
                <w:tcPr>
                  <w:tcW w:w="1362" w:type="dxa"/>
                  <w:vAlign w:val="center"/>
                </w:tcPr>
                <w:p w:rsidR="00CD58DA" w:rsidRPr="00CD58DA" w:rsidRDefault="00CD58DA" w:rsidP="00CD58DA">
                  <w:pPr>
                    <w:rPr>
                      <w:rFonts w:ascii="宋体" w:hAnsi="宋体" w:cs="宋体"/>
                      <w:szCs w:val="21"/>
                    </w:rPr>
                  </w:pPr>
                  <w:r w:rsidRPr="00CD58DA">
                    <w:rPr>
                      <w:rFonts w:ascii="宋体" w:hAnsi="宋体" w:cs="宋体"/>
                      <w:szCs w:val="21"/>
                    </w:rPr>
                    <w:t>新能源汽车展示B区</w:t>
                  </w:r>
                </w:p>
              </w:tc>
              <w:tc>
                <w:tcPr>
                  <w:tcW w:w="3068" w:type="dxa"/>
                </w:tcPr>
                <w:p w:rsidR="00CD58DA" w:rsidRPr="00CD58DA" w:rsidRDefault="00CD58DA" w:rsidP="00CD58DA">
                  <w:pPr>
                    <w:rPr>
                      <w:rFonts w:ascii="宋体" w:hAnsi="宋体" w:cs="宋体"/>
                      <w:szCs w:val="21"/>
                    </w:rPr>
                  </w:pPr>
                  <w:r w:rsidRPr="00CD58DA">
                    <w:rPr>
                      <w:rFonts w:ascii="宋体" w:hAnsi="宋体" w:cs="宋体"/>
                      <w:szCs w:val="21"/>
                    </w:rPr>
                    <w:t>新能源汽车</w:t>
                  </w:r>
                  <w:r w:rsidRPr="00CD58DA">
                    <w:rPr>
                      <w:rFonts w:ascii="宋体" w:hAnsi="宋体" w:cs="宋体" w:hint="eastAsia"/>
                      <w:szCs w:val="21"/>
                    </w:rPr>
                    <w:t>交互性</w:t>
                  </w:r>
                  <w:r w:rsidRPr="00CD58DA">
                    <w:rPr>
                      <w:rFonts w:ascii="宋体" w:hAnsi="宋体" w:cs="宋体"/>
                      <w:szCs w:val="21"/>
                    </w:rPr>
                    <w:t>展示</w:t>
                  </w:r>
                  <w:r w:rsidRPr="00CD58DA">
                    <w:rPr>
                      <w:rFonts w:ascii="宋体" w:hAnsi="宋体" w:cs="宋体" w:hint="eastAsia"/>
                      <w:szCs w:val="21"/>
                    </w:rPr>
                    <w:t>，通过操控</w:t>
                  </w:r>
                  <w:r w:rsidRPr="00CD58DA">
                    <w:rPr>
                      <w:rFonts w:ascii="宋体" w:hAnsi="宋体" w:cs="宋体"/>
                      <w:szCs w:val="21"/>
                    </w:rPr>
                    <w:t>VR设备手柄与仿真新能源汽车</w:t>
                  </w:r>
                  <w:r w:rsidRPr="00CD58DA">
                    <w:rPr>
                      <w:rFonts w:ascii="宋体" w:hAnsi="宋体" w:cs="宋体" w:hint="eastAsia"/>
                      <w:szCs w:val="21"/>
                    </w:rPr>
                    <w:t>进行交互，介绍</w:t>
                  </w:r>
                  <w:r w:rsidRPr="00CD58DA">
                    <w:rPr>
                      <w:rFonts w:ascii="宋体" w:hAnsi="宋体" w:cs="宋体"/>
                      <w:szCs w:val="21"/>
                    </w:rPr>
                    <w:t>新能源汽车</w:t>
                  </w:r>
                  <w:r w:rsidRPr="00CD58DA">
                    <w:rPr>
                      <w:rFonts w:ascii="宋体" w:hAnsi="宋体" w:cs="宋体" w:hint="eastAsia"/>
                      <w:szCs w:val="21"/>
                    </w:rPr>
                    <w:t>各项信息。</w:t>
                  </w:r>
                </w:p>
              </w:tc>
            </w:tr>
            <w:tr w:rsidR="00CD58DA" w:rsidRPr="00CD58DA" w:rsidTr="00CA6791">
              <w:tc>
                <w:tcPr>
                  <w:tcW w:w="744" w:type="dxa"/>
                  <w:vAlign w:val="center"/>
                </w:tcPr>
                <w:p w:rsidR="00CD58DA" w:rsidRPr="00CD58DA" w:rsidRDefault="00CD58DA" w:rsidP="00CD58DA">
                  <w:pPr>
                    <w:jc w:val="center"/>
                    <w:rPr>
                      <w:rFonts w:ascii="宋体" w:hAnsi="宋体" w:cs="宋体"/>
                      <w:szCs w:val="21"/>
                    </w:rPr>
                  </w:pPr>
                  <w:r w:rsidRPr="00CD58DA">
                    <w:rPr>
                      <w:rFonts w:ascii="宋体" w:hAnsi="宋体" w:cs="宋体"/>
                      <w:szCs w:val="21"/>
                    </w:rPr>
                    <w:t>3</w:t>
                  </w:r>
                </w:p>
              </w:tc>
              <w:tc>
                <w:tcPr>
                  <w:tcW w:w="1362" w:type="dxa"/>
                  <w:vAlign w:val="center"/>
                </w:tcPr>
                <w:p w:rsidR="00CD58DA" w:rsidRPr="00CD58DA" w:rsidRDefault="00CD58DA" w:rsidP="00CD58DA">
                  <w:pPr>
                    <w:rPr>
                      <w:rFonts w:ascii="宋体" w:hAnsi="宋体" w:cs="宋体"/>
                      <w:szCs w:val="21"/>
                    </w:rPr>
                  </w:pPr>
                  <w:r w:rsidRPr="00CD58DA">
                    <w:rPr>
                      <w:rFonts w:ascii="宋体" w:hAnsi="宋体" w:cs="宋体"/>
                      <w:szCs w:val="21"/>
                    </w:rPr>
                    <w:t>VR</w:t>
                  </w:r>
                  <w:r w:rsidRPr="00CD58DA">
                    <w:rPr>
                      <w:rFonts w:ascii="宋体" w:hAnsi="宋体" w:cs="宋体" w:hint="eastAsia"/>
                      <w:szCs w:val="21"/>
                    </w:rPr>
                    <w:t>新能源汽车试驾</w:t>
                  </w:r>
                  <w:r w:rsidRPr="00CD58DA">
                    <w:rPr>
                      <w:rFonts w:ascii="宋体" w:hAnsi="宋体" w:cs="宋体"/>
                      <w:szCs w:val="21"/>
                    </w:rPr>
                    <w:t>体验区</w:t>
                  </w:r>
                </w:p>
              </w:tc>
              <w:tc>
                <w:tcPr>
                  <w:tcW w:w="3068" w:type="dxa"/>
                </w:tcPr>
                <w:p w:rsidR="00CD58DA" w:rsidRPr="00CD58DA" w:rsidRDefault="00CD58DA" w:rsidP="00CD58DA">
                  <w:pPr>
                    <w:rPr>
                      <w:rFonts w:ascii="宋体" w:hAnsi="宋体" w:cs="宋体"/>
                      <w:szCs w:val="21"/>
                    </w:rPr>
                  </w:pPr>
                  <w:r w:rsidRPr="00CD58DA">
                    <w:rPr>
                      <w:rFonts w:ascii="宋体" w:hAnsi="宋体" w:cs="宋体" w:hint="eastAsia"/>
                      <w:szCs w:val="21"/>
                    </w:rPr>
                    <w:t>参观者可以通过第一人称视角，通过操控</w:t>
                  </w:r>
                  <w:r w:rsidRPr="00CD58DA">
                    <w:rPr>
                      <w:rFonts w:ascii="宋体" w:hAnsi="宋体" w:cs="宋体"/>
                      <w:szCs w:val="21"/>
                    </w:rPr>
                    <w:t>VR设备手柄，沉浸式体验新能源汽车的驾驶乐趣。</w:t>
                  </w:r>
                </w:p>
              </w:tc>
            </w:tr>
            <w:tr w:rsidR="00CD58DA" w:rsidRPr="00CD58DA" w:rsidTr="00CA6791">
              <w:tc>
                <w:tcPr>
                  <w:tcW w:w="744" w:type="dxa"/>
                  <w:vAlign w:val="center"/>
                </w:tcPr>
                <w:p w:rsidR="00CD58DA" w:rsidRPr="00CD58DA" w:rsidRDefault="00CD58DA" w:rsidP="00CD58DA">
                  <w:pPr>
                    <w:jc w:val="center"/>
                    <w:rPr>
                      <w:rFonts w:ascii="宋体" w:hAnsi="宋体" w:cs="宋体"/>
                      <w:szCs w:val="21"/>
                    </w:rPr>
                  </w:pPr>
                  <w:r w:rsidRPr="00CD58DA">
                    <w:rPr>
                      <w:rFonts w:ascii="宋体" w:hAnsi="宋体" w:cs="宋体"/>
                      <w:szCs w:val="21"/>
                    </w:rPr>
                    <w:t>4</w:t>
                  </w:r>
                </w:p>
              </w:tc>
              <w:tc>
                <w:tcPr>
                  <w:tcW w:w="1362" w:type="dxa"/>
                  <w:vAlign w:val="center"/>
                </w:tcPr>
                <w:p w:rsidR="00CD58DA" w:rsidRPr="00CD58DA" w:rsidRDefault="00CD58DA" w:rsidP="00CD58DA">
                  <w:pPr>
                    <w:rPr>
                      <w:rFonts w:ascii="宋体" w:hAnsi="宋体" w:cs="宋体"/>
                      <w:szCs w:val="21"/>
                    </w:rPr>
                  </w:pPr>
                  <w:r w:rsidRPr="00CD58DA">
                    <w:rPr>
                      <w:rFonts w:ascii="宋体" w:hAnsi="宋体" w:cs="宋体" w:hint="eastAsia"/>
                      <w:szCs w:val="21"/>
                    </w:rPr>
                    <w:t>新能源汽车知识</w:t>
                  </w:r>
                  <w:r w:rsidRPr="00CD58DA">
                    <w:rPr>
                      <w:rFonts w:ascii="宋体" w:hAnsi="宋体" w:cs="宋体"/>
                      <w:szCs w:val="21"/>
                    </w:rPr>
                    <w:t>互动学习区</w:t>
                  </w:r>
                </w:p>
              </w:tc>
              <w:tc>
                <w:tcPr>
                  <w:tcW w:w="3068" w:type="dxa"/>
                </w:tcPr>
                <w:p w:rsidR="00CD58DA" w:rsidRPr="00CD58DA" w:rsidRDefault="00CD58DA" w:rsidP="00CD58DA">
                  <w:pPr>
                    <w:rPr>
                      <w:rFonts w:ascii="宋体" w:hAnsi="宋体" w:cs="宋体"/>
                      <w:szCs w:val="21"/>
                    </w:rPr>
                  </w:pPr>
                  <w:r w:rsidRPr="00CD58DA">
                    <w:rPr>
                      <w:rFonts w:ascii="宋体" w:hAnsi="宋体" w:cs="宋体" w:hint="eastAsia"/>
                      <w:szCs w:val="21"/>
                    </w:rPr>
                    <w:t>设置趣味问答系统，让参观者了解新能源汽车的知识。</w:t>
                  </w:r>
                </w:p>
              </w:tc>
            </w:tr>
            <w:tr w:rsidR="00CD58DA" w:rsidRPr="00CD58DA" w:rsidTr="00CA6791">
              <w:tc>
                <w:tcPr>
                  <w:tcW w:w="744" w:type="dxa"/>
                  <w:vAlign w:val="center"/>
                </w:tcPr>
                <w:p w:rsidR="00CD58DA" w:rsidRPr="00CD58DA" w:rsidRDefault="00CD58DA" w:rsidP="00CD58DA">
                  <w:pPr>
                    <w:jc w:val="center"/>
                    <w:rPr>
                      <w:rFonts w:ascii="宋体" w:hAnsi="宋体" w:cs="宋体"/>
                      <w:szCs w:val="21"/>
                    </w:rPr>
                  </w:pPr>
                  <w:r w:rsidRPr="00CD58DA">
                    <w:rPr>
                      <w:rFonts w:ascii="宋体" w:hAnsi="宋体" w:cs="宋体"/>
                      <w:szCs w:val="21"/>
                    </w:rPr>
                    <w:t>5</w:t>
                  </w:r>
                </w:p>
              </w:tc>
              <w:tc>
                <w:tcPr>
                  <w:tcW w:w="1362" w:type="dxa"/>
                  <w:vAlign w:val="center"/>
                </w:tcPr>
                <w:p w:rsidR="00CD58DA" w:rsidRPr="00CD58DA" w:rsidRDefault="00CD58DA" w:rsidP="00CD58DA">
                  <w:pPr>
                    <w:rPr>
                      <w:rFonts w:ascii="宋体" w:hAnsi="宋体" w:cs="宋体"/>
                      <w:szCs w:val="21"/>
                    </w:rPr>
                  </w:pPr>
                  <w:r w:rsidRPr="00CD58DA">
                    <w:rPr>
                      <w:rFonts w:ascii="宋体" w:hAnsi="宋体" w:cs="宋体"/>
                      <w:szCs w:val="21"/>
                    </w:rPr>
                    <w:t>VR新能源车辆组装体验区</w:t>
                  </w:r>
                </w:p>
              </w:tc>
              <w:tc>
                <w:tcPr>
                  <w:tcW w:w="3068" w:type="dxa"/>
                </w:tcPr>
                <w:p w:rsidR="00CD58DA" w:rsidRPr="00CD58DA" w:rsidRDefault="00CD58DA" w:rsidP="00CD58DA">
                  <w:pPr>
                    <w:rPr>
                      <w:rFonts w:ascii="宋体" w:hAnsi="宋体" w:cs="宋体"/>
                      <w:szCs w:val="21"/>
                    </w:rPr>
                  </w:pPr>
                  <w:r w:rsidRPr="00CD58DA">
                    <w:rPr>
                      <w:rFonts w:ascii="宋体" w:hAnsi="宋体" w:cs="宋体"/>
                      <w:szCs w:val="21"/>
                    </w:rPr>
                    <w:t>可以在虚拟环境中自由地</w:t>
                  </w:r>
                  <w:r w:rsidRPr="00CD58DA">
                    <w:rPr>
                      <w:rFonts w:ascii="宋体" w:hAnsi="宋体" w:cs="宋体" w:hint="eastAsia"/>
                      <w:szCs w:val="21"/>
                    </w:rPr>
                    <w:t>拾取、观察和安装</w:t>
                  </w:r>
                  <w:r w:rsidRPr="00CD58DA">
                    <w:rPr>
                      <w:rFonts w:ascii="宋体" w:hAnsi="宋体" w:cs="宋体"/>
                      <w:szCs w:val="21"/>
                    </w:rPr>
                    <w:t>这些模型，从而深入了解汽车的各个组成部分及其相互之间的关系。</w:t>
                  </w:r>
                </w:p>
              </w:tc>
            </w:tr>
          </w:tbl>
          <w:p w:rsidR="00CD58DA" w:rsidRPr="00CD58DA" w:rsidRDefault="00CD58DA" w:rsidP="00CD58DA">
            <w:pPr>
              <w:ind w:firstLineChars="200" w:firstLine="420"/>
              <w:jc w:val="both"/>
              <w:rPr>
                <w:rFonts w:ascii="宋体" w:eastAsia="宋体" w:hAnsi="宋体" w:cs="宋体"/>
                <w:szCs w:val="21"/>
              </w:rPr>
            </w:pPr>
            <w:r w:rsidRPr="00CD58DA">
              <w:rPr>
                <w:rFonts w:ascii="宋体" w:eastAsia="宋体" w:hAnsi="宋体" w:cs="宋体"/>
                <w:szCs w:val="21"/>
              </w:rPr>
              <w:t>3.软件技术指标</w:t>
            </w:r>
          </w:p>
          <w:p w:rsidR="00CD58DA" w:rsidRPr="00CD58DA" w:rsidRDefault="00CD58DA" w:rsidP="00CD58DA">
            <w:pPr>
              <w:ind w:firstLineChars="200" w:firstLine="420"/>
              <w:jc w:val="both"/>
              <w:rPr>
                <w:rFonts w:ascii="宋体" w:eastAsia="宋体" w:hAnsi="宋体" w:cs="宋体"/>
                <w:szCs w:val="21"/>
              </w:rPr>
            </w:pPr>
            <w:r w:rsidRPr="00CD58DA">
              <w:rPr>
                <w:rFonts w:ascii="宋体" w:eastAsia="宋体" w:hAnsi="宋体" w:cs="宋体" w:hint="eastAsia"/>
                <w:szCs w:val="21"/>
              </w:rPr>
              <w:t>软件二个层级分别展示相对应的展示内容。</w:t>
            </w:r>
          </w:p>
          <w:p w:rsidR="00CD58DA" w:rsidRPr="00CD58DA" w:rsidRDefault="00CD58DA" w:rsidP="00CD58DA">
            <w:pPr>
              <w:ind w:firstLineChars="200" w:firstLine="420"/>
              <w:jc w:val="both"/>
              <w:rPr>
                <w:rFonts w:ascii="宋体" w:eastAsia="宋体" w:hAnsi="宋体" w:cs="宋体"/>
                <w:szCs w:val="21"/>
              </w:rPr>
            </w:pPr>
            <w:r w:rsidRPr="00CD58DA">
              <w:rPr>
                <w:rFonts w:ascii="宋体" w:eastAsia="宋体" w:hAnsi="宋体" w:cs="宋体" w:hint="eastAsia"/>
                <w:szCs w:val="21"/>
              </w:rPr>
              <w:t>（</w:t>
            </w:r>
            <w:r w:rsidRPr="00CD58DA">
              <w:rPr>
                <w:rFonts w:ascii="宋体" w:eastAsia="宋体" w:hAnsi="宋体" w:cs="宋体"/>
                <w:szCs w:val="21"/>
              </w:rPr>
              <w:t>1）级菜单管理层级：</w:t>
            </w:r>
          </w:p>
          <w:tbl>
            <w:tblPr>
              <w:tblStyle w:val="af5"/>
              <w:tblW w:w="5165" w:type="dxa"/>
              <w:tblLayout w:type="fixed"/>
              <w:tblLook w:val="04A0"/>
            </w:tblPr>
            <w:tblGrid>
              <w:gridCol w:w="632"/>
              <w:gridCol w:w="1222"/>
              <w:gridCol w:w="3311"/>
            </w:tblGrid>
            <w:tr w:rsidR="00CD58DA" w:rsidRPr="00CD58DA" w:rsidTr="00CA6791">
              <w:trPr>
                <w:trHeight w:val="498"/>
              </w:trPr>
              <w:tc>
                <w:tcPr>
                  <w:tcW w:w="632" w:type="dxa"/>
                </w:tcPr>
                <w:p w:rsidR="00CD58DA" w:rsidRPr="00CD58DA" w:rsidRDefault="00CD58DA" w:rsidP="00CD58DA">
                  <w:pPr>
                    <w:rPr>
                      <w:rFonts w:ascii="宋体" w:hAnsi="宋体" w:cs="宋体"/>
                      <w:szCs w:val="21"/>
                    </w:rPr>
                  </w:pPr>
                  <w:r w:rsidRPr="00CD58DA">
                    <w:rPr>
                      <w:rFonts w:ascii="宋体" w:hAnsi="宋体" w:cs="宋体" w:hint="eastAsia"/>
                      <w:szCs w:val="21"/>
                    </w:rPr>
                    <w:t>序号</w:t>
                  </w:r>
                </w:p>
              </w:tc>
              <w:tc>
                <w:tcPr>
                  <w:tcW w:w="1222" w:type="dxa"/>
                </w:tcPr>
                <w:p w:rsidR="00CD58DA" w:rsidRPr="00CD58DA" w:rsidRDefault="00CD58DA" w:rsidP="00CD58DA">
                  <w:pPr>
                    <w:rPr>
                      <w:rFonts w:ascii="宋体" w:hAnsi="宋体" w:cs="宋体"/>
                      <w:szCs w:val="21"/>
                    </w:rPr>
                  </w:pPr>
                  <w:r w:rsidRPr="00CD58DA">
                    <w:rPr>
                      <w:rFonts w:ascii="宋体" w:hAnsi="宋体" w:cs="宋体" w:hint="eastAsia"/>
                      <w:szCs w:val="21"/>
                    </w:rPr>
                    <w:t>菜单内容</w:t>
                  </w:r>
                </w:p>
              </w:tc>
              <w:tc>
                <w:tcPr>
                  <w:tcW w:w="3311" w:type="dxa"/>
                </w:tcPr>
                <w:p w:rsidR="00CD58DA" w:rsidRPr="00CD58DA" w:rsidRDefault="00CD58DA" w:rsidP="00CD58DA">
                  <w:pPr>
                    <w:rPr>
                      <w:rFonts w:ascii="宋体" w:hAnsi="宋体" w:cs="宋体"/>
                      <w:szCs w:val="21"/>
                    </w:rPr>
                  </w:pPr>
                  <w:r w:rsidRPr="00CD58DA">
                    <w:rPr>
                      <w:rFonts w:ascii="宋体" w:hAnsi="宋体" w:cs="宋体" w:hint="eastAsia"/>
                      <w:szCs w:val="21"/>
                    </w:rPr>
                    <w:t>主要功能</w:t>
                  </w:r>
                </w:p>
              </w:tc>
            </w:tr>
            <w:tr w:rsidR="00CD58DA" w:rsidRPr="00CD58DA" w:rsidTr="00CA6791">
              <w:trPr>
                <w:trHeight w:val="498"/>
              </w:trPr>
              <w:tc>
                <w:tcPr>
                  <w:tcW w:w="632" w:type="dxa"/>
                </w:tcPr>
                <w:p w:rsidR="00CD58DA" w:rsidRPr="00CD58DA" w:rsidRDefault="00CD58DA" w:rsidP="00CD58DA">
                  <w:pPr>
                    <w:jc w:val="center"/>
                    <w:rPr>
                      <w:rFonts w:ascii="宋体" w:hAnsi="宋体" w:cs="宋体"/>
                      <w:szCs w:val="21"/>
                    </w:rPr>
                  </w:pPr>
                  <w:r w:rsidRPr="00CD58DA">
                    <w:rPr>
                      <w:rFonts w:ascii="宋体" w:hAnsi="宋体" w:cs="宋体"/>
                      <w:szCs w:val="21"/>
                    </w:rPr>
                    <w:t>1</w:t>
                  </w:r>
                </w:p>
              </w:tc>
              <w:tc>
                <w:tcPr>
                  <w:tcW w:w="1222" w:type="dxa"/>
                </w:tcPr>
                <w:p w:rsidR="00CD58DA" w:rsidRPr="00CD58DA" w:rsidRDefault="00CD58DA" w:rsidP="00CD58DA">
                  <w:pPr>
                    <w:rPr>
                      <w:rFonts w:ascii="宋体" w:hAnsi="宋体" w:cs="宋体"/>
                      <w:szCs w:val="21"/>
                    </w:rPr>
                  </w:pPr>
                  <w:r w:rsidRPr="00CD58DA">
                    <w:rPr>
                      <w:rFonts w:ascii="宋体" w:hAnsi="宋体" w:cs="宋体" w:hint="eastAsia"/>
                      <w:szCs w:val="21"/>
                    </w:rPr>
                    <w:t>场馆介绍</w:t>
                  </w:r>
                </w:p>
              </w:tc>
              <w:tc>
                <w:tcPr>
                  <w:tcW w:w="3311" w:type="dxa"/>
                </w:tcPr>
                <w:p w:rsidR="00CD58DA" w:rsidRPr="00CD58DA" w:rsidRDefault="00CD58DA" w:rsidP="00CD58DA">
                  <w:pPr>
                    <w:rPr>
                      <w:rFonts w:ascii="宋体" w:hAnsi="宋体" w:cs="宋体"/>
                      <w:szCs w:val="21"/>
                    </w:rPr>
                  </w:pPr>
                  <w:r w:rsidRPr="00CD58DA">
                    <w:rPr>
                      <w:rFonts w:ascii="宋体" w:hAnsi="宋体" w:cs="宋体" w:hint="eastAsia"/>
                      <w:szCs w:val="21"/>
                    </w:rPr>
                    <w:t>各场馆的详尽文字及图片说明</w:t>
                  </w:r>
                </w:p>
              </w:tc>
            </w:tr>
            <w:tr w:rsidR="00CD58DA" w:rsidRPr="00CD58DA" w:rsidTr="00CA6791">
              <w:trPr>
                <w:trHeight w:val="498"/>
              </w:trPr>
              <w:tc>
                <w:tcPr>
                  <w:tcW w:w="632" w:type="dxa"/>
                </w:tcPr>
                <w:p w:rsidR="00CD58DA" w:rsidRPr="00CD58DA" w:rsidRDefault="00CD58DA" w:rsidP="00CD58DA">
                  <w:pPr>
                    <w:jc w:val="center"/>
                    <w:rPr>
                      <w:rFonts w:ascii="宋体" w:hAnsi="宋体" w:cs="宋体"/>
                      <w:szCs w:val="21"/>
                    </w:rPr>
                  </w:pPr>
                  <w:r w:rsidRPr="00CD58DA">
                    <w:rPr>
                      <w:rFonts w:ascii="宋体" w:hAnsi="宋体" w:cs="宋体"/>
                      <w:szCs w:val="21"/>
                    </w:rPr>
                    <w:t>2</w:t>
                  </w:r>
                </w:p>
              </w:tc>
              <w:tc>
                <w:tcPr>
                  <w:tcW w:w="1222" w:type="dxa"/>
                </w:tcPr>
                <w:p w:rsidR="00CD58DA" w:rsidRPr="00CD58DA" w:rsidRDefault="00CD58DA" w:rsidP="00CD58DA">
                  <w:pPr>
                    <w:rPr>
                      <w:rFonts w:ascii="宋体" w:hAnsi="宋体" w:cs="宋体"/>
                      <w:szCs w:val="21"/>
                    </w:rPr>
                  </w:pPr>
                  <w:r w:rsidRPr="00CD58DA">
                    <w:rPr>
                      <w:rFonts w:ascii="宋体" w:hAnsi="宋体" w:cs="宋体" w:hint="eastAsia"/>
                      <w:szCs w:val="21"/>
                    </w:rPr>
                    <w:t>操作介绍</w:t>
                  </w:r>
                </w:p>
              </w:tc>
              <w:tc>
                <w:tcPr>
                  <w:tcW w:w="3311" w:type="dxa"/>
                </w:tcPr>
                <w:p w:rsidR="00CD58DA" w:rsidRPr="00CD58DA" w:rsidRDefault="00CD58DA" w:rsidP="00CD58DA">
                  <w:pPr>
                    <w:rPr>
                      <w:rFonts w:ascii="宋体" w:hAnsi="宋体" w:cs="宋体"/>
                      <w:szCs w:val="21"/>
                    </w:rPr>
                  </w:pPr>
                  <w:r w:rsidRPr="00CD58DA">
                    <w:rPr>
                      <w:rFonts w:ascii="宋体" w:hAnsi="宋体" w:cs="宋体" w:hint="eastAsia"/>
                      <w:szCs w:val="21"/>
                    </w:rPr>
                    <w:t>软件输入各按键说明、操作指南</w:t>
                  </w:r>
                </w:p>
              </w:tc>
            </w:tr>
            <w:tr w:rsidR="00CD58DA" w:rsidRPr="00CD58DA" w:rsidTr="00CA6791">
              <w:trPr>
                <w:trHeight w:val="507"/>
              </w:trPr>
              <w:tc>
                <w:tcPr>
                  <w:tcW w:w="632" w:type="dxa"/>
                </w:tcPr>
                <w:p w:rsidR="00CD58DA" w:rsidRPr="00CD58DA" w:rsidRDefault="00CD58DA" w:rsidP="00CD58DA">
                  <w:pPr>
                    <w:jc w:val="center"/>
                    <w:rPr>
                      <w:rFonts w:ascii="宋体" w:hAnsi="宋体" w:cs="宋体"/>
                      <w:szCs w:val="21"/>
                    </w:rPr>
                  </w:pPr>
                  <w:r w:rsidRPr="00CD58DA">
                    <w:rPr>
                      <w:rFonts w:ascii="宋体" w:hAnsi="宋体" w:cs="宋体"/>
                      <w:szCs w:val="21"/>
                    </w:rPr>
                    <w:t>3</w:t>
                  </w:r>
                </w:p>
              </w:tc>
              <w:tc>
                <w:tcPr>
                  <w:tcW w:w="1222" w:type="dxa"/>
                </w:tcPr>
                <w:p w:rsidR="00CD58DA" w:rsidRPr="00CD58DA" w:rsidRDefault="00CD58DA" w:rsidP="00CD58DA">
                  <w:pPr>
                    <w:rPr>
                      <w:rFonts w:ascii="宋体" w:hAnsi="宋体" w:cs="宋体"/>
                      <w:szCs w:val="21"/>
                    </w:rPr>
                  </w:pPr>
                  <w:r w:rsidRPr="00CD58DA">
                    <w:rPr>
                      <w:rFonts w:ascii="宋体" w:hAnsi="宋体" w:cs="宋体" w:hint="eastAsia"/>
                      <w:szCs w:val="21"/>
                    </w:rPr>
                    <w:t>系统设置</w:t>
                  </w:r>
                </w:p>
              </w:tc>
              <w:tc>
                <w:tcPr>
                  <w:tcW w:w="3311" w:type="dxa"/>
                </w:tcPr>
                <w:p w:rsidR="00CD58DA" w:rsidRPr="00CD58DA" w:rsidRDefault="00CD58DA" w:rsidP="00CD58DA">
                  <w:pPr>
                    <w:rPr>
                      <w:rFonts w:ascii="宋体" w:hAnsi="宋体" w:cs="宋体"/>
                      <w:szCs w:val="21"/>
                    </w:rPr>
                  </w:pPr>
                  <w:r w:rsidRPr="00CD58DA">
                    <w:rPr>
                      <w:rFonts w:ascii="宋体" w:hAnsi="宋体" w:cs="宋体" w:hint="eastAsia"/>
                      <w:szCs w:val="21"/>
                    </w:rPr>
                    <w:t>声音、饱和度、明暗等系统设置的调节</w:t>
                  </w:r>
                </w:p>
              </w:tc>
            </w:tr>
          </w:tbl>
          <w:p w:rsidR="00CD58DA" w:rsidRPr="00CD58DA" w:rsidRDefault="00CD58DA" w:rsidP="00CD58DA">
            <w:pPr>
              <w:ind w:firstLineChars="200" w:firstLine="420"/>
              <w:jc w:val="both"/>
              <w:rPr>
                <w:rFonts w:ascii="宋体" w:eastAsia="宋体" w:hAnsi="宋体" w:cs="宋体"/>
                <w:szCs w:val="21"/>
              </w:rPr>
            </w:pPr>
            <w:r w:rsidRPr="00CD58DA">
              <w:rPr>
                <w:rFonts w:ascii="宋体" w:eastAsia="宋体" w:hAnsi="宋体" w:cs="宋体" w:hint="eastAsia"/>
                <w:szCs w:val="21"/>
              </w:rPr>
              <w:t>（</w:t>
            </w:r>
            <w:r w:rsidRPr="00CD58DA">
              <w:rPr>
                <w:rFonts w:ascii="宋体" w:eastAsia="宋体" w:hAnsi="宋体" w:cs="宋体"/>
                <w:szCs w:val="21"/>
              </w:rPr>
              <w:t>2）级游览互动层级：</w:t>
            </w:r>
          </w:p>
          <w:tbl>
            <w:tblPr>
              <w:tblStyle w:val="af5"/>
              <w:tblW w:w="5174" w:type="dxa"/>
              <w:jc w:val="center"/>
              <w:tblLayout w:type="fixed"/>
              <w:tblLook w:val="04A0"/>
            </w:tblPr>
            <w:tblGrid>
              <w:gridCol w:w="693"/>
              <w:gridCol w:w="960"/>
              <w:gridCol w:w="1222"/>
              <w:gridCol w:w="2299"/>
            </w:tblGrid>
            <w:tr w:rsidR="00CD58DA" w:rsidRPr="00CD58DA" w:rsidTr="00CA6791">
              <w:trPr>
                <w:trHeight w:val="273"/>
                <w:jc w:val="center"/>
              </w:trPr>
              <w:tc>
                <w:tcPr>
                  <w:tcW w:w="693" w:type="dxa"/>
                  <w:vAlign w:val="center"/>
                </w:tcPr>
                <w:p w:rsidR="00CD58DA" w:rsidRPr="00CD58DA" w:rsidRDefault="00CD58DA" w:rsidP="00CD58DA">
                  <w:pPr>
                    <w:jc w:val="center"/>
                    <w:rPr>
                      <w:rFonts w:ascii="宋体" w:hAnsi="宋体" w:cs="宋体"/>
                      <w:szCs w:val="21"/>
                    </w:rPr>
                  </w:pPr>
                  <w:r w:rsidRPr="00CD58DA">
                    <w:rPr>
                      <w:rFonts w:ascii="宋体" w:hAnsi="宋体" w:cs="宋体" w:hint="eastAsia"/>
                      <w:szCs w:val="21"/>
                    </w:rPr>
                    <w:t>序号</w:t>
                  </w:r>
                </w:p>
              </w:tc>
              <w:tc>
                <w:tcPr>
                  <w:tcW w:w="960" w:type="dxa"/>
                  <w:vAlign w:val="center"/>
                </w:tcPr>
                <w:p w:rsidR="00CD58DA" w:rsidRPr="00CD58DA" w:rsidRDefault="00CD58DA" w:rsidP="00CD58DA">
                  <w:pPr>
                    <w:jc w:val="center"/>
                    <w:rPr>
                      <w:rFonts w:ascii="宋体" w:hAnsi="宋体" w:cs="宋体"/>
                      <w:szCs w:val="21"/>
                    </w:rPr>
                  </w:pPr>
                  <w:r w:rsidRPr="00CD58DA">
                    <w:rPr>
                      <w:rFonts w:ascii="宋体" w:hAnsi="宋体" w:cs="宋体" w:hint="eastAsia"/>
                      <w:szCs w:val="21"/>
                    </w:rPr>
                    <w:t>虚拟展厅</w:t>
                  </w:r>
                </w:p>
              </w:tc>
              <w:tc>
                <w:tcPr>
                  <w:tcW w:w="1222" w:type="dxa"/>
                  <w:vAlign w:val="center"/>
                </w:tcPr>
                <w:p w:rsidR="00CD58DA" w:rsidRPr="00CD58DA" w:rsidRDefault="00CD58DA" w:rsidP="00CD58DA">
                  <w:pPr>
                    <w:jc w:val="center"/>
                    <w:rPr>
                      <w:rFonts w:ascii="宋体" w:hAnsi="宋体" w:cs="宋体"/>
                      <w:szCs w:val="21"/>
                    </w:rPr>
                  </w:pPr>
                  <w:r w:rsidRPr="00CD58DA">
                    <w:rPr>
                      <w:rFonts w:ascii="宋体" w:hAnsi="宋体" w:cs="宋体" w:hint="eastAsia"/>
                      <w:szCs w:val="21"/>
                    </w:rPr>
                    <w:t>制作内容</w:t>
                  </w:r>
                </w:p>
              </w:tc>
              <w:tc>
                <w:tcPr>
                  <w:tcW w:w="2299" w:type="dxa"/>
                  <w:vAlign w:val="center"/>
                </w:tcPr>
                <w:p w:rsidR="00CD58DA" w:rsidRPr="00CD58DA" w:rsidRDefault="00CD58DA" w:rsidP="00CD58DA">
                  <w:pPr>
                    <w:jc w:val="center"/>
                    <w:rPr>
                      <w:rFonts w:ascii="宋体" w:hAnsi="宋体" w:cs="宋体"/>
                      <w:szCs w:val="21"/>
                    </w:rPr>
                  </w:pPr>
                  <w:r w:rsidRPr="00CD58DA">
                    <w:rPr>
                      <w:rFonts w:ascii="宋体" w:hAnsi="宋体" w:cs="宋体" w:hint="eastAsia"/>
                      <w:szCs w:val="21"/>
                    </w:rPr>
                    <w:t>备注</w:t>
                  </w:r>
                </w:p>
              </w:tc>
            </w:tr>
            <w:tr w:rsidR="00CD58DA" w:rsidRPr="00CD58DA" w:rsidTr="00CA6791">
              <w:trPr>
                <w:trHeight w:val="1062"/>
                <w:jc w:val="center"/>
              </w:trPr>
              <w:tc>
                <w:tcPr>
                  <w:tcW w:w="693" w:type="dxa"/>
                  <w:vMerge w:val="restart"/>
                </w:tcPr>
                <w:p w:rsidR="00CD58DA" w:rsidRPr="00CD58DA" w:rsidRDefault="00CD58DA" w:rsidP="00CD58DA">
                  <w:pPr>
                    <w:jc w:val="center"/>
                    <w:rPr>
                      <w:rFonts w:ascii="宋体" w:hAnsi="宋体" w:cs="宋体"/>
                      <w:szCs w:val="21"/>
                    </w:rPr>
                  </w:pPr>
                  <w:r w:rsidRPr="00CD58DA">
                    <w:rPr>
                      <w:rFonts w:ascii="宋体" w:hAnsi="宋体" w:cs="宋体"/>
                      <w:szCs w:val="21"/>
                    </w:rPr>
                    <w:t>1</w:t>
                  </w:r>
                </w:p>
              </w:tc>
              <w:tc>
                <w:tcPr>
                  <w:tcW w:w="960" w:type="dxa"/>
                  <w:vMerge w:val="restart"/>
                </w:tcPr>
                <w:p w:rsidR="00CD58DA" w:rsidRPr="00CD58DA" w:rsidRDefault="00CD58DA" w:rsidP="00CD58DA">
                  <w:pPr>
                    <w:jc w:val="center"/>
                    <w:rPr>
                      <w:rFonts w:ascii="宋体" w:hAnsi="宋体" w:cs="宋体"/>
                      <w:szCs w:val="21"/>
                    </w:rPr>
                  </w:pPr>
                  <w:r w:rsidRPr="00CD58DA">
                    <w:rPr>
                      <w:rFonts w:ascii="宋体" w:hAnsi="宋体" w:cs="宋体"/>
                      <w:szCs w:val="21"/>
                    </w:rPr>
                    <w:t>新能源汽车展示区</w:t>
                  </w:r>
                </w:p>
              </w:tc>
              <w:tc>
                <w:tcPr>
                  <w:tcW w:w="1222" w:type="dxa"/>
                </w:tcPr>
                <w:p w:rsidR="00CD58DA" w:rsidRPr="00CD58DA" w:rsidRDefault="00CD58DA" w:rsidP="00CD58DA">
                  <w:pPr>
                    <w:jc w:val="center"/>
                    <w:rPr>
                      <w:rFonts w:ascii="宋体" w:hAnsi="宋体" w:cs="宋体"/>
                      <w:szCs w:val="21"/>
                    </w:rPr>
                  </w:pPr>
                  <w:r w:rsidRPr="00CD58DA">
                    <w:rPr>
                      <w:rFonts w:ascii="宋体" w:hAnsi="宋体" w:cs="宋体"/>
                      <w:szCs w:val="21"/>
                    </w:rPr>
                    <w:t>A</w:t>
                  </w:r>
                  <w:r w:rsidRPr="00CD58DA">
                    <w:rPr>
                      <w:rFonts w:ascii="宋体" w:hAnsi="宋体" w:cs="宋体" w:hint="eastAsia"/>
                      <w:szCs w:val="21"/>
                    </w:rPr>
                    <w:t>块．车辆静态展示：</w:t>
                  </w:r>
                </w:p>
              </w:tc>
              <w:tc>
                <w:tcPr>
                  <w:tcW w:w="2299"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用于展示的场景模型</w:t>
                  </w:r>
                  <w:r w:rsidRPr="00CD58DA">
                    <w:rPr>
                      <w:rFonts w:ascii="宋体" w:hAnsi="宋体" w:cs="宋体"/>
                      <w:szCs w:val="21"/>
                    </w:rPr>
                    <w:t>1套，展示汽车模型不低于6个。</w:t>
                  </w:r>
                </w:p>
              </w:tc>
            </w:tr>
            <w:tr w:rsidR="00CD58DA" w:rsidRPr="00CD58DA" w:rsidTr="00CA6791">
              <w:trPr>
                <w:trHeight w:val="535"/>
                <w:jc w:val="center"/>
              </w:trPr>
              <w:tc>
                <w:tcPr>
                  <w:tcW w:w="693" w:type="dxa"/>
                  <w:vMerge/>
                </w:tcPr>
                <w:p w:rsidR="00CD58DA" w:rsidRPr="00CD58DA" w:rsidRDefault="00CD58DA" w:rsidP="00CD58DA">
                  <w:pPr>
                    <w:jc w:val="center"/>
                    <w:rPr>
                      <w:rFonts w:ascii="宋体" w:hAnsi="宋体" w:cs="宋体"/>
                      <w:szCs w:val="21"/>
                    </w:rPr>
                  </w:pPr>
                </w:p>
              </w:tc>
              <w:tc>
                <w:tcPr>
                  <w:tcW w:w="960" w:type="dxa"/>
                  <w:vMerge/>
                </w:tcPr>
                <w:p w:rsidR="00CD58DA" w:rsidRPr="00CD58DA" w:rsidRDefault="00CD58DA" w:rsidP="00CD58DA">
                  <w:pPr>
                    <w:jc w:val="center"/>
                    <w:rPr>
                      <w:rFonts w:ascii="宋体" w:hAnsi="宋体" w:cs="宋体"/>
                      <w:szCs w:val="21"/>
                    </w:rPr>
                  </w:pPr>
                </w:p>
              </w:tc>
              <w:tc>
                <w:tcPr>
                  <w:tcW w:w="1222" w:type="dxa"/>
                </w:tcPr>
                <w:p w:rsidR="00CD58DA" w:rsidRPr="00CD58DA" w:rsidRDefault="00CD58DA" w:rsidP="00CD58DA">
                  <w:pPr>
                    <w:jc w:val="center"/>
                    <w:rPr>
                      <w:rFonts w:ascii="宋体" w:hAnsi="宋体" w:cs="宋体"/>
                      <w:szCs w:val="21"/>
                    </w:rPr>
                  </w:pPr>
                  <w:r w:rsidRPr="00CD58DA">
                    <w:rPr>
                      <w:rFonts w:ascii="宋体" w:hAnsi="宋体" w:cs="宋体"/>
                      <w:szCs w:val="21"/>
                    </w:rPr>
                    <w:t>B</w:t>
                  </w:r>
                  <w:r w:rsidRPr="00CD58DA">
                    <w:rPr>
                      <w:rFonts w:ascii="宋体" w:hAnsi="宋体" w:cs="宋体" w:hint="eastAsia"/>
                      <w:szCs w:val="21"/>
                    </w:rPr>
                    <w:t>块</w:t>
                  </w:r>
                  <w:r w:rsidRPr="00CD58DA">
                    <w:rPr>
                      <w:rFonts w:ascii="宋体" w:hAnsi="宋体" w:cs="宋体"/>
                      <w:szCs w:val="21"/>
                    </w:rPr>
                    <w:t xml:space="preserve">. </w:t>
                  </w:r>
                  <w:r w:rsidRPr="00CD58DA">
                    <w:rPr>
                      <w:rFonts w:ascii="宋体" w:hAnsi="宋体" w:cs="宋体" w:hint="eastAsia"/>
                      <w:szCs w:val="21"/>
                    </w:rPr>
                    <w:t>车辆交互展示</w:t>
                  </w:r>
                </w:p>
              </w:tc>
              <w:tc>
                <w:tcPr>
                  <w:tcW w:w="2299" w:type="dxa"/>
                </w:tcPr>
                <w:p w:rsidR="00CD58DA" w:rsidRPr="00CD58DA" w:rsidRDefault="00CD58DA" w:rsidP="00CD58DA">
                  <w:pPr>
                    <w:jc w:val="center"/>
                    <w:rPr>
                      <w:rFonts w:ascii="宋体" w:hAnsi="宋体" w:cs="宋体"/>
                      <w:szCs w:val="21"/>
                    </w:rPr>
                  </w:pPr>
                  <w:r w:rsidRPr="00CD58DA">
                    <w:rPr>
                      <w:rFonts w:ascii="宋体" w:hAnsi="宋体" w:cs="宋体"/>
                      <w:szCs w:val="21"/>
                    </w:rPr>
                    <w:t>VR交互程序1套</w:t>
                  </w:r>
                </w:p>
              </w:tc>
            </w:tr>
            <w:tr w:rsidR="00CD58DA" w:rsidRPr="00CD58DA" w:rsidTr="00CA6791">
              <w:trPr>
                <w:trHeight w:val="535"/>
                <w:jc w:val="center"/>
              </w:trPr>
              <w:tc>
                <w:tcPr>
                  <w:tcW w:w="693" w:type="dxa"/>
                </w:tcPr>
                <w:p w:rsidR="00CD58DA" w:rsidRPr="00CD58DA" w:rsidRDefault="00CD58DA" w:rsidP="00CD58DA">
                  <w:pPr>
                    <w:jc w:val="center"/>
                    <w:rPr>
                      <w:rFonts w:ascii="宋体" w:hAnsi="宋体" w:cs="宋体"/>
                      <w:szCs w:val="21"/>
                    </w:rPr>
                  </w:pPr>
                  <w:r w:rsidRPr="00CD58DA">
                    <w:rPr>
                      <w:rFonts w:ascii="宋体" w:hAnsi="宋体" w:cs="宋体"/>
                      <w:szCs w:val="21"/>
                    </w:rPr>
                    <w:t>2</w:t>
                  </w:r>
                </w:p>
              </w:tc>
              <w:tc>
                <w:tcPr>
                  <w:tcW w:w="960" w:type="dxa"/>
                </w:tcPr>
                <w:p w:rsidR="00CD58DA" w:rsidRPr="00CD58DA" w:rsidRDefault="00CD58DA" w:rsidP="00CD58DA">
                  <w:pPr>
                    <w:jc w:val="center"/>
                    <w:rPr>
                      <w:rFonts w:ascii="宋体" w:hAnsi="宋体" w:cs="宋体"/>
                      <w:szCs w:val="21"/>
                    </w:rPr>
                  </w:pPr>
                  <w:r w:rsidRPr="00CD58DA">
                    <w:rPr>
                      <w:rFonts w:ascii="宋体" w:hAnsi="宋体" w:cs="宋体"/>
                      <w:szCs w:val="21"/>
                    </w:rPr>
                    <w:t>VR</w:t>
                  </w:r>
                  <w:r w:rsidRPr="00CD58DA">
                    <w:rPr>
                      <w:rFonts w:ascii="宋体" w:hAnsi="宋体" w:cs="宋体" w:hint="eastAsia"/>
                      <w:szCs w:val="21"/>
                    </w:rPr>
                    <w:t>新能</w:t>
                  </w:r>
                  <w:r w:rsidRPr="00CD58DA">
                    <w:rPr>
                      <w:rFonts w:ascii="宋体" w:hAnsi="宋体" w:cs="宋体" w:hint="eastAsia"/>
                      <w:szCs w:val="21"/>
                    </w:rPr>
                    <w:lastRenderedPageBreak/>
                    <w:t>源汽车试驾</w:t>
                  </w:r>
                  <w:r w:rsidRPr="00CD58DA">
                    <w:rPr>
                      <w:rFonts w:ascii="宋体" w:hAnsi="宋体" w:cs="宋体"/>
                      <w:szCs w:val="21"/>
                    </w:rPr>
                    <w:t>体验区</w:t>
                  </w:r>
                </w:p>
              </w:tc>
              <w:tc>
                <w:tcPr>
                  <w:tcW w:w="1222"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lastRenderedPageBreak/>
                    <w:t>第一人称视</w:t>
                  </w:r>
                  <w:r w:rsidRPr="00CD58DA">
                    <w:rPr>
                      <w:rFonts w:ascii="宋体" w:hAnsi="宋体" w:cs="宋体" w:hint="eastAsia"/>
                      <w:szCs w:val="21"/>
                    </w:rPr>
                    <w:lastRenderedPageBreak/>
                    <w:t>角进行试驾</w:t>
                  </w:r>
                </w:p>
              </w:tc>
              <w:tc>
                <w:tcPr>
                  <w:tcW w:w="2299"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lastRenderedPageBreak/>
                    <w:t>车辆运动交互程序</w:t>
                  </w:r>
                  <w:r w:rsidRPr="00CD58DA">
                    <w:rPr>
                      <w:rFonts w:ascii="宋体" w:hAnsi="宋体" w:cs="宋体"/>
                      <w:szCs w:val="21"/>
                    </w:rPr>
                    <w:t>1套</w:t>
                  </w:r>
                </w:p>
              </w:tc>
            </w:tr>
            <w:tr w:rsidR="00CD58DA" w:rsidRPr="00CD58DA" w:rsidTr="00CA6791">
              <w:trPr>
                <w:trHeight w:val="1324"/>
                <w:jc w:val="center"/>
              </w:trPr>
              <w:tc>
                <w:tcPr>
                  <w:tcW w:w="693" w:type="dxa"/>
                </w:tcPr>
                <w:p w:rsidR="00CD58DA" w:rsidRPr="00CD58DA" w:rsidRDefault="00CD58DA" w:rsidP="00CD58DA">
                  <w:pPr>
                    <w:jc w:val="center"/>
                    <w:rPr>
                      <w:rFonts w:ascii="宋体" w:hAnsi="宋体" w:cs="宋体"/>
                      <w:szCs w:val="21"/>
                    </w:rPr>
                  </w:pPr>
                  <w:r w:rsidRPr="00CD58DA">
                    <w:rPr>
                      <w:rFonts w:ascii="宋体" w:hAnsi="宋体" w:cs="宋体"/>
                      <w:szCs w:val="21"/>
                    </w:rPr>
                    <w:lastRenderedPageBreak/>
                    <w:t>3</w:t>
                  </w:r>
                </w:p>
              </w:tc>
              <w:tc>
                <w:tcPr>
                  <w:tcW w:w="960"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新能源汽车知识</w:t>
                  </w:r>
                  <w:r w:rsidRPr="00CD58DA">
                    <w:rPr>
                      <w:rFonts w:ascii="宋体" w:hAnsi="宋体" w:cs="宋体"/>
                      <w:szCs w:val="21"/>
                    </w:rPr>
                    <w:t>互动学习区</w:t>
                  </w:r>
                </w:p>
              </w:tc>
              <w:tc>
                <w:tcPr>
                  <w:tcW w:w="1222" w:type="dxa"/>
                </w:tcPr>
                <w:p w:rsidR="00CD58DA" w:rsidRPr="00CD58DA" w:rsidRDefault="00CD58DA" w:rsidP="00CD58DA">
                  <w:pPr>
                    <w:rPr>
                      <w:rFonts w:ascii="宋体" w:hAnsi="宋体" w:cs="宋体"/>
                      <w:szCs w:val="21"/>
                    </w:rPr>
                  </w:pPr>
                  <w:r w:rsidRPr="00CD58DA">
                    <w:rPr>
                      <w:rFonts w:ascii="宋体" w:hAnsi="宋体" w:cs="宋体" w:hint="eastAsia"/>
                      <w:szCs w:val="21"/>
                    </w:rPr>
                    <w:t>新能源汽车的科普视频、培训资料和</w:t>
                  </w:r>
                </w:p>
                <w:p w:rsidR="00CD58DA" w:rsidRPr="00CD58DA" w:rsidRDefault="00CD58DA" w:rsidP="00CD58DA">
                  <w:pPr>
                    <w:jc w:val="center"/>
                    <w:rPr>
                      <w:rFonts w:ascii="宋体" w:hAnsi="宋体" w:cs="宋体"/>
                      <w:szCs w:val="21"/>
                    </w:rPr>
                  </w:pPr>
                  <w:r w:rsidRPr="00CD58DA">
                    <w:rPr>
                      <w:rFonts w:ascii="宋体" w:hAnsi="宋体" w:cs="宋体" w:hint="eastAsia"/>
                      <w:szCs w:val="21"/>
                    </w:rPr>
                    <w:t>互动问答系统</w:t>
                  </w:r>
                </w:p>
              </w:tc>
              <w:tc>
                <w:tcPr>
                  <w:tcW w:w="2299"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科普系统和交互问答系统</w:t>
                  </w:r>
                  <w:r w:rsidRPr="00CD58DA">
                    <w:rPr>
                      <w:rFonts w:ascii="宋体" w:hAnsi="宋体" w:cs="宋体"/>
                      <w:szCs w:val="21"/>
                    </w:rPr>
                    <w:t xml:space="preserve">1套 </w:t>
                  </w:r>
                </w:p>
              </w:tc>
            </w:tr>
            <w:tr w:rsidR="00CD58DA" w:rsidRPr="00CD58DA" w:rsidTr="00CA6791">
              <w:trPr>
                <w:trHeight w:val="545"/>
                <w:jc w:val="center"/>
              </w:trPr>
              <w:tc>
                <w:tcPr>
                  <w:tcW w:w="693" w:type="dxa"/>
                </w:tcPr>
                <w:p w:rsidR="00CD58DA" w:rsidRPr="00CD58DA" w:rsidRDefault="00CD58DA" w:rsidP="00CD58DA">
                  <w:pPr>
                    <w:jc w:val="center"/>
                    <w:rPr>
                      <w:rFonts w:ascii="宋体" w:hAnsi="宋体" w:cs="宋体"/>
                      <w:szCs w:val="21"/>
                    </w:rPr>
                  </w:pPr>
                  <w:r w:rsidRPr="00CD58DA">
                    <w:rPr>
                      <w:rFonts w:ascii="宋体" w:hAnsi="宋体" w:cs="宋体"/>
                      <w:szCs w:val="21"/>
                    </w:rPr>
                    <w:t>4</w:t>
                  </w:r>
                </w:p>
              </w:tc>
              <w:tc>
                <w:tcPr>
                  <w:tcW w:w="960" w:type="dxa"/>
                </w:tcPr>
                <w:p w:rsidR="00CD58DA" w:rsidRPr="00CD58DA" w:rsidRDefault="00CD58DA" w:rsidP="00CD58DA">
                  <w:pPr>
                    <w:jc w:val="center"/>
                    <w:rPr>
                      <w:rFonts w:ascii="宋体" w:hAnsi="宋体" w:cs="宋体"/>
                      <w:szCs w:val="21"/>
                    </w:rPr>
                  </w:pPr>
                  <w:r w:rsidRPr="00CD58DA">
                    <w:rPr>
                      <w:rFonts w:ascii="宋体" w:hAnsi="宋体" w:cs="宋体"/>
                      <w:szCs w:val="21"/>
                    </w:rPr>
                    <w:t>VR新能源车辆组装体验区</w:t>
                  </w:r>
                </w:p>
              </w:tc>
              <w:tc>
                <w:tcPr>
                  <w:tcW w:w="1222"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沉浸式组装新能源汽车</w:t>
                  </w:r>
                </w:p>
              </w:tc>
              <w:tc>
                <w:tcPr>
                  <w:tcW w:w="2299" w:type="dxa"/>
                </w:tcPr>
                <w:p w:rsidR="00CD58DA" w:rsidRPr="00CD58DA" w:rsidRDefault="00CD58DA" w:rsidP="00CD58DA">
                  <w:pPr>
                    <w:jc w:val="center"/>
                    <w:rPr>
                      <w:rFonts w:ascii="宋体" w:hAnsi="宋体" w:cs="宋体"/>
                      <w:szCs w:val="21"/>
                    </w:rPr>
                  </w:pPr>
                  <w:r w:rsidRPr="00CD58DA">
                    <w:rPr>
                      <w:rFonts w:ascii="宋体" w:hAnsi="宋体" w:cs="宋体" w:hint="eastAsia"/>
                      <w:szCs w:val="21"/>
                    </w:rPr>
                    <w:t>至少</w:t>
                  </w:r>
                  <w:r w:rsidRPr="00CD58DA">
                    <w:rPr>
                      <w:rFonts w:ascii="宋体" w:hAnsi="宋体" w:cs="宋体"/>
                      <w:szCs w:val="21"/>
                    </w:rPr>
                    <w:t>6件以上可组装的模块</w:t>
                  </w:r>
                </w:p>
              </w:tc>
            </w:tr>
          </w:tbl>
          <w:p w:rsidR="00CD58DA" w:rsidRPr="00CD58DA" w:rsidRDefault="00CD58DA" w:rsidP="00CD58DA">
            <w:pPr>
              <w:snapToGrid w:val="0"/>
              <w:spacing w:line="400" w:lineRule="atLeast"/>
              <w:rPr>
                <w:rFonts w:ascii="宋体" w:eastAsia="宋体" w:hAnsi="宋体" w:cs="宋体"/>
                <w:kern w:val="0"/>
                <w:sz w:val="24"/>
                <w:szCs w:val="21"/>
              </w:rPr>
            </w:pP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五、本次招标仿真课件制作平台，专用于学生的实操实训教学使用，满足学生实操实训教学的专用需求,达到要求实操实训教学使用，指导老师在原有系统上进行二次开发，并出仿真作品3个，制作好作品免费交付给采购人，产权归采购人所有。且供货时提供仿真课件制作平台服务承诺函、授权函加盖生产厂家公章。</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10</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传感器与检测技术实训平台</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10</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一、技术性能要求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1.整机功耗：≤0.5KVA；</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2.湿度：-10～40℃；环境湿度：≤90﹪（25℃）；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3.外形尺寸约：长×宽×高：1400mm×750mm×1400mm，允许公差±5mm；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4.交流电源：AC220±10﹪，50Hz；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5.安全保护实施：具有接地保护、漏电保护功能、安全性符合相关的国家标准。采用高绝缘的安全型插座及带绝缘护套的高强度安全型实验导线；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二、技术参数要求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（一）控制屏（铁质双层亚光密纹喷塑结构，铝质面板)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1.直流稳压电源：+24V、±15V、+5V、±2、±10V分至少五档输出、0～5V可调,有短路保护功能；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2.信号源：频率1kHz～10kHz 连续可调，Vp-p=0～12V连续可调；频率1Hz～30Hz 连续可调，Vp-p=0～12V连续可调；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3.恒流源：0～20mA连续可调，最大输出电压12V；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4.直流电压表：量程0～20V，分200mV、2V、20V三档，精度</w:t>
            </w:r>
            <w:r w:rsidRPr="00CD58DA">
              <w:rPr>
                <w:rFonts w:ascii="宋体" w:eastAsia="宋体" w:hAnsi="宋体" w:cs="宋体" w:hint="eastAsia"/>
                <w:szCs w:val="21"/>
              </w:rPr>
              <w:lastRenderedPageBreak/>
              <w:t>0.5级；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5.直流毫安表：量程0～20mA，精度0.5级，有内侧外测功能；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6.频率/转速表：频率测量范围1～9999Hz，转速测量范围1～9999rpm；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7.计时器：0～9999s，精确到0.1s；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▲8.智能调节仪：Pt100输入1路，Is输入1路；继电器输出1路，0～220V输出1路，电压输入1路；PID算法，具有自整定功能，可实现温度控制和转速控制；温度控制精度±1℃，转速控制精度±10转/分；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直流电机不少于25组数据模型；异步电机不少于25组数据模型；支持电机参数自定义，并能用实验曲线验证电机参数的正确性；直流电机数据模型覆盖串励、并励、他励三种电机类型；异步电机数据模型覆盖星型、三角两种接法；直流电机、异步电机特性实验能动态描绘电机工作特性、固有机械特性、人为机械特性曲线；直流电机、异步电机能完成电机起动、调速、制动实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直流电机、异步电机、同步电机运行实验中可选择负载类型不少于3种；直流电机、异步电机调速实验中，支持不少于3种调速方式；等效框图与实验曲线在同一显示界面中，并支持在等效框图中直接调整实验电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（二）检测源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1.温度源：0～220V交流电源加热，温度可控制在室温～200℃；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2.转动源：2～24V直流电源驱动，转速可调在0～3000rpm；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3.振动源：振动频率1Hz～30Hz（可调），共振频率12Hz左右。</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（三）配套传感器（至少包括）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1.应变传感器：金属应变传感器，量程0～1kg，应变片阻值350Ω×4，允许偏差±5Ω；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2.差动变压器：铁芯、初级线圈和次级线圈构成，量程≥5mm；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3.差动电容传感器：两组定片和一组动片构成，量程≥5mm；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4.光纤位移传感器；Y形导光型传感器；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5.电涡流传感器：多股漆包线与金属涡流片组成，量程≥3mm；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6.压电加速度传感器：双片压电晶体和铜质量块构成，谐振频率&gt;10kHz；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7.PT100：金属铂电阻传感器，0℃电阻值100Ω，测温范围</w:t>
            </w:r>
            <w:r w:rsidRPr="00CD58DA">
              <w:rPr>
                <w:rFonts w:ascii="宋体" w:eastAsia="宋体" w:hAnsi="宋体" w:cs="宋体" w:hint="eastAsia"/>
                <w:szCs w:val="21"/>
              </w:rPr>
              <w:lastRenderedPageBreak/>
              <w:t>-20℃～85℃；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8.AD590：电流输出型集成温度传感器，测温范围-55℃～155℃，灵敏度1uA/℃；</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9.LM35：电压输出型集成温度传感器，测温范围-55℃～150℃，灵敏度10mV/℃；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10.K型热电偶：镍铬－镍硅热电偶，测温范围-50℃～180℃；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11.E型热电偶：镍铬－康铜热电偶，测温范围-100℃～110℃；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12.Cu50：铜热电阻，0℃电阻值50Ω，测温范围-50℃～100℃；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13.PN结温度传感器：测温范围-100℃～150℃，灵敏度2.2mV/℃，线性误差1%；</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14.NTC：负温度系数半导体热敏电阻，测温范围-50℃～350℃；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15.PTC：正温度系数半导体热敏电阻，测温范围-50℃～150℃；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16.光电开关传感器：射式光电开关：包含光轴相对放置的发射器和接收器；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17.霍尔开关传感器：集成霍尔开关传感器，工作电压DC5V。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（四）实验模块（至少包括以下实验模块）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1.应变传感器实验模块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（3）模块由直流电桥、交流电桥、应变传感器、仪表放大器、调零电路、取样电路、托盘、砝码组成，可组装成电子秤，具有调零和校准功能；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（4）应变传感器：量程≥1Kg，灵敏度1mV/V/Kg，电阻350欧，非线性0.02%FS，传感器安装在模块上；</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（5）仪表放大器：由3个OP07运放组成，放大倍数至少达到-414；</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（6）调零电路：有1个OP07运放组成反向放大器，放大倍数至少达到-4.7，并采用外部调零；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（7）取样电路：由分压电路和跟随器组成。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2.差动变压器实验模块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（3）模块由激励电压、信号放大电路、位移传感器支架组成，可组装成差动变压器式位移传感器；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（4）信号放大电路：放大倍数至少达到-30；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▲（5）位移传感器支架：采用注塑一次成型，能够安装传感器和螺旋测微器；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3.电容传感器实验模块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（3）模块由方波信号发生器、交流电桥、信号放大电路、位移传感器支架、测微头绝缘套组成，可组装成电容位移传感器；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（4）信号放大电路：放大倍数至少达到-15；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▲（5）位移传感器支架：采用注塑一次成型，可安装传感器和螺旋测微器；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4.光纤传感器实验模块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（3）模块由光发射电路、光接收电路、信号放大电路、位移传感器支架、反射镜面组成，可组装成光纤位移传感器，具有调零功能；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（4）信号放大电路：由1个OP07运放组成反向放大器，放大倍数至少达到-3.9；</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（5）调零电路：由1个OP07运放组成，外置调零，放大倍数至少达到-10；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（6）面板上安装有光纤传感器支架，内部安装有红外发射器和接收器；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▲（7）位移传感器支架：采用注塑一次成型，可安装传感器和螺旋测微器。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5.电涡流位移传感器实验模块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（3）模块由高频信号发生器、滤波器、信号放大电路、位移传感器支架、金属探测物组成，可组装成电涡流位移传感器；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▲（4）位移传感器支架：采用注塑一次成型，可安装传感器和螺旋测微器。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6.压电传感器实验模块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（3）模块由电容反馈性放大器和二阶低筒滤波器组成。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7.温度传感器实验模块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（3）模块由电桥、仪表放大器、调零、取样电路组成，可组装成温度计，具有调零和校准功能；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（4）仪表放大器：放大倍数至少达到-10；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（5）调零电路：反向放大器，放大倍数至少达到-1，并采用外部调零；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（6）取样电路：由分压电路和跟随器组成。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8.相敏检波实验模块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（3）由移相、检波、滤波电路组成，具有移相、检波、滤波功能。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9.信号转换实验模块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（1）外壳采用注塑模具一次成型，尺寸(允许偏差±5mm)：长</w:t>
            </w:r>
            <w:r w:rsidRPr="00CD58DA">
              <w:rPr>
                <w:rFonts w:ascii="宋体" w:eastAsia="宋体" w:hAnsi="宋体" w:cs="宋体" w:hint="eastAsia"/>
                <w:szCs w:val="21"/>
              </w:rPr>
              <w:lastRenderedPageBreak/>
              <w:t>270mm，宽200mm，高50mm；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（2）面板采用PCB板，白底黑字(允许偏差±5mm)：长250mm，宽180mm；；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（3）具有电流电压转换、频率电压转化功能；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（4）电流电压转换电路：输入0mA～20mA，输出0V～5V；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（5）频率电压转换电路：输入10Hz～10kHz方波信号，输出0.01V～10V。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▲（五）数据采集卡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1.高速USB2.0接口；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2.模拟输入：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（1）8路单端模拟信号输入；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（2）模拟电压输入范围：±10V；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（3）最大采样速率单通道：400k；</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（4）输入阻抗：≥200kΩ；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3.开关量输入输出：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（1）8路数字量输入、5路数字量输出；数字端口满足标准TTL电气特性；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（2）数字量输入高电平（即“1”）的最低电压：2.7V；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（3）数字量输入低电平（即“0”）的最高电压：2.4V；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（4）数字量输出高电平（即“1”）的最低电压：3.4V；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（5）数字量输出低电平（即“0”）的最高电压：0.5V。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4.配套软件具有：实时采集实验数据，对数据进行动态或静态处理和分析，带有传感器虚拟仿真、双通道虚拟示波器、电机控制等功能；</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▲（六）传感器技术AR仿真实训教学APP软件</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要求软件具有实时交互性，在手机上打开本软件，将摄像头对准到特性物体上（实物或图片），然后增强现实系统可以在它上面展示出以下功能：</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（1）传感器原理介绍</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w:t>
            </w:r>
            <w:r w:rsidRPr="00CD58DA">
              <w:rPr>
                <w:rFonts w:ascii="宋体" w:eastAsia="宋体" w:hAnsi="宋体" w:cs="宋体"/>
                <w:szCs w:val="21"/>
              </w:rPr>
              <w:t>2</w:t>
            </w:r>
            <w:r w:rsidRPr="00CD58DA">
              <w:rPr>
                <w:rFonts w:ascii="宋体" w:eastAsia="宋体" w:hAnsi="宋体" w:cs="宋体" w:hint="eastAsia"/>
                <w:szCs w:val="21"/>
              </w:rPr>
              <w:t>）传感器结构展示及装配</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w:t>
            </w:r>
            <w:r w:rsidRPr="00CD58DA">
              <w:rPr>
                <w:rFonts w:ascii="宋体" w:eastAsia="宋体" w:hAnsi="宋体" w:cs="宋体"/>
                <w:szCs w:val="21"/>
              </w:rPr>
              <w:t>3</w:t>
            </w:r>
            <w:r w:rsidRPr="00CD58DA">
              <w:rPr>
                <w:rFonts w:ascii="宋体" w:eastAsia="宋体" w:hAnsi="宋体" w:cs="宋体" w:hint="eastAsia"/>
                <w:szCs w:val="21"/>
              </w:rPr>
              <w:t>）设备使用操作视频</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w:t>
            </w:r>
            <w:r w:rsidRPr="00CD58DA">
              <w:rPr>
                <w:rFonts w:ascii="宋体" w:eastAsia="宋体" w:hAnsi="宋体" w:cs="宋体"/>
                <w:szCs w:val="21"/>
              </w:rPr>
              <w:t>4</w:t>
            </w:r>
            <w:r w:rsidRPr="00CD58DA">
              <w:rPr>
                <w:rFonts w:ascii="宋体" w:eastAsia="宋体" w:hAnsi="宋体" w:cs="宋体" w:hint="eastAsia"/>
                <w:szCs w:val="21"/>
              </w:rPr>
              <w:t>）支持霍尔传感器、压电传感器、电涡流传感器、差动电容传感器、差动变压器</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为了增强实训效果及确保软件产品的性能可靠性，投标文件中提供具备相关资质的第三方机构出具的软件测评报告及软件</w:t>
            </w:r>
            <w:r w:rsidRPr="00CD58DA">
              <w:rPr>
                <w:rFonts w:ascii="宋体" w:eastAsia="宋体" w:hAnsi="宋体" w:cs="宋体" w:hint="eastAsia"/>
                <w:szCs w:val="21"/>
              </w:rPr>
              <w:lastRenderedPageBreak/>
              <w:t>产品评估证书扫描件。</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（七）停电应急处置模拟演练系统软件</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软件采用Unity 3D技术仿真技术，界面简洁。为增强实训效果及确保软件产品的性能可靠性，投标文件中提供具备相关资质的第三方机构出具的软件测评报告及软件产品评估证书。</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软件可实现以下功能：</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1.直观显示操作前后设备的状态；</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2.模拟操作完毕后，图形还原到操作前状态；</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3.可以设置故障，用户选择需要操练的科目（不同的故障）；</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4.可以模拟应急操作，用户在图形界面上进行故障处理（模拟操作），如果操作错误，系统自动提示正误；</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5.系统自动生成预案，预设一些故障类型和应急处理操作步骤，在演练结束后输出正确的应急处置操作步骤（操作票）根据用户选择的故障类型，系统自动生成应急处置操作步骤（操作票）；</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6.智能开票，给正常运行时的操作任务自动开票；</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7.人工开票，用户可以手动开票；</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8.操作票维护，操作票预览及保存及打印。</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（八）多种电机在环实时仿真实验系统</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学生无需实物电机也能够看到电机的内部构造、运行特性等；老师在课堂上就可以非常方便的向学生展示各类电机。</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1.演示实验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3D电机结构展示：将电机的各个部件分开展示，可以让学生清楚的看到电机内部的组成，了解定子和转子是如何组装的，以及绕组是如何绕在定转子槽中的，从而向学生展示了完整的电机工艺结构。</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电机磁场和磁势分布线：利用有限元分析软件准确计算电机内部磁场和磁势分布图，可以清晰的看到磁力线是如何通过主磁极、气隙、电枢铁芯及机座构成磁回路，也可以看到除了主磁通外只交链于励磁绕组本身的漏磁通，让学生能看到“看不见的线”。</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2.电机运行实验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实验的电机类型包含最常见的几类电机：直流电机、异步电机和永磁同步电机，对于电机运用等效电路的方式给出了工作特性曲线和机械特性曲线。对每一种电机均给出了电气和机械参数，便于学生理解和参考。学生可以通过选择对应的电机与运</w:t>
            </w:r>
            <w:r w:rsidRPr="00CD58DA">
              <w:rPr>
                <w:rFonts w:ascii="宋体" w:eastAsia="宋体" w:hAnsi="宋体" w:cs="宋体" w:hint="eastAsia"/>
                <w:szCs w:val="21"/>
              </w:rPr>
              <w:lastRenderedPageBreak/>
              <w:t>行方式获得电机的转速、转矩、电流等信息，十分便捷。暂停/停止后会自动显示游标，挪动游标可以在右侧获取当前点的值，有助于后续的计算与分析。</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1）工作特性和机械特性实验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直流电机：根据励磁绕组的连接方式不同，可选择串励、并励和他励这三种电机。通过改变绕组两端电压、电枢回路串入电阻、励磁回路串入电阻这三种方式，选择电磁转矩、转速、效率、定子电流和电磁功率等参数，可以画出自然机械特性和人工机械特性，其中电磁转矩改为输出功率可画出电机的工作特性曲线。</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异步电机：通过手动输入转差率范围，可以看到电机在不同转速下与电磁转矩的关系。从异步电机的调速入手，有改变定子绕组电压调速、转子回路串电阻调速和变频调速，其参数可以人为设置，可以方便的看到不同调速方式及输入参数情况下电机的调速机械特性。</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2）起动、调速、制动实验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进入后在上方可以看到电机的一些关键铭牌参数，有助于学生有大致判断。从电机的电路上，可以看到电机主要参数，很好的模拟了实验，让学生能够明白输入的参数会影响哪些参数变化。可以选择查看哪些变量，例如：定子绕组电压、电机转速、转矩等，不需要像实际实验中单独测量转速和电流等参数也可以清楚的看到需要的变量。</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转矩：负载转矩有四种类型，分别为位能型负载、摩擦型负载、平方转矩负载（模拟风机、水泵）和恒功率负载，与额定转矩下的比值作为输入，能让学生更好地了解轻载、中载和重载情况下电机的运行。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起动：根据不同的电机，起动方式会略微有所不同，例如：Δ形连接的异步电机就有Y-Δ起动，可以根据显示的起动方式（如：定子绕组降电压起动）及输入所需的参数来模拟实际中不同的起动方式。</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调速：调速过程根据电机的特点，包含了各类电机主要的一些调速方式，仿真实验接近实际，工作特性展示的是稳态特性，而运行实验的调速很好的向学生展现了电机调速的暂态特性。</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制动：实际运行中可能需要使电机快速停下，这就需要采取合理的制动方式。学生可以选择制动方式看到实际电机的运行情况，将起动、调速与制动放在同一人机界面中，可以很好地模</w:t>
            </w:r>
            <w:r w:rsidRPr="00CD58DA">
              <w:rPr>
                <w:rFonts w:ascii="宋体" w:eastAsia="宋体" w:hAnsi="宋体" w:cs="宋体" w:hint="eastAsia"/>
                <w:szCs w:val="21"/>
              </w:rPr>
              <w:lastRenderedPageBreak/>
              <w:t>拟出完整的实验流程。</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（九）三维工业自动化设计软件</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基于智能参数建模技术，快速重用历史数据及设计变更。从概念设计到产品制造，提供3D模型设计、先进的钣金设计、完整的2D+3D一体化设计等全面效率工具，同时在一个软件上集成了PLC 3D仿真功能、电机仿真功能，同时也突出在工业自动化集成领域三维设计功能，适用于院校相关课程的教学。</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1、兼容性和扩展性</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支持UG、solidedge、Pro/e、SOLIDWORKS、inverntor主流3D原生和通用文件的导入，支持与Solidedge商业版软件文件格式的互通，并可对数据进行直接编辑进行设计变更。可导出各环节所需的3D及2D数据，支持与主流的PLM/PDM系统的集成，3D数据应用于产品全生命周期。</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2、智能参数建模技术</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智能参数建模技术可快速创建和编辑3D模型。可处理多CAD数据。</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3、同步建模技术</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同步建模技术无需刻意去创建草图，系统会自动捕捉草图平面。整个操作过程，可以在全三维环境下完成，也可以切换到二维平面视图；能够基于无历史树的特征，根据几何规则就能编辑修改模型，即使用变量化方式进行产品设计。</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4、直观的用户界面和主流的操作习惯</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人机交互界面设计，符合常用的操作习惯；融合国内用户的设计需求，可快速上手。</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5、集成PLC 3D仿真功能</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软件中构建了3D虚拟环境，实现自动封盖、自动装箱、温度压力控制、码垛堆积、加工中心刀库、电镀生产线、多种液体混合、自动混合生产线、水塔水位控制、机械手控制、机器人自动扫雷等二十五个实训项目，展现各种复杂的工艺流程。支持利用采集卡采集PLC的输入输出信号，实现PLC与计算机的通讯，从而控制软件中的3D模型的动作，使得虚拟仿真技术实时展现PLC 的运行状态，也使得学生非常容易理解对每一种控制单元的工作过程和原理。</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6、集成电机仿真功能</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软件实验的电机类型包含最常见的几类电机：直流电机、异步电机、同步电机和变压器，对于电机运用等效电路的方式给出</w:t>
            </w:r>
            <w:r w:rsidRPr="00CD58DA">
              <w:rPr>
                <w:rFonts w:ascii="宋体" w:eastAsia="宋体" w:hAnsi="宋体" w:cs="宋体" w:hint="eastAsia"/>
                <w:szCs w:val="21"/>
              </w:rPr>
              <w:lastRenderedPageBreak/>
              <w:t>了工作特性曲线和机械特性曲线。对每一种电机均给出了电气和机械参数，便于学生理解和参考。学生可以通过选择对应的电机与运行方式获得电机的转速、转矩、电流等信息，十分便捷。暂停/停止后会自动显示游标，挪动游标可以在右侧获取当前点的值，有助于后续的计算与分析。</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功能特点</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(1）设计协同</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全面支持JT格式，能直接装配JT格式的零件和装配，并且能做到属性传递及关联。</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(2）纯二维制图</w:t>
            </w:r>
            <w:r w:rsidRPr="00CD58DA">
              <w:rPr>
                <w:rFonts w:ascii="宋体" w:eastAsia="宋体" w:hAnsi="宋体" w:cs="宋体" w:hint="eastAsia"/>
                <w:szCs w:val="21"/>
              </w:rPr>
              <w:tab/>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具有与三维设计一致的界面，操作快捷，具有所有的二维制图能力及参数化制图能力，彻底解决客户的二维版权问题。</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(3）三维设计</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提供多种三维建模手段，能完成各种复杂形状的产品设计。提供装配、钣金、焊接、线缆设计、钢架设计、运动仿真、工程图等完整的二、三维一体化设计方法，符合机械产品设计原理。操作过程流畅，菜单结构简单。</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(4）所见即所得的设计</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具有丰富的同步建模功能，可以实现所见即所得的三维设计。同步建模适用于三维实体建模、装配和钣金，也可以用于修改导入的异种CAD数据。</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(5）二维工程图纸</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完全符合中国制图标准，自动生成各种工程视图，包括局部剖视、三维尺寸、标注等；自动生成的BOM数据，与三维模型完全相关，可以直接切换到三维模型。目标搜寻将工程计算纳入CAD领域，实现2D-3D的一体化设计模式。</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(6）变量化</w:t>
            </w:r>
            <w:r w:rsidRPr="00CD58DA">
              <w:rPr>
                <w:rFonts w:ascii="宋体" w:eastAsia="宋体" w:hAnsi="宋体" w:cs="宋体" w:hint="eastAsia"/>
                <w:szCs w:val="21"/>
              </w:rPr>
              <w:tab/>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在参数化的基础上提供变量化设计技术，通过VB、VC#或Excel，就可直接控制Soliddesign内部变量，二次开发简单、方便。支持VB、VC、Visual .Net开发手段。</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(7）内置标准件库</w:t>
            </w:r>
            <w:r w:rsidRPr="00CD58DA">
              <w:rPr>
                <w:rFonts w:ascii="宋体" w:eastAsia="宋体" w:hAnsi="宋体" w:cs="宋体" w:hint="eastAsia"/>
                <w:szCs w:val="21"/>
              </w:rPr>
              <w:tab/>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内置有标准件库,具有智能、快速、可扩充的特点，集中了各国的国家标准，如GB、ISO等。内置标准零件库融标准产品设计、标准管理为一体，在装配环境中自动完成装配。同时，也支持第三方标准件库的使用。</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(8）内嵌有限元分析</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lastRenderedPageBreak/>
              <w:t>内嵌世界顶级NX Nastran解算器的Simulation，能对零件和钣金进行应力、热及模态、温度场分析，做到定性和定量分析。</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（十）实验室电脑配置要求：</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 xml:space="preserve">1.CPU：参照或相当于I3-10105； </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 xml:space="preserve">2.内存：≥4G； </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 xml:space="preserve">3.硬盘：≥256固态； </w:t>
            </w:r>
          </w:p>
          <w:p w:rsidR="00CD58DA" w:rsidRPr="00CD58DA" w:rsidRDefault="00CD58DA" w:rsidP="00CD58DA">
            <w:pPr>
              <w:snapToGrid w:val="0"/>
              <w:spacing w:line="380" w:lineRule="exact"/>
              <w:rPr>
                <w:rFonts w:ascii="宋体" w:eastAsia="宋体" w:hAnsi="宋体" w:cs="宋体"/>
                <w:szCs w:val="21"/>
              </w:rPr>
            </w:pPr>
            <w:r w:rsidRPr="00CD58DA">
              <w:rPr>
                <w:rFonts w:ascii="宋体" w:eastAsia="宋体" w:hAnsi="宋体" w:cs="宋体" w:hint="eastAsia"/>
                <w:szCs w:val="21"/>
              </w:rPr>
              <w:t>4.显卡：集成；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5.显示器：≥ 19.5寸（与主机同品牌）。</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11</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CAD图形设计工作机</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57</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一、显示器要求：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▲1、配套与主机同品牌显示器，显示屏幕≥27英寸，分辨率≥1920×1080，屏幕亮度≥250nit；</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2、为保证屏幕色彩显示真实度，显示屏幕面板采用VA技术；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3、对比度≥2000：1，屏幕刷新率达到≥65Hz，响应时间≤4ms，可视角度≥178°；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4、视频out接口VGA+HDMI；</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二、4U塔式机箱 ，商用主机：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 CPU：参照或相当于12代I7-12700 英特尔酷睿12核20线程同性能及以上性能处理器 ；睿频≥4.9GHz；≥25M三级缓存；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主板：参照或相当于英特尔B660系列芯片组同性能主板及以上性能主板，带BIOS自动控制的可变速CPU风扇，配备智能散热系统包括由BIOS管理的智能风扇通过对机箱内部的温度感应来调节风扇速度，有效的降低噪音的同时高效散热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3、内存：支持双通道内存，最大支持64G内存容量内存及端口：本次配置≥16G DDR4 2933，支持≥4个DIMM插槽扩展， 支持 ECC （错误检查和纠正）；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▲4、硬盘：原厂标配机械硬盘≥1TB+固态硬盘≥256G SSD M.2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5、键盘/鼠标：原厂同品牌标准键盘和鼠标；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6、端口和接口：前置面板接口USB 3.0 Gen 1≥4个；麦克风输入≥1个，音频输出≥1个；后置面板：USB 2.0≥4个；HDMI输出≥1个；VGA输出≥1个；DP输出≥1个；音频输出≥1个；9针串口≥1个；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7、内部插槽：PCIEX16≥1（支持拓展独立显卡）；PCIEX1≥1；RJ45千兆网卡≥1个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▲8、机箱：前置电源开关, 内置≥2W扬声器/0.6mm厚精钢防辐射机箱，≥13.6L机箱；适配电脑桌尺寸；【要求投标文件中提供相关证明材料（包含但不限于彩页、官网和功能截图等），证明具备上述功能或技术参数指标，并加盖供应商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9、电源：采用要求电源额定260W高效率热插拔电源模块或以上，支持睿能技术，噪音优化；兼容市场主流电源；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三、配置教学管理软件要求：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含57个点位授权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1、管理软件支持C/S与B/S混合架构管理，控制台支持多语言（中文简、繁体、英文）（投标文件中提供双模式管理的功能界面截图，中文简体、繁体、英文界面截图并加盖投标人公章）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▲2、在一个界面上， 提供资源概览功能，包括镜像数量， 磁盘数量，分组数量，提供终端统计功能，包含终端总量，在线数量， 离线数量，一键唤醒全部终端，一键关闭全部终端；提供部署进度统计功能，包括完成部署，在整部署，正在分析，以及异常终端统计。（投标文件中提供相关功能截图并加盖投标人公章）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支持授权信息展示，快捷入口（首次使用、上传更新、重新部署），服务器概况图形化展示（负载状态、CPU使用率、内存使用率、硬盘使用率、在线终端），终端状态图形化展示、支持一键唤醒、关机和重启；（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4、支持批量管理设置终端机计算机名、IP地址等配置信息。针对不同的群组指定不同的部署策略、虚拟磁盘。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5、软件需支持磁盘虚拟化技术，实现不同品牌所有的计算机终端集中统一管理。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▲6、支持同传网络探测与网络速度监控，可实时监控所管理的终端的网络速度和部署进度。7、支持跨网段部署，软件负载要求，单台入门级服务器（或主流PC）可管理客户端≥500台。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8、多环境教学组合：自定义多个教学系统环境的复原组合，独立设置某一系统盘数据盘的还原模式，支持计算机名、IP地址等信息的导入导出功能。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9、服务端软件需支持一键简易升级，原有机房客户端软件无需升级，即可实现不同软件版本的客户端统一管理。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10、支持从服务器端发起对客户端进行远程开机、关机、重启，支持管理员远程控制客户端。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▲11、支持操作系统快照节点间的任意切换及快速恢复，切换恢复后不会删除或影响其他快照节点，且每个操作系统下的快照节点数量不少于12个。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12、支持客户端IP占位功能，实现新客户端加入服务端时，不会由于单点的故障，而影响整体的计算机名和IP排序管理。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▲13、支持批量设定终端的计算机名称和IP地址等信息，并针对不同的系统可设置不同的计算机名称和IP地址，以满足教学上课、上机培训、托福考试，高考阅卷等不同的应用需求；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14、为保障教学课堂纪律，在不需要教学管理软件的情况下，禁止学生在教师授课时私自操作电脑，支持管理员一键禁用、启用所有学生机的键盘、鼠标。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▲15、系统需软件预注册功能，一台客户机上传更新并注册软件后，其他客户机只需要重启即可自动注册；（投标文件中提供相关功能截图并加盖投标人公章）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16、双硬盘支持，支持NVME，M.2新型高速固态硬盘，同时支持容量不同的固态硬盘和机械硬盘组成一个全新的虚拟磁盘，虚拟磁盘空间可按需分配，同时兼容新老机型部署。</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17、管理分组及桌面分配：支持将客户端进行分组的方式管理，管理员可根据配置好的镜像分配给相应的分组，支持P2P部署功能，可在正常上课的同时边部署边使用，支持分区共享，支持断点续传，不需要强制一次下发完成，大幅减少网络传输中的重复数据，可以大幅提高传输效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18、终端在无操作系统的裸机状态下，开机设置网络启动后，连上服务端即可使用，无须提前网络部署或对终端硬盘进行任何的操作。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19、支持客户端双硬盘的统一部署和保护还原，支持每次/天/周/月及手动还原等多种恢复策略。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▲20、支持客户端共存操作系统数量不少于64个，并需具有多项系统部署策略，不局限于部署所有系统，部署默认系统，部署隐藏系统等策略。（投标文件中提供相关功能截图并加盖</w:t>
            </w:r>
            <w:r w:rsidRPr="00CD58DA">
              <w:rPr>
                <w:rFonts w:ascii="宋体" w:eastAsia="宋体" w:hAnsi="宋体" w:cs="宋体" w:hint="eastAsia"/>
                <w:szCs w:val="21"/>
              </w:rPr>
              <w:lastRenderedPageBreak/>
              <w:t>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21、终端需支持在断网或服务端宕机的极端情况下，部署至本地硬盘的所有操作系统，均可正常使用和每次开机还原，同时提供单机保存的管理接口。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▲22、通过桌面云服务器部署至终端本地硬盘的操作系统，需支持卸载客户端软件，同时保留操作系统的功能，便于管理人员对终端的灵活调配。（投标文件中提供相关功能截图并加盖投标人公章）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23、终端开机操作系统选单需支持中文显示及密码验证进入功能，每个系统名称需支持不少于10个汉字，每个系统可设置不同的验证密码。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24、支持客户端裸机开机使用，并提供开机自动部署的开关，用户可灵活手动调整。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在终端系统每次还原策略下，支持对直连打印机，共享，打印机驱动，以及系统内默认纸张的智能记忆与全自动设置。在减轻维护工作的同时，达到对打印机的智能管理。（投标文件中提供相关功能截图并加盖投标人公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▲四、服务及保修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原厂三年有限保修，365天全年无休。结合当下主流沟通交流方式，为保障售后服务品质，要求产品生产厂家具备微信服务平台，微信服务平台具备服务中心查询、驱动自动下载、在线技术支持、厂家商城、维修单进度查询等功能模块，中标后须提供产品生产厂家官网截图证明（包含官网链接、服务平台微信二维码、功能模块简单介绍、微信服务平台关注流程指引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2、所投产品为商用节能认证产品、环境标志产品产品。供货时提供3年7×24售后支持服务证明，供货时提供原厂基础安装服务。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3、供货时提供防雷击检测报告及证书复印件证明。</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12</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接入交换机</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3</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台</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▲1、千兆电口≥24个，1G/2.5G SFP光口≥4个；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2、交换机交换容量：≥336Gbps，包转发率：≥108Mpps；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3.支持二层广播，配置静态IP地址，DHCP Option43方式，DNS域名上线；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4、支持STP、RSTP、MSTP协议；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▲5、支持M-LAG技术，跨设备链路聚合，配对的设备有独立的控制平面（投标文件中提供功能截图等证明）；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6、支持防网关ARP欺骗、管理员分级管理、支持端口保护、隔离；支持防止DOS、ARP攻击功能；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7、支持通过APP进行远程管理，并且可以修改交换机网络配置；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▲8、支持终端类型库，基于指纹自动识别PC、路由器、摄像头设备、无线AP等（投标时要求提供具有CMA和CNAS认证章的第三方权威机构测试报告或相关功能截图证明）；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9、支持可视化查看网关IP、排除IP、预留IP等；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10、支持可视化查看IP冲突次数，终端获取IP地址失败次数，并统计最近发生时间。</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13</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CAD学生图形设计工作平台</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28</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1、台面采用≥25mm厚密度板，抗弯力强，不易变形；耐磨性强，承载能力强，绿色环保，也没有有害物质溢出，桌面采用约2.0mm厚3：1配料PVC封边经200度高温胶全自动机器直封边；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铁架：主台脚架采用≥50×15×1.2mmQ195钢管材质，主脚横梁采用≥50×50×1.2mm钢管材质，连接横梁采用≥50×25×1.2mm厚方管，背板及柜门采用≥0.8mm厚冷轧钢板一次性成形，柜门配一锁通，主台脚均配线槽，金属件涂层无漏喷，锈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3、光滑均匀，色泽一致，无流挂，疙瘩，皱皮，飞漆等现象缺陷，焊接件焊接时采用二氧化碳保护焊接，焊接件之间的连接部分均应全部圈焊接，不允许脱焊，气孔，焊瘤，焊丝头，咬边飞溅；焊接后经打磨，酸洗，磷化，除油等处理；                                                               4、双人型平台规格：≥1500W×600D×750H(mm)。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5、每个平台配备2个工作凳，规格 约：340W×240D×450H（mm），实木结构，全部木材经过打磨，除菌，干燥处理，产品介绍平整、不起皱、不变形，能达到国际硬度标准，牢固而美观；木材喷漆处理，经过特殊表面处理工序，油漆经过多层过滤，使表面光滑不气泡，附着力和耐磨性均符合国际标准，使用环保型油漆。</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14</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网络机柜</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个</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1、尺寸：≥600×600×1000mm；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2、厚度：方孔条≥1.8，其他≥1.0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 xml:space="preserve">3、材质：SPCC冷轧钢板；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4、防护等级：≥IP20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5、机柜表面处理：脱脂、酸洗、防锈磷化、纯水清洗、静电喷塑：玻璃门及自由拆装的钢板后门；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6、机柜采用框架结构，快开侧门，方便安装和维修，托盘可根据用户要求，上下自由调整。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7、前钢化玻璃门和带透气孔门条及网孔后门，方便通风散热，通风率不小于72%，有效解决了设备保护和外部观察机器运行状态三方面的使用方面的要求：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8、可同时安装脚轮和支撑脚。</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15</w:t>
            </w:r>
          </w:p>
        </w:tc>
        <w:tc>
          <w:tcPr>
            <w:tcW w:w="851" w:type="dxa"/>
            <w:gridSpan w:val="2"/>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系统集成</w:t>
            </w:r>
          </w:p>
        </w:tc>
        <w:tc>
          <w:tcPr>
            <w:tcW w:w="708"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Times New Roman" w:eastAsia="宋体" w:hAnsi="Times New Roman" w:cs="Times New Roman" w:hint="eastAsia"/>
                <w:szCs w:val="21"/>
              </w:rPr>
              <w:t>1</w:t>
            </w:r>
          </w:p>
        </w:tc>
        <w:tc>
          <w:tcPr>
            <w:tcW w:w="709" w:type="dxa"/>
            <w:vAlign w:val="center"/>
          </w:tcPr>
          <w:p w:rsidR="00CD58DA" w:rsidRPr="00CD58DA" w:rsidRDefault="00CD58DA" w:rsidP="00CD58DA">
            <w:pPr>
              <w:widowControl/>
              <w:jc w:val="center"/>
              <w:textAlignment w:val="center"/>
              <w:rPr>
                <w:rFonts w:asciiTheme="minorEastAsia" w:hAnsiTheme="minorEastAsia" w:cs="Times New Roman"/>
                <w:szCs w:val="21"/>
              </w:rPr>
            </w:pPr>
            <w:r w:rsidRPr="00CD58DA">
              <w:rPr>
                <w:rFonts w:ascii="宋体" w:eastAsia="宋体" w:hAnsi="宋体" w:cs="宋体" w:hint="eastAsia"/>
                <w:szCs w:val="21"/>
              </w:rPr>
              <w:t>项</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Theme="minorEastAsia" w:hAnsiTheme="minorEastAsia" w:cs="Times New Roman"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1、根据实际情况设计设备安装最佳位置，整体系统有专业工程师现场安装、联调，确保设备使用达到专业效果；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2、实训室用配电箱、强电布线，信息点布线、相关辅材（配套设备电源线，六类网线，插座，地面保护槽、PVC 线槽、开孔及埋管等费用）等相关费用；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3、整个实训室设备安装、调试、验收、培训，保证学校能正常使用。</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b/>
                <w:bCs/>
                <w:szCs w:val="21"/>
              </w:rPr>
            </w:pPr>
            <w:r w:rsidRPr="00CD58DA">
              <w:rPr>
                <w:rFonts w:ascii="宋体" w:eastAsia="宋体" w:hAnsi="宋体" w:cs="Times New Roman" w:hint="eastAsia"/>
                <w:b/>
                <w:szCs w:val="21"/>
              </w:rPr>
              <w:t>一、商务要求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w:t>
            </w:r>
            <w:r w:rsidRPr="00CD58DA">
              <w:rPr>
                <w:rFonts w:ascii="宋体" w:eastAsia="宋体" w:hAnsi="宋体" w:cs="宋体" w:hint="eastAsia"/>
                <w:szCs w:val="21"/>
              </w:rPr>
              <w:t>交付的时间和地点</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 交付的时间：</w:t>
            </w:r>
            <w:r w:rsidRPr="00CD58DA">
              <w:rPr>
                <w:rFonts w:ascii="宋体" w:eastAsia="宋体" w:hAnsi="宋体" w:cs="宋体" w:hint="eastAsia"/>
                <w:szCs w:val="24"/>
              </w:rPr>
              <w:t>自签订合同之日起30日历日内全部交货安装完成并验收合格。</w:t>
            </w:r>
          </w:p>
          <w:p w:rsidR="00CD58DA" w:rsidRPr="00CD58DA" w:rsidRDefault="00CD58DA" w:rsidP="00CD58DA">
            <w:pPr>
              <w:spacing w:line="360" w:lineRule="auto"/>
              <w:jc w:val="both"/>
              <w:rPr>
                <w:rFonts w:ascii="宋体" w:eastAsia="宋体" w:hAnsi="宋体" w:cs="Times New Roman"/>
                <w:b/>
                <w:szCs w:val="21"/>
              </w:rPr>
            </w:pPr>
            <w:r w:rsidRPr="00CD58DA">
              <w:rPr>
                <w:rFonts w:asciiTheme="minorEastAsia" w:hAnsiTheme="minorEastAsia" w:cs="Times New Roman" w:hint="eastAsia"/>
                <w:szCs w:val="21"/>
              </w:rPr>
              <w:t>2. 交付的地点：广西崇左市扶绥县</w:t>
            </w:r>
            <w:r w:rsidRPr="00CD58DA">
              <w:rPr>
                <w:rFonts w:ascii="宋体" w:eastAsia="宋体" w:hAnsi="宋体" w:cs="宋体" w:hint="eastAsia"/>
                <w:szCs w:val="24"/>
              </w:rPr>
              <w:t>广西农业工程职业技术学院</w:t>
            </w:r>
            <w:r w:rsidRPr="00CD58DA">
              <w:rPr>
                <w:rFonts w:asciiTheme="minorEastAsia" w:hAnsiTheme="minorEastAsia" w:cs="Times New Roman" w:hint="eastAsia"/>
                <w:szCs w:val="21"/>
              </w:rPr>
              <w:t>采购人指定地点。</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合同签订时间</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 xml:space="preserve">自中标通知书发出之日起 </w:t>
            </w:r>
            <w:r w:rsidRPr="00CD58DA">
              <w:rPr>
                <w:rFonts w:ascii="宋体" w:eastAsia="宋体" w:hAnsi="宋体" w:cs="Times New Roman" w:hint="eastAsia"/>
                <w:szCs w:val="21"/>
                <w:u w:val="single"/>
              </w:rPr>
              <w:t>25</w:t>
            </w:r>
            <w:r w:rsidRPr="00CD58DA">
              <w:rPr>
                <w:rFonts w:ascii="宋体" w:eastAsia="宋体" w:hAnsi="宋体" w:cs="Times New Roman" w:hint="eastAsia"/>
                <w:szCs w:val="21"/>
              </w:rPr>
              <w:t>日内</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▲付款条件（进度和方式）</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1.签订合同后10个工作日内采购人支付合同款的50%，所有设备安装调试完毕并项目验收合格后10个工作日内采购人付完剩余合同款。</w:t>
            </w:r>
          </w:p>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宋体" w:hint="eastAsia"/>
                <w:szCs w:val="24"/>
              </w:rPr>
              <w:t>2.中标供应商须在采购人每次付款前，按付款金额提供正式发票给采购人。</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售后服务</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1.送货上门、调试直至设备验收合格（期间所需器材及费用均由中标供应商承担）；</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2.投标人对采购人维修或维护要求应在 2 小时内作出响应，提出处理意见,如果需要现场服务的，保证技术人员在 12 小时内到达现场；保修期后中标供应商在接到通知的 48 小时内作出响应，提出处理意见，如果需要现场服务的，保证技术人员在 2 个工作日内到达现场。如需更换零配件及消耗品，不超过 10 天（自然日）。如发生非用户导致的重大损坏，在设备更换或维修正常工作后延长相应时间的保修期。设备在运输过程中出现损坏的，由中标供应商负责该损坏设备的更换或维修；</w:t>
            </w:r>
          </w:p>
          <w:p w:rsidR="00CD58DA" w:rsidRPr="00CD58DA" w:rsidRDefault="00CD58DA" w:rsidP="00CD58DA">
            <w:pPr>
              <w:spacing w:line="300" w:lineRule="auto"/>
              <w:jc w:val="both"/>
              <w:rPr>
                <w:rFonts w:asciiTheme="minorEastAsia" w:hAnsiTheme="minorEastAsia" w:cs="Times New Roman"/>
                <w:b/>
                <w:bCs/>
                <w:szCs w:val="21"/>
              </w:rPr>
            </w:pPr>
            <w:r w:rsidRPr="00CD58DA">
              <w:rPr>
                <w:rFonts w:asciiTheme="minorEastAsia" w:hAnsiTheme="minorEastAsia" w:cs="Times New Roman" w:hint="eastAsia"/>
                <w:b/>
                <w:bCs/>
                <w:szCs w:val="21"/>
              </w:rPr>
              <w:t>3.</w:t>
            </w:r>
            <w:r w:rsidRPr="00CD58DA">
              <w:rPr>
                <w:rFonts w:ascii="宋体" w:eastAsia="宋体" w:hAnsi="宋体" w:cs="宋体" w:hint="eastAsia"/>
                <w:szCs w:val="21"/>
              </w:rPr>
              <w:t xml:space="preserve"> 项目供货及安装过程中产生的残留物或垃圾，需由中标人自行清理至校外。</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4.提供的货物均应按采购文件要求的包装材料、包装标准、包装方式进行包装，每一包装单元内应附详细的装箱单和质量合格证。</w:t>
            </w:r>
          </w:p>
          <w:p w:rsidR="00CD58DA" w:rsidRPr="00CD58DA" w:rsidRDefault="00CD58DA" w:rsidP="00CD58DA">
            <w:pPr>
              <w:spacing w:line="300" w:lineRule="atLeast"/>
              <w:jc w:val="both"/>
              <w:rPr>
                <w:rFonts w:asciiTheme="minorEastAsia" w:hAnsiTheme="minorEastAsia" w:cs="Times New Roman"/>
                <w:szCs w:val="21"/>
              </w:rPr>
            </w:pPr>
            <w:r w:rsidRPr="00CD58DA">
              <w:rPr>
                <w:rFonts w:asciiTheme="minorEastAsia" w:hAnsiTheme="minorEastAsia" w:cs="Times New Roman" w:hint="eastAsia"/>
                <w:szCs w:val="21"/>
              </w:rPr>
              <w:lastRenderedPageBreak/>
              <w:t xml:space="preserve">▲5. </w:t>
            </w:r>
            <w:r w:rsidRPr="00CD58DA">
              <w:rPr>
                <w:rFonts w:ascii="宋体" w:eastAsia="宋体" w:hAnsi="宋体" w:cs="宋体" w:hint="eastAsia"/>
                <w:szCs w:val="21"/>
              </w:rPr>
              <w:t>按国家有关产品“三包”规定执行“三包”，自交货验收合格之日起所有软硬件设备、配件提供</w:t>
            </w:r>
            <w:r w:rsidRPr="00CD58DA">
              <w:rPr>
                <w:rFonts w:ascii="宋体" w:eastAsia="宋体" w:hAnsi="宋体" w:cs="宋体" w:hint="eastAsia"/>
                <w:b/>
                <w:szCs w:val="21"/>
              </w:rPr>
              <w:t>一年</w:t>
            </w:r>
            <w:r w:rsidRPr="00CD58DA">
              <w:rPr>
                <w:rFonts w:ascii="宋体" w:eastAsia="宋体" w:hAnsi="宋体" w:cs="宋体" w:hint="eastAsia"/>
                <w:szCs w:val="21"/>
              </w:rPr>
              <w:t>的保修及软件升级服务（分项货物要求中有特别注明的，按特别注明的执行）</w:t>
            </w:r>
            <w:r w:rsidRPr="00CD58DA">
              <w:rPr>
                <w:rFonts w:asciiTheme="minorEastAsia" w:hAnsiTheme="minorEastAsia" w:cs="Times New Roman" w:hint="eastAsia"/>
                <w:szCs w:val="21"/>
              </w:rPr>
              <w:t>；</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6.设备维修或更换后其保修期相应顺延；</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7.所有非故意性损坏以及在要求质量标准范围内的正常使用造成的损坏均要免费维修；</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8.对因采购人的不正当使用所造成的损坏不归中标供应商负责保修，但中标供应商也要积极帮助采购人修理，并保证提供优惠价格的配件和服务；</w:t>
            </w:r>
          </w:p>
          <w:p w:rsidR="00CD58DA" w:rsidRPr="00CD58DA" w:rsidRDefault="00CD58DA" w:rsidP="00CD58DA">
            <w:pPr>
              <w:spacing w:after="120" w:line="300" w:lineRule="auto"/>
              <w:jc w:val="both"/>
              <w:rPr>
                <w:rFonts w:asciiTheme="minorEastAsia" w:hAnsiTheme="minorEastAsia" w:cs="Times New Roman"/>
                <w:szCs w:val="21"/>
              </w:rPr>
            </w:pPr>
            <w:r w:rsidRPr="00CD58DA">
              <w:rPr>
                <w:rFonts w:asciiTheme="minorEastAsia" w:hAnsiTheme="minorEastAsia" w:cs="Times New Roman" w:hint="eastAsia"/>
                <w:szCs w:val="21"/>
              </w:rPr>
              <w:t>9.现场培训（有培训要求的）：中标供应商提供现场技术培训，对采购人技术人员进行操作、维修、保养等技术的培训指导（并且提供电子档和纸质档的项目操作流程指导书），培训至采购人技术人员能独立操作，简单故障排除，售后服务人员不少于1名。培训所产生费用由中标供应商支付。</w:t>
            </w:r>
          </w:p>
          <w:p w:rsidR="00CD58DA" w:rsidRPr="00CD58DA" w:rsidRDefault="00CD58DA" w:rsidP="00CD58DA">
            <w:pPr>
              <w:spacing w:line="300" w:lineRule="auto"/>
              <w:jc w:val="both"/>
              <w:rPr>
                <w:rFonts w:ascii="宋体" w:eastAsia="宋体" w:hAnsi="宋体" w:cs="宋体"/>
                <w:szCs w:val="21"/>
              </w:rPr>
            </w:pPr>
            <w:r w:rsidRPr="00CD58DA">
              <w:rPr>
                <w:rFonts w:asciiTheme="minorEastAsia" w:hAnsiTheme="minorEastAsia" w:cs="Times New Roman" w:hint="eastAsia"/>
                <w:szCs w:val="21"/>
              </w:rPr>
              <w:t>10.</w:t>
            </w:r>
            <w:r w:rsidRPr="00CD58DA">
              <w:rPr>
                <w:rFonts w:ascii="宋体" w:eastAsia="宋体" w:hAnsi="宋体" w:cs="宋体" w:hint="eastAsia"/>
                <w:szCs w:val="21"/>
              </w:rPr>
              <w:t xml:space="preserve"> 项目供货及安装过程中产生的水费及电费，需由中标人结清费用后，采购人再支付货款。</w:t>
            </w:r>
          </w:p>
          <w:p w:rsidR="00CD58DA" w:rsidRPr="00CD58DA" w:rsidRDefault="00CD58DA" w:rsidP="00CD58DA">
            <w:pPr>
              <w:spacing w:line="360" w:lineRule="auto"/>
              <w:jc w:val="both"/>
              <w:rPr>
                <w:rFonts w:ascii="宋体" w:eastAsia="宋体" w:hAnsi="宋体" w:cs="Times New Roman"/>
                <w:b/>
                <w:szCs w:val="21"/>
              </w:rPr>
            </w:pP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lastRenderedPageBreak/>
              <w:t>包装和运输</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产品包装和运输均由中标人负责。</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包装：根据《财政部等三部门联合印发商品包装和快递包装政府采购需求标准（试行）》财办库【</w:t>
            </w:r>
            <w:r w:rsidRPr="00CD58DA">
              <w:rPr>
                <w:rFonts w:asciiTheme="minorEastAsia" w:hAnsiTheme="minorEastAsia" w:cs="Times New Roman"/>
                <w:szCs w:val="21"/>
              </w:rPr>
              <w:t>2020</w:t>
            </w:r>
            <w:r w:rsidRPr="00CD58DA">
              <w:rPr>
                <w:rFonts w:asciiTheme="minorEastAsia" w:hAnsiTheme="minorEastAsia" w:cs="Times New Roman" w:hint="eastAsia"/>
                <w:szCs w:val="21"/>
              </w:rPr>
              <w:t>】</w:t>
            </w:r>
            <w:r w:rsidRPr="00CD58DA">
              <w:rPr>
                <w:rFonts w:asciiTheme="minorEastAsia" w:hAnsiTheme="minorEastAsia" w:cs="Times New Roman"/>
                <w:szCs w:val="21"/>
              </w:rPr>
              <w:t>123</w:t>
            </w:r>
            <w:r w:rsidRPr="00CD58DA">
              <w:rPr>
                <w:rFonts w:asciiTheme="minorEastAsia" w:hAnsiTheme="minorEastAsia" w:cs="Times New Roman" w:hint="eastAsia"/>
                <w:szCs w:val="21"/>
              </w:rPr>
              <w:t>号文规定，若投标产品使用塑料、纸质、木质等包装材料时应满足《商品包装政府采购需求标准（试行）》要求，若投标产品需要快递包装，快递封装材料应满足《快递包装政府采购需求标准（试行）》要求。</w:t>
            </w:r>
          </w:p>
          <w:p w:rsidR="00CD58DA" w:rsidRPr="00CD58DA" w:rsidRDefault="00CD58DA" w:rsidP="00CD58DA">
            <w:pPr>
              <w:spacing w:line="360" w:lineRule="auto"/>
              <w:jc w:val="both"/>
              <w:rPr>
                <w:rFonts w:ascii="宋体" w:eastAsia="宋体" w:hAnsi="宋体" w:cs="Times New Roman"/>
                <w:b/>
                <w:szCs w:val="21"/>
              </w:rPr>
            </w:pPr>
            <w:r w:rsidRPr="00CD58DA">
              <w:rPr>
                <w:rFonts w:asciiTheme="minorEastAsia" w:hAnsiTheme="minorEastAsia" w:cs="Times New Roman" w:hint="eastAsia"/>
                <w:szCs w:val="21"/>
              </w:rPr>
              <w:t>货物的运输方式：不限。</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宋体" w:hint="eastAsia"/>
                <w:szCs w:val="21"/>
              </w:rPr>
              <w:t>产品质量要求</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宋体" w:hint="eastAsia"/>
                <w:szCs w:val="21"/>
              </w:rPr>
              <w:t>要求投标货物及其所有零部件、配件必须是符合国家有关质量和安全强制要求和标准的产品。</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bCs/>
                <w:szCs w:val="21"/>
              </w:rPr>
              <w:t>二、与实现项目目标相关的其他要求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szCs w:val="21"/>
              </w:rPr>
              <w:t>（一）投标人的履约能力要求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质量管理、企业信用要求</w:t>
            </w:r>
          </w:p>
        </w:tc>
        <w:tc>
          <w:tcPr>
            <w:tcW w:w="7937" w:type="dxa"/>
            <w:gridSpan w:val="4"/>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详见《第四章评标办法及评分标准》。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能力或者业绩</w:t>
            </w:r>
          </w:p>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要  求</w:t>
            </w:r>
          </w:p>
        </w:tc>
        <w:tc>
          <w:tcPr>
            <w:tcW w:w="7937" w:type="dxa"/>
            <w:gridSpan w:val="4"/>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详见《第四章评标办法及评分标准》。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szCs w:val="21"/>
              </w:rPr>
              <w:t>（二）政策性加分条件</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i/>
                <w:szCs w:val="21"/>
              </w:rPr>
            </w:pPr>
            <w:r w:rsidRPr="00CD58DA">
              <w:rPr>
                <w:rFonts w:asciiTheme="minorEastAsia" w:hAnsiTheme="minorEastAsia" w:cs="Times New Roman" w:hint="eastAsia"/>
                <w:szCs w:val="21"/>
              </w:rPr>
              <w:t>符合节能环保等国家政策要求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tabs>
                <w:tab w:val="left" w:pos="180"/>
                <w:tab w:val="left" w:pos="1620"/>
              </w:tabs>
              <w:spacing w:line="360" w:lineRule="auto"/>
              <w:jc w:val="both"/>
              <w:rPr>
                <w:rFonts w:ascii="宋体" w:eastAsia="宋体" w:hAnsi="宋体" w:cs="宋体"/>
                <w:bCs/>
                <w:szCs w:val="21"/>
              </w:rPr>
            </w:pPr>
            <w:r w:rsidRPr="00CD58DA">
              <w:rPr>
                <w:rFonts w:ascii="宋体" w:eastAsia="宋体" w:hAnsi="宋体" w:cs="Times New Roman" w:hint="eastAsia"/>
                <w:b/>
                <w:szCs w:val="21"/>
              </w:rPr>
              <w:t>（三）验收标准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1.验收过程中所产生的一切费用均由中标供应商承担。报价时应考虑相关费用。</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lastRenderedPageBreak/>
              <w:t>2、设备到货后，供应商须为验收提供必需的设备、工具及其他便利条件。供应商和采购人应在现场进行清点开箱（现场开启原厂封贴）；清点过程中如果发现非厂家原厂包装，采购人有权不予验收。因包装或运输不当引起的仪器外观或内部的损坏，供货商应负责更换；若发现错发/漏发情况，供货商应负责更换和补发。</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3、采购项目进行验收时，采购人可以邀请参加本项目的其他投标人或者第三方机构参与验收。参与验收的投标人或者第三方机构的意见作为验收书的参考资料一并存档。验收所产生的一切费用由中标供应商承担。如供应商提供的货物不是采购人指定品牌型号的货物，采购人不予验收。</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4.在货物验收时由采购人对照招标文件的功能目标及技术指标全面核对检验，所提供设备的性能应与投标时提供的证明文件及响应的功能、参数完全一致，如不符合招标文件的技术需求及要求以及提供虚假承诺的，按相关规定做退货处理及违约处理，中标供应商承担所有责任和费用，采购人保留进一步追究责任的权利。</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▲5.所有产品均已运输至指定地点，并安装调试完毕。</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▲6.招标文件供应商投标承诺及采购合同约定的附件、工具、技术资料等齐全；提供产品使用说明书、合格证。</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7.验收不合格或不能按期履行合同的处理；</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8.为了保证本项目的质量，中标供应商在合同签订前，采购人有权要求中标供应商提供本项目中设备按照招标文件技术参数及要求进行现场测试（测试相关费用由中标供应商承担）；如发现中标供应商提供的产品性能不满足招标文件要求或其投标文件所承诺，采购单位有权不予以接收，采购人有权单方面终止合同，并且保留追究中标供应商虚假应标的法律责任</w:t>
            </w:r>
          </w:p>
          <w:p w:rsidR="00CD58DA" w:rsidRPr="00CD58DA" w:rsidRDefault="00CD58DA" w:rsidP="00CD58DA">
            <w:pPr>
              <w:tabs>
                <w:tab w:val="left" w:pos="180"/>
                <w:tab w:val="left" w:pos="1620"/>
              </w:tabs>
              <w:spacing w:line="360" w:lineRule="auto"/>
              <w:jc w:val="both"/>
              <w:rPr>
                <w:rFonts w:ascii="宋体" w:eastAsia="宋体" w:hAnsi="宋体" w:cs="Times New Roman"/>
                <w:i/>
                <w:szCs w:val="21"/>
              </w:rPr>
            </w:pPr>
            <w:r w:rsidRPr="00CD58DA">
              <w:rPr>
                <w:rFonts w:asciiTheme="minorEastAsia" w:hAnsiTheme="minorEastAsia" w:cs="Times New Roman" w:hint="eastAsia"/>
                <w:szCs w:val="21"/>
              </w:rPr>
              <w:t>9.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b/>
                <w:szCs w:val="21"/>
              </w:rPr>
              <w:lastRenderedPageBreak/>
              <w:t>（四）进口产品说明</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szCs w:val="21"/>
              </w:rPr>
              <w:t>进口产品说明</w:t>
            </w:r>
          </w:p>
        </w:tc>
        <w:tc>
          <w:tcPr>
            <w:tcW w:w="8076" w:type="dxa"/>
            <w:gridSpan w:val="5"/>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szCs w:val="21"/>
              </w:rPr>
              <w:t>□本表的第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sidRPr="00CD58DA">
              <w:rPr>
                <w:rFonts w:ascii="宋体" w:eastAsia="宋体" w:hAnsi="宋体" w:cs="Times New Roman" w:hint="eastAsia"/>
                <w:b/>
                <w:szCs w:val="21"/>
              </w:rPr>
              <w:t>否则作无效标处理。</w:t>
            </w:r>
          </w:p>
          <w:p w:rsidR="00CD58DA" w:rsidRPr="00CD58DA" w:rsidRDefault="00CD58DA" w:rsidP="00CD58DA">
            <w:pPr>
              <w:spacing w:line="360" w:lineRule="auto"/>
              <w:jc w:val="both"/>
              <w:rPr>
                <w:rFonts w:ascii="宋体" w:eastAsia="宋体" w:hAnsi="宋体" w:cs="Times New Roman"/>
                <w:szCs w:val="21"/>
              </w:rPr>
            </w:pPr>
            <w:r w:rsidRPr="00CD58DA">
              <w:rPr>
                <w:rFonts w:ascii="MS Mincho" w:eastAsia="MS Mincho" w:hAnsi="MS Mincho" w:cs="MS Mincho" w:hint="eastAsia"/>
                <w:szCs w:val="21"/>
              </w:rPr>
              <w:t>☑</w:t>
            </w:r>
            <w:r w:rsidRPr="00CD58DA">
              <w:rPr>
                <w:rFonts w:ascii="宋体" w:eastAsia="宋体" w:hAnsi="宋体" w:cs="Times New Roman" w:hint="eastAsia"/>
                <w:szCs w:val="21"/>
              </w:rPr>
              <w:t>本分标货物不接受进口产品（即通过中国海关报关验放进入中国境内且产自关境外的产品）参与投标，</w:t>
            </w:r>
            <w:r w:rsidRPr="00CD58DA">
              <w:rPr>
                <w:rFonts w:ascii="宋体" w:eastAsia="宋体" w:hAnsi="宋体" w:cs="Times New Roman" w:hint="eastAsia"/>
                <w:b/>
                <w:szCs w:val="21"/>
              </w:rPr>
              <w:t>如有进口产品参与投标的作无效标处理</w:t>
            </w:r>
            <w:r w:rsidRPr="00CD58DA">
              <w:rPr>
                <w:rFonts w:ascii="宋体" w:eastAsia="宋体" w:hAnsi="宋体" w:cs="Times New Roman" w:hint="eastAsia"/>
                <w:szCs w:val="21"/>
              </w:rPr>
              <w:t>。</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b/>
                <w:szCs w:val="21"/>
              </w:rPr>
              <w:t>（五）其他要求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jc w:val="both"/>
              <w:rPr>
                <w:rFonts w:asciiTheme="minorEastAsia" w:hAnsiTheme="minorEastAsia" w:cs="Times New Roman"/>
                <w:b/>
                <w:szCs w:val="21"/>
              </w:rPr>
            </w:pPr>
            <w:r w:rsidRPr="00CD58DA">
              <w:rPr>
                <w:rFonts w:asciiTheme="minorEastAsia" w:hAnsiTheme="minorEastAsia" w:cs="Times New Roman" w:hint="eastAsia"/>
                <w:szCs w:val="21"/>
              </w:rPr>
              <w:t>1、</w:t>
            </w:r>
            <w:r w:rsidRPr="00CD58DA">
              <w:rPr>
                <w:rFonts w:asciiTheme="minorEastAsia" w:hAnsiTheme="minorEastAsia" w:cs="Times New Roman" w:hint="eastAsia"/>
                <w:kern w:val="0"/>
                <w:szCs w:val="21"/>
              </w:rPr>
              <w:t>投标人可根据评分标准在投标文件提供项目实施方案、项目人员配置、培训方案、售后服务方案、履约能力、业绩等</w:t>
            </w:r>
            <w:r w:rsidRPr="00CD58DA">
              <w:rPr>
                <w:rFonts w:asciiTheme="minorEastAsia" w:hAnsiTheme="minorEastAsia" w:cs="Times New Roman" w:hint="eastAsia"/>
                <w:bCs/>
                <w:szCs w:val="21"/>
              </w:rPr>
              <w:t>。</w:t>
            </w:r>
          </w:p>
        </w:tc>
      </w:tr>
    </w:tbl>
    <w:p w:rsidR="00CD58DA" w:rsidRPr="00CD58DA" w:rsidRDefault="00CD58DA" w:rsidP="00CD58DA">
      <w:pPr>
        <w:snapToGrid w:val="0"/>
        <w:jc w:val="center"/>
        <w:rPr>
          <w:rFonts w:ascii="宋体" w:eastAsia="宋体" w:hAnsi="宋体" w:cs="Times New Roman"/>
          <w:sz w:val="30"/>
          <w:szCs w:val="30"/>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360" w:lineRule="auto"/>
        <w:ind w:firstLineChars="147" w:firstLine="309"/>
        <w:rPr>
          <w:rFonts w:ascii="宋体" w:eastAsia="宋体" w:hAnsi="宋体" w:cs="Arial"/>
          <w:bCs/>
          <w:szCs w:val="21"/>
          <w:u w:val="single"/>
        </w:rPr>
      </w:pPr>
      <w:r w:rsidRPr="00CD58DA">
        <w:rPr>
          <w:rFonts w:ascii="宋体" w:eastAsia="宋体" w:hAnsi="宋体" w:cs="Arial" w:hint="eastAsia"/>
          <w:bCs/>
          <w:szCs w:val="21"/>
          <w:u w:val="single"/>
        </w:rPr>
        <w:t>B</w:t>
      </w:r>
      <w:r w:rsidRPr="00CD58DA">
        <w:rPr>
          <w:rFonts w:ascii="宋体" w:eastAsia="宋体" w:hAnsi="宋体" w:cs="Times New Roman" w:hint="eastAsia"/>
          <w:b/>
          <w:szCs w:val="21"/>
        </w:rPr>
        <w:t>分标      采购预算：</w:t>
      </w:r>
      <w:r w:rsidRPr="00CD58DA">
        <w:rPr>
          <w:rFonts w:ascii="宋体" w:eastAsia="宋体" w:hAnsi="宋体" w:cs="Times New Roman" w:hint="eastAsia"/>
          <w:szCs w:val="21"/>
        </w:rPr>
        <w:t>130万元</w:t>
      </w:r>
    </w:p>
    <w:p w:rsidR="00CD58DA" w:rsidRPr="00CD58DA" w:rsidRDefault="00CD58DA" w:rsidP="00CD58DA">
      <w:pPr>
        <w:spacing w:line="360" w:lineRule="auto"/>
        <w:ind w:firstLineChars="147" w:firstLine="310"/>
        <w:rPr>
          <w:rFonts w:asciiTheme="minorEastAsia" w:hAnsiTheme="minorEastAsia" w:cs="Times New Roman"/>
          <w:b/>
          <w:szCs w:val="21"/>
        </w:rPr>
      </w:pPr>
      <w:r w:rsidRPr="00CD58DA">
        <w:rPr>
          <w:rFonts w:ascii="宋体" w:eastAsia="宋体" w:hAnsi="宋体" w:cs="Times New Roman" w:hint="eastAsia"/>
          <w:b/>
          <w:szCs w:val="21"/>
        </w:rPr>
        <w:t>本分标的</w:t>
      </w:r>
      <w:r w:rsidRPr="00CD58DA">
        <w:rPr>
          <w:rFonts w:asciiTheme="minorEastAsia" w:hAnsiTheme="minorEastAsia" w:cs="Times New Roman" w:hint="eastAsia"/>
          <w:b/>
          <w:szCs w:val="21"/>
        </w:rPr>
        <w:t>核心产品为下表的第</w:t>
      </w:r>
      <w:r w:rsidRPr="00CD58DA">
        <w:rPr>
          <w:rFonts w:asciiTheme="minorEastAsia" w:hAnsiTheme="minorEastAsia" w:cs="Times New Roman" w:hint="eastAsia"/>
          <w:b/>
          <w:szCs w:val="21"/>
          <w:u w:val="single"/>
        </w:rPr>
        <w:t>2</w:t>
      </w:r>
      <w:r w:rsidRPr="00CD58DA">
        <w:rPr>
          <w:rFonts w:asciiTheme="minorEastAsia" w:hAnsiTheme="minorEastAsia" w:cs="Times New Roman" w:hint="eastAsia"/>
          <w:b/>
          <w:szCs w:val="21"/>
        </w:rPr>
        <w:t>项产品“交流充电设备装调实训平台”。</w:t>
      </w:r>
    </w:p>
    <w:p w:rsidR="00CD58DA" w:rsidRPr="00CD58DA" w:rsidRDefault="00CD58DA" w:rsidP="00CD58DA">
      <w:pPr>
        <w:spacing w:line="380" w:lineRule="exact"/>
        <w:jc w:val="center"/>
        <w:rPr>
          <w:rFonts w:ascii="Times New Roman" w:eastAsia="宋体" w:hAnsi="Times New Roman" w:cs="Times New Roman"/>
          <w:kern w:val="0"/>
          <w:sz w:val="24"/>
          <w:szCs w:val="24"/>
        </w:rPr>
      </w:pPr>
      <w:r w:rsidRPr="00CD58DA">
        <w:rPr>
          <w:rFonts w:asciiTheme="minorEastAsia" w:hAnsiTheme="minorEastAsia" w:cs="Times New Roman" w:hint="eastAsia"/>
          <w:kern w:val="0"/>
          <w:sz w:val="24"/>
          <w:szCs w:val="21"/>
        </w:rPr>
        <w:t>采购需求一览表</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7"/>
        <w:gridCol w:w="712"/>
        <w:gridCol w:w="139"/>
        <w:gridCol w:w="708"/>
        <w:gridCol w:w="709"/>
        <w:gridCol w:w="709"/>
        <w:gridCol w:w="5811"/>
      </w:tblGrid>
      <w:tr w:rsidR="00CD58DA" w:rsidRPr="00CD58DA" w:rsidTr="00CA6791">
        <w:trPr>
          <w:trHeight w:val="824"/>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序号</w:t>
            </w:r>
          </w:p>
        </w:tc>
        <w:tc>
          <w:tcPr>
            <w:tcW w:w="851" w:type="dxa"/>
            <w:gridSpan w:val="2"/>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标的的名称</w:t>
            </w:r>
          </w:p>
        </w:tc>
        <w:tc>
          <w:tcPr>
            <w:tcW w:w="708"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数量</w:t>
            </w:r>
          </w:p>
        </w:tc>
        <w:tc>
          <w:tcPr>
            <w:tcW w:w="709"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单位</w:t>
            </w:r>
          </w:p>
        </w:tc>
        <w:tc>
          <w:tcPr>
            <w:tcW w:w="709"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Arial" w:hint="eastAsia"/>
                <w:szCs w:val="21"/>
              </w:rPr>
              <w:t>所属行业</w:t>
            </w:r>
          </w:p>
        </w:tc>
        <w:tc>
          <w:tcPr>
            <w:tcW w:w="5811"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Times New Roman" w:hint="eastAsia"/>
                <w:szCs w:val="21"/>
              </w:rPr>
              <w:t>技术要求</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动力电池电气构建装调实训平台</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3</w:t>
            </w:r>
          </w:p>
        </w:tc>
        <w:tc>
          <w:tcPr>
            <w:tcW w:w="709"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套</w:t>
            </w:r>
          </w:p>
        </w:tc>
        <w:tc>
          <w:tcPr>
            <w:tcW w:w="709" w:type="dxa"/>
            <w:vAlign w:val="center"/>
          </w:tcPr>
          <w:p w:rsidR="00CD58DA" w:rsidRPr="00CD58DA" w:rsidRDefault="00CD58DA" w:rsidP="00CD58DA">
            <w:pPr>
              <w:snapToGrid w:val="0"/>
              <w:spacing w:line="400" w:lineRule="atLeast"/>
              <w:jc w:val="center"/>
              <w:rPr>
                <w:rFonts w:ascii="宋体" w:eastAsia="宋体" w:hAnsi="宋体" w:cs="宋体"/>
                <w:szCs w:val="21"/>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电气构建装调实训平台以新能源汽车动力电池管理系统零部件为基础进行制作，在实训平台上配置动力电池管理系统相关零部件，可进行电池管理系统核心零部件检测、单体电池分容、分拣、电池模组拼装、系统组装、功能验证等教学需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2.产品功能要求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2.1配置专用装调绝缘工作台，在绝缘工作台上可进行电池管理系统的零部件结构原理认知、装配、线路连接等教学训练；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2.2采用车规级维修开关，可进行维修开关的装配和电路接线训练；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采用国标通讯协议，BMS管理系统实时动态采集≥24个单体电池电压、电池组温度等数据，通过CAN总线、触摸显示屏、数字化软件将SOC数值、电池单体电压、充放电电流、动力电池组总电压、温度等数据输送至≥32英寸多媒体端显示屏上，数据可实时动态显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2.4采用磷酸铁锂动力电池模组，配置专用底座及连接端子，可满足动力电池反复拆装训练，单体电池≥4块为一个单元模块，共有≥6个模组构成；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2.5配置国标充电接口和车载充电机模块，可进行充电机的装调，装调后可通过充电桩对系统进行充电操作；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2.6配置充放电高压接触器，可进行高压接触器的安装布线教</w:t>
            </w:r>
            <w:r w:rsidRPr="00CD58DA">
              <w:rPr>
                <w:rFonts w:ascii="宋体" w:eastAsia="宋体" w:hAnsi="宋体" w:cs="宋体" w:hint="eastAsia"/>
                <w:szCs w:val="21"/>
              </w:rPr>
              <w:lastRenderedPageBreak/>
              <w:t>学训练；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2.7配置DC/DC模块，可进行DC/DC模块的安装布线教学训练；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2.8配置预充电阻及预充接触器，可以进行预充电路布线的教学训练；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2.9可使用内阻测试仪，进行单体电池的分拣；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2.10可使用电池均衡仪，进行单体电芯的均衡训练。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3.教学实训任务要求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3.1维修开关的安装布线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3.2车载充电机、充电插座的安装布线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3.3高压接触器的安装布线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3.4电池管理系统布线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3.5单体电池的分拣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3.6电池模组的拼装</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3.7预充电阻及预充接触器安装布线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3.8 DC/DC模块的安装布线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3.9 BMS模块的安装布线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3.10电流传感器的安装布线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4.配置清单需包含但不限于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4.1车载充电机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4.2维修开关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4.3电流传感器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4.4交流充电插座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4.5预充电阻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4.6辅助电源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4.7 DC/DC模块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4.8高压接触器 4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4.9 BMS电源管理模块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4.10高低压线束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4.11显示屏 1 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4.12放电负载1 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5.产品规格参数要求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电池包电压：≥DC 76V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工作电压：≥DC 12V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6.智能教学终端硬件要求：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6.1配置：运行内存≥2G，储存内存≥16G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6.2分辨率：≥1920×1080像素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6.3屏类型：LED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7.配套“新能源汽车动力电池虚拟仿真系统”课程资源（软件资源1套，不含硬件终端）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7.1.1软件是采用C/S架构进行开发，所有模型零部件结构为PC虚拟现实环境下严格都按照1:1尺寸还原实物，使用3Dmax模型制作软件进行三维实体建模，在Unity3D引擎技术开发平台上制作成交互式三维互动仿真资源。平台整体布局分为角色定位（管理员、教师、学生）、教学实操（教学认知、实训演练）、考核模拟（理论考核、认知考核、实操考核）、后台管理系统（用户管理、课程管理、考核管理）都有完善的权限管理与安全管理，可以通过权限控制进行用户管理，按权限将用户分为教师、学生和各级管理员角色，不同角色的操作权限也不一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7.1.2虚拟实训室场景建设包括实训车辆、展示台、维修工具、专用设备、理论授课区、文化墙等，建模面数达到600万面以上，展示了新能源汽车上由内到外的各种不同细节结构。整个实训室内部的模型都达到工业级模型精度。虚拟环境建设要求参照新能源汽车维修工艺标准为基础，结合院校开设新能源汽车维修专业，从教学实操、技能考核模拟，帮助学生在学习和训练过程中比较重点突出的注意事项及诸多汽车维修行业技术专家指导意见而开发，满足实用性及新颖性，并使用游戏的体验方式能更好的激发学生的学习兴趣。</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7.1.3实训车间训练整车采用纯电动汽车为基础，具有教学实操、考核模拟≥2个大模块及≥6个子模块任务组成。虚拟仿真教学软件是学科和信息技术深度融合的产物，更是研发教学的发展方向，重点是建设信息化实验教学资源。依托虚拟现实，多媒体，人机交互，数据库和网络通讯等技术，构建出一个高度仿真的虚拟实验环境和实验对象，实现真实试验所不具备的或者难以完成的教学功能，学生在虚拟环境中开展实训，达到所要求的技能与实践教学效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7.2产品规格参数要求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7.2.1开发工具：Unity 3D；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7.2.2软件运行环境：Windows；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7.2.3通过操作鼠标和键盘配合控制能够在虚拟场景中进行流畅交互操作。可以在虚拟场景中自由行走了解整个实训室布局规划，可自动适配模型的最佳视角；</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7.2.4软件运用技术手段降低整体渲染的消耗，在高显示精度的情况下保证至少60帧的高帧率，减轻场景漫游过程中用户的卡顿感和眩晕感，可以使用的技术如Single-Pass等；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7.2.5软件要求在兼顾性能的同时，对画面优化，在处理画面时进行抗锯齿，可以采用的技术诸如Multi-Sampling Anti-Aliasing等；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7.2.6软件要求明暗度良好，具有良好的层次感，在渲染时，避免出现光照错误，让画面尽量真实，同时，保持运行及加载时平滑流畅，避免过程中出现卡顿。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7.2.7 300万以上多边形场景加载时间少于10秒，十万级多边形场景加载时间小于1秒；</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7.2.8软件要求可以观察透视、2D平面图、行走、视角高度调节等完成场地的切换和查看，真实还原实训室模拟教学场景。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7.3角色定位</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7.3.1管理员权限需包含教师管理、学生管理、班级管理等；教师权限需包含教学设置、考核设置、课件设置、成绩查询等；学生权限需包含教学实操、考核模拟、个人成绩等。通过设定不同角色定位相关人员，包括管理员账号、教师账号、学生账号。管理员账户模块：维护管理员帐号，可以进行（教师、学生、班级）管理权限分配，添加、修改、密码重置、维护信息、删除、禁用。可采用批量用户导入上传完成班级和学生的信息创建。可以进行单个用户添加等方式添加新用户。（需在投标文件中提供相关证明，如产品图文证明或产品拍摄视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7.3.2教师管理模块：具有教学课程内容编辑功能，可对课程料进行添加、编辑和删除。课程内容编辑支持图文、视频、等文档格式。教师权限管理将教师和负责的班级建立对应关系。考核题库支持单选题、多选题和判断题。可自定义选择需考试的知识点、数量和分值，根据课程内容范围，从题库中智能抽选题目组成试卷。可以查询学生的考试成绩。（需在投标</w:t>
            </w:r>
            <w:r w:rsidRPr="00CD58DA">
              <w:rPr>
                <w:rFonts w:ascii="宋体" w:eastAsia="宋体" w:hAnsi="宋体" w:cs="宋体" w:hint="eastAsia"/>
                <w:szCs w:val="21"/>
              </w:rPr>
              <w:lastRenderedPageBreak/>
              <w:t>文件中提供相关证明，如产品图文证明或产品拍摄视频等）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7.3.3课件设置：教师可以直接上传对应模块的课程资源，同时可以增加或者删除替换资源操作。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7.3.4教学课件：教师可以制作对应章节的课件，制作课件时教师可以直接在软件上直接添加上传外部素材图片、相关视频文件。在使用课件时直接点击课件上的资源直接进行播放。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▲7.3.5成绩查询：考试结束后，教师可根据选择（班级、学号、姓名、考核项目）进行查询学生成绩，并将成绩导出打印。（需在投标文件中提供相关证明，如产品图文证明或产品拍摄视频等）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7.3.6学生管理模块：可以完成教学实操任务中的训练要求，同时还有考核模拟。可以对个人的考试成绩进行查看。通过添加、禁用、修改、重置密码来维护学生信息。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7.3.7软件具有后台管理系统可以进行用户管理、课程管理、考核管理三种不同的管理方式，由教师进行资源的替换、考试内容设定、考试时间和分值的设定。</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7.4教学实操</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7.4.1教学实操包括教学认知、实训演练内容。包括从文化认知、车辆认知、设备认知、实训演练流程、新能源汽车高压安全系统运行参数等方面进行介绍。</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7.4.2教学认知：包括了实训室中心的部件、设备、车辆的相关认知，通过虚拟仿真的漫游操作沉浸式完成设备的认知、工具仪器的认知以及新能源汽车高压部件及高压安全系统的认知，通过点击车辆名称的视觉图标可以进行透视影藏操作更好的观察新能源汽车上高压部件的实车安装位置，掌握车辆实际状态下的高压部件分布和线路连接。配合操作台上的各种绝缘防护用具能够了解在进行新能源汽车高压系统维修前需要对安全防护用具的熟悉和了解怎样正确的使用以及注意事项等。结合动力电池的爆炸图能够更清楚的了解动力电池内部构造，电池模组布局以及接触器的安装位置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7.4.3实训演练：根据新能源汽车赛项竞赛要求和厂家拆装动力电池标准进行实操练习，每个操作都有对应的分值，学生通过实训演练可以掌握每个步骤和流程的要求，实操过程中有对应的资源展示，帮助教学过程中更好的理解知其然知其所以</w:t>
            </w:r>
            <w:r w:rsidRPr="00CD58DA">
              <w:rPr>
                <w:rFonts w:ascii="宋体" w:eastAsia="宋体" w:hAnsi="宋体" w:cs="宋体" w:hint="eastAsia"/>
                <w:szCs w:val="21"/>
              </w:rPr>
              <w:lastRenderedPageBreak/>
              <w:t>然，通过模拟实操环节极大的降低触电风险，学会了标准操作流程，并且掌握了实操环节的采分点和注意事项。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7.4.4按照新能源汽车高压部件及高压安全的课程要求。通过新能源汽车历史、新能源汽车关键技术、新能源汽车高压部件展示台、新能源汽车分类等进行文化展示教学，通过沉浸式模拟体验，将教学内容与文化建设相结合，通过实训室文化建设了解新能源汽车历史、分类、关键技术等，配合图片、文字、模型和视频资源相结合方式多感官触动教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7.4.5学生在进行教学认知的学习过程中，进入虚拟环境下可以通过右上方的导航图示内的移动光标找到自己当前所在位置，根据提示可以快速完成对实训室给个区域进行了解。点击放大镜图标工具可进行放大、缩小等操作，点击导航图上任意标注可以快速前往该地点学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7.4.6实训训练过程中，若对任意模块学习未达到最佳练习效果，可继续选择要学习的内容点击“进入系统”针对性的加强练习，提高学习效率。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7.5考核模拟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7.5.1考核模拟包括认知考核、理论考核和实操考核三种不同的考核模式。认知考核：教师首先进入考核设置，可以定义编辑考核项目是否列入考核项，每道试题都可以定义试题分数、考试时间等。理论考核：教师可以自由编辑考卷，试题定义答案、选择题和判断题等类型，每道试卷都可以定义试题分数、考试时间等。考试结束后，教师可根据班级、学号、姓名、考核项、查询学生个人成绩，并可将成绩导出打印。（需在投标文件中提供相关证明，如产品图文证明或产品拍摄视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7.5.2实操考核：考核模式内容要求所有考核题都来源于厂家技能等级评定和新能源汽车竞赛方案，通过维修过程的分步展示，分值评定，训练竞赛能力和厂家要求。并且有对应的答题表，通过数据填写归纳相关数据要求，了解分值评定和考核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7.5.3考核项目由教师统一操作，故障设置多样，教师可以根据需要进行作业操作的步骤完成时间进行倒计时，每一个步骤的配分设置，设置完成进行保存。当前实训考核完成后，可返回至主页面或者继续选择其它相应模块进行学习巩固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7.6实训内容要求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7.6.1教学认知内容要求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文化认知：新能源汽车发展史、新能源汽车类型及品牌、汽车关键技术、新能源汽车高压部件、新能源汽车原理、车间6S管理要求；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设备认知：18650电池、21700电池、磷酸铁锂电池、三元锂电池、燃料电池、永磁同步电机、交流异步电机、开关磁阻电机、充电桩、诊断车、诊断电脑、诊断接头、高压警示牌、高压警示线、举升机、充电机、理论教室桌椅、理论教室一体机、万用表、示波器、冰点仪、绝缘表、绝缘工具车、护目镜、安全帽、绝缘手套、绝缘垫、绝缘钩、警示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7.6.2理论考核内容要求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模块认知：题库内容包含有选择题≥29道、判断题≥21道，根据课程内容范围，从题库中抽选题目组成试卷，可设定考试答案、时间、考试时长和参加考试的学员，学员在规定时间内完成提交作业或考试后，平台自动对作业或试卷进行智能评阅。智能评阅不仅能判断答题的对错情况，并可进行智能评分，对考试结果得分情况进行公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7.6.3认知考核内容要求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设备工具认知：请找到高压警示线、请找到龙门举升机、高压电池举升机、请找到充电桩、请找到动力电池、请找到诊断车、请找到打印机、请找到警示牌、请找到绝缘工具车、请找到废油抽接油机、请找到永磁同步电机、请找到交流异步电机、请找到开关磁阻电机、请找到万用表、请找到示波器、请找到绝缘表、请找到冰点仪、请找到绝缘手套、请找到安全帽、请找到绝缘鞋、请找到整车、请找到充电机、请找到诊断电脑、请找到诊断接头、请找到挂锁、请找到冷却液加注机、请找到18650锂电池、请找到21700锂电池、请找到磷酸铁锂电池、请找到镍氢电池、请找到三元锂电池、请找到燃料电池、请找到微电阻仪、请找到护目镜、请找到绝缘垫、请找到绝缘救援钩、工具车第一层工具、工具车第二层工具、工具车第三层工具、工具车第四层工具、工具车第五层工具、工具车第六层工具、工具车第七层工具、请找到灭火器、请找到操作台、请找到驱动电机、请找到功率电子控制装置、请找到车辆防护四件</w:t>
            </w:r>
            <w:r w:rsidRPr="00CD58DA">
              <w:rPr>
                <w:rFonts w:ascii="宋体" w:eastAsia="宋体" w:hAnsi="宋体" w:cs="宋体" w:hint="eastAsia"/>
                <w:szCs w:val="21"/>
              </w:rPr>
              <w:lastRenderedPageBreak/>
              <w:t>套、请找到收集盘、请找到充电器、请找到涡旋式压缩机、请找到PTC加热元件、请找到DC/DC转换器、请找到高压加热器、请找到交直流充电插座、请找到防冻液瓶。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7.6.4实操考核内容要求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项目：高压电池拆装操作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系统断电：场地准备、检查防护套装、检查工具套装、记录车辆信息、安装翼子板和格栅布、安装四件套、安全准备、举升车辆、检查电池状态、降下车辆、连接诊断接头和诊断电脑、取出散热风扇保险丝、断开TW保养插头、判断车辆状态、断开蓄电池负极、取出诊断接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拆卸高压电池：拆卸底板饰板、拆卸冷却液软管、安装适配接头、安全防护装置检查、拆卸底板螺丝、拆卸电位均衡线、拆卸低压插头、拆卸高压插头、测量高压切断电压、测量漏电电压、拆卸高压电池固定螺栓、支撑高压电池、拆卸高压电池两侧固定螺栓、密封冷却液接口、落下高压电池、放置安全标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高压电池装车前检查：清洁和检查高压电池外观、检查高压线束绝缘电阻；</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安装高压电池：安全防护装置检查、举升高压电池、安装两侧固定螺栓、安装电池固定螺栓、安装高压电池高低压插头、安装电位均衡线、测量电位均衡线电阻；</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电池性能检验：连接诊断接头、连接TW保养插头、连接蓄电池负极、判断车辆上电状态、安装散热风扇保险丝、读取电池数据值、举升车辆、安装冷却液软管、添加冷却液、安装底护板、恢复车辆、恢复场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8.配套“高压电池交互软件”课程资源（软件资源1套，不含硬件终端）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该软件需采用unity3D引擎技术C#编程语言进行架构设计使三维结构可视化，可在Windows平台运行。以实物为原型，采用工业建模方式1:1比例还原真实的新能源汽车高压电池零部件。通过三维技术和虚拟仿真技术相结合实现在仿真环境中对目前新能源汽车高压电池都有哪几种不同类型，由单体电池到电池模组再到整车上动力电池的应用。软件内采用都是新能源汽车常见的高压电池“18650电池、21700电池、磷酸铁锂</w:t>
            </w:r>
            <w:r w:rsidRPr="00CD58DA">
              <w:rPr>
                <w:rFonts w:ascii="宋体" w:eastAsia="宋体" w:hAnsi="宋体" w:cs="宋体" w:hint="eastAsia"/>
                <w:szCs w:val="21"/>
              </w:rPr>
              <w:lastRenderedPageBreak/>
              <w:t>电池、三元锂电池、镍氢电池、铅酸电池、燃料电池”等七种不同类型，后续还可以根据教学需求进行扩展二次开发更多内容，每一种不同的电池内容都包含从电池外观到内部结构组成，都有详细的解析。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8.2.1开发工具：Unity 3D。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8.2.2运行环境：Windows平台。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8.2.3通过鼠标或触控在场景中进行流畅交互操作。可对高压电池的结构进行360度任意旋转、平移、放大、缩小，基于多边形网格公式，可自动适配模型的最佳视点。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8.2.4采用资源异步加载功能，可实现硬件优化和内容的迭代扩展。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8.2.5所有三维模型是参照物理尺寸建模，采用PBR（基于物理的渲染）流程还原全局真实照明。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8.2.6背景音乐：左上角图标可以设置背景音乐打开或关闭，可以调节音量输出高低。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8.2.7软件主页需布局有“18650电池、21700电池、磷酸铁锂电池、三元锂电池、镍氢电池、铅酸电池、燃料电池”等对应图标学习入口，点击任意图标即进入相关知识点的学习。内容运行界面分为不少于三个区域展示，区域一是介绍单体电池内部结构，展示汽车上动力电池组内部各个电池模组之间的连接关系位置标注，当点击任意一个序号模组时，相应的模组图标即可点亮闪烁提示，同时对应区域二中动力电池组点击高亮图标可单独显示该零部件，并可对其360度旋转、平移、放大、缩小等操作。需</w:t>
            </w:r>
            <w:r w:rsidRPr="00CD58DA">
              <w:rPr>
                <w:rFonts w:ascii="宋体" w:eastAsia="宋体" w:hAnsi="宋体" w:cs="宋体" w:hint="eastAsia"/>
                <w:szCs w:val="21"/>
                <w:lang w:val="zh-CN"/>
              </w:rPr>
              <w:t>设置</w:t>
            </w:r>
            <w:r w:rsidRPr="00CD58DA">
              <w:rPr>
                <w:rFonts w:ascii="宋体" w:eastAsia="宋体" w:hAnsi="宋体" w:cs="宋体" w:hint="eastAsia"/>
                <w:szCs w:val="21"/>
              </w:rPr>
              <w:t>不少于</w:t>
            </w:r>
            <w:r w:rsidRPr="00CD58DA">
              <w:rPr>
                <w:rFonts w:ascii="宋体" w:eastAsia="宋体" w:hAnsi="宋体" w:cs="宋体" w:hint="eastAsia"/>
                <w:szCs w:val="21"/>
                <w:lang w:val="zh-CN"/>
              </w:rPr>
              <w:t>六种不同视角，方便对部件全方位结构认知</w:t>
            </w:r>
            <w:r w:rsidRPr="00CD58DA">
              <w:rPr>
                <w:rFonts w:ascii="宋体" w:eastAsia="宋体" w:hAnsi="宋体" w:cs="宋体" w:hint="eastAsia"/>
                <w:szCs w:val="21"/>
              </w:rPr>
              <w:t>。具有技术参数图标，点击技术参数图标，可以了解电池的各项参数如：动力电池组安装位置、散热类型、总电压、容量、续航、电池重量等。区域三是信息注释栏，主要介绍当前动力电池的的主要信息。电池分类及不同单电池结构展示功能：展示多种单电池内部结构和文字介绍电池的功能（包含但不限于18650电池、21700电池、磷酸铁锂电池、三元锂电池、铅酸电池及燃料电池）。（需在投标文件中提供相关证明，如产品图文证明或产品拍摄视频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8.2.8电池的充放电化学工作原理：三维环境下通过动画展示</w:t>
            </w:r>
            <w:r w:rsidRPr="00CD58DA">
              <w:rPr>
                <w:rFonts w:ascii="宋体" w:eastAsia="宋体" w:hAnsi="宋体" w:cs="宋体" w:hint="eastAsia"/>
                <w:szCs w:val="21"/>
              </w:rPr>
              <w:lastRenderedPageBreak/>
              <w:t>多种单电池充放电化学变化工作原理和文字介绍或化学变化公式的功能（包含但不限于18650电池、21700电池、磷酸铁锂电池、三元锂电池、铅酸电池及燃料电池的结构）。</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8.2.9动力电池结构展示：在三维虚拟仿真环境下建立虚拟实车动力电池组模型，虚拟动力电池可以任意放大、缩小和360度旋转。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8.2.10动力电池零部件展示：在三维虚拟仿真环境下展示主继电器、维修塞、高压电缆、电池管理模块等，可以任意放大、缩小和360度旋转。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8.2.11信息注释栏两侧的箭头，点击高亮箭头可跳转到当前模块的上一个内容知识点或下一个内容，方便学生进行回顾学习或熟练的学生便捷学习。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8.2.12实训训练过程中，若对上一步内容实训操作未达到最佳练习效果，可继续选择“上一步”针对性的加强练习，提高学习效率。当前实训模块完成后，可退出当前模块返回主页选择其他模块学习或者再次选择当前模块巩固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9.配套“纯电动汽车动力底盘（教师版）”教材 1本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9.1.1教材将学习与工作进行紧密的结合，以“工学结合”为宗旨，促进学习系统的过程化，使教学内容更加地贴近于生产实际。课程内容紧密结合主机厂的技术标准和技术要求。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9.1.2教材内容需具有知识要点、能力要素和评价考核三大教学板块，其中评价考核中的考核题目需显示正确答案。</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9.2工艺标准要求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教材图片内容采用高清实物照片和渲染效果图，排版布局清晰，利于教学书写。</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9.3教材课程内容要求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9.3.1系统模块一：动力电池与管理系统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1）新能源汽车动力电池概述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蓄电池的典型性能参数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蓄电池类型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锂离子电池的发展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2）动力电池布局特点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动力电池的安装位置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动力电池的版本与结构</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3）动力驱动与能量回收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动力驱动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能量回收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4）混合制动控制策略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混合制动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带能量回收的制动系统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带能量回收的制动系统的优势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5）电池管理与信息读取</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高压蓄电池管理系统（BMS）</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高压蓄电池管理系统的功能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BMS中的重要参数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6）高压系统断电和上电操作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高压系统断电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高压系统断电后验电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高压系统上电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7）充电管理与线路测量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交流充电原理图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测量CC信号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测量充电CP信号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8）绝缘监控与电位均衡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绝缘监控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电位均衡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9）动力电池均衡充电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电池均衡充电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电池均衡充电的方法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9.3.2系统模块二：高压系统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1）高压部件位置及线束连接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高压部件位置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高压部件线路连接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2）热泵空调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带热泵的冷却液回路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带热泵的冷却液回路工作原理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3）高压线路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高压线路接线端子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连接器方案</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4）高压部件系统组装要点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发动机/电机控制单元（J623）</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发动机声浪发生器执行元件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电驱动系统的功率和控制电子装置（JX1）</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三相电流驱动装置（VX54）</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高压蓄电池充电单元1（AX4）</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电压转换器（A19）</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高压加热器PTC（ZX17）</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PTC加热元件3（Z132）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高压蓄电池1（AX2）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5）高压系统故障案例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新能源汽车高压系统故障诊断及维修技术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高压系统故障案例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6）动力电池故障案例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动力电池故障诊断与处理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7）驱动电机故障案例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故障现象</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系统重要作用及其结构原理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检修过程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故障排除</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故障总结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8）充电系统故障案例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充电系统的组成及功能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充电系统故障案例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9）驱动系统故障分析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驱动系统故障类型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驱动系统故障原因和处理方法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降低驱动系统故障方法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9.3.3系统模块三：驱动电机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1）驱动电机结构特点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驱动电机的作用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新能源汽车对驱动电机的基本要求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新能源汽车的驱动电机类型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2）两驱和四驱电机布局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纯电动汽车驱动系统结构形式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纯电动汽车驱动系统驱动型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3）驱动电机的定子与转子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驱动电机的结构</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驱动电机工作原理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4）变速器内部结构特点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变速器的安装位置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变速器的结构</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变速器的技术参数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变速器的操作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5）驱动电机位置传感器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驱动电机转速传感器安装位置与作用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驱动电机转速传感器结构与工作原理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教学台上的电机转速传感器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转速传感器测量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6）驱动电机线路测量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测量前安全检测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旋变线圈及温度传感器测量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三相绕组测量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7）驱动电机拆装步骤</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拆装驱动电机的注意事项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纯电动汽车驱动系统驱动型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9.3.4系统模块四：底盘系统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1）新能源汽车底盘系统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新能源汽车动力底盘高压部件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新能源汽车底盘系统主要部件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2）转向系统组成与应用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转向系统组成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转向系统检修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3）制动系统组成与应用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制动系统组成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制动系统控制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4）行驶系统组成与应用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悬架的功用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摆动和驾驶舒适度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悬架类型和性能</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整车的悬架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5）传动系统组成与应用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传动系统概述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传动系统的作用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传动系统组成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6）底盘部件拆装与测量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离地高度测量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拆装减震器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四轮定位参数测量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▲9.3.5为保证理实一体化教学的有效实施，投标供应商在投标文件中需提供“纯电动汽车动力底盘（教师版）”产品的图文证明（包括：封面、目录、≥6个课程的详细教案）。</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2</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交流充电设备装调实训平台</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4</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实训平台采用国标充电桩为基础制作，配套教学面板、线路接线端子、充电测试模块、充电系统相关零部件等，可完成交流充电设备的工作原理认知、充电桩装调、线路测试、充电负载测试等实训教学。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2.产品功能要求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2.1实训台由充电桩装配调试箱、教学面板、充电桩测试模块、显示屏及充电刷卡模块等组成。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2.2充电桩装配调试箱，可进行交流接触器、浪涌保护器、智能电表、辅助电源、主控板、枪锁模块、单相断路器、门禁开关、急停开关等装调训练。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2.3充电设备调试装置可进行1A、2A、5A、8A、16A负载选择，负载模块装配有急停开关，紧急情况下可断开充电和负载模块。当负载模块过温时，过温报警器会发出声光报警提示，同时断开充电。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2.4高压线路采用不同颜色进行区分，连接处用接线端子连接，保证原有线路的完整提高设备安全可靠性。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2.5装调接线采用导轨式接线排，接线方便可快速进行更换，可进行自由拼装，接线端子孔≥8mm。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2.6充电桩配套≥7英寸触摸显示屏，通过显示屏可进行充电模式的选择，计费费率的设置、时段设置、时间设置、故障信息查询、保护设置。充电时通过显示屏可实时查看充电电压、充电电流、实时充电电量、实时充电金额、实时充电时长等信息。通过显示屏可结束充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2.7实训台具有高压电源管理功能，高压上电需要刷教师卡进行通电，未完成刷卡实训台处于安全状态，学员可安全接线训练。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2.8实训台具有刷卡功能，通过刷卡可启动和结束充电。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2.9工作站主体采用≥50×80mm工业级铝型材，示教板主体框架采用专用铝型材，型材内部设有≥4个5mm面板卡槽。示教板铭牌采用≥1200×100×20mm铝型材镶嵌亚克力反喷工艺，两端配套ABS连接装饰模型。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2.10配套≥3个长620mm×宽360mm不同深度的抽屉，≥2个储存柜，抽屉储存空间采用重型导轨配套双锁设计，单抽屉额定承重35kg。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2.11工作站移动脚轮采用≥4个5英寸重型轮，单轮承载能力可达320kg，配套刹车系统可移动锁止确保教学实训安全。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2.12工作站侧面安装有两个长≥510×50×46mm ABS材料的收纳盒，用于收纳实训过程中快速拿取的物品。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2.13工作站桌面采用≥1500×700×25mm榉木板材，材质坚硬、抗冲击力耐磨。工作站下部采用ABS专用护脚保证移动的安全性。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2.14配套AC220V电源插座，满足对外接电源的需求，电源插座安装有保险丝确保用电安全。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3.教学实训任务要求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3.1可进行充电桩部件装配</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3.2充电桩使用方法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3.3充电桩线路连接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3.4充电桩线路检查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3.5充电桩线路核验</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3.6充电桩线路复检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3.7充电桩线路测试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3.8充电桩故障排除</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4.配置清单需包含但不限于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4.1充电桩装配调试箱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4.2教学面板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4.3充电刷卡模块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4.4显示屏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4.5充电桩测试模块 1 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5.产品规格参数要求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5.1设备尺寸约（长×宽×高）：1500×700×1700mm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5.2工作电压：AC220V 50HZ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5.3充电电流：≥32A</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6.配套智能教学终端硬件要求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6.1配置：运行内存≥2G，储存内存≥16G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6.2分辨率：≥1920×1080像素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6.3屏类型：LED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7.配套“高压电控箱系统交互软件”课程资源（软件资源1套，不含硬件终端）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软件需采用unity3D引擎技术C#编程语言进行架构设计使三维结构可视化，可在Windows平台运行。以实物为原型，采用工业建模方式1:1比例还原真实的汽车高压电控箱。软件内采用目前汽车上都广泛采用的高压电控箱，后续还可以根据教学需求进行扩展二次开发添加更多不同的内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7.2.1开发工具：Unity 3D。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7.2.2运行环境：Windows平台。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7.2.3通过鼠标或触控在场景中进行流畅交互操作。可对高压电控箱的结构进行360度任意旋转、平移、放大、缩小，基于多边形网格公式，可自动适配模型的最佳视点。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7.2.4采用资源异步加载功能，可实现硬件优化和内容的迭代扩展。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7.2.5所有三维模型是参照物理尺寸建模，采用PBR（基于物理的渲染）流程还原全局真实照明，更直观展现高压电控箱结</w:t>
            </w:r>
            <w:r w:rsidRPr="00CD58DA">
              <w:rPr>
                <w:rFonts w:ascii="宋体" w:eastAsia="宋体" w:hAnsi="宋体" w:cs="宋体" w:hint="eastAsia"/>
                <w:szCs w:val="21"/>
              </w:rPr>
              <w:lastRenderedPageBreak/>
              <w:t>构与工作原理。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7.2.6背景音乐：左上角图标可以设置背景音乐打开或关闭，可以调节音量输出高低。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7.2.7高压电控箱模型是用几何相似或物理类比方法建立的，它可以描述系统的内部特性，也可以描述实训所必需的环境条件。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7.2.8软件主页需布局有“高压电控箱、内部结构”等对应图标学习入口，点击图标即进入相关知识点的学习。内容运行界面分为不少于三个区域展示，区域一是高压电控箱内外部结构的线框图，展示汽车上高压电控箱内部各个部件之间的连接关系位置标注。点击左侧线框中的文字，区域二中会有相应部件高亮图标闪烁提示。需</w:t>
            </w:r>
            <w:r w:rsidRPr="00CD58DA">
              <w:rPr>
                <w:rFonts w:ascii="宋体" w:eastAsia="宋体" w:hAnsi="宋体" w:cs="宋体" w:hint="eastAsia"/>
                <w:szCs w:val="21"/>
                <w:lang w:val="zh-CN"/>
              </w:rPr>
              <w:t>设置</w:t>
            </w:r>
            <w:r w:rsidRPr="00CD58DA">
              <w:rPr>
                <w:rFonts w:ascii="宋体" w:eastAsia="宋体" w:hAnsi="宋体" w:cs="宋体" w:hint="eastAsia"/>
                <w:szCs w:val="21"/>
              </w:rPr>
              <w:t>不少于</w:t>
            </w:r>
            <w:r w:rsidRPr="00CD58DA">
              <w:rPr>
                <w:rFonts w:ascii="宋体" w:eastAsia="宋体" w:hAnsi="宋体" w:cs="宋体" w:hint="eastAsia"/>
                <w:szCs w:val="21"/>
                <w:lang w:val="zh-CN"/>
              </w:rPr>
              <w:t>六种不同视角，方便对部件全方位结构认知</w:t>
            </w:r>
            <w:r w:rsidRPr="00CD58DA">
              <w:rPr>
                <w:rFonts w:ascii="宋体" w:eastAsia="宋体" w:hAnsi="宋体" w:cs="宋体" w:hint="eastAsia"/>
                <w:szCs w:val="21"/>
              </w:rPr>
              <w:t>。点击返回图标，即可返回模拟操作主界面。区域三是信息注释栏，主要介绍高压电控箱组成及功能原理、两电平双向交流逆变式电机控制器（VTOG）组成及功能原理、DC-DC变换器工作原理、漏电传感器（直流）工作原理等，便于学生更好的学习掌握要点。信息注释栏两侧的箭头，点击高亮箭头可跳转到当前模块的上一个内容知识点或下一个内容。（需在投标文件中提供相关证明，如产品图文证明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7.2.9实训训练过程中，若对上一步内容实训操作未达到最佳练习效果，可继续选择“上一步”针对性的加强练习，提高学习效率。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7.2.10当前实训模块完成后，可退出当前模块返回主页选择其他模块学习或者再次选择当前模块巩固训练。通过交互训练，学员们充分了解自己所学的知识，应用领域，应用前景等，将理论与实践相结合，增强了对专业技术的认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8.配套“高压安全认知交互软件”课程资源（软件资源1套，不含硬件终端）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软件需采用unity3D引擎技术C#编程语言进行架构设计使三维结构可视化，可在Windows平台运行。以实物为原型，采用工业建模方式1:1比例还原真实的新能源汽车高压安全防护装备和安全检测工具。通过三维技术和虚拟仿真技术相结合实现在仿真环境中对目前新能源汽车维修过程中经常使用的安</w:t>
            </w:r>
            <w:r w:rsidRPr="00CD58DA">
              <w:rPr>
                <w:rFonts w:ascii="宋体" w:eastAsia="宋体" w:hAnsi="宋体" w:cs="宋体" w:hint="eastAsia"/>
                <w:szCs w:val="21"/>
              </w:rPr>
              <w:lastRenderedPageBreak/>
              <w:t>全防护用品包含几种不同类型，由安全防护帽、护目镜、绝缘服、绝缘手套和绝缘靴，再到安全检测工具绝缘测试仪的使用。软件内采用新能源汽车高压维修过程中常用的防护装备和检测工具，后续还可以根据教学需求进行扩展二次开发添加更多内容，每一种不同的安全防护用品都包含从外观到内部结构组成，都有详细的解析，方便学生进行专项练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8.2.1开发工具：Unity 3D。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8.2.2运行环境：Windows平台。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8.2.3通过鼠标或触控在场景中进行流畅交互操作。可对高压安全防护用品和检测工具的结构进行360度任意旋转、平移、放大、缩小，基于多边形网格公式，可自动适配模型的最佳视点。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8.2.4采用资源异步加载功能，可实现硬件优化和内容的迭代扩展。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8.2.5所有三维模型是参照物理尺寸建模，采用PBR（基于物理的渲染）流程还原全局真实照明。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8.2.6背景音乐：左上角图标可以设置背景音乐打开或关闭，可以调节音量输出高低。</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8.2.7高压安全与防护模型是用几何相似或物理类比方法建立的，它可以描述系统的内部特性，也可以描述实训所必需的环境条件。通过实体交互手段可完整的模拟出高压安全与防护的的工作过程。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8.2.8软件主页需布局有“安全防护装备、安全检测工具”等对应图标学习入口，点击任意图标即进入相关知识点的学习。内容运行界面分为不少于三个区域展示，区域一采用模拟假人的方式整体展现防护用的穿戴介绍，展示在实际维修操作过程中如何正确穿戴安全防护用品，当点击任意一个安全防护用品时，相应的图标即可点亮闪烁提示，同时对应区域二中随即显示该部件，并可对其360度旋转、平移、放大、缩小等操作。需设置不少于六种不同视角，方便对部件全方位结构认知。需具有技术参数图标，点击技术参数图标，可以了解部件的各项参数如（绝缘手套）：泄露电流、持续时间、质量等级和生产日期等。再次点击返回图标，即可返回模拟操作主界面。区</w:t>
            </w:r>
            <w:r w:rsidRPr="00CD58DA">
              <w:rPr>
                <w:rFonts w:ascii="宋体" w:eastAsia="宋体" w:hAnsi="宋体" w:cs="宋体" w:hint="eastAsia"/>
                <w:szCs w:val="21"/>
              </w:rPr>
              <w:lastRenderedPageBreak/>
              <w:t>域三是信息注释栏，主要介绍当前部件的主要信息。（需在投标文件中提供相关证明，如产品图文证明等）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8.2.9信息注释栏两侧的箭头，点击高亮箭头可跳转到当前模块的上一个内容知识点或下一个内容，方便学生进行回顾学习或熟练的学生便捷学习。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8.2.10实训训练过程中，若对上一步内容实训操作未达到最佳练习效果，可继续选择“上一步”针对性的加强练习，提高学习效率。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8.2.11当前实训模块完成后，可退出当前模块返回主页选择其他模块学习或者再次选择当前模块巩固训练。</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通过交互训练，学员们充分了解自己所学的知识，应用领域，应用前景等，将理论与实践相结合，增强了对专业技术的认识。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9.配套“纯电动汽车高压（教师版）”教材 1本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9.1产品要求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9.1.1教材将学习与工作进行紧密的结合，以“工学结合”为宗旨，促进学习系统的过程化，使教学内容更加地贴近于生产实际。课程内容紧密结合主机厂的技术标准和技术要求。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9.1.2教材内容需具有知识要点、能力要素和评价考核三大教学板块，其中评价考核中的考核题目需显示正确答案。</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9.2工艺标准要求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教材图片内容采用高清实物照片和渲染效果图，排版布局清晰，利于教学书写。</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9.3教材课程内容要求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9.3.1系统模块一：电池拆装及检修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1）电池举升机使用与维护</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高压蓄电池举升机作用与优点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高压蓄电池举升机的结构</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驱动系统的组成与控制原理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2）高压系统工具使用方法</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高压线诊断工具</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诊断JX1电驱动装置的功率电子装置和电子控制装置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诊断AX4高压蓄电池的充电器至高压加热装置（PTC）Z115的高压电缆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诊断AX4高压蓄电池的充电器至电动空调压缩机V470的高压</w:t>
            </w:r>
            <w:r w:rsidRPr="00CD58DA">
              <w:rPr>
                <w:rFonts w:ascii="宋体" w:eastAsia="宋体" w:hAnsi="宋体" w:cs="宋体" w:hint="eastAsia"/>
                <w:szCs w:val="21"/>
              </w:rPr>
              <w:lastRenderedPageBreak/>
              <w:t>电缆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诊断高压蓄电池AX2至电动机功率控制器JX1的电缆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3）电池拆装标准流程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高压安全注意事项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拆卸高压蓄电池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4）电池均衡检修意义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电池均衡概念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电池均衡控制作用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均衡控制原理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5）电池气密性检测作用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气密性检测要求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气密性检测不到位的问题</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6）电池充放电仪的使用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电池充放电仪的功能特点和技术参数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设备连接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9.3.2系统模块二：高压电池数据分析</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1）电压与电池组数据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电源管理系统实训台上单体、模组和高压电池总成之间的关系</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电源管理系统实训台上电池模拟测量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2）温度与充放电控制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动力电池热管理</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水冷电池加热与冷却控制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充电控制流程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3）监控与数据值</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高压电池管理系统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BMS监控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超越模拟</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数字优势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4）梯次利用与电池回收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报废拆解是当前主流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梯次利用是发展方向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▲9.3.3为保证理实一体化教学的有效实施，投标供应商需在投标文件中提供“纯电动汽车高压（教师版）”产品的图文证明（包括：封面、目录、≥6个课程的详细教案）。</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3</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70件新能源车绝缘工具维修组套</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2</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第一层不少于25件套：双色柄绝缘开口扳手11把：8、10、12、13、14、15、、16、17、18、19、21mm;双色柄绝缘梅花扳手13把：8、10、12、13、14、15、、16、17、18、19、21、22、24mm；黑色电工绝缘胶带：19mm×20m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第二层不少于15件套：双色柄绝缘开口扳手2把：22、24mm;双色柄绝缘活络扳手1把：8"；绝缘水泵钳1把：10"（250mm）；绝缘尖嘴钳1把：8"（200mm）；绝缘斜嘴钳1把：6"（160mm）；绝缘剥线钳1把：6"（160mm）；绝缘钢丝钳1把：8"（200mm）；(-)绝缘螺丝批3把：3x75、4×100、5.5×125mm；(+)绝缘螺丝批3把：PH0×60、PH1×80、PH2×100mm；双色直刃式绝缘电工刀1把：50×180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第三层不少于29件套：1/2"绝缘六角套筒10个：10、11、12、13、14、16、17、19、22、24mm；3/8"绝缘六角套筒7个：10、12、13、14、16、17、18mm；1/2"绝缘六角旋具套筒5个：4×120、5×120、6×120、8×120、10×120mm；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3/8"绝缘延长杆2把：3/8×125、3/8×250mm；1/2"绝缘延长杆2把：1/2×1251/2×250mm；3/8"双色柄绝缘双向棘轮扳手1把：3/8×200mm；1/2"双色柄绝缘双向棘轮扳手1把：1/2×250mm；1/2"绝缘T型套筒扳手1把：1/2×200mm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工具车：不少于6抽屉工具车1个：每个抽屉都带有自锁功能.防止自动滑出防滑；工作台面，人性化推手；台面可以安装台虎钳；通用挂孔，方便工具悬挂；四周橡胶防护，防止碰撞；万向角轮带刹车装置 。</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4</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新能源汽车实训台</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2</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方形工作台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（1）尺寸约：W1500×D1000×H800mm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（2）桌面：201不锈钢约1．0mm厚包约50mm厚原实木板。</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5</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10kV高压开关柜成套装置</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1.尺寸L×W×H：≧800×800×2200mm，能通电运行，设置考试故障点（接地、轻/重瓦丝、高温）。</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2.1 控制电压：AC220V。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2.2 频率：50Hz。</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2.3 钣金厚度：≧1.5mm。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2.4主要元件 高压进线柜1个：包含负荷开关1个，高压熔断器3个，高压避雷器3支，带电及故障指示器2个。低压柜</w:t>
            </w:r>
            <w:r w:rsidRPr="00CD58DA">
              <w:rPr>
                <w:rFonts w:ascii="宋体" w:eastAsia="宋体" w:hAnsi="宋体" w:cs="宋体" w:hint="eastAsia"/>
                <w:szCs w:val="21"/>
              </w:rPr>
              <w:lastRenderedPageBreak/>
              <w:t>1个：断路器1个，低压电流互感器3个，低压母线排，浪涌保护器，动态无功补偿控制器。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2.5 操动方式：弹簧式。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2.6 可视窗口：1个。</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6</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10kv柱上油式变压器</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个</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1.跌落式熔断器、隔离开关、间隔围栏、变压器模型；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2.高压电流：500KVA。</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3.投标文件中提供实物图样佐证，图样作为验收依据。</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7</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10kV干式变压器</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个</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轻型高压试验变压器除了可于交流工频耐压试验，交流输出AC0-10kv，电源220v，高压电流：500KVA。</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8</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智能机器人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2</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1、产品尺寸约：346mm×224mm×118mm，重量约：1.73（±0.05）KG。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2、材质：铝合金+PC/ABS塑胶。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3、控制方式：支持2.4G群控，支持两种步态算法，慢走不大于5厘米/秒，快走不大于15厘米/秒。</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4、控制器：采用STM32核心，板载储存空间不少于128M，可储存多个动作组，开关内置，充电接口内置，带有过载保护，可以同时控制不少于17个数字舵机，支持NRF24L01无线通信手柄，支持MPU6050姿态检测。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5、开发平台：Raspberry Pi CM4，支持搭载摄像头。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6、编程平台：兼容PC端Aelos edu（for mac &amp; PC)，Linux，支持ROS和Python编程。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7、自由度：共≥17个自由度，头部1个关节，肩部1个关节（共两只），手臂2个关节（共两只），腿部4个关节（共两只），脚步1个关节（共两只）。</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▲8、舵机：≥17个强扭矩伺服舵机；运动范围：180°；精度：1°；速度：461°/S；尺寸约：40×37×20（mm）；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减速齿轮箱结构：4级传动结构，副轴采用了中空嵌套结构，保证转动平稳性的同时，方便走线。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9、电池约：7.4V，容量约：3200mAH。</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10、音频输出约：1.5W，机体带有MP3模块和扬声器，支持音乐播放。</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▲11、传感器：内置3个传感器，包含地磁传感器、头部摄像</w:t>
            </w:r>
            <w:r w:rsidRPr="00CD58DA">
              <w:rPr>
                <w:rFonts w:ascii="宋体" w:eastAsia="宋体" w:hAnsi="宋体" w:cs="宋体" w:hint="eastAsia"/>
                <w:szCs w:val="21"/>
              </w:rPr>
              <w:lastRenderedPageBreak/>
              <w:t>头和胸部摄像头，机体前胸自带2个磁吸传感器扩展口，2个传感器扩展口均可实现传感器数据模拟输入和执行器数据输出；</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▲12、配套传感器：机器人功能拓展，10个外置传感器相互配合完成不同的场景任务，2磁铁，3PIN磁吸头。</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输入模块：火焰传感器：识别火焰。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光敏传感器：识别环境光源强度。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温度传感器：探测环境温度。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湿度传感器：探测环境湿度。</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气敏传感器：检测特定气体。</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触摸传感器：感应人体触摸。</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人体红外传感器：感应人的远近。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碰撞开关：感应碰撞。</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输出模块：LED灯：可实现常亮、闪烁等多种编程。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风扇：可实现编程控制转动。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13、摄像头：镜头60度，500万像素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摄像头型号：USB+OV5640-160D</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14、手柄操作：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尺寸约：155mm×110mm×55mm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发射控制：NRF24L01无线通信手柄，2.4G连接；发射频率：可修改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按键：2个摇杆，12个自定义按键，3个功能按键</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芯片：HT67F489</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模式切换：可以切换4种模式，分别为兼容模式、拳击模式、足球模式和表演模式。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电池：两节五号电池。</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15、配套教学资料，提供电子版机器人基础教程不少于160课时。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配套整套教学资料，包含应用篇、技术篇、智能篇等电子版教辅资料和课堂教学PPT。</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9</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随车充电器(带保护)</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10</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1.功能：电流切换，防水防尘，预约充电，充满断电，温度检测；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2.安装方式：壁挂式，免安装颜色分类： 不少于20米（智能彩屏版黑色7kw）4挡电流调节/充满断电；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3.使用方式：即插即用；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4输出功率：≥7KW；</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5．输入电压：≥220V；</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6.适用场景：家用；</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7.屏幕类型：彩色屏；</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8.电能输送形式：三相电。</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10</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实训室无线录播系统</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▲1.和一体机、电子白板等教学多媒体显示设备或者电脑无线连接，实时展示学生书写的视频画面，同时无线互动终端连接设备数量不低于48组，全部无线互动终端自动连接，无线传输距离可达不低于50米。</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支持展示互动宝无线自动连接教学一体机或存储服务器，支持教师在软件里随时调用任意一个学生座位上的无线互动终端展示学习画面（包含解题过程，书写过程，绘画过程，手工过程，演奏过程，实验过程，阅读过程中的所有细节）同步显现到大屏幕，进行常态化课堂互动教学，在调取不同学生桌面时无需进行切换网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▲3.无须布线，支持分屏对比教学功能，支持2、4、8、12、24屏实时进行动态对比教学，老师可任意调取2个、4个、8个、12个或24个学生的实时视频做同屏展示，对比内容支持实时视频、即时拍照或调用图片。</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▲4.支持48路视频一键录制，采用5G 无线连接，传输速度达到每秒30帧，支持同屏同步监看48路学生的实训过程，支持将全部学生的实训操作过程录制成视频，也可根据情况选择性录播任意一个或多个学生的实训过程。系统按时间和编号将实训操作过程记录自动归类。</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▲5.支持回放功能，老师可按时间和编号选取任意学生的实操视频回放，支持快进、停止，无限次回看学生实验操作全过程。</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6.支持一键收取学生作业，并以编号方式自动存储实验作业成品，便于老师课后查阅及管理，可达到不低于48人的作业一键收取。</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支持电子白板菜单，支持老师讲解批注功能，可以画线、手写、图形、黑板刷可鼠标滚动缩放，可以随时拍照、录像、对教学展示和批注内容保存，支持在实训展示视频及PPT等课件批注，可一键切换视频与课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lastRenderedPageBreak/>
              <w:t>8.支持分辨率调节，可对图像进行缩放、旋转、拍照、录像和锁定等操作。</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视频矩阵：</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支持64路多频Wi-Fi无线接入与输出，4组超材料背板天线，64路空间信息流，最多可支持128个Wi-Fi终端并发传输数据，整机最大接入速率可达2.334Gbps，交换速率可达12.8Gbps，保证图像信号的高保真输出；通过高速率浮点运算技术，提高设备的切换速度，实现快速切换；采用了全数字无压缩传输，真正确保信号无失真；支持802.11a/b/g/n和802.11ac协议，内置物联网接口，可以扩展蓝牙/433模块/LoRa模块/NB-IoT模块等物联网模块；支持标准802.3at PoE+或本地12V/2A供电，IP53防护等级。</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展示互动宝：</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1.像素约：800万自动对焦（分辨率3264×2448）；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2.帧数：无线720P和1080P不低于30帧/秒；</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3.最大拍摄幅面：最大拍摄幅面A2，最短拍摄距离约8cm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4.万向软管式设计，任意方向可调。可以微距显示（拍摄清楚线路板IC型号）也可以拍摄超大A2幅面(拍摄大场面实训，创客场景）。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5.插拔式底座双用，底座和机身可分离，分离后产品可以夹于桌边。</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6.图片格式JPG,BMP,PNG,GIF,TIF，，视频格式MP4</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7. 连接方式：5G无线传输,自动连接</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8.光源：自然光、LED灯补光</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9.同时连接多媒体显示设备（一体机，电子白板，纳米黑板）最大连接数为60台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10.需支持在视频采集服务器的课堂互动软件中选取任意互动终端展示实时教学、绘画、作业、书写、实验等实时视频。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11.独脚架：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节数：≥4节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自重：≥1KG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承重：≥8KG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材质：铝合金</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高度：52-158CM。</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11</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高压清洗机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2</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1.选取四极低速工业型曲轴泵，陶瓷柱塞。</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2.技术参数：功率：≥3.4KW，工作压力：3-11Mpa，水流量：520-570升/小时，重量:≤52Kg。</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12</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甩干机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全不锈钢材料，底部铸铁，最大承重：≥14KG</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13</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泡沫清洗机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工作压力为1－2.5bar，容量为≥80升，喷射距离5－7米，</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14</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臭氧消毒机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电源：220V/50Hz；功率：≥56W；尺寸：≥20×20×50cm；重量：≥4Kg</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15</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五合一组合鼓</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含水鼓4套，喷淋头4把；气鼓1套，旋风吹尘枪1把；五合一专用铁皮外壳一套；外形尺寸≥1600×480×450mm，空壳重量≥37.5kg/组，含鼓重量≥62.5kg,  (备注：可以水、电、气自由组合）</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16</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卷鼓式水气混合高压清洗枪</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含专用卷鼓1个，专用双排管≥15米，水气混合高压清洗枪短枪1把；长约400mm，宽约175mm，高约430mm,净重约11.5KG，气管约￠6.5/10mm,水管约￠10/14mm，压力约8kg</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17</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精洗液全自动分配机及施工</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含自动分配机一台、5升专用空桶3个;尺寸约658×595×225mm，净重约10.5KG;水压要求0.25-0.6MP。</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18</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汽车吸尘器</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功率约：2400W；冷却模式：循环；真空吸力约：2000mmH2O；</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容量约：70L；高度约：84cm；桶身直径约：34.5cm；气流量约：53升/秒； 配件约：ø40；功能：吸尘/吸水；工作电压：220V；电线约：7.2m；</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配置：长管1条，毛刷扁咀：1个；玻璃吸咀：1个；扁咀1个；不锈钢接管2条。</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19</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地毯清洗机</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台</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快速升温，带走气流，迅速带走水流；</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利用电器产生的高氧化离子，杀灭病毒。高效，低成本。</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每次最大十张地毯。</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功率：3500W+250W+50W，重量约：55Kg。</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20</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美容地格栅</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8</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技术参数：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方孔约：330×330mm,规格约：2440mm×1220mm,合计2个工位，</w:t>
            </w:r>
            <w:r w:rsidRPr="00CD58DA">
              <w:rPr>
                <w:rFonts w:ascii="宋体" w:eastAsia="宋体" w:hAnsi="宋体" w:cs="宋体" w:hint="eastAsia"/>
                <w:szCs w:val="21"/>
              </w:rPr>
              <w:lastRenderedPageBreak/>
              <w:t>每个工位4块，共计8块。</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21</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货架</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6</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个</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尺寸约：2000×50×1800mm。</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22</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空气管路系统</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套</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▲1.螺杆空压机:</w:t>
            </w:r>
            <w:r w:rsidRPr="00CD58DA">
              <w:rPr>
                <w:rFonts w:ascii="宋体" w:eastAsia="宋体" w:hAnsi="宋体" w:cs="宋体"/>
                <w:szCs w:val="21"/>
              </w:rPr>
              <w:t xml:space="preserve">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全铜电机，功率约：15Kw，马力约：20HP。</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2.储气罐（1套）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国家免检产品,三证齐全.1m²/8KG。</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3.空气干燥器(1套)</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处理量≥3000l/min，30HP/1MPA/3.6M3</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4.油水分离器（1套，LD-10）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压力约：1.25。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5.管道布置，采用PVR塑钢材质压缩空气输送管道，含供气主管道总长不低于200M（含连接件和耗材），设计通用（标准）供气工位20个，设计气鼓接气点5个，设计主管路排水工位1个，油水分离器（油雾器）2个，空压机安装材料等。</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23</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绝缘手套</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50</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副</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1、原生橡胶材质，绝缘等级高。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2、抗撕裂，耐老化，韧性强，使用寿命长。</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3、质地柔软，掌型设计，不易开裂。</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4、耐油、耐酸碱腐蚀。</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 xml:space="preserve">5、执行标准：GB/T 17622-2008   </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6、产品参数：</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长度（mm）约：410；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材质：橡胶；</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耐压（Kv）约：12；</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重量（Kg）约：0.5。</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24</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护目镜</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50</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副</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宽（CM）约:8；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材质:PC；</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高（CM）约:1.5；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长（CM）约:18；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净重（g）约:45。</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25</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头盔</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50</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个</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宽（CM）约22.5；</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高（CM）约18；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净重（g）约450；</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长（CM）约28</w:t>
            </w:r>
          </w:p>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V顶ABS标准安全帽-红色。</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lastRenderedPageBreak/>
              <w:t>26</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11座新能源汽车（趟开式）</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辆</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教学用11座新能源汽车（趟开式）</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规格：长×宽×高（</w:t>
            </w:r>
            <w:r w:rsidRPr="00CD58DA">
              <w:rPr>
                <w:rFonts w:ascii="宋体" w:eastAsia="宋体" w:hAnsi="宋体" w:cs="宋体"/>
                <w:szCs w:val="21"/>
              </w:rPr>
              <w:t>mm</w:t>
            </w:r>
            <w:r w:rsidRPr="00CD58DA">
              <w:rPr>
                <w:rFonts w:ascii="宋体" w:eastAsia="宋体" w:hAnsi="宋体" w:cs="宋体" w:hint="eastAsia"/>
                <w:szCs w:val="21"/>
              </w:rPr>
              <w:t>）约</w:t>
            </w:r>
            <w:r w:rsidRPr="00CD58DA">
              <w:rPr>
                <w:rFonts w:ascii="宋体" w:eastAsia="宋体" w:hAnsi="宋体" w:cs="宋体"/>
                <w:szCs w:val="21"/>
              </w:rPr>
              <w:t>4530</w:t>
            </w:r>
            <w:r w:rsidRPr="00CD58DA">
              <w:rPr>
                <w:rFonts w:ascii="宋体" w:eastAsia="宋体" w:hAnsi="宋体" w:cs="宋体" w:hint="eastAsia"/>
                <w:szCs w:val="21"/>
              </w:rPr>
              <w:t>×</w:t>
            </w:r>
            <w:r w:rsidRPr="00CD58DA">
              <w:rPr>
                <w:rFonts w:ascii="宋体" w:eastAsia="宋体" w:hAnsi="宋体" w:cs="宋体"/>
                <w:szCs w:val="21"/>
              </w:rPr>
              <w:t>1495</w:t>
            </w:r>
            <w:r w:rsidRPr="00CD58DA">
              <w:rPr>
                <w:rFonts w:ascii="宋体" w:eastAsia="宋体" w:hAnsi="宋体" w:cs="宋体" w:hint="eastAsia"/>
                <w:szCs w:val="21"/>
              </w:rPr>
              <w:t>×</w:t>
            </w:r>
            <w:r w:rsidRPr="00CD58DA">
              <w:rPr>
                <w:rFonts w:ascii="宋体" w:eastAsia="宋体" w:hAnsi="宋体" w:cs="宋体"/>
                <w:szCs w:val="21"/>
              </w:rPr>
              <w:t>2090</w:t>
            </w:r>
            <w:r w:rsidRPr="00CD58DA">
              <w:rPr>
                <w:rFonts w:ascii="宋体" w:eastAsia="宋体" w:hAnsi="宋体" w:cs="宋体" w:hint="eastAsia"/>
                <w:szCs w:val="21"/>
              </w:rPr>
              <w:t>；</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座位约：</w:t>
            </w:r>
            <w:r w:rsidRPr="00CD58DA">
              <w:rPr>
                <w:rFonts w:ascii="宋体" w:eastAsia="宋体" w:hAnsi="宋体" w:cs="宋体"/>
                <w:szCs w:val="21"/>
              </w:rPr>
              <w:t>11</w:t>
            </w:r>
            <w:r w:rsidRPr="00CD58DA">
              <w:rPr>
                <w:rFonts w:ascii="宋体" w:eastAsia="宋体" w:hAnsi="宋体" w:cs="宋体" w:hint="eastAsia"/>
                <w:szCs w:val="21"/>
              </w:rPr>
              <w:t>座；</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电机控制器（匹配</w:t>
            </w:r>
            <w:r w:rsidRPr="00CD58DA">
              <w:rPr>
                <w:rFonts w:ascii="宋体" w:eastAsia="宋体" w:hAnsi="宋体" w:cs="宋体"/>
                <w:szCs w:val="21"/>
              </w:rPr>
              <w:t>10KW</w:t>
            </w:r>
            <w:r w:rsidRPr="00CD58DA">
              <w:rPr>
                <w:rFonts w:ascii="宋体" w:eastAsia="宋体" w:hAnsi="宋体" w:cs="宋体" w:hint="eastAsia"/>
                <w:szCs w:val="21"/>
              </w:rPr>
              <w:t>电机），电动机（</w:t>
            </w:r>
            <w:r w:rsidRPr="00CD58DA">
              <w:rPr>
                <w:rFonts w:ascii="宋体" w:eastAsia="宋体" w:hAnsi="宋体" w:cs="宋体"/>
                <w:szCs w:val="21"/>
              </w:rPr>
              <w:t>10KW</w:t>
            </w:r>
            <w:r w:rsidRPr="00CD58DA">
              <w:rPr>
                <w:rFonts w:ascii="宋体" w:eastAsia="宋体" w:hAnsi="宋体" w:cs="宋体" w:hint="eastAsia"/>
                <w:szCs w:val="21"/>
              </w:rPr>
              <w:t>三相交流异步电机）；</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电动管柱及控制器总成（电动助力转向），真空助力器及制动主缸总成，后桥（速比</w:t>
            </w:r>
            <w:r w:rsidRPr="00CD58DA">
              <w:rPr>
                <w:rFonts w:ascii="宋体" w:eastAsia="宋体" w:hAnsi="宋体" w:cs="宋体"/>
                <w:szCs w:val="21"/>
              </w:rPr>
              <w:t>i=15.24</w:t>
            </w:r>
            <w:r w:rsidRPr="00CD58DA">
              <w:rPr>
                <w:rFonts w:ascii="宋体" w:eastAsia="宋体" w:hAnsi="宋体" w:cs="宋体" w:hint="eastAsia"/>
                <w:szCs w:val="21"/>
              </w:rPr>
              <w:t>）；</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钢制车轮（轮胎</w:t>
            </w:r>
            <w:r w:rsidRPr="00CD58DA">
              <w:rPr>
                <w:rFonts w:ascii="宋体" w:eastAsia="宋体" w:hAnsi="宋体" w:cs="宋体"/>
                <w:szCs w:val="21"/>
              </w:rPr>
              <w:t>195/70R15C</w:t>
            </w:r>
            <w:r w:rsidRPr="00CD58DA">
              <w:rPr>
                <w:rFonts w:ascii="宋体" w:eastAsia="宋体" w:hAnsi="宋体" w:cs="宋体" w:hint="eastAsia"/>
                <w:szCs w:val="21"/>
              </w:rPr>
              <w:t>），轮毂装饰罩；</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前排独立塑料座椅（</w:t>
            </w:r>
            <w:r w:rsidRPr="00CD58DA">
              <w:rPr>
                <w:rFonts w:ascii="宋体" w:eastAsia="宋体" w:hAnsi="宋体" w:cs="宋体"/>
                <w:szCs w:val="21"/>
              </w:rPr>
              <w:t>2</w:t>
            </w:r>
            <w:r w:rsidRPr="00CD58DA">
              <w:rPr>
                <w:rFonts w:ascii="宋体" w:eastAsia="宋体" w:hAnsi="宋体" w:cs="宋体" w:hint="eastAsia"/>
                <w:szCs w:val="21"/>
              </w:rPr>
              <w:t>个）</w:t>
            </w:r>
            <w:r w:rsidRPr="00CD58DA">
              <w:rPr>
                <w:rFonts w:ascii="宋体" w:eastAsia="宋体" w:hAnsi="宋体" w:cs="宋体"/>
                <w:szCs w:val="21"/>
              </w:rPr>
              <w:t>+</w:t>
            </w:r>
            <w:r w:rsidRPr="00CD58DA">
              <w:rPr>
                <w:rFonts w:ascii="宋体" w:eastAsia="宋体" w:hAnsi="宋体" w:cs="宋体" w:hint="eastAsia"/>
                <w:szCs w:val="21"/>
              </w:rPr>
              <w:t>中排独立塑料座椅（</w:t>
            </w:r>
            <w:r w:rsidRPr="00CD58DA">
              <w:rPr>
                <w:rFonts w:ascii="宋体" w:eastAsia="宋体" w:hAnsi="宋体" w:cs="宋体"/>
                <w:szCs w:val="21"/>
              </w:rPr>
              <w:t>2</w:t>
            </w:r>
            <w:r w:rsidRPr="00CD58DA">
              <w:rPr>
                <w:rFonts w:ascii="宋体" w:eastAsia="宋体" w:hAnsi="宋体" w:cs="宋体" w:hint="eastAsia"/>
                <w:szCs w:val="21"/>
              </w:rPr>
              <w:t>排×</w:t>
            </w:r>
            <w:r w:rsidRPr="00CD58DA">
              <w:rPr>
                <w:rFonts w:ascii="宋体" w:eastAsia="宋体" w:hAnsi="宋体" w:cs="宋体"/>
                <w:szCs w:val="21"/>
              </w:rPr>
              <w:t>3</w:t>
            </w:r>
            <w:r w:rsidRPr="00CD58DA">
              <w:rPr>
                <w:rFonts w:ascii="宋体" w:eastAsia="宋体" w:hAnsi="宋体" w:cs="宋体" w:hint="eastAsia"/>
                <w:szCs w:val="21"/>
              </w:rPr>
              <w:t>个）</w:t>
            </w:r>
            <w:r w:rsidRPr="00CD58DA">
              <w:rPr>
                <w:rFonts w:ascii="宋体" w:eastAsia="宋体" w:hAnsi="宋体" w:cs="宋体"/>
                <w:szCs w:val="21"/>
              </w:rPr>
              <w:t>+</w:t>
            </w:r>
            <w:r w:rsidRPr="00CD58DA">
              <w:rPr>
                <w:rFonts w:ascii="宋体" w:eastAsia="宋体" w:hAnsi="宋体" w:cs="宋体" w:hint="eastAsia"/>
                <w:szCs w:val="21"/>
              </w:rPr>
              <w:t>后排独立塑料座椅（</w:t>
            </w:r>
            <w:r w:rsidRPr="00CD58DA">
              <w:rPr>
                <w:rFonts w:ascii="宋体" w:eastAsia="宋体" w:hAnsi="宋体" w:cs="宋体"/>
                <w:szCs w:val="21"/>
              </w:rPr>
              <w:t>3</w:t>
            </w:r>
            <w:r w:rsidRPr="00CD58DA">
              <w:rPr>
                <w:rFonts w:ascii="宋体" w:eastAsia="宋体" w:hAnsi="宋体" w:cs="宋体" w:hint="eastAsia"/>
                <w:szCs w:val="21"/>
              </w:rPr>
              <w:t>个），安全带，花纹铝地板，拉伸式网状雨帘；</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收音机</w:t>
            </w:r>
            <w:r w:rsidRPr="00CD58DA">
              <w:rPr>
                <w:rFonts w:ascii="宋体" w:eastAsia="宋体" w:hAnsi="宋体" w:cs="宋体"/>
                <w:szCs w:val="21"/>
              </w:rPr>
              <w:t>+USB</w:t>
            </w:r>
            <w:r w:rsidRPr="00CD58DA">
              <w:rPr>
                <w:rFonts w:ascii="宋体" w:eastAsia="宋体" w:hAnsi="宋体" w:cs="宋体" w:hint="eastAsia"/>
                <w:szCs w:val="21"/>
              </w:rPr>
              <w:t>接口</w:t>
            </w:r>
            <w:r w:rsidRPr="00CD58DA">
              <w:rPr>
                <w:rFonts w:ascii="宋体" w:eastAsia="宋体" w:hAnsi="宋体" w:cs="宋体"/>
                <w:szCs w:val="21"/>
              </w:rPr>
              <w:t>+</w:t>
            </w:r>
            <w:r w:rsidRPr="00CD58DA">
              <w:rPr>
                <w:rFonts w:ascii="宋体" w:eastAsia="宋体" w:hAnsi="宋体" w:cs="宋体" w:hint="eastAsia"/>
                <w:szCs w:val="21"/>
              </w:rPr>
              <w:t>扬声器（</w:t>
            </w:r>
            <w:r w:rsidRPr="00CD58DA">
              <w:rPr>
                <w:rFonts w:ascii="宋体" w:eastAsia="宋体" w:hAnsi="宋体" w:cs="宋体"/>
                <w:szCs w:val="21"/>
              </w:rPr>
              <w:t>2</w:t>
            </w:r>
            <w:r w:rsidRPr="00CD58DA">
              <w:rPr>
                <w:rFonts w:ascii="宋体" w:eastAsia="宋体" w:hAnsi="宋体" w:cs="宋体" w:hint="eastAsia"/>
                <w:szCs w:val="21"/>
              </w:rPr>
              <w:t>个），</w:t>
            </w:r>
            <w:r w:rsidRPr="00CD58DA">
              <w:rPr>
                <w:rFonts w:ascii="宋体" w:eastAsia="宋体" w:hAnsi="宋体" w:cs="宋体"/>
                <w:szCs w:val="21"/>
              </w:rPr>
              <w:t>DC/DC</w:t>
            </w:r>
            <w:r w:rsidRPr="00CD58DA">
              <w:rPr>
                <w:rFonts w:ascii="宋体" w:eastAsia="宋体" w:hAnsi="宋体" w:cs="宋体" w:hint="eastAsia"/>
                <w:szCs w:val="21"/>
              </w:rPr>
              <w:t>转换器（</w:t>
            </w:r>
            <w:r w:rsidRPr="00CD58DA">
              <w:rPr>
                <w:rFonts w:ascii="宋体" w:eastAsia="宋体" w:hAnsi="宋体" w:cs="宋体"/>
                <w:szCs w:val="21"/>
              </w:rPr>
              <w:t>72V</w:t>
            </w:r>
            <w:r w:rsidRPr="00CD58DA">
              <w:rPr>
                <w:rFonts w:ascii="宋体" w:eastAsia="宋体" w:hAnsi="宋体" w:cs="宋体" w:hint="eastAsia"/>
                <w:szCs w:val="21"/>
              </w:rPr>
              <w:t>，</w:t>
            </w:r>
            <w:r w:rsidRPr="00CD58DA">
              <w:rPr>
                <w:rFonts w:ascii="宋体" w:eastAsia="宋体" w:hAnsi="宋体" w:cs="宋体"/>
                <w:szCs w:val="21"/>
              </w:rPr>
              <w:t>2</w:t>
            </w:r>
            <w:r w:rsidRPr="00CD58DA">
              <w:rPr>
                <w:rFonts w:ascii="宋体" w:eastAsia="宋体" w:hAnsi="宋体" w:cs="宋体" w:hint="eastAsia"/>
                <w:szCs w:val="21"/>
              </w:rPr>
              <w:t>个）；</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免维护铅酸动力电池（</w:t>
            </w:r>
            <w:r w:rsidRPr="00CD58DA">
              <w:rPr>
                <w:rFonts w:ascii="宋体" w:eastAsia="宋体" w:hAnsi="宋体" w:cs="宋体"/>
                <w:szCs w:val="21"/>
              </w:rPr>
              <w:t>72V/220Ah</w:t>
            </w:r>
            <w:r w:rsidRPr="00CD58DA">
              <w:rPr>
                <w:rFonts w:ascii="宋体" w:eastAsia="宋体" w:hAnsi="宋体" w:cs="宋体" w:hint="eastAsia"/>
                <w:szCs w:val="21"/>
              </w:rPr>
              <w:t>电池组），车载充电机</w:t>
            </w:r>
            <w:r w:rsidRPr="00CD58DA">
              <w:rPr>
                <w:rFonts w:ascii="宋体" w:eastAsia="宋体" w:hAnsi="宋体" w:cs="宋体"/>
                <w:szCs w:val="21"/>
              </w:rPr>
              <w:t>72V</w:t>
            </w:r>
            <w:r w:rsidRPr="00CD58DA">
              <w:rPr>
                <w:rFonts w:ascii="宋体" w:eastAsia="宋体" w:hAnsi="宋体" w:cs="宋体" w:hint="eastAsia"/>
                <w:szCs w:val="21"/>
              </w:rPr>
              <w:t>（配</w:t>
            </w:r>
            <w:r w:rsidRPr="00CD58DA">
              <w:rPr>
                <w:rFonts w:ascii="宋体" w:eastAsia="宋体" w:hAnsi="宋体" w:cs="宋体"/>
                <w:szCs w:val="21"/>
              </w:rPr>
              <w:t>72V/220Ah</w:t>
            </w:r>
            <w:r w:rsidRPr="00CD58DA">
              <w:rPr>
                <w:rFonts w:ascii="宋体" w:eastAsia="宋体" w:hAnsi="宋体" w:cs="宋体" w:hint="eastAsia"/>
                <w:szCs w:val="21"/>
              </w:rPr>
              <w:t>电池组）；</w:t>
            </w:r>
          </w:p>
          <w:p w:rsidR="00CD58DA" w:rsidRPr="00CD58DA" w:rsidRDefault="00CD58DA" w:rsidP="00CD58DA">
            <w:pPr>
              <w:numPr>
                <w:ilvl w:val="0"/>
                <w:numId w:val="4"/>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灭火器支架，司机杯托，随车工具，顶内饰。</w:t>
            </w:r>
          </w:p>
        </w:tc>
      </w:tr>
      <w:tr w:rsidR="00CD58DA" w:rsidRPr="00CD58DA" w:rsidTr="00CA6791">
        <w:trPr>
          <w:trHeight w:val="379"/>
          <w:jc w:val="center"/>
        </w:trPr>
        <w:tc>
          <w:tcPr>
            <w:tcW w:w="767" w:type="dxa"/>
            <w:vAlign w:val="center"/>
          </w:tcPr>
          <w:p w:rsidR="00CD58DA" w:rsidRPr="00CD58DA" w:rsidRDefault="00CD58DA" w:rsidP="00CD58DA">
            <w:pPr>
              <w:tabs>
                <w:tab w:val="left" w:pos="180"/>
                <w:tab w:val="left" w:pos="1620"/>
              </w:tabs>
              <w:spacing w:line="360" w:lineRule="auto"/>
              <w:jc w:val="center"/>
              <w:rPr>
                <w:rFonts w:ascii="宋体" w:eastAsia="宋体" w:hAnsi="宋体" w:cs="宋体"/>
                <w:szCs w:val="21"/>
              </w:rPr>
            </w:pPr>
            <w:r w:rsidRPr="00CD58DA">
              <w:rPr>
                <w:rFonts w:ascii="宋体" w:eastAsia="宋体" w:hAnsi="宋体" w:cs="宋体" w:hint="eastAsia"/>
                <w:szCs w:val="21"/>
              </w:rPr>
              <w:t>27</w:t>
            </w:r>
          </w:p>
        </w:tc>
        <w:tc>
          <w:tcPr>
            <w:tcW w:w="851" w:type="dxa"/>
            <w:gridSpan w:val="2"/>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14座新能源汽车（趟开式）</w:t>
            </w:r>
          </w:p>
        </w:tc>
        <w:tc>
          <w:tcPr>
            <w:tcW w:w="708" w:type="dxa"/>
            <w:vAlign w:val="center"/>
          </w:tcPr>
          <w:p w:rsidR="00CD58DA" w:rsidRPr="00CD58DA" w:rsidRDefault="00CD58DA" w:rsidP="00CD58DA">
            <w:pPr>
              <w:snapToGrid w:val="0"/>
              <w:spacing w:line="300" w:lineRule="atLeast"/>
              <w:jc w:val="center"/>
              <w:rPr>
                <w:rFonts w:ascii="宋体" w:eastAsia="宋体" w:hAnsi="宋体" w:cs="宋体"/>
                <w:szCs w:val="21"/>
              </w:rPr>
            </w:pPr>
            <w:r w:rsidRPr="00CD58DA">
              <w:rPr>
                <w:rFonts w:ascii="宋体" w:eastAsia="宋体" w:hAnsi="宋体" w:cs="宋体" w:hint="eastAsia"/>
                <w:szCs w:val="21"/>
              </w:rPr>
              <w:t>1</w:t>
            </w:r>
          </w:p>
        </w:tc>
        <w:tc>
          <w:tcPr>
            <w:tcW w:w="709" w:type="dxa"/>
            <w:vAlign w:val="center"/>
          </w:tcPr>
          <w:p w:rsidR="00CD58DA" w:rsidRPr="00CD58DA" w:rsidRDefault="00CD58DA" w:rsidP="00CD58DA">
            <w:pPr>
              <w:jc w:val="center"/>
              <w:rPr>
                <w:rFonts w:ascii="宋体" w:eastAsia="宋体" w:hAnsi="宋体" w:cs="宋体"/>
                <w:szCs w:val="21"/>
              </w:rPr>
            </w:pPr>
            <w:r w:rsidRPr="00CD58DA">
              <w:rPr>
                <w:rFonts w:ascii="Times New Roman" w:eastAsia="宋体" w:hAnsi="Times New Roman" w:cs="Times New Roman" w:hint="eastAsia"/>
                <w:szCs w:val="21"/>
              </w:rPr>
              <w:t>辆</w:t>
            </w:r>
          </w:p>
        </w:tc>
        <w:tc>
          <w:tcPr>
            <w:tcW w:w="709" w:type="dxa"/>
            <w:vAlign w:val="center"/>
          </w:tcPr>
          <w:p w:rsidR="00CD58DA" w:rsidRPr="00CD58DA" w:rsidRDefault="00CD58DA" w:rsidP="00CD58DA">
            <w:pPr>
              <w:jc w:val="center"/>
              <w:rPr>
                <w:rFonts w:ascii="Times New Roman" w:eastAsia="宋体" w:hAnsi="Times New Roman" w:cs="Times New Roman"/>
                <w:szCs w:val="24"/>
              </w:rPr>
            </w:pPr>
            <w:r w:rsidRPr="00CD58DA">
              <w:rPr>
                <w:rFonts w:ascii="宋体" w:eastAsia="宋体" w:hAnsi="宋体" w:cs="宋体" w:hint="eastAsia"/>
                <w:szCs w:val="21"/>
              </w:rPr>
              <w:t>工业</w:t>
            </w:r>
          </w:p>
        </w:tc>
        <w:tc>
          <w:tcPr>
            <w:tcW w:w="5811" w:type="dxa"/>
            <w:vAlign w:val="center"/>
          </w:tcPr>
          <w:p w:rsidR="00CD58DA" w:rsidRPr="00CD58DA" w:rsidRDefault="00CD58DA" w:rsidP="00CD58DA">
            <w:pPr>
              <w:snapToGrid w:val="0"/>
              <w:spacing w:line="400" w:lineRule="atLeast"/>
              <w:rPr>
                <w:rFonts w:ascii="宋体" w:eastAsia="宋体" w:hAnsi="宋体" w:cs="宋体"/>
                <w:szCs w:val="21"/>
              </w:rPr>
            </w:pPr>
            <w:r w:rsidRPr="00CD58DA">
              <w:rPr>
                <w:rFonts w:ascii="宋体" w:eastAsia="宋体" w:hAnsi="宋体" w:cs="宋体" w:hint="eastAsia"/>
                <w:szCs w:val="21"/>
              </w:rPr>
              <w:t>教学用14座新能源汽车（趟开式）</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规格：长×宽×高（</w:t>
            </w:r>
            <w:r w:rsidRPr="00CD58DA">
              <w:rPr>
                <w:rFonts w:ascii="宋体" w:eastAsia="宋体" w:hAnsi="宋体" w:cs="宋体"/>
                <w:szCs w:val="21"/>
              </w:rPr>
              <w:t>mm</w:t>
            </w:r>
            <w:r w:rsidRPr="00CD58DA">
              <w:rPr>
                <w:rFonts w:ascii="宋体" w:eastAsia="宋体" w:hAnsi="宋体" w:cs="宋体" w:hint="eastAsia"/>
                <w:szCs w:val="21"/>
              </w:rPr>
              <w:t>）约</w:t>
            </w:r>
            <w:r w:rsidRPr="00CD58DA">
              <w:rPr>
                <w:rFonts w:ascii="宋体" w:eastAsia="宋体" w:hAnsi="宋体" w:cs="宋体"/>
                <w:szCs w:val="21"/>
              </w:rPr>
              <w:t>4905</w:t>
            </w:r>
            <w:r w:rsidRPr="00CD58DA">
              <w:rPr>
                <w:rFonts w:ascii="宋体" w:eastAsia="宋体" w:hAnsi="宋体" w:cs="宋体" w:hint="eastAsia"/>
                <w:szCs w:val="21"/>
              </w:rPr>
              <w:t>×</w:t>
            </w:r>
            <w:r w:rsidRPr="00CD58DA">
              <w:rPr>
                <w:rFonts w:ascii="宋体" w:eastAsia="宋体" w:hAnsi="宋体" w:cs="宋体"/>
                <w:szCs w:val="21"/>
              </w:rPr>
              <w:t>1495</w:t>
            </w:r>
            <w:r w:rsidRPr="00CD58DA">
              <w:rPr>
                <w:rFonts w:ascii="宋体" w:eastAsia="宋体" w:hAnsi="宋体" w:cs="宋体" w:hint="eastAsia"/>
                <w:szCs w:val="21"/>
              </w:rPr>
              <w:t>×</w:t>
            </w:r>
            <w:r w:rsidRPr="00CD58DA">
              <w:rPr>
                <w:rFonts w:ascii="宋体" w:eastAsia="宋体" w:hAnsi="宋体" w:cs="宋体"/>
                <w:szCs w:val="21"/>
              </w:rPr>
              <w:t>2090</w:t>
            </w:r>
            <w:r w:rsidRPr="00CD58DA">
              <w:rPr>
                <w:rFonts w:ascii="宋体" w:eastAsia="宋体" w:hAnsi="宋体" w:cs="宋体" w:hint="eastAsia"/>
                <w:szCs w:val="21"/>
              </w:rPr>
              <w:t>；</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座位约：</w:t>
            </w:r>
            <w:r w:rsidRPr="00CD58DA">
              <w:rPr>
                <w:rFonts w:ascii="宋体" w:eastAsia="宋体" w:hAnsi="宋体" w:cs="宋体"/>
                <w:szCs w:val="21"/>
              </w:rPr>
              <w:t>14</w:t>
            </w:r>
            <w:r w:rsidRPr="00CD58DA">
              <w:rPr>
                <w:rFonts w:ascii="宋体" w:eastAsia="宋体" w:hAnsi="宋体" w:cs="宋体" w:hint="eastAsia"/>
                <w:szCs w:val="21"/>
              </w:rPr>
              <w:t>座；</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电机控制器（匹配</w:t>
            </w:r>
            <w:r w:rsidRPr="00CD58DA">
              <w:rPr>
                <w:rFonts w:ascii="宋体" w:eastAsia="宋体" w:hAnsi="宋体" w:cs="宋体"/>
                <w:szCs w:val="21"/>
              </w:rPr>
              <w:t>10KW</w:t>
            </w:r>
            <w:r w:rsidRPr="00CD58DA">
              <w:rPr>
                <w:rFonts w:ascii="宋体" w:eastAsia="宋体" w:hAnsi="宋体" w:cs="宋体" w:hint="eastAsia"/>
                <w:szCs w:val="21"/>
              </w:rPr>
              <w:t>电机），电动机（</w:t>
            </w:r>
            <w:r w:rsidRPr="00CD58DA">
              <w:rPr>
                <w:rFonts w:ascii="宋体" w:eastAsia="宋体" w:hAnsi="宋体" w:cs="宋体"/>
                <w:szCs w:val="21"/>
              </w:rPr>
              <w:t>10KW</w:t>
            </w:r>
            <w:r w:rsidRPr="00CD58DA">
              <w:rPr>
                <w:rFonts w:ascii="宋体" w:eastAsia="宋体" w:hAnsi="宋体" w:cs="宋体" w:hint="eastAsia"/>
                <w:szCs w:val="21"/>
              </w:rPr>
              <w:t>三相交流异步电机）；</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电动管柱及控制器总成（电动助力转向），真空助力器及制动主缸总成，后桥（速比</w:t>
            </w:r>
            <w:r w:rsidRPr="00CD58DA">
              <w:rPr>
                <w:rFonts w:ascii="宋体" w:eastAsia="宋体" w:hAnsi="宋体" w:cs="宋体"/>
                <w:szCs w:val="21"/>
              </w:rPr>
              <w:t>i=15.24</w:t>
            </w:r>
            <w:r w:rsidRPr="00CD58DA">
              <w:rPr>
                <w:rFonts w:ascii="宋体" w:eastAsia="宋体" w:hAnsi="宋体" w:cs="宋体" w:hint="eastAsia"/>
                <w:szCs w:val="21"/>
              </w:rPr>
              <w:t>）；</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钢制车轮（轮胎</w:t>
            </w:r>
            <w:r w:rsidRPr="00CD58DA">
              <w:rPr>
                <w:rFonts w:ascii="宋体" w:eastAsia="宋体" w:hAnsi="宋体" w:cs="宋体"/>
                <w:szCs w:val="21"/>
              </w:rPr>
              <w:t>195/70R15C</w:t>
            </w:r>
            <w:r w:rsidRPr="00CD58DA">
              <w:rPr>
                <w:rFonts w:ascii="宋体" w:eastAsia="宋体" w:hAnsi="宋体" w:cs="宋体" w:hint="eastAsia"/>
                <w:szCs w:val="21"/>
              </w:rPr>
              <w:t>），轮毂装饰罩；</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前排独立塑料座椅（</w:t>
            </w:r>
            <w:r w:rsidRPr="00CD58DA">
              <w:rPr>
                <w:rFonts w:ascii="宋体" w:eastAsia="宋体" w:hAnsi="宋体" w:cs="宋体"/>
                <w:szCs w:val="21"/>
              </w:rPr>
              <w:t>2</w:t>
            </w:r>
            <w:r w:rsidRPr="00CD58DA">
              <w:rPr>
                <w:rFonts w:ascii="宋体" w:eastAsia="宋体" w:hAnsi="宋体" w:cs="宋体" w:hint="eastAsia"/>
                <w:szCs w:val="21"/>
              </w:rPr>
              <w:t>个）</w:t>
            </w:r>
            <w:r w:rsidRPr="00CD58DA">
              <w:rPr>
                <w:rFonts w:ascii="宋体" w:eastAsia="宋体" w:hAnsi="宋体" w:cs="宋体"/>
                <w:szCs w:val="21"/>
              </w:rPr>
              <w:t>+</w:t>
            </w:r>
            <w:r w:rsidRPr="00CD58DA">
              <w:rPr>
                <w:rFonts w:ascii="宋体" w:eastAsia="宋体" w:hAnsi="宋体" w:cs="宋体" w:hint="eastAsia"/>
                <w:szCs w:val="21"/>
              </w:rPr>
              <w:t>中排独立塑料座椅（</w:t>
            </w:r>
            <w:r w:rsidRPr="00CD58DA">
              <w:rPr>
                <w:rFonts w:ascii="宋体" w:eastAsia="宋体" w:hAnsi="宋体" w:cs="宋体"/>
                <w:szCs w:val="21"/>
              </w:rPr>
              <w:t>2</w:t>
            </w:r>
            <w:r w:rsidRPr="00CD58DA">
              <w:rPr>
                <w:rFonts w:ascii="宋体" w:eastAsia="宋体" w:hAnsi="宋体" w:cs="宋体" w:hint="eastAsia"/>
                <w:szCs w:val="21"/>
              </w:rPr>
              <w:t>排×</w:t>
            </w:r>
            <w:r w:rsidRPr="00CD58DA">
              <w:rPr>
                <w:rFonts w:ascii="宋体" w:eastAsia="宋体" w:hAnsi="宋体" w:cs="宋体"/>
                <w:szCs w:val="21"/>
              </w:rPr>
              <w:t>3</w:t>
            </w:r>
            <w:r w:rsidRPr="00CD58DA">
              <w:rPr>
                <w:rFonts w:ascii="宋体" w:eastAsia="宋体" w:hAnsi="宋体" w:cs="宋体" w:hint="eastAsia"/>
                <w:szCs w:val="21"/>
              </w:rPr>
              <w:t>个）</w:t>
            </w:r>
            <w:r w:rsidRPr="00CD58DA">
              <w:rPr>
                <w:rFonts w:ascii="宋体" w:eastAsia="宋体" w:hAnsi="宋体" w:cs="宋体"/>
                <w:szCs w:val="21"/>
              </w:rPr>
              <w:t>+</w:t>
            </w:r>
            <w:r w:rsidRPr="00CD58DA">
              <w:rPr>
                <w:rFonts w:ascii="宋体" w:eastAsia="宋体" w:hAnsi="宋体" w:cs="宋体" w:hint="eastAsia"/>
                <w:szCs w:val="21"/>
              </w:rPr>
              <w:t>后排独立塑料座椅（</w:t>
            </w:r>
            <w:r w:rsidRPr="00CD58DA">
              <w:rPr>
                <w:rFonts w:ascii="宋体" w:eastAsia="宋体" w:hAnsi="宋体" w:cs="宋体"/>
                <w:szCs w:val="21"/>
              </w:rPr>
              <w:t>3</w:t>
            </w:r>
            <w:r w:rsidRPr="00CD58DA">
              <w:rPr>
                <w:rFonts w:ascii="宋体" w:eastAsia="宋体" w:hAnsi="宋体" w:cs="宋体" w:hint="eastAsia"/>
                <w:szCs w:val="21"/>
              </w:rPr>
              <w:t>个）</w:t>
            </w:r>
            <w:r w:rsidRPr="00CD58DA">
              <w:rPr>
                <w:rFonts w:ascii="宋体" w:eastAsia="宋体" w:hAnsi="宋体" w:cs="宋体"/>
                <w:szCs w:val="21"/>
              </w:rPr>
              <w:t>+</w:t>
            </w:r>
            <w:r w:rsidRPr="00CD58DA">
              <w:rPr>
                <w:rFonts w:ascii="宋体" w:eastAsia="宋体" w:hAnsi="宋体" w:cs="宋体" w:hint="eastAsia"/>
                <w:szCs w:val="21"/>
              </w:rPr>
              <w:t>背靠背独立塑料座椅（</w:t>
            </w:r>
            <w:r w:rsidRPr="00CD58DA">
              <w:rPr>
                <w:rFonts w:ascii="宋体" w:eastAsia="宋体" w:hAnsi="宋体" w:cs="宋体"/>
                <w:szCs w:val="21"/>
              </w:rPr>
              <w:t>3</w:t>
            </w:r>
            <w:r w:rsidRPr="00CD58DA">
              <w:rPr>
                <w:rFonts w:ascii="宋体" w:eastAsia="宋体" w:hAnsi="宋体" w:cs="宋体" w:hint="eastAsia"/>
                <w:szCs w:val="21"/>
              </w:rPr>
              <w:t>个），安全带，花纹铝地板，拉伸式网状雨帘；</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收音机</w:t>
            </w:r>
            <w:r w:rsidRPr="00CD58DA">
              <w:rPr>
                <w:rFonts w:ascii="宋体" w:eastAsia="宋体" w:hAnsi="宋体" w:cs="宋体"/>
                <w:szCs w:val="21"/>
              </w:rPr>
              <w:t>+USB</w:t>
            </w:r>
            <w:r w:rsidRPr="00CD58DA">
              <w:rPr>
                <w:rFonts w:ascii="宋体" w:eastAsia="宋体" w:hAnsi="宋体" w:cs="宋体" w:hint="eastAsia"/>
                <w:szCs w:val="21"/>
              </w:rPr>
              <w:t>接口</w:t>
            </w:r>
            <w:r w:rsidRPr="00CD58DA">
              <w:rPr>
                <w:rFonts w:ascii="宋体" w:eastAsia="宋体" w:hAnsi="宋体" w:cs="宋体"/>
                <w:szCs w:val="21"/>
              </w:rPr>
              <w:t>+</w:t>
            </w:r>
            <w:r w:rsidRPr="00CD58DA">
              <w:rPr>
                <w:rFonts w:ascii="宋体" w:eastAsia="宋体" w:hAnsi="宋体" w:cs="宋体" w:hint="eastAsia"/>
                <w:szCs w:val="21"/>
              </w:rPr>
              <w:t>扬声器（</w:t>
            </w:r>
            <w:r w:rsidRPr="00CD58DA">
              <w:rPr>
                <w:rFonts w:ascii="宋体" w:eastAsia="宋体" w:hAnsi="宋体" w:cs="宋体"/>
                <w:szCs w:val="21"/>
              </w:rPr>
              <w:t>2</w:t>
            </w:r>
            <w:r w:rsidRPr="00CD58DA">
              <w:rPr>
                <w:rFonts w:ascii="宋体" w:eastAsia="宋体" w:hAnsi="宋体" w:cs="宋体" w:hint="eastAsia"/>
                <w:szCs w:val="21"/>
              </w:rPr>
              <w:t>个），</w:t>
            </w:r>
            <w:r w:rsidRPr="00CD58DA">
              <w:rPr>
                <w:rFonts w:ascii="宋体" w:eastAsia="宋体" w:hAnsi="宋体" w:cs="宋体"/>
                <w:szCs w:val="21"/>
              </w:rPr>
              <w:t>DC/DC</w:t>
            </w:r>
            <w:r w:rsidRPr="00CD58DA">
              <w:rPr>
                <w:rFonts w:ascii="宋体" w:eastAsia="宋体" w:hAnsi="宋体" w:cs="宋体" w:hint="eastAsia"/>
                <w:szCs w:val="21"/>
              </w:rPr>
              <w:t>转换器（</w:t>
            </w:r>
            <w:r w:rsidRPr="00CD58DA">
              <w:rPr>
                <w:rFonts w:ascii="宋体" w:eastAsia="宋体" w:hAnsi="宋体" w:cs="宋体"/>
                <w:szCs w:val="21"/>
              </w:rPr>
              <w:t>72V</w:t>
            </w:r>
            <w:r w:rsidRPr="00CD58DA">
              <w:rPr>
                <w:rFonts w:ascii="宋体" w:eastAsia="宋体" w:hAnsi="宋体" w:cs="宋体" w:hint="eastAsia"/>
                <w:szCs w:val="21"/>
              </w:rPr>
              <w:t>，</w:t>
            </w:r>
            <w:r w:rsidRPr="00CD58DA">
              <w:rPr>
                <w:rFonts w:ascii="宋体" w:eastAsia="宋体" w:hAnsi="宋体" w:cs="宋体"/>
                <w:szCs w:val="21"/>
              </w:rPr>
              <w:t>2</w:t>
            </w:r>
            <w:r w:rsidRPr="00CD58DA">
              <w:rPr>
                <w:rFonts w:ascii="宋体" w:eastAsia="宋体" w:hAnsi="宋体" w:cs="宋体" w:hint="eastAsia"/>
                <w:szCs w:val="21"/>
              </w:rPr>
              <w:t>个）；</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免维护铅酸动力电池（</w:t>
            </w:r>
            <w:r w:rsidRPr="00CD58DA">
              <w:rPr>
                <w:rFonts w:ascii="宋体" w:eastAsia="宋体" w:hAnsi="宋体" w:cs="宋体"/>
                <w:szCs w:val="21"/>
              </w:rPr>
              <w:t>72V/220Ah</w:t>
            </w:r>
            <w:r w:rsidRPr="00CD58DA">
              <w:rPr>
                <w:rFonts w:ascii="宋体" w:eastAsia="宋体" w:hAnsi="宋体" w:cs="宋体" w:hint="eastAsia"/>
                <w:szCs w:val="21"/>
              </w:rPr>
              <w:t>电池组），车载充电机</w:t>
            </w:r>
            <w:r w:rsidRPr="00CD58DA">
              <w:rPr>
                <w:rFonts w:ascii="宋体" w:eastAsia="宋体" w:hAnsi="宋体" w:cs="宋体"/>
                <w:szCs w:val="21"/>
              </w:rPr>
              <w:t>72V</w:t>
            </w:r>
            <w:r w:rsidRPr="00CD58DA">
              <w:rPr>
                <w:rFonts w:ascii="宋体" w:eastAsia="宋体" w:hAnsi="宋体" w:cs="宋体" w:hint="eastAsia"/>
                <w:szCs w:val="21"/>
              </w:rPr>
              <w:t>（配</w:t>
            </w:r>
            <w:r w:rsidRPr="00CD58DA">
              <w:rPr>
                <w:rFonts w:ascii="宋体" w:eastAsia="宋体" w:hAnsi="宋体" w:cs="宋体"/>
                <w:szCs w:val="21"/>
              </w:rPr>
              <w:t>72V/220Ah</w:t>
            </w:r>
            <w:r w:rsidRPr="00CD58DA">
              <w:rPr>
                <w:rFonts w:ascii="宋体" w:eastAsia="宋体" w:hAnsi="宋体" w:cs="宋体" w:hint="eastAsia"/>
                <w:szCs w:val="21"/>
              </w:rPr>
              <w:t>电池组）；</w:t>
            </w:r>
          </w:p>
          <w:p w:rsidR="00CD58DA" w:rsidRPr="00CD58DA" w:rsidRDefault="00CD58DA" w:rsidP="00CD58DA">
            <w:pPr>
              <w:numPr>
                <w:ilvl w:val="0"/>
                <w:numId w:val="5"/>
              </w:numPr>
              <w:snapToGrid w:val="0"/>
              <w:spacing w:line="400" w:lineRule="atLeast"/>
              <w:jc w:val="both"/>
              <w:rPr>
                <w:rFonts w:ascii="宋体" w:eastAsia="宋体" w:hAnsi="宋体" w:cs="宋体"/>
                <w:szCs w:val="21"/>
              </w:rPr>
            </w:pPr>
            <w:r w:rsidRPr="00CD58DA">
              <w:rPr>
                <w:rFonts w:ascii="宋体" w:eastAsia="宋体" w:hAnsi="宋体" w:cs="宋体" w:hint="eastAsia"/>
                <w:szCs w:val="21"/>
              </w:rPr>
              <w:t>灭火器支架，司机杯托，随车工具，顶内饰。</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b/>
                <w:bCs/>
                <w:szCs w:val="21"/>
              </w:rPr>
            </w:pPr>
            <w:r w:rsidRPr="00CD58DA">
              <w:rPr>
                <w:rFonts w:ascii="宋体" w:eastAsia="宋体" w:hAnsi="宋体" w:cs="Times New Roman" w:hint="eastAsia"/>
                <w:b/>
                <w:szCs w:val="21"/>
              </w:rPr>
              <w:t>一、商务要求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w:t>
            </w:r>
            <w:r w:rsidRPr="00CD58DA">
              <w:rPr>
                <w:rFonts w:ascii="宋体" w:eastAsia="宋体" w:hAnsi="宋体" w:cs="宋体" w:hint="eastAsia"/>
                <w:szCs w:val="21"/>
              </w:rPr>
              <w:t>交付的时间</w:t>
            </w:r>
            <w:r w:rsidRPr="00CD58DA">
              <w:rPr>
                <w:rFonts w:ascii="宋体" w:eastAsia="宋体" w:hAnsi="宋体" w:cs="宋体" w:hint="eastAsia"/>
                <w:szCs w:val="21"/>
              </w:rPr>
              <w:lastRenderedPageBreak/>
              <w:t>和地点</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lastRenderedPageBreak/>
              <w:t>1. 交付的时间：</w:t>
            </w:r>
            <w:r w:rsidRPr="00CD58DA">
              <w:rPr>
                <w:rFonts w:ascii="宋体" w:eastAsia="宋体" w:hAnsi="宋体" w:cs="宋体" w:hint="eastAsia"/>
                <w:szCs w:val="24"/>
              </w:rPr>
              <w:t>自签订合同之日起60日历日内全部交货安装完成并验收合格。</w:t>
            </w:r>
          </w:p>
          <w:p w:rsidR="00CD58DA" w:rsidRPr="00CD58DA" w:rsidRDefault="00CD58DA" w:rsidP="00CD58DA">
            <w:pPr>
              <w:spacing w:line="360" w:lineRule="auto"/>
              <w:jc w:val="both"/>
              <w:rPr>
                <w:rFonts w:ascii="宋体" w:eastAsia="宋体" w:hAnsi="宋体" w:cs="Times New Roman"/>
                <w:b/>
                <w:szCs w:val="21"/>
              </w:rPr>
            </w:pPr>
            <w:r w:rsidRPr="00CD58DA">
              <w:rPr>
                <w:rFonts w:asciiTheme="minorEastAsia" w:hAnsiTheme="minorEastAsia" w:cs="Times New Roman" w:hint="eastAsia"/>
                <w:szCs w:val="21"/>
              </w:rPr>
              <w:lastRenderedPageBreak/>
              <w:t>2. 交付的地点：广西崇左市扶绥县</w:t>
            </w:r>
            <w:r w:rsidRPr="00CD58DA">
              <w:rPr>
                <w:rFonts w:ascii="宋体" w:eastAsia="宋体" w:hAnsi="宋体" w:cs="宋体" w:hint="eastAsia"/>
                <w:szCs w:val="24"/>
              </w:rPr>
              <w:t>广西农业工程职业技术学院</w:t>
            </w:r>
            <w:r w:rsidRPr="00CD58DA">
              <w:rPr>
                <w:rFonts w:asciiTheme="minorEastAsia" w:hAnsiTheme="minorEastAsia" w:cs="Times New Roman" w:hint="eastAsia"/>
                <w:szCs w:val="21"/>
              </w:rPr>
              <w:t>采购人指定地点。</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lastRenderedPageBreak/>
              <w:t>合同签订时间</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 xml:space="preserve">自中标通知书发出之日起 </w:t>
            </w:r>
            <w:r w:rsidRPr="00CD58DA">
              <w:rPr>
                <w:rFonts w:ascii="宋体" w:eastAsia="宋体" w:hAnsi="宋体" w:cs="Times New Roman" w:hint="eastAsia"/>
                <w:szCs w:val="21"/>
                <w:u w:val="single"/>
              </w:rPr>
              <w:t>25</w:t>
            </w:r>
            <w:r w:rsidRPr="00CD58DA">
              <w:rPr>
                <w:rFonts w:ascii="宋体" w:eastAsia="宋体" w:hAnsi="宋体" w:cs="Times New Roman" w:hint="eastAsia"/>
                <w:szCs w:val="21"/>
              </w:rPr>
              <w:t>日内</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80" w:lineRule="exact"/>
              <w:jc w:val="center"/>
              <w:rPr>
                <w:rFonts w:asciiTheme="minorEastAsia" w:hAnsiTheme="minorEastAsia" w:cs="Times New Roman"/>
                <w:szCs w:val="21"/>
              </w:rPr>
            </w:pPr>
            <w:r w:rsidRPr="00CD58DA">
              <w:rPr>
                <w:rFonts w:asciiTheme="minorEastAsia" w:hAnsiTheme="minorEastAsia" w:cs="Times New Roman" w:hint="eastAsia"/>
                <w:szCs w:val="21"/>
              </w:rPr>
              <w:t>▲报价要求</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履约验收及招标文件要求提供的所有伴随服务、工程等费用和税费。对于本文件中未列明，而投标人认为必需的费用也需列入总报价。在合同实施时，采购人将不予支付中标人没有列入的项目费用，并认为此项目的费用已包括在投标总报价中。</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▲付款条件（进度和方式）</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1.签订合同后10个工作日内采购人支付合同款的50%，所有设备安装调试完毕并项目验收合格后10个工作日内采购人付完剩余合同款。</w:t>
            </w:r>
          </w:p>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宋体" w:hint="eastAsia"/>
                <w:szCs w:val="24"/>
              </w:rPr>
              <w:t>2.中标供应商须在采购人每次付款前，按付款金额提供正式发票给采购人。</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t>售后服务</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1.送货上门、调试直至设备验收合格（期间所需器材及费用均由中标供应商承担）；</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2.投标人对采购人维修或维护要求应在 2 小时内作出响应，提出处理意见,如果需要现场服务的，保证技术人员在 12 小时内到达现场；保修期后中标供应商在接到通知的 48 小时内作出响应，提出处理意见，如果需要现场服务的，保证技术人员在 2 个工作日内到达现场。如需更换零配件及消耗品，不超过 10 天（自然日）。如发生非用户导致的重大损坏，在设备更换或维修正常工作后延长相应时间的保修期。设备在运输过程中出现损坏的，由中标供应商负责该损坏设备的更换或维修；</w:t>
            </w:r>
          </w:p>
          <w:p w:rsidR="00CD58DA" w:rsidRPr="00CD58DA" w:rsidRDefault="00CD58DA" w:rsidP="00CD58DA">
            <w:pPr>
              <w:spacing w:line="300" w:lineRule="auto"/>
              <w:jc w:val="both"/>
              <w:rPr>
                <w:rFonts w:asciiTheme="minorEastAsia" w:hAnsiTheme="minorEastAsia" w:cs="Times New Roman"/>
                <w:b/>
                <w:bCs/>
                <w:szCs w:val="21"/>
              </w:rPr>
            </w:pPr>
            <w:r w:rsidRPr="00CD58DA">
              <w:rPr>
                <w:rFonts w:asciiTheme="minorEastAsia" w:hAnsiTheme="minorEastAsia" w:cs="Times New Roman" w:hint="eastAsia"/>
                <w:b/>
                <w:bCs/>
                <w:szCs w:val="21"/>
              </w:rPr>
              <w:t>3.</w:t>
            </w:r>
            <w:r w:rsidRPr="00CD58DA">
              <w:rPr>
                <w:rFonts w:ascii="宋体" w:eastAsia="宋体" w:hAnsi="宋体" w:cs="宋体" w:hint="eastAsia"/>
                <w:szCs w:val="21"/>
              </w:rPr>
              <w:t xml:space="preserve"> 项目供货及安装过程中产生的残留物或垃圾，需由中标人自行清理至校外。</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4.提供的货物均应按采购文件要求的包装材料、包装标准、包装方式进行包装，每一包装单元内应附详细的装箱单和质量合格证。</w:t>
            </w:r>
          </w:p>
          <w:p w:rsidR="00CD58DA" w:rsidRPr="00CD58DA" w:rsidRDefault="00CD58DA" w:rsidP="00CD58DA">
            <w:pPr>
              <w:spacing w:line="300" w:lineRule="atLeast"/>
              <w:jc w:val="both"/>
              <w:rPr>
                <w:rFonts w:asciiTheme="minorEastAsia" w:hAnsiTheme="minorEastAsia" w:cs="Times New Roman"/>
                <w:szCs w:val="21"/>
              </w:rPr>
            </w:pPr>
            <w:r w:rsidRPr="00CD58DA">
              <w:rPr>
                <w:rFonts w:asciiTheme="minorEastAsia" w:hAnsiTheme="minorEastAsia" w:cs="Times New Roman" w:hint="eastAsia"/>
                <w:szCs w:val="21"/>
              </w:rPr>
              <w:t xml:space="preserve">▲5. </w:t>
            </w:r>
            <w:r w:rsidRPr="00CD58DA">
              <w:rPr>
                <w:rFonts w:ascii="宋体" w:eastAsia="宋体" w:hAnsi="宋体" w:cs="宋体" w:hint="eastAsia"/>
                <w:szCs w:val="21"/>
              </w:rPr>
              <w:t>按国家有关产品“三包”规定执行“三包”，自交货验收合格之日起所有软硬件设备、配件提供</w:t>
            </w:r>
            <w:r w:rsidRPr="00CD58DA">
              <w:rPr>
                <w:rFonts w:ascii="宋体" w:eastAsia="宋体" w:hAnsi="宋体" w:cs="宋体" w:hint="eastAsia"/>
                <w:b/>
                <w:szCs w:val="21"/>
              </w:rPr>
              <w:t>一年</w:t>
            </w:r>
            <w:r w:rsidRPr="00CD58DA">
              <w:rPr>
                <w:rFonts w:ascii="宋体" w:eastAsia="宋体" w:hAnsi="宋体" w:cs="宋体" w:hint="eastAsia"/>
                <w:szCs w:val="21"/>
              </w:rPr>
              <w:t>的保修及软件升级服务（分项货物要求中有特别注明的，按特别注明的执行）。</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6.设备维修或更换后其保修期相应顺延；</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7.所有非故意性损坏以及在要求质量标准范围内的正常使用造成的损坏均要免费维修；</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8.对因采购人的不正当使用所造成的损坏不归中标供应商负责保修，但中标供应商也要积极帮助采购人修理，并保证提供优惠价格的配件和服务；</w:t>
            </w:r>
          </w:p>
          <w:p w:rsidR="00CD58DA" w:rsidRPr="00CD58DA" w:rsidRDefault="00CD58DA" w:rsidP="00CD58DA">
            <w:pPr>
              <w:spacing w:after="120" w:line="300" w:lineRule="auto"/>
              <w:jc w:val="both"/>
              <w:rPr>
                <w:rFonts w:asciiTheme="minorEastAsia" w:hAnsiTheme="minorEastAsia" w:cs="Times New Roman"/>
                <w:szCs w:val="21"/>
              </w:rPr>
            </w:pPr>
            <w:r w:rsidRPr="00CD58DA">
              <w:rPr>
                <w:rFonts w:asciiTheme="minorEastAsia" w:hAnsiTheme="minorEastAsia" w:cs="Times New Roman" w:hint="eastAsia"/>
                <w:szCs w:val="21"/>
              </w:rPr>
              <w:t>9.现场培训（有培训要求的）：中标供应商提供现场技术培训，对采购人技术人员进行操作、维修、保养等技术的培训指导（并且提供电子档和纸质档的项目操作流程指导书），培训至采购人技术人员能独立操作，简单故障排除，售后服务人员不少于1名。培训所产生费用由中标供应商支付。</w:t>
            </w:r>
          </w:p>
          <w:p w:rsidR="00CD58DA" w:rsidRPr="00CD58DA" w:rsidRDefault="00CD58DA" w:rsidP="00CD58DA">
            <w:pPr>
              <w:spacing w:line="360" w:lineRule="auto"/>
              <w:jc w:val="both"/>
              <w:rPr>
                <w:rFonts w:ascii="宋体" w:eastAsia="宋体" w:hAnsi="宋体" w:cs="Times New Roman"/>
                <w:b/>
                <w:szCs w:val="21"/>
              </w:rPr>
            </w:pPr>
            <w:r w:rsidRPr="00CD58DA">
              <w:rPr>
                <w:rFonts w:asciiTheme="minorEastAsia" w:hAnsiTheme="minorEastAsia" w:cs="Times New Roman" w:hint="eastAsia"/>
                <w:szCs w:val="21"/>
              </w:rPr>
              <w:t>10.</w:t>
            </w:r>
            <w:r w:rsidRPr="00CD58DA">
              <w:rPr>
                <w:rFonts w:ascii="宋体" w:eastAsia="宋体" w:hAnsi="宋体" w:cs="宋体" w:hint="eastAsia"/>
                <w:szCs w:val="21"/>
              </w:rPr>
              <w:t xml:space="preserve"> 项目供货及安装过程中产生的水费及电费，需由中标人结清费用后，采购人再支</w:t>
            </w:r>
            <w:r w:rsidRPr="00CD58DA">
              <w:rPr>
                <w:rFonts w:ascii="宋体" w:eastAsia="宋体" w:hAnsi="宋体" w:cs="宋体" w:hint="eastAsia"/>
                <w:szCs w:val="21"/>
              </w:rPr>
              <w:lastRenderedPageBreak/>
              <w:t>付货款。</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szCs w:val="21"/>
              </w:rPr>
              <w:lastRenderedPageBreak/>
              <w:t>包装和运输</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产品包装和运输均由中标人负责。</w:t>
            </w:r>
          </w:p>
          <w:p w:rsidR="00CD58DA" w:rsidRPr="00CD58DA" w:rsidRDefault="00CD58DA" w:rsidP="00CD58DA">
            <w:pPr>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包装：根据《财政部等三部门联合印发商品包装和快递包装政府采购需求标准（试行）》财办库【</w:t>
            </w:r>
            <w:r w:rsidRPr="00CD58DA">
              <w:rPr>
                <w:rFonts w:asciiTheme="minorEastAsia" w:hAnsiTheme="minorEastAsia" w:cs="Times New Roman"/>
                <w:szCs w:val="21"/>
              </w:rPr>
              <w:t>2020</w:t>
            </w:r>
            <w:r w:rsidRPr="00CD58DA">
              <w:rPr>
                <w:rFonts w:asciiTheme="minorEastAsia" w:hAnsiTheme="minorEastAsia" w:cs="Times New Roman" w:hint="eastAsia"/>
                <w:szCs w:val="21"/>
              </w:rPr>
              <w:t>】</w:t>
            </w:r>
            <w:r w:rsidRPr="00CD58DA">
              <w:rPr>
                <w:rFonts w:asciiTheme="minorEastAsia" w:hAnsiTheme="minorEastAsia" w:cs="Times New Roman"/>
                <w:szCs w:val="21"/>
              </w:rPr>
              <w:t>123</w:t>
            </w:r>
            <w:r w:rsidRPr="00CD58DA">
              <w:rPr>
                <w:rFonts w:asciiTheme="minorEastAsia" w:hAnsiTheme="minorEastAsia" w:cs="Times New Roman" w:hint="eastAsia"/>
                <w:szCs w:val="21"/>
              </w:rPr>
              <w:t>号文规定，若投标产品使用塑料、纸质、木质等包装材料时应满足《商品包装政府采购需求标准（试行）》要求，若投标产品需要快递包装，快递封装材料应满足《快递包装政府采购需求标准（试行）》要求。</w:t>
            </w:r>
          </w:p>
          <w:p w:rsidR="00CD58DA" w:rsidRPr="00CD58DA" w:rsidRDefault="00CD58DA" w:rsidP="00CD58DA">
            <w:pPr>
              <w:spacing w:line="360" w:lineRule="auto"/>
              <w:jc w:val="both"/>
              <w:rPr>
                <w:rFonts w:ascii="宋体" w:eastAsia="宋体" w:hAnsi="宋体" w:cs="Times New Roman"/>
                <w:b/>
                <w:szCs w:val="21"/>
              </w:rPr>
            </w:pPr>
            <w:r w:rsidRPr="00CD58DA">
              <w:rPr>
                <w:rFonts w:asciiTheme="minorEastAsia" w:hAnsiTheme="minorEastAsia" w:cs="Times New Roman" w:hint="eastAsia"/>
                <w:szCs w:val="21"/>
              </w:rPr>
              <w:t>货物的运输方式：不限。</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宋体" w:hint="eastAsia"/>
                <w:szCs w:val="21"/>
              </w:rPr>
              <w:t>产品质量要求</w:t>
            </w:r>
          </w:p>
        </w:tc>
        <w:tc>
          <w:tcPr>
            <w:tcW w:w="7937" w:type="dxa"/>
            <w:gridSpan w:val="4"/>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宋体" w:hint="eastAsia"/>
                <w:szCs w:val="21"/>
              </w:rPr>
              <w:t>要求投标货物及其所有零部件、配件必须是符合国家有关质量和安全强制要求和标准的产品。</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bCs/>
                <w:szCs w:val="21"/>
              </w:rPr>
              <w:t>二、与实现项目目标相关的其他要求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szCs w:val="21"/>
              </w:rPr>
              <w:t>（一）投标人的履约能力要求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质量管理、企业信用要求</w:t>
            </w:r>
          </w:p>
        </w:tc>
        <w:tc>
          <w:tcPr>
            <w:tcW w:w="7937" w:type="dxa"/>
            <w:gridSpan w:val="4"/>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详见《第四章评标办法及评分标准》。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618" w:type="dxa"/>
            <w:gridSpan w:val="3"/>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能力或者业绩</w:t>
            </w:r>
          </w:p>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要  求</w:t>
            </w:r>
          </w:p>
        </w:tc>
        <w:tc>
          <w:tcPr>
            <w:tcW w:w="7937" w:type="dxa"/>
            <w:gridSpan w:val="4"/>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400" w:lineRule="exact"/>
              <w:jc w:val="both"/>
              <w:rPr>
                <w:rFonts w:asciiTheme="minorEastAsia" w:hAnsiTheme="minorEastAsia" w:cs="Times New Roman"/>
                <w:szCs w:val="21"/>
              </w:rPr>
            </w:pPr>
            <w:r w:rsidRPr="00CD58DA">
              <w:rPr>
                <w:rFonts w:asciiTheme="minorEastAsia" w:hAnsiTheme="minorEastAsia" w:cs="Times New Roman" w:hint="eastAsia"/>
                <w:szCs w:val="21"/>
              </w:rPr>
              <w:t>详见《第四章评标办法及评分标准》。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b/>
                <w:szCs w:val="21"/>
              </w:rPr>
            </w:pPr>
            <w:r w:rsidRPr="00CD58DA">
              <w:rPr>
                <w:rFonts w:ascii="宋体" w:eastAsia="宋体" w:hAnsi="宋体" w:cs="Times New Roman" w:hint="eastAsia"/>
                <w:b/>
                <w:szCs w:val="21"/>
              </w:rPr>
              <w:t>（二）政策性加分条件</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i/>
                <w:szCs w:val="21"/>
              </w:rPr>
            </w:pPr>
            <w:r w:rsidRPr="00CD58DA">
              <w:rPr>
                <w:rFonts w:asciiTheme="minorEastAsia" w:hAnsiTheme="minorEastAsia" w:cs="Times New Roman" w:hint="eastAsia"/>
                <w:szCs w:val="21"/>
              </w:rPr>
              <w:t>符合节能环保等国家政策要求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tabs>
                <w:tab w:val="left" w:pos="180"/>
                <w:tab w:val="left" w:pos="1620"/>
              </w:tabs>
              <w:spacing w:line="360" w:lineRule="auto"/>
              <w:jc w:val="both"/>
              <w:rPr>
                <w:rFonts w:ascii="宋体" w:eastAsia="宋体" w:hAnsi="宋体" w:cs="宋体"/>
                <w:bCs/>
                <w:szCs w:val="21"/>
              </w:rPr>
            </w:pPr>
            <w:r w:rsidRPr="00CD58DA">
              <w:rPr>
                <w:rFonts w:ascii="宋体" w:eastAsia="宋体" w:hAnsi="宋体" w:cs="Times New Roman" w:hint="eastAsia"/>
                <w:b/>
                <w:szCs w:val="21"/>
              </w:rPr>
              <w:t>（三）验收标准</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1.验收过程中所产生的一切费用均由中标供应商承担。报价时应考虑相关费用。</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2、设备到货后，供应商须为验收提供必需的设备、工具及其他便利条件。供应商和采购人应在现场进行清点开箱（现场开启原厂封贴）；清点过程中如果发现非厂家原厂包装，采购人有权不予验收。因包装或运输不当引起的仪器外观或内部的损坏，供货商应负责更换；若发现错发/漏发情况，供货商应负责更换和补发。</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3、采购项目进行验收时，采购人可以邀请参加本项目的其他投标人或者第三方机构参与验收。参与验收的投标人或者第三方机构的意见作为验收书的参考资料一并存档。验收所产生的一切费用由中标供应商承担。如供应商提供的货物不是采购人指定品牌型号的货物，采购人不予验收。</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4.在货物验收时由采购人对照招标文件的功能目标及技术指标全面核对检验，所提供设备的性能应与投标时提供的证明文件及响应的功能、参数完全一致，如不符合招标文件的技术需求及要求以及提供虚假承诺的，按相关规定做退货处理及违约处理，中标供应商承担所有责任和费用，采购人保留进一步追究责任的权利。</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▲5.所有产品均已运输至指定地点，并安装调试完毕。</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▲6.招标文件供应商投标承诺及采购合同约定的附件、工具、技术资料等齐全；提供产品使用说明书、合格证。</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lastRenderedPageBreak/>
              <w:t>7.验收不合格或不能按期履行合同的处理；</w:t>
            </w:r>
          </w:p>
          <w:p w:rsidR="00CD58DA" w:rsidRPr="00CD58DA" w:rsidRDefault="00CD58DA" w:rsidP="00CD58DA">
            <w:pPr>
              <w:tabs>
                <w:tab w:val="left" w:pos="180"/>
                <w:tab w:val="left" w:pos="1620"/>
              </w:tabs>
              <w:spacing w:line="300" w:lineRule="auto"/>
              <w:jc w:val="both"/>
              <w:rPr>
                <w:rFonts w:asciiTheme="minorEastAsia" w:hAnsiTheme="minorEastAsia" w:cs="Times New Roman"/>
                <w:szCs w:val="21"/>
              </w:rPr>
            </w:pPr>
            <w:r w:rsidRPr="00CD58DA">
              <w:rPr>
                <w:rFonts w:asciiTheme="minorEastAsia" w:hAnsiTheme="minorEastAsia" w:cs="Times New Roman" w:hint="eastAsia"/>
                <w:szCs w:val="21"/>
              </w:rPr>
              <w:t>8.为了保证本项目的质量，中标供应商在合同签订前，采购人有权要求中标供应商提供本项目中设备按照招标文件技术参数及要求进行现场测试（测试相关费用由中标供应商承担）；如发现中标供应商提供的产品性能不满足招标文件要求或其投标文件所承诺，采购单位有权不予以接收，采购人有权单方面终止合同，并且保留追究中标供应商虚假应标的法律责任</w:t>
            </w:r>
          </w:p>
          <w:p w:rsidR="00CD58DA" w:rsidRPr="00CD58DA" w:rsidRDefault="00CD58DA" w:rsidP="00CD58DA">
            <w:pPr>
              <w:tabs>
                <w:tab w:val="left" w:pos="180"/>
                <w:tab w:val="left" w:pos="1620"/>
              </w:tabs>
              <w:spacing w:line="360" w:lineRule="auto"/>
              <w:jc w:val="both"/>
              <w:rPr>
                <w:rFonts w:ascii="宋体" w:eastAsia="宋体" w:hAnsi="宋体" w:cs="Times New Roman"/>
                <w:i/>
                <w:szCs w:val="21"/>
              </w:rPr>
            </w:pPr>
            <w:r w:rsidRPr="00CD58DA">
              <w:rPr>
                <w:rFonts w:asciiTheme="minorEastAsia" w:hAnsiTheme="minorEastAsia" w:cs="Times New Roman" w:hint="eastAsia"/>
                <w:szCs w:val="21"/>
              </w:rPr>
              <w:t>9.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b/>
                <w:szCs w:val="21"/>
              </w:rPr>
              <w:lastRenderedPageBreak/>
              <w:t>（四）进口产品说明</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szCs w:val="21"/>
              </w:rPr>
              <w:t>进口产品说明</w:t>
            </w:r>
          </w:p>
        </w:tc>
        <w:tc>
          <w:tcPr>
            <w:tcW w:w="8076" w:type="dxa"/>
            <w:gridSpan w:val="5"/>
            <w:tcBorders>
              <w:top w:val="single" w:sz="4" w:space="0" w:color="auto"/>
              <w:left w:val="single" w:sz="4" w:space="0" w:color="auto"/>
              <w:bottom w:val="single" w:sz="4" w:space="0" w:color="auto"/>
              <w:right w:val="single" w:sz="4" w:space="0" w:color="auto"/>
            </w:tcBorders>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szCs w:val="21"/>
              </w:rPr>
              <w:t>□本表的第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sidRPr="00CD58DA">
              <w:rPr>
                <w:rFonts w:ascii="宋体" w:eastAsia="宋体" w:hAnsi="宋体" w:cs="Times New Roman" w:hint="eastAsia"/>
                <w:b/>
                <w:szCs w:val="21"/>
              </w:rPr>
              <w:t>否则作无效标处理。</w:t>
            </w:r>
          </w:p>
          <w:p w:rsidR="00CD58DA" w:rsidRPr="00CD58DA" w:rsidRDefault="00CD58DA" w:rsidP="00CD58DA">
            <w:pPr>
              <w:spacing w:line="360" w:lineRule="auto"/>
              <w:jc w:val="both"/>
              <w:rPr>
                <w:rFonts w:ascii="宋体" w:eastAsia="宋体" w:hAnsi="宋体" w:cs="Times New Roman"/>
                <w:szCs w:val="21"/>
              </w:rPr>
            </w:pPr>
            <w:r w:rsidRPr="00CD58DA">
              <w:rPr>
                <w:rFonts w:ascii="MS Mincho" w:eastAsia="MS Mincho" w:hAnsi="MS Mincho" w:cs="MS Mincho" w:hint="eastAsia"/>
                <w:szCs w:val="21"/>
              </w:rPr>
              <w:t>☑</w:t>
            </w:r>
            <w:r w:rsidRPr="00CD58DA">
              <w:rPr>
                <w:rFonts w:ascii="宋体" w:eastAsia="宋体" w:hAnsi="宋体" w:cs="Times New Roman" w:hint="eastAsia"/>
                <w:szCs w:val="21"/>
              </w:rPr>
              <w:t>本分标货物不接受进口产品（即通过中国海关报关验放进入中国境内且产自关境外的产品）参与投标，</w:t>
            </w:r>
            <w:r w:rsidRPr="00CD58DA">
              <w:rPr>
                <w:rFonts w:ascii="宋体" w:eastAsia="宋体" w:hAnsi="宋体" w:cs="Times New Roman" w:hint="eastAsia"/>
                <w:b/>
                <w:szCs w:val="21"/>
              </w:rPr>
              <w:t>如有进口产品参与投标的作无效标处理</w:t>
            </w:r>
            <w:r w:rsidRPr="00CD58DA">
              <w:rPr>
                <w:rFonts w:ascii="宋体" w:eastAsia="宋体" w:hAnsi="宋体" w:cs="Times New Roman" w:hint="eastAsia"/>
                <w:szCs w:val="21"/>
              </w:rPr>
              <w:t>。</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b/>
                <w:szCs w:val="21"/>
              </w:rPr>
              <w:t>（五）其他要求</w:t>
            </w:r>
          </w:p>
        </w:tc>
      </w:tr>
      <w:tr w:rsidR="00CD58DA" w:rsidRPr="00CD58DA" w:rsidTr="00CA679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CD58DA" w:rsidRPr="00CD58DA" w:rsidRDefault="00CD58DA" w:rsidP="00CD58DA">
            <w:pPr>
              <w:jc w:val="both"/>
              <w:rPr>
                <w:rFonts w:asciiTheme="minorEastAsia" w:hAnsiTheme="minorEastAsia" w:cs="Times New Roman"/>
                <w:b/>
                <w:szCs w:val="21"/>
              </w:rPr>
            </w:pPr>
            <w:r w:rsidRPr="00CD58DA">
              <w:rPr>
                <w:rFonts w:asciiTheme="minorEastAsia" w:hAnsiTheme="minorEastAsia" w:cs="Times New Roman" w:hint="eastAsia"/>
                <w:szCs w:val="21"/>
              </w:rPr>
              <w:t>1、</w:t>
            </w:r>
            <w:r w:rsidRPr="00CD58DA">
              <w:rPr>
                <w:rFonts w:asciiTheme="minorEastAsia" w:hAnsiTheme="minorEastAsia" w:cs="Times New Roman" w:hint="eastAsia"/>
                <w:kern w:val="0"/>
                <w:szCs w:val="21"/>
              </w:rPr>
              <w:t>投标人可根据评分标准在投标文件提供项目实施方案、项目人员配置、培训方案、售后服务方案、履约能力、业绩等</w:t>
            </w:r>
            <w:r w:rsidRPr="00CD58DA">
              <w:rPr>
                <w:rFonts w:asciiTheme="minorEastAsia" w:hAnsiTheme="minorEastAsia" w:cs="Times New Roman" w:hint="eastAsia"/>
                <w:bCs/>
                <w:szCs w:val="21"/>
              </w:rPr>
              <w:t>。</w:t>
            </w:r>
          </w:p>
        </w:tc>
      </w:tr>
    </w:tbl>
    <w:p w:rsidR="00CD58DA" w:rsidRPr="00CD58DA" w:rsidRDefault="00CD58DA" w:rsidP="00CD58DA">
      <w:pPr>
        <w:spacing w:line="380" w:lineRule="exact"/>
        <w:jc w:val="both"/>
        <w:rPr>
          <w:rFonts w:ascii="Times New Roman" w:eastAsia="宋体" w:hAnsi="Times New Roman" w:cs="Times New Roman"/>
          <w:kern w:val="0"/>
          <w:sz w:val="24"/>
          <w:szCs w:val="24"/>
        </w:rPr>
      </w:pPr>
    </w:p>
    <w:p w:rsidR="00CD58DA" w:rsidRPr="00CD58DA" w:rsidRDefault="00CD58DA" w:rsidP="00CD58DA">
      <w:pPr>
        <w:spacing w:line="428" w:lineRule="exact"/>
        <w:ind w:left="119"/>
        <w:jc w:val="both"/>
        <w:rPr>
          <w:rFonts w:ascii="Arial Unicode MS" w:eastAsia="Arial Unicode MS" w:hAnsi="Arial Unicode MS" w:cs="Arial Unicode MS"/>
          <w:sz w:val="32"/>
          <w:szCs w:val="32"/>
        </w:rPr>
      </w:pPr>
      <w:r w:rsidRPr="00CD58DA">
        <w:rPr>
          <w:rFonts w:ascii="Times New Roman" w:eastAsia="宋体" w:hAnsi="Times New Roman" w:cs="Times New Roman"/>
          <w:szCs w:val="24"/>
        </w:rPr>
        <w:br w:type="page"/>
      </w:r>
      <w:r w:rsidRPr="00CD58DA">
        <w:rPr>
          <w:rFonts w:ascii="黑体" w:eastAsia="黑体" w:hAnsi="黑体" w:cs="黑体" w:hint="eastAsia"/>
          <w:sz w:val="32"/>
          <w:szCs w:val="32"/>
        </w:rPr>
        <w:lastRenderedPageBreak/>
        <w:t>附件1：</w:t>
      </w:r>
    </w:p>
    <w:p w:rsidR="00CD58DA" w:rsidRPr="00CD58DA" w:rsidRDefault="00CD58DA" w:rsidP="00CD58DA">
      <w:pPr>
        <w:spacing w:before="7"/>
        <w:jc w:val="both"/>
        <w:rPr>
          <w:rFonts w:ascii="Arial Unicode MS" w:eastAsia="Arial Unicode MS" w:hAnsi="Arial Unicode MS" w:cs="Arial Unicode MS"/>
          <w:sz w:val="17"/>
          <w:szCs w:val="17"/>
        </w:rPr>
      </w:pPr>
    </w:p>
    <w:p w:rsidR="00CD58DA" w:rsidRPr="00CD58DA" w:rsidRDefault="00CD58DA" w:rsidP="00CD58DA">
      <w:pPr>
        <w:spacing w:line="528" w:lineRule="exact"/>
        <w:ind w:left="1871"/>
        <w:jc w:val="both"/>
        <w:rPr>
          <w:rFonts w:ascii="Arial Unicode MS" w:eastAsia="Arial Unicode MS" w:hAnsi="Arial Unicode MS" w:cs="Arial Unicode MS"/>
          <w:sz w:val="40"/>
          <w:szCs w:val="40"/>
        </w:rPr>
      </w:pPr>
      <w:r w:rsidRPr="00CD58DA">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422"/>
        <w:gridCol w:w="1496"/>
        <w:gridCol w:w="1481"/>
        <w:gridCol w:w="3452"/>
      </w:tblGrid>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Calibri" w:eastAsia="宋体" w:hAnsi="Calibri" w:cs="Times New Roman"/>
              </w:rPr>
            </w:pPr>
            <w:r w:rsidRPr="00CD58DA">
              <w:rPr>
                <w:rFonts w:ascii="宋体" w:eastAsia="宋体" w:hAnsi="宋体" w:cs="宋体" w:hint="eastAsia"/>
                <w:b/>
                <w:bCs/>
                <w:w w:val="99"/>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Calibri" w:eastAsia="宋体" w:hAnsi="Calibri" w:cs="Times New Roman"/>
              </w:rPr>
            </w:pPr>
            <w:r w:rsidRPr="00CD58DA">
              <w:rPr>
                <w:rFonts w:ascii="宋体" w:eastAsia="宋体" w:hAnsi="宋体" w:cs="宋体" w:hint="eastAsia"/>
                <w:b/>
                <w:bCs/>
                <w:w w:val="99"/>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Calibri" w:eastAsia="宋体" w:hAnsi="Calibri" w:cs="Times New Roman"/>
              </w:rPr>
            </w:pPr>
            <w:r w:rsidRPr="00CD58DA">
              <w:rPr>
                <w:rFonts w:ascii="宋体" w:eastAsia="宋体" w:hAnsi="宋体" w:cs="宋体" w:hint="eastAsia"/>
                <w:b/>
                <w:bCs/>
                <w:w w:val="99"/>
                <w:szCs w:val="24"/>
              </w:rPr>
              <w:t>依据的标准</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仿宋_GB2312" w:hint="eastAsia"/>
                <w:szCs w:val="21"/>
              </w:rPr>
              <w:t>A02010100</w:t>
            </w:r>
            <w:r w:rsidRPr="00CD58DA">
              <w:rPr>
                <w:rFonts w:ascii="宋体" w:eastAsia="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93"/>
              <w:ind w:left="7" w:right="5"/>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仿宋_GB2312" w:hint="eastAsia"/>
                <w:szCs w:val="21"/>
                <w:lang w:eastAsia="en-US"/>
              </w:rPr>
              <w:t>A02010105</w:t>
            </w:r>
            <w:r w:rsidRPr="00CD58DA">
              <w:rPr>
                <w:rFonts w:ascii="宋体" w:eastAsia="宋体" w:hAnsi="宋体" w:cs="宋体" w:hint="eastAsia"/>
                <w:w w:val="99"/>
                <w:szCs w:val="21"/>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《微型计算机能效限定值及能效等级》（GB28380）</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44"/>
              <w:ind w:left="7" w:right="5"/>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仿宋_GB2312" w:hint="eastAsia"/>
                <w:szCs w:val="21"/>
                <w:lang w:eastAsia="en-US"/>
              </w:rPr>
              <w:t>A02010108</w:t>
            </w:r>
            <w:r w:rsidRPr="00CD58DA">
              <w:rPr>
                <w:rFonts w:ascii="宋体" w:eastAsia="宋体" w:hAnsi="宋体" w:cs="宋体" w:hint="eastAsia"/>
                <w:w w:val="99"/>
                <w:szCs w:val="21"/>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《微型计算机能效限定值及能效等级》（GB28380）</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64"/>
              <w:ind w:left="7" w:right="5"/>
              <w:jc w:val="center"/>
              <w:rPr>
                <w:rFonts w:ascii="宋体" w:eastAsia="宋体" w:hAnsi="宋体" w:cs="宋体"/>
                <w:szCs w:val="21"/>
              </w:rPr>
            </w:pPr>
            <w:r w:rsidRPr="00CD58DA">
              <w:rPr>
                <w:rFonts w:ascii="宋体" w:eastAsia="宋体" w:hAnsi="宋体" w:cs="宋体" w:hint="eastAsia"/>
                <w:w w:val="99"/>
                <w:szCs w:val="21"/>
              </w:rPr>
              <w:t>★</w:t>
            </w:r>
            <w:r w:rsidRPr="00CD58DA">
              <w:rPr>
                <w:rFonts w:ascii="宋体" w:eastAsia="宋体" w:hAnsi="宋体" w:cs="仿宋_GB2312" w:hint="eastAsia"/>
                <w:szCs w:val="21"/>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《微型计算机能效限定值及能效等级》（GB28380）</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A02020000</w:t>
            </w:r>
            <w:r w:rsidRPr="00CD58DA">
              <w:rPr>
                <w:rFonts w:ascii="宋体" w:eastAsia="宋体" w:hAnsi="宋体" w:cs="宋体" w:hint="eastAsia"/>
                <w:w w:val="99"/>
                <w:szCs w:val="21"/>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宋体" w:hint="eastAsia"/>
                <w:spacing w:val="1"/>
                <w:w w:val="99"/>
                <w:szCs w:val="21"/>
              </w:rPr>
              <w:t>A02021000</w:t>
            </w:r>
            <w:r w:rsidRPr="00CD58DA">
              <w:rPr>
                <w:rFonts w:ascii="宋体" w:eastAsia="宋体" w:hAnsi="宋体" w:cs="Arial" w:hint="eastAsia"/>
                <w:szCs w:val="21"/>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宋体" w:hint="eastAsia"/>
                <w:w w:val="99"/>
                <w:szCs w:val="21"/>
              </w:rPr>
              <w:t>★</w:t>
            </w:r>
            <w:r w:rsidRPr="00CD58DA">
              <w:rPr>
                <w:rFonts w:ascii="宋体" w:eastAsia="宋体" w:hAnsi="宋体" w:cs="Times New Roman"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《计算机显示器能效限定值及能效等级》（GB21520）</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参照《复印机、打印机和传真机能效限定值及能效等级》</w:t>
            </w:r>
            <w:r w:rsidRPr="00CD58DA">
              <w:rPr>
                <w:rFonts w:ascii="宋体" w:eastAsia="宋体" w:hAnsi="宋体" w:cs="宋体" w:hint="eastAsia"/>
                <w:spacing w:val="10"/>
                <w:szCs w:val="21"/>
              </w:rPr>
              <w:lastRenderedPageBreak/>
              <w:t>（GB21521）中打印速度为15页/分的针式打印机相关要求</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w w:val="99"/>
                <w:szCs w:val="21"/>
              </w:rPr>
              <w:lastRenderedPageBreak/>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《投影机能效限定值及能效等级》（GB32028）</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66"/>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A02020400</w:t>
            </w:r>
            <w:r w:rsidRPr="00CD58DA">
              <w:rPr>
                <w:rFonts w:ascii="宋体" w:eastAsia="宋体" w:hAnsi="宋体" w:cs="宋体" w:hint="eastAsia"/>
                <w:w w:val="99"/>
                <w:szCs w:val="21"/>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《复印机、打印机和传真机能效限定值及能效等级》（GB21521）</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60"/>
              <w:ind w:right="1"/>
              <w:jc w:val="center"/>
              <w:rPr>
                <w:rFonts w:ascii="宋体" w:eastAsia="宋体" w:hAnsi="宋体" w:cs="宋体"/>
                <w:szCs w:val="21"/>
                <w:lang w:eastAsia="en-US"/>
              </w:rPr>
            </w:pPr>
            <w:r w:rsidRPr="00CD58DA">
              <w:rPr>
                <w:rFonts w:ascii="宋体" w:eastAsia="宋体" w:hAnsi="宋体" w:cs="Times New Roman" w:hint="eastAsia"/>
                <w:w w:val="99"/>
                <w:szCs w:val="21"/>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60"/>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A02051900</w:t>
            </w:r>
            <w:r w:rsidRPr="00CD58DA">
              <w:rPr>
                <w:rFonts w:ascii="宋体" w:eastAsia="宋体" w:hAnsi="宋体" w:cs="宋体" w:hint="eastAsia"/>
                <w:w w:val="99"/>
                <w:szCs w:val="21"/>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60"/>
              <w:ind w:left="7"/>
              <w:jc w:val="center"/>
              <w:rPr>
                <w:rFonts w:ascii="宋体" w:eastAsia="宋体" w:hAnsi="宋体" w:cs="宋体"/>
                <w:szCs w:val="21"/>
                <w:lang w:eastAsia="en-US"/>
              </w:rPr>
            </w:pPr>
            <w:r w:rsidRPr="00CD58DA">
              <w:rPr>
                <w:rFonts w:ascii="宋体" w:eastAsia="宋体" w:hAnsi="宋体" w:cs="宋体" w:hint="eastAsia"/>
                <w:spacing w:val="1"/>
                <w:w w:val="99"/>
                <w:szCs w:val="21"/>
                <w:lang w:eastAsia="en-US"/>
              </w:rPr>
              <w:t>A02</w:t>
            </w:r>
            <w:r w:rsidRPr="00CD58DA">
              <w:rPr>
                <w:rFonts w:ascii="宋体" w:eastAsia="宋体" w:hAnsi="宋体" w:cs="宋体" w:hint="eastAsia"/>
                <w:w w:val="99"/>
                <w:szCs w:val="21"/>
                <w:lang w:eastAsia="en-US"/>
              </w:rPr>
              <w:t>05</w:t>
            </w:r>
            <w:r w:rsidRPr="00CD58DA">
              <w:rPr>
                <w:rFonts w:ascii="宋体" w:eastAsia="宋体" w:hAnsi="宋体" w:cs="宋体" w:hint="eastAsia"/>
                <w:spacing w:val="1"/>
                <w:w w:val="99"/>
                <w:szCs w:val="21"/>
                <w:lang w:eastAsia="en-US"/>
              </w:rPr>
              <w:t>1</w:t>
            </w:r>
            <w:r w:rsidRPr="00CD58DA">
              <w:rPr>
                <w:rFonts w:ascii="宋体" w:eastAsia="宋体" w:hAnsi="宋体" w:cs="宋体" w:hint="eastAsia"/>
                <w:w w:val="99"/>
                <w:szCs w:val="21"/>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《清水离心泵能效限定值及节能评价值》（GB19762）</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仿宋_GB2312" w:hint="eastAsia"/>
                <w:szCs w:val="21"/>
                <w:lang w:eastAsia="en-US"/>
              </w:rPr>
              <w:t>A02052300</w:t>
            </w:r>
            <w:r w:rsidRPr="00CD58DA">
              <w:rPr>
                <w:rFonts w:ascii="宋体" w:eastAsia="宋体" w:hAnsi="宋体" w:cs="宋体" w:hint="eastAsia"/>
                <w:w w:val="99"/>
                <w:szCs w:val="21"/>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line="276" w:lineRule="auto"/>
              <w:ind w:right="5"/>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宋体" w:hint="eastAsia"/>
                <w:spacing w:val="1"/>
                <w:w w:val="99"/>
                <w:szCs w:val="21"/>
                <w:lang w:eastAsia="en-US"/>
              </w:rPr>
              <w:t>A020</w:t>
            </w:r>
            <w:r w:rsidRPr="00CD58DA">
              <w:rPr>
                <w:rFonts w:ascii="宋体" w:eastAsia="宋体" w:hAnsi="宋体" w:cs="宋体" w:hint="eastAsia"/>
                <w:w w:val="99"/>
                <w:szCs w:val="21"/>
                <w:lang w:eastAsia="en-US"/>
              </w:rPr>
              <w:t>52</w:t>
            </w:r>
            <w:r w:rsidRPr="00CD58DA">
              <w:rPr>
                <w:rFonts w:ascii="宋体" w:eastAsia="宋体" w:hAnsi="宋体" w:cs="宋体" w:hint="eastAsia"/>
                <w:spacing w:val="1"/>
                <w:w w:val="99"/>
                <w:szCs w:val="21"/>
                <w:lang w:eastAsia="en-US"/>
              </w:rPr>
              <w:t>3</w:t>
            </w:r>
            <w:r w:rsidRPr="00CD58DA">
              <w:rPr>
                <w:rFonts w:ascii="宋体" w:eastAsia="宋体" w:hAnsi="宋体" w:cs="宋体" w:hint="eastAsia"/>
                <w:w w:val="99"/>
                <w:szCs w:val="21"/>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冷水机组</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《冷水机组能效限定值及能效等级》（GB19577），《低环境温度空气源热泵（冷水）机组能效限定值及能效等级》（GB37480）</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《溴化锂吸收式冷水机组能效限</w:t>
            </w:r>
          </w:p>
          <w:p w:rsidR="00CD58DA" w:rsidRPr="00CD58DA" w:rsidRDefault="00CD58DA" w:rsidP="00CD58DA">
            <w:pPr>
              <w:spacing w:before="131" w:line="276" w:lineRule="auto"/>
              <w:ind w:right="4"/>
              <w:jc w:val="both"/>
              <w:rPr>
                <w:rFonts w:ascii="宋体" w:eastAsia="宋体" w:hAnsi="宋体" w:cs="宋体"/>
                <w:spacing w:val="10"/>
                <w:szCs w:val="21"/>
              </w:rPr>
            </w:pPr>
            <w:r w:rsidRPr="00CD58DA">
              <w:rPr>
                <w:rFonts w:ascii="宋体" w:eastAsia="宋体" w:hAnsi="宋体" w:cs="宋体" w:hint="eastAsia"/>
                <w:spacing w:val="10"/>
                <w:szCs w:val="21"/>
              </w:rPr>
              <w:t>定值及能效等级》（GB29540）</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line="276" w:lineRule="auto"/>
              <w:ind w:right="5"/>
              <w:jc w:val="center"/>
              <w:rPr>
                <w:rFonts w:ascii="宋体" w:eastAsia="宋体" w:hAnsi="宋体" w:cs="宋体"/>
                <w:szCs w:val="21"/>
                <w:lang w:eastAsia="en-US"/>
              </w:rPr>
            </w:pPr>
            <w:r w:rsidRPr="00CD58DA">
              <w:rPr>
                <w:rFonts w:ascii="宋体" w:eastAsia="宋体" w:hAnsi="宋体" w:cs="宋体" w:hint="eastAsia"/>
                <w:w w:val="99"/>
                <w:szCs w:val="21"/>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4" w:line="276" w:lineRule="auto"/>
              <w:ind w:left="7" w:right="7"/>
              <w:jc w:val="center"/>
              <w:rPr>
                <w:rFonts w:ascii="宋体" w:eastAsia="宋体" w:hAnsi="宋体" w:cs="宋体"/>
                <w:w w:val="99"/>
                <w:szCs w:val="21"/>
              </w:rPr>
            </w:pPr>
            <w:r w:rsidRPr="00CD58DA">
              <w:rPr>
                <w:rFonts w:ascii="宋体" w:eastAsia="宋体" w:hAnsi="宋体" w:cs="宋体" w:hint="eastAsia"/>
                <w:w w:val="99"/>
                <w:szCs w:val="21"/>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《多联式空调（热泵）机组能效限定值及能源效率等级》（GB21454）</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《单元式空气调节机能效限定值及能效等级》（GB19576）《风管送风式空调机组能效限定值及能效等级》（GB37479）</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83"/>
              <w:ind w:left="7"/>
              <w:jc w:val="center"/>
              <w:rPr>
                <w:rFonts w:ascii="宋体" w:eastAsia="宋体" w:hAnsi="宋体" w:cs="宋体"/>
                <w:w w:val="99"/>
                <w:szCs w:val="21"/>
              </w:rPr>
            </w:pPr>
            <w:r w:rsidRPr="00CD58DA">
              <w:rPr>
                <w:rFonts w:ascii="宋体" w:eastAsia="宋体" w:hAnsi="宋体" w:cs="宋体" w:hint="eastAsia"/>
                <w:w w:val="99"/>
                <w:szCs w:val="21"/>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机房空调</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《单元式空气调节机能效限定值</w:t>
            </w:r>
          </w:p>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及能效等级》（GB19576）</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line="254" w:lineRule="exact"/>
              <w:ind w:left="7"/>
              <w:jc w:val="center"/>
              <w:rPr>
                <w:rFonts w:ascii="宋体" w:eastAsia="宋体" w:hAnsi="宋体" w:cs="宋体"/>
                <w:w w:val="99"/>
                <w:szCs w:val="21"/>
                <w:lang w:eastAsia="en-US"/>
              </w:rPr>
            </w:pPr>
            <w:r w:rsidRPr="00CD58DA">
              <w:rPr>
                <w:rFonts w:ascii="宋体" w:eastAsia="宋体" w:hAnsi="宋体" w:cs="宋体" w:hint="eastAsia"/>
                <w:w w:val="99"/>
                <w:szCs w:val="21"/>
                <w:lang w:eastAsia="en-US"/>
              </w:rPr>
              <w:t>A02052399其他制冷</w:t>
            </w:r>
          </w:p>
          <w:p w:rsidR="00CD58DA" w:rsidRPr="00CD58DA" w:rsidRDefault="00CD58DA" w:rsidP="00CD58DA">
            <w:pPr>
              <w:spacing w:line="254" w:lineRule="exact"/>
              <w:ind w:left="7"/>
              <w:jc w:val="center"/>
              <w:rPr>
                <w:rFonts w:ascii="宋体" w:eastAsia="宋体" w:hAnsi="宋体" w:cs="宋体"/>
                <w:szCs w:val="21"/>
                <w:lang w:eastAsia="en-US"/>
              </w:rPr>
            </w:pPr>
            <w:r w:rsidRPr="00CD58DA">
              <w:rPr>
                <w:rFonts w:ascii="宋体" w:eastAsia="宋体" w:hAnsi="宋体" w:cs="宋体" w:hint="eastAsia"/>
                <w:w w:val="99"/>
                <w:szCs w:val="21"/>
                <w:lang w:eastAsia="en-US"/>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jc w:val="center"/>
              <w:rPr>
                <w:rFonts w:ascii="宋体" w:eastAsia="宋体" w:hAnsi="宋体" w:cs="宋体"/>
                <w:szCs w:val="21"/>
                <w:lang w:eastAsia="en-US"/>
              </w:rPr>
            </w:pPr>
            <w:r w:rsidRPr="00CD58DA">
              <w:rPr>
                <w:rFonts w:ascii="宋体" w:eastAsia="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《机械通风冷却塔第1部分：中小型开式冷却塔》（GB/T7190.1）</w:t>
            </w:r>
          </w:p>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《机械通风冷却塔第2部分：大型开式冷却塔》（GB/T7190.2）</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ind w:right="1"/>
              <w:jc w:val="center"/>
              <w:rPr>
                <w:rFonts w:ascii="宋体" w:eastAsia="宋体" w:hAnsi="宋体" w:cs="宋体"/>
                <w:szCs w:val="21"/>
                <w:lang w:eastAsia="en-US"/>
              </w:rPr>
            </w:pPr>
            <w:r w:rsidRPr="00CD58DA">
              <w:rPr>
                <w:rFonts w:ascii="宋体" w:eastAsia="宋体" w:hAnsi="宋体" w:cs="Times New Roman" w:hint="eastAsia"/>
                <w:w w:val="99"/>
                <w:szCs w:val="21"/>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仿宋_GB2312" w:hint="eastAsia"/>
                <w:szCs w:val="21"/>
                <w:lang w:eastAsia="en-US"/>
              </w:rPr>
              <w:t>A02060100</w:t>
            </w:r>
            <w:r w:rsidRPr="00CD58DA">
              <w:rPr>
                <w:rFonts w:ascii="宋体" w:eastAsia="宋体" w:hAnsi="宋体" w:cs="宋体" w:hint="eastAsia"/>
                <w:w w:val="99"/>
                <w:szCs w:val="21"/>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《中小型三相异步电动机能效限定值及能效等级》（GB18613）</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ind w:right="1"/>
              <w:jc w:val="center"/>
              <w:rPr>
                <w:rFonts w:ascii="宋体" w:eastAsia="宋体" w:hAnsi="宋体" w:cs="宋体"/>
                <w:szCs w:val="21"/>
                <w:lang w:eastAsia="en-US"/>
              </w:rPr>
            </w:pPr>
            <w:r w:rsidRPr="00CD58DA">
              <w:rPr>
                <w:rFonts w:ascii="宋体" w:eastAsia="宋体" w:hAnsi="宋体" w:cs="Times New Roman" w:hint="eastAsia"/>
                <w:w w:val="99"/>
                <w:szCs w:val="21"/>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30"/>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A02060200</w:t>
            </w:r>
            <w:r w:rsidRPr="00CD58DA">
              <w:rPr>
                <w:rFonts w:ascii="宋体" w:eastAsia="宋体" w:hAnsi="宋体" w:cs="宋体" w:hint="eastAsia"/>
                <w:w w:val="99"/>
                <w:szCs w:val="21"/>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《三相配电变压器能效限定值及能效等级》（GB 20052）</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ind w:right="1"/>
              <w:jc w:val="center"/>
              <w:rPr>
                <w:rFonts w:ascii="宋体" w:eastAsia="宋体" w:hAnsi="宋体" w:cs="宋体"/>
                <w:szCs w:val="21"/>
                <w:lang w:eastAsia="en-US"/>
              </w:rPr>
            </w:pPr>
            <w:r w:rsidRPr="00CD58DA">
              <w:rPr>
                <w:rFonts w:ascii="宋体" w:eastAsia="宋体" w:hAnsi="宋体" w:cs="Times New Roman" w:hint="eastAsia"/>
                <w:w w:val="99"/>
                <w:szCs w:val="21"/>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26"/>
              <w:ind w:left="7"/>
              <w:jc w:val="center"/>
              <w:rPr>
                <w:rFonts w:ascii="宋体" w:eastAsia="宋体" w:hAnsi="宋体" w:cs="宋体"/>
                <w:szCs w:val="21"/>
                <w:lang w:eastAsia="en-US"/>
              </w:rPr>
            </w:pPr>
            <w:r w:rsidRPr="00CD58DA">
              <w:rPr>
                <w:rFonts w:ascii="宋体" w:eastAsia="宋体" w:hAnsi="宋体" w:cs="宋体" w:hint="eastAsia"/>
                <w:w w:val="99"/>
                <w:szCs w:val="21"/>
                <w:lang w:eastAsia="en-US"/>
              </w:rPr>
              <w:t>★A02060900</w:t>
            </w:r>
            <w:r w:rsidRPr="00CD58DA">
              <w:rPr>
                <w:rFonts w:ascii="宋体" w:eastAsia="宋体" w:hAnsi="宋体" w:cs="宋体" w:hint="eastAsia"/>
                <w:w w:val="99"/>
                <w:szCs w:val="21"/>
                <w:lang w:eastAsia="en-US"/>
              </w:rPr>
              <w:lastRenderedPageBreak/>
              <w:t>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lastRenderedPageBreak/>
              <w:t>管型荧光灯镇</w:t>
            </w:r>
            <w:r w:rsidRPr="00CD58DA">
              <w:rPr>
                <w:rFonts w:ascii="宋体" w:eastAsia="宋体" w:hAnsi="宋体" w:cs="宋体" w:hint="eastAsia"/>
                <w:w w:val="99"/>
                <w:szCs w:val="21"/>
                <w:lang w:eastAsia="en-US"/>
              </w:rPr>
              <w:lastRenderedPageBreak/>
              <w:t>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《管形荧光灯镇流器能效限定值</w:t>
            </w:r>
            <w:r w:rsidRPr="00CD58DA">
              <w:rPr>
                <w:rFonts w:ascii="宋体" w:eastAsia="宋体" w:hAnsi="宋体" w:cs="宋体" w:hint="eastAsia"/>
                <w:spacing w:val="10"/>
                <w:szCs w:val="21"/>
              </w:rPr>
              <w:lastRenderedPageBreak/>
              <w:t>及能效等级》（GB17896）</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w w:val="99"/>
                <w:szCs w:val="21"/>
                <w:lang w:eastAsia="en-US"/>
              </w:rPr>
              <w:lastRenderedPageBreak/>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《家用电冰箱耗电量限定值及能效等级》（GB12021.2）</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71"/>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仿宋_GB2312" w:hint="eastAsia"/>
                <w:szCs w:val="21"/>
                <w:lang w:eastAsia="en-US"/>
              </w:rPr>
              <w:t>A02061804</w:t>
            </w:r>
            <w:r w:rsidRPr="00CD58DA">
              <w:rPr>
                <w:rFonts w:ascii="宋体" w:eastAsia="宋体" w:hAnsi="宋体" w:cs="宋体" w:hint="eastAsia"/>
                <w:w w:val="99"/>
                <w:szCs w:val="21"/>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《房间空气调节器能效限定值及能效等级》（GB21455-2019）</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4" w:line="276" w:lineRule="auto"/>
              <w:ind w:left="7" w:right="7"/>
              <w:jc w:val="center"/>
              <w:rPr>
                <w:rFonts w:ascii="宋体" w:eastAsia="宋体" w:hAnsi="宋体" w:cs="宋体"/>
                <w:szCs w:val="21"/>
              </w:rPr>
            </w:pPr>
            <w:r w:rsidRPr="00CD58DA">
              <w:rPr>
                <w:rFonts w:ascii="宋体" w:eastAsia="宋体" w:hAnsi="宋体" w:cs="宋体" w:hint="eastAsia"/>
                <w:w w:val="99"/>
                <w:szCs w:val="21"/>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《多联式空调（热泵）机组能效限定值及能源效率等级》（GB21454）</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rPr>
            </w:pPr>
            <w:r w:rsidRPr="00CD58DA">
              <w:rPr>
                <w:rFonts w:ascii="宋体" w:eastAsia="宋体" w:hAnsi="宋体" w:cs="宋体" w:hint="eastAsia"/>
                <w:w w:val="99"/>
                <w:szCs w:val="21"/>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《单元式空气调节机能效限定值及能源效率等级》（GB19576）《风管送风式空调机组能效限定值及能效等级》（GB37479）</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62"/>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A02061810</w:t>
            </w:r>
            <w:r w:rsidRPr="00CD58DA">
              <w:rPr>
                <w:rFonts w:ascii="宋体" w:eastAsia="宋体" w:hAnsi="宋体" w:cs="宋体" w:hint="eastAsia"/>
                <w:w w:val="99"/>
                <w:szCs w:val="21"/>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《电动洗衣机能效水效限定值及等级》（GB12021.4）</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61"/>
              <w:jc w:val="center"/>
              <w:rPr>
                <w:rFonts w:ascii="宋体" w:eastAsia="宋体" w:hAnsi="宋体" w:cs="宋体"/>
                <w:szCs w:val="21"/>
                <w:lang w:eastAsia="en-US"/>
              </w:rPr>
            </w:pPr>
            <w:r w:rsidRPr="00CD58DA">
              <w:rPr>
                <w:rFonts w:ascii="宋体" w:eastAsia="宋体" w:hAnsi="宋体" w:cs="仿宋_GB2312" w:hint="eastAsia"/>
                <w:szCs w:val="21"/>
                <w:lang w:eastAsia="en-US"/>
              </w:rPr>
              <w:t>A02061819</w:t>
            </w:r>
            <w:r w:rsidRPr="00CD58DA">
              <w:rPr>
                <w:rFonts w:ascii="宋体" w:eastAsia="宋体" w:hAnsi="宋体" w:cs="宋体" w:hint="eastAsia"/>
                <w:w w:val="99"/>
                <w:szCs w:val="21"/>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★电热</w:t>
            </w:r>
            <w:r w:rsidRPr="00CD58DA">
              <w:rPr>
                <w:rFonts w:ascii="宋体" w:eastAsia="宋体" w:hAnsi="宋体" w:cs="宋体" w:hint="eastAsia"/>
                <w:spacing w:val="2"/>
                <w:w w:val="99"/>
                <w:szCs w:val="21"/>
                <w:lang w:eastAsia="en-US"/>
              </w:rPr>
              <w:t>水</w:t>
            </w:r>
            <w:r w:rsidRPr="00CD58DA">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《储水式电热水器能效限定值及能效等级》（GB21519）</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燃气热</w:t>
            </w:r>
            <w:r w:rsidRPr="00CD58DA">
              <w:rPr>
                <w:rFonts w:ascii="宋体" w:eastAsia="宋体" w:hAnsi="宋体" w:cs="宋体" w:hint="eastAsia"/>
                <w:spacing w:val="2"/>
                <w:w w:val="99"/>
                <w:szCs w:val="21"/>
                <w:lang w:eastAsia="en-US"/>
              </w:rPr>
              <w:t>水</w:t>
            </w:r>
            <w:r w:rsidRPr="00CD58DA">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《家用燃气快速热水器和燃气采暖热水炉能效限定值及能效等级》（GB20665）</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热泵热</w:t>
            </w:r>
            <w:r w:rsidRPr="00CD58DA">
              <w:rPr>
                <w:rFonts w:ascii="宋体" w:eastAsia="宋体" w:hAnsi="宋体" w:cs="宋体" w:hint="eastAsia"/>
                <w:spacing w:val="2"/>
                <w:w w:val="99"/>
                <w:szCs w:val="21"/>
                <w:lang w:eastAsia="en-US"/>
              </w:rPr>
              <w:t>水</w:t>
            </w:r>
            <w:r w:rsidRPr="00CD58DA">
              <w:rPr>
                <w:rFonts w:ascii="宋体" w:eastAsia="宋体" w:hAnsi="宋体" w:cs="宋体" w:hint="eastAsia"/>
                <w:w w:val="99"/>
                <w:szCs w:val="21"/>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《热泵热水机（器）能效限定值及能效等级》（GB29541）</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太阳能</w:t>
            </w:r>
            <w:r w:rsidRPr="00CD58DA">
              <w:rPr>
                <w:rFonts w:ascii="宋体" w:eastAsia="宋体" w:hAnsi="宋体" w:cs="宋体" w:hint="eastAsia"/>
                <w:spacing w:val="2"/>
                <w:w w:val="99"/>
                <w:szCs w:val="21"/>
                <w:lang w:eastAsia="en-US"/>
              </w:rPr>
              <w:t>热</w:t>
            </w:r>
            <w:r w:rsidRPr="00CD58DA">
              <w:rPr>
                <w:rFonts w:ascii="宋体" w:eastAsia="宋体" w:hAnsi="宋体" w:cs="宋体" w:hint="eastAsia"/>
                <w:w w:val="99"/>
                <w:szCs w:val="21"/>
                <w:lang w:eastAsia="en-US"/>
              </w:rPr>
              <w:t>水系统</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《家用太阳能热水系统能效限定值及能效等级》（GB26969）</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pacing w:val="1"/>
                <w:w w:val="99"/>
                <w:szCs w:val="21"/>
                <w:lang w:eastAsia="en-US"/>
              </w:rPr>
              <w:t>1</w:t>
            </w:r>
            <w:r w:rsidRPr="00CD58DA">
              <w:rPr>
                <w:rFonts w:ascii="宋体" w:eastAsia="宋体" w:hAnsi="宋体" w:cs="Times New Roman" w:hint="eastAsia"/>
                <w:w w:val="99"/>
                <w:szCs w:val="21"/>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57"/>
              <w:jc w:val="center"/>
              <w:rPr>
                <w:rFonts w:ascii="宋体" w:eastAsia="宋体" w:hAnsi="宋体" w:cs="宋体"/>
                <w:szCs w:val="21"/>
                <w:lang w:eastAsia="en-US"/>
              </w:rPr>
            </w:pPr>
            <w:r w:rsidRPr="00CD58DA">
              <w:rPr>
                <w:rFonts w:ascii="宋体" w:eastAsia="宋体" w:hAnsi="宋体" w:cs="宋体" w:hint="eastAsia"/>
                <w:spacing w:val="1"/>
                <w:w w:val="99"/>
                <w:szCs w:val="21"/>
                <w:lang w:eastAsia="en-US"/>
              </w:rPr>
              <w:t>A02</w:t>
            </w:r>
            <w:r w:rsidRPr="00CD58DA">
              <w:rPr>
                <w:rFonts w:ascii="宋体" w:eastAsia="宋体" w:hAnsi="宋体" w:cs="宋体" w:hint="eastAsia"/>
                <w:w w:val="99"/>
                <w:szCs w:val="21"/>
                <w:lang w:eastAsia="en-US"/>
              </w:rPr>
              <w:t>06</w:t>
            </w:r>
            <w:r w:rsidRPr="00CD58DA">
              <w:rPr>
                <w:rFonts w:ascii="宋体" w:eastAsia="宋体" w:hAnsi="宋体" w:cs="宋体" w:hint="eastAsia"/>
                <w:spacing w:val="1"/>
                <w:w w:val="99"/>
                <w:szCs w:val="21"/>
                <w:lang w:eastAsia="en-US"/>
              </w:rPr>
              <w:t>1</w:t>
            </w:r>
            <w:r w:rsidRPr="00CD58DA">
              <w:rPr>
                <w:rFonts w:ascii="宋体" w:eastAsia="宋体" w:hAnsi="宋体" w:cs="宋体" w:hint="eastAsia"/>
                <w:w w:val="99"/>
                <w:szCs w:val="21"/>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3" w:line="276" w:lineRule="auto"/>
              <w:ind w:left="7" w:right="7"/>
              <w:jc w:val="center"/>
              <w:rPr>
                <w:rFonts w:ascii="宋体" w:eastAsia="宋体" w:hAnsi="宋体" w:cs="宋体"/>
                <w:szCs w:val="21"/>
              </w:rPr>
            </w:pPr>
            <w:r w:rsidRPr="00CD58DA">
              <w:rPr>
                <w:rFonts w:ascii="宋体" w:eastAsia="宋体" w:hAnsi="宋体" w:cs="宋体" w:hint="eastAsia"/>
                <w:w w:val="99"/>
                <w:szCs w:val="21"/>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《普通照明用双端荧光灯能效限定值及能效等级》（GB19043）</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92" w:line="276" w:lineRule="auto"/>
              <w:ind w:left="7" w:right="2"/>
              <w:jc w:val="center"/>
              <w:rPr>
                <w:rFonts w:ascii="宋体" w:eastAsia="宋体" w:hAnsi="宋体" w:cs="宋体"/>
                <w:szCs w:val="21"/>
                <w:lang w:eastAsia="en-US"/>
              </w:rPr>
            </w:pPr>
            <w:r w:rsidRPr="00CD58DA">
              <w:rPr>
                <w:rFonts w:ascii="宋体" w:eastAsia="宋体" w:hAnsi="宋体" w:cs="宋体" w:hint="eastAsia"/>
                <w:spacing w:val="1"/>
                <w:w w:val="99"/>
                <w:szCs w:val="21"/>
                <w:lang w:eastAsia="en-US"/>
              </w:rPr>
              <w:t>LE</w:t>
            </w:r>
            <w:r w:rsidRPr="00CD58DA">
              <w:rPr>
                <w:rFonts w:ascii="宋体" w:eastAsia="宋体" w:hAnsi="宋体" w:cs="宋体" w:hint="eastAsia"/>
                <w:w w:val="99"/>
                <w:szCs w:val="21"/>
                <w:lang w:eastAsia="en-US"/>
              </w:rPr>
              <w:t>D</w:t>
            </w:r>
            <w:r w:rsidRPr="00CD58DA">
              <w:rPr>
                <w:rFonts w:ascii="宋体" w:eastAsia="宋体" w:hAnsi="宋体" w:cs="宋体" w:hint="eastAsia"/>
                <w:spacing w:val="12"/>
                <w:w w:val="99"/>
                <w:szCs w:val="21"/>
                <w:lang w:eastAsia="en-US"/>
              </w:rPr>
              <w:t>道</w:t>
            </w:r>
            <w:r w:rsidRPr="00CD58DA">
              <w:rPr>
                <w:rFonts w:ascii="宋体" w:eastAsia="宋体" w:hAnsi="宋体" w:cs="宋体" w:hint="eastAsia"/>
                <w:spacing w:val="9"/>
                <w:w w:val="99"/>
                <w:szCs w:val="21"/>
                <w:lang w:eastAsia="en-US"/>
              </w:rPr>
              <w:t>路</w:t>
            </w:r>
            <w:r w:rsidRPr="00CD58DA">
              <w:rPr>
                <w:rFonts w:ascii="宋体" w:eastAsia="宋体" w:hAnsi="宋体" w:cs="宋体" w:hint="eastAsia"/>
                <w:spacing w:val="13"/>
                <w:w w:val="99"/>
                <w:szCs w:val="21"/>
                <w:lang w:eastAsia="en-US"/>
              </w:rPr>
              <w:t>/</w:t>
            </w:r>
            <w:r w:rsidRPr="00CD58DA">
              <w:rPr>
                <w:rFonts w:ascii="宋体" w:eastAsia="宋体" w:hAnsi="宋体" w:cs="宋体" w:hint="eastAsia"/>
                <w:spacing w:val="12"/>
                <w:w w:val="99"/>
                <w:szCs w:val="21"/>
                <w:lang w:eastAsia="en-US"/>
              </w:rPr>
              <w:t>隧道照</w:t>
            </w:r>
            <w:r w:rsidRPr="00CD58DA">
              <w:rPr>
                <w:rFonts w:ascii="宋体" w:eastAsia="宋体" w:hAnsi="宋体" w:cs="宋体" w:hint="eastAsia"/>
                <w:w w:val="99"/>
                <w:szCs w:val="21"/>
                <w:lang w:eastAsia="en-US"/>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《道路和隧道照明用LED灯具能效限定值及能效等级》（GB37478</w:t>
            </w:r>
            <w:r w:rsidRPr="00CD58DA">
              <w:rPr>
                <w:rFonts w:ascii="宋体" w:eastAsia="宋体" w:hAnsi="宋体" w:cs="宋体"/>
                <w:spacing w:val="10"/>
                <w:szCs w:val="21"/>
              </w:rPr>
              <w:t>）</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spacing w:val="1"/>
                <w:w w:val="99"/>
                <w:szCs w:val="21"/>
                <w:lang w:eastAsia="en-US"/>
              </w:rPr>
              <w:t>LE</w:t>
            </w:r>
            <w:r w:rsidRPr="00CD58DA">
              <w:rPr>
                <w:rFonts w:ascii="宋体" w:eastAsia="宋体" w:hAnsi="宋体" w:cs="宋体" w:hint="eastAsia"/>
                <w:w w:val="99"/>
                <w:szCs w:val="21"/>
                <w:lang w:eastAsia="en-US"/>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《室内照明用LED产品能效限定值及能效等级》（GB30255）</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line="276" w:lineRule="auto"/>
              <w:ind w:right="7"/>
              <w:jc w:val="center"/>
              <w:rPr>
                <w:rFonts w:ascii="宋体" w:eastAsia="宋体" w:hAnsi="宋体" w:cs="宋体"/>
                <w:szCs w:val="21"/>
              </w:rPr>
            </w:pPr>
            <w:r w:rsidRPr="00CD58DA">
              <w:rPr>
                <w:rFonts w:ascii="宋体" w:eastAsia="宋体" w:hAnsi="宋体" w:cs="宋体" w:hint="eastAsia"/>
                <w:w w:val="99"/>
                <w:szCs w:val="21"/>
              </w:rPr>
              <w:t>普</w:t>
            </w:r>
            <w:r w:rsidRPr="00CD58DA">
              <w:rPr>
                <w:rFonts w:ascii="宋体" w:eastAsia="宋体" w:hAnsi="宋体" w:cs="宋体" w:hint="eastAsia"/>
                <w:spacing w:val="24"/>
                <w:w w:val="99"/>
                <w:szCs w:val="21"/>
              </w:rPr>
              <w:t>通</w:t>
            </w:r>
            <w:r w:rsidRPr="00CD58DA">
              <w:rPr>
                <w:rFonts w:ascii="宋体" w:eastAsia="宋体" w:hAnsi="宋体" w:cs="宋体" w:hint="eastAsia"/>
                <w:w w:val="99"/>
                <w:szCs w:val="21"/>
              </w:rPr>
              <w:t>照明用非</w:t>
            </w:r>
            <w:r w:rsidRPr="00CD58DA">
              <w:rPr>
                <w:rFonts w:ascii="宋体" w:eastAsia="宋体" w:hAnsi="宋体" w:cs="宋体" w:hint="eastAsia"/>
                <w:spacing w:val="24"/>
                <w:w w:val="99"/>
                <w:szCs w:val="21"/>
              </w:rPr>
              <w:t>定</w:t>
            </w:r>
            <w:r w:rsidRPr="00CD58DA">
              <w:rPr>
                <w:rFonts w:ascii="宋体" w:eastAsia="宋体" w:hAnsi="宋体" w:cs="宋体" w:hint="eastAsia"/>
                <w:w w:val="99"/>
                <w:szCs w:val="21"/>
              </w:rPr>
              <w:t>向自镇流</w:t>
            </w:r>
            <w:r w:rsidRPr="00CD58DA">
              <w:rPr>
                <w:rFonts w:ascii="宋体" w:eastAsia="宋体" w:hAnsi="宋体" w:cs="宋体" w:hint="eastAsia"/>
                <w:spacing w:val="1"/>
                <w:w w:val="99"/>
                <w:szCs w:val="21"/>
              </w:rPr>
              <w:t>LE</w:t>
            </w:r>
            <w:r w:rsidRPr="00CD58DA">
              <w:rPr>
                <w:rFonts w:ascii="宋体" w:eastAsia="宋体" w:hAnsi="宋体" w:cs="宋体" w:hint="eastAsia"/>
                <w:w w:val="99"/>
                <w:szCs w:val="21"/>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《室内照明用LED产品能效限定值及能效等级》（GB30255）</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pacing w:val="1"/>
                <w:w w:val="99"/>
                <w:szCs w:val="21"/>
                <w:lang w:eastAsia="en-US"/>
              </w:rPr>
              <w:t>1</w:t>
            </w:r>
            <w:r w:rsidRPr="00CD58DA">
              <w:rPr>
                <w:rFonts w:ascii="宋体" w:eastAsia="宋体" w:hAnsi="宋体" w:cs="Times New Roman" w:hint="eastAsia"/>
                <w:w w:val="99"/>
                <w:szCs w:val="21"/>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81"/>
              <w:ind w:left="7"/>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宋体" w:hint="eastAsia"/>
                <w:spacing w:val="1"/>
                <w:w w:val="99"/>
                <w:szCs w:val="21"/>
                <w:lang w:eastAsia="en-US"/>
              </w:rPr>
              <w:t>A020</w:t>
            </w:r>
            <w:r w:rsidRPr="00CD58DA">
              <w:rPr>
                <w:rFonts w:ascii="宋体" w:eastAsia="宋体" w:hAnsi="宋体" w:cs="宋体" w:hint="eastAsia"/>
                <w:w w:val="99"/>
                <w:szCs w:val="21"/>
                <w:lang w:eastAsia="en-US"/>
              </w:rPr>
              <w:t>91000</w:t>
            </w:r>
            <w:r w:rsidRPr="00CD58DA">
              <w:rPr>
                <w:rFonts w:ascii="宋体" w:eastAsia="宋体" w:hAnsi="宋体" w:cs="宋体" w:hint="eastAsia"/>
                <w:w w:val="99"/>
                <w:szCs w:val="21"/>
                <w:lang w:eastAsia="en-US"/>
              </w:rPr>
              <w:lastRenderedPageBreak/>
              <w:t>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81" w:line="276" w:lineRule="auto"/>
              <w:ind w:left="7" w:right="5"/>
              <w:jc w:val="center"/>
              <w:rPr>
                <w:rFonts w:ascii="宋体" w:eastAsia="宋体" w:hAnsi="宋体" w:cs="宋体"/>
                <w:szCs w:val="21"/>
              </w:rPr>
            </w:pPr>
            <w:r w:rsidRPr="00CD58DA">
              <w:rPr>
                <w:rFonts w:ascii="宋体" w:eastAsia="宋体" w:hAnsi="宋体" w:cs="宋体" w:hint="eastAsia"/>
                <w:spacing w:val="1"/>
                <w:w w:val="99"/>
                <w:szCs w:val="21"/>
              </w:rPr>
              <w:lastRenderedPageBreak/>
              <w:t>A02</w:t>
            </w:r>
            <w:r w:rsidRPr="00CD58DA">
              <w:rPr>
                <w:rFonts w:ascii="宋体" w:eastAsia="宋体" w:hAnsi="宋体" w:cs="宋体" w:hint="eastAsia"/>
                <w:w w:val="99"/>
                <w:szCs w:val="21"/>
              </w:rPr>
              <w:t>09</w:t>
            </w:r>
            <w:r w:rsidRPr="00CD58DA">
              <w:rPr>
                <w:rFonts w:ascii="宋体" w:eastAsia="宋体" w:hAnsi="宋体" w:cs="宋体" w:hint="eastAsia"/>
                <w:spacing w:val="1"/>
                <w:w w:val="99"/>
                <w:szCs w:val="21"/>
              </w:rPr>
              <w:t>1</w:t>
            </w:r>
            <w:r w:rsidRPr="00CD58DA">
              <w:rPr>
                <w:rFonts w:ascii="宋体" w:eastAsia="宋体" w:hAnsi="宋体" w:cs="宋体" w:hint="eastAsia"/>
                <w:w w:val="99"/>
                <w:szCs w:val="21"/>
              </w:rPr>
              <w:t>001普</w:t>
            </w:r>
            <w:r w:rsidRPr="00CD58DA">
              <w:rPr>
                <w:rFonts w:ascii="宋体" w:eastAsia="宋体" w:hAnsi="宋体" w:cs="宋体" w:hint="eastAsia"/>
                <w:w w:val="99"/>
                <w:szCs w:val="21"/>
              </w:rPr>
              <w:lastRenderedPageBreak/>
              <w:t>通电视设备（</w:t>
            </w:r>
            <w:r w:rsidRPr="00CD58DA">
              <w:rPr>
                <w:rFonts w:ascii="宋体" w:eastAsia="宋体" w:hAnsi="宋体" w:cs="宋体" w:hint="eastAsia"/>
                <w:spacing w:val="2"/>
                <w:w w:val="99"/>
                <w:szCs w:val="21"/>
              </w:rPr>
              <w:t>电</w:t>
            </w:r>
            <w:r w:rsidRPr="00CD58DA">
              <w:rPr>
                <w:rFonts w:ascii="宋体" w:eastAsia="宋体" w:hAnsi="宋体" w:cs="宋体" w:hint="eastAsia"/>
                <w:w w:val="99"/>
                <w:szCs w:val="21"/>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《平板电视能效限定值及能效等</w:t>
            </w:r>
            <w:r w:rsidRPr="00CD58DA">
              <w:rPr>
                <w:rFonts w:ascii="宋体" w:eastAsia="宋体" w:hAnsi="宋体" w:cs="宋体" w:hint="eastAsia"/>
                <w:spacing w:val="10"/>
                <w:szCs w:val="21"/>
              </w:rPr>
              <w:lastRenderedPageBreak/>
              <w:t>级》（GB24850）</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pacing w:val="1"/>
                <w:w w:val="99"/>
                <w:szCs w:val="21"/>
                <w:lang w:eastAsia="en-US"/>
              </w:rPr>
              <w:lastRenderedPageBreak/>
              <w:t>1</w:t>
            </w:r>
            <w:r w:rsidRPr="00CD58DA">
              <w:rPr>
                <w:rFonts w:ascii="宋体" w:eastAsia="宋体" w:hAnsi="宋体" w:cs="Times New Roman" w:hint="eastAsia"/>
                <w:w w:val="99"/>
                <w:szCs w:val="21"/>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w:t>
            </w:r>
            <w:r w:rsidRPr="00CD58DA">
              <w:rPr>
                <w:rFonts w:ascii="宋体" w:eastAsia="宋体" w:hAnsi="宋体" w:cs="宋体" w:hint="eastAsia"/>
                <w:spacing w:val="1"/>
                <w:w w:val="99"/>
                <w:szCs w:val="21"/>
                <w:lang w:eastAsia="en-US"/>
              </w:rPr>
              <w:t>A020</w:t>
            </w:r>
            <w:r w:rsidRPr="00CD58DA">
              <w:rPr>
                <w:rFonts w:ascii="宋体" w:eastAsia="宋体" w:hAnsi="宋体" w:cs="宋体" w:hint="eastAsia"/>
                <w:w w:val="99"/>
                <w:szCs w:val="21"/>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line="276" w:lineRule="auto"/>
              <w:ind w:right="5"/>
              <w:jc w:val="center"/>
              <w:rPr>
                <w:rFonts w:ascii="宋体" w:eastAsia="宋体" w:hAnsi="宋体" w:cs="宋体"/>
                <w:szCs w:val="21"/>
                <w:lang w:eastAsia="en-US"/>
              </w:rPr>
            </w:pPr>
            <w:r w:rsidRPr="00CD58DA">
              <w:rPr>
                <w:rFonts w:ascii="宋体" w:eastAsia="宋体" w:hAnsi="宋体" w:cs="宋体" w:hint="eastAsia"/>
                <w:spacing w:val="1"/>
                <w:w w:val="99"/>
                <w:szCs w:val="21"/>
                <w:lang w:eastAsia="en-US"/>
              </w:rPr>
              <w:t>A02</w:t>
            </w:r>
            <w:r w:rsidRPr="00CD58DA">
              <w:rPr>
                <w:rFonts w:ascii="宋体" w:eastAsia="宋体" w:hAnsi="宋体" w:cs="宋体" w:hint="eastAsia"/>
                <w:w w:val="99"/>
                <w:szCs w:val="21"/>
                <w:lang w:eastAsia="en-US"/>
              </w:rPr>
              <w:t>09</w:t>
            </w:r>
            <w:r w:rsidRPr="00CD58DA">
              <w:rPr>
                <w:rFonts w:ascii="宋体" w:eastAsia="宋体" w:hAnsi="宋体" w:cs="宋体" w:hint="eastAsia"/>
                <w:spacing w:val="1"/>
                <w:w w:val="99"/>
                <w:szCs w:val="21"/>
                <w:lang w:eastAsia="en-US"/>
              </w:rPr>
              <w:t>1</w:t>
            </w:r>
            <w:r w:rsidRPr="00CD58DA">
              <w:rPr>
                <w:rFonts w:ascii="宋体" w:eastAsia="宋体" w:hAnsi="宋体" w:cs="宋体" w:hint="eastAsia"/>
                <w:w w:val="99"/>
                <w:szCs w:val="21"/>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监视器</w:t>
            </w: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pacing w:val="10"/>
                <w:szCs w:val="21"/>
              </w:rPr>
            </w:pPr>
            <w:r w:rsidRPr="00CD58DA">
              <w:rPr>
                <w:rFonts w:ascii="宋体" w:eastAsia="宋体" w:hAnsi="宋体" w:cs="宋体" w:hint="eastAsia"/>
                <w:spacing w:val="10"/>
                <w:szCs w:val="21"/>
              </w:rPr>
              <w:t>以射频信号为主要信号输入的监视器应符合《平板电视能效限定值及能效等级》（GB24850），以数字信号为主要信号输入的监视器应符合《计算机显示器能效限定值及能效等级》（GB21520）</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pacing w:val="1"/>
                <w:w w:val="99"/>
                <w:szCs w:val="21"/>
                <w:lang w:eastAsia="en-US"/>
              </w:rPr>
              <w:t>1</w:t>
            </w:r>
            <w:r w:rsidRPr="00CD58DA">
              <w:rPr>
                <w:rFonts w:ascii="宋体" w:eastAsia="宋体" w:hAnsi="宋体" w:cs="Times New Roman" w:hint="eastAsia"/>
                <w:w w:val="99"/>
                <w:szCs w:val="21"/>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76"/>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A02241000</w:t>
            </w:r>
            <w:r w:rsidRPr="00CD58DA">
              <w:rPr>
                <w:rFonts w:ascii="宋体" w:eastAsia="宋体" w:hAnsi="宋体" w:cs="宋体" w:hint="eastAsia"/>
                <w:w w:val="99"/>
                <w:szCs w:val="21"/>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商用燃</w:t>
            </w:r>
            <w:r w:rsidRPr="00CD58DA">
              <w:rPr>
                <w:rFonts w:ascii="宋体" w:eastAsia="宋体" w:hAnsi="宋体" w:cs="宋体" w:hint="eastAsia"/>
                <w:spacing w:val="2"/>
                <w:w w:val="99"/>
                <w:szCs w:val="21"/>
                <w:lang w:eastAsia="en-US"/>
              </w:rPr>
              <w:t>气</w:t>
            </w:r>
            <w:r w:rsidRPr="00CD58DA">
              <w:rPr>
                <w:rFonts w:ascii="宋体" w:eastAsia="宋体" w:hAnsi="宋体" w:cs="宋体" w:hint="eastAsia"/>
                <w:w w:val="99"/>
                <w:szCs w:val="21"/>
                <w:lang w:eastAsia="en-US"/>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zCs w:val="21"/>
              </w:rPr>
              <w:t>《商用燃气灶具能效限定值及能效等级》（GB30531）</w:t>
            </w:r>
          </w:p>
        </w:tc>
      </w:tr>
      <w:tr w:rsidR="00CD58DA" w:rsidRPr="00CD58DA" w:rsidTr="00CA6791">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r w:rsidRPr="00CD58DA">
              <w:rPr>
                <w:rFonts w:ascii="宋体" w:eastAsia="宋体" w:hAnsi="宋体" w:cs="Times New Roman"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w w:val="99"/>
                <w:szCs w:val="21"/>
                <w:lang w:eastAsia="en-US"/>
              </w:rPr>
            </w:pPr>
            <w:r w:rsidRPr="00CD58DA">
              <w:rPr>
                <w:rFonts w:ascii="宋体" w:eastAsia="宋体" w:hAnsi="宋体" w:cs="宋体" w:hint="eastAsia"/>
                <w:w w:val="99"/>
                <w:szCs w:val="21"/>
                <w:lang w:eastAsia="en-US"/>
              </w:rPr>
              <w:t>★</w:t>
            </w:r>
            <w:r w:rsidRPr="00CD58DA">
              <w:rPr>
                <w:rFonts w:ascii="宋体" w:eastAsia="宋体" w:hAnsi="宋体" w:cs="仿宋_GB2312" w:hint="eastAsia"/>
                <w:szCs w:val="21"/>
                <w:lang w:eastAsia="en-US"/>
              </w:rPr>
              <w:t>A05020105</w:t>
            </w:r>
            <w:r w:rsidRPr="00CD58DA">
              <w:rPr>
                <w:rFonts w:ascii="宋体" w:eastAsia="宋体" w:hAnsi="宋体" w:cs="宋体" w:hint="eastAsia"/>
                <w:w w:val="99"/>
                <w:szCs w:val="21"/>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zCs w:val="21"/>
              </w:rPr>
              <w:t>《坐便器水效限定值及水效等级》</w:t>
            </w:r>
          </w:p>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zCs w:val="21"/>
              </w:rPr>
              <w:t>（GB25502）</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zCs w:val="21"/>
              </w:rPr>
              <w:t>《蹲便器用水效率限定值及用水效率等级》（GB30717）</w:t>
            </w:r>
          </w:p>
        </w:tc>
      </w:tr>
      <w:tr w:rsidR="00CD58DA" w:rsidRPr="00CD58DA" w:rsidTr="00CA6791">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Times New Roman"/>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widowControl/>
              <w:rPr>
                <w:rFonts w:ascii="宋体" w:eastAsia="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宋体" w:hint="eastAsia"/>
                <w:w w:val="99"/>
                <w:szCs w:val="21"/>
                <w:lang w:eastAsia="en-US"/>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zCs w:val="21"/>
              </w:rPr>
              <w:t>《小便器用水效率限定值及用水效率等级》（GB28377）</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zCs w:val="21"/>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53"/>
              <w:ind w:left="7"/>
              <w:jc w:val="center"/>
              <w:rPr>
                <w:rFonts w:ascii="宋体" w:eastAsia="宋体" w:hAnsi="宋体" w:cs="宋体"/>
                <w:szCs w:val="21"/>
                <w:lang w:eastAsia="en-US"/>
              </w:rPr>
            </w:pPr>
            <w:r w:rsidRPr="00CD58DA">
              <w:rPr>
                <w:rFonts w:ascii="宋体" w:eastAsia="宋体" w:hAnsi="宋体" w:cs="宋体" w:hint="eastAsia"/>
                <w:szCs w:val="21"/>
                <w:lang w:eastAsia="en-US"/>
              </w:rPr>
              <w:t>★</w:t>
            </w:r>
            <w:r w:rsidRPr="00CD58DA">
              <w:rPr>
                <w:rFonts w:ascii="宋体" w:eastAsia="宋体" w:hAnsi="宋体" w:cs="仿宋_GB2312" w:hint="eastAsia"/>
                <w:szCs w:val="21"/>
                <w:lang w:eastAsia="en-US"/>
              </w:rPr>
              <w:t>A05020106</w:t>
            </w:r>
            <w:r w:rsidRPr="00CD58DA">
              <w:rPr>
                <w:rFonts w:ascii="宋体" w:eastAsia="宋体" w:hAnsi="宋体" w:cs="宋体" w:hint="eastAsia"/>
                <w:szCs w:val="21"/>
                <w:lang w:eastAsia="en-US"/>
              </w:rPr>
              <w:t>水</w:t>
            </w:r>
            <w:r w:rsidRPr="00CD58DA">
              <w:rPr>
                <w:rFonts w:ascii="宋体" w:eastAsia="宋体" w:hAnsi="宋体" w:cs="宋体" w:hint="eastAsia"/>
                <w:w w:val="99"/>
                <w:szCs w:val="21"/>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53" w:line="276" w:lineRule="auto"/>
              <w:ind w:left="7" w:right="4"/>
              <w:rPr>
                <w:rFonts w:ascii="宋体" w:eastAsia="宋体" w:hAnsi="宋体" w:cs="宋体"/>
                <w:szCs w:val="21"/>
              </w:rPr>
            </w:pPr>
            <w:r w:rsidRPr="00CD58DA">
              <w:rPr>
                <w:rFonts w:ascii="宋体" w:eastAsia="宋体" w:hAnsi="宋体" w:cs="宋体" w:hint="eastAsia"/>
                <w:spacing w:val="10"/>
                <w:szCs w:val="21"/>
              </w:rPr>
              <w:t>《水嘴用水效率限定值及用水效</w:t>
            </w:r>
            <w:r w:rsidRPr="00CD58DA">
              <w:rPr>
                <w:rFonts w:ascii="宋体" w:eastAsia="宋体" w:hAnsi="宋体" w:cs="宋体" w:hint="eastAsia"/>
                <w:szCs w:val="21"/>
              </w:rPr>
              <w:t>率等级》（GB 25501）</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zCs w:val="21"/>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12"/>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A05020107</w:t>
            </w:r>
            <w:r w:rsidRPr="00CD58DA">
              <w:rPr>
                <w:rFonts w:ascii="宋体" w:eastAsia="宋体" w:hAnsi="宋体" w:cs="宋体" w:hint="eastAsia"/>
                <w:szCs w:val="21"/>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12" w:line="276" w:lineRule="auto"/>
              <w:ind w:left="7" w:right="4"/>
              <w:rPr>
                <w:rFonts w:ascii="宋体" w:eastAsia="宋体" w:hAnsi="宋体" w:cs="宋体"/>
                <w:szCs w:val="21"/>
              </w:rPr>
            </w:pPr>
            <w:r w:rsidRPr="00CD58DA">
              <w:rPr>
                <w:rFonts w:ascii="宋体" w:eastAsia="宋体" w:hAnsi="宋体" w:cs="宋体" w:hint="eastAsia"/>
                <w:spacing w:val="10"/>
                <w:szCs w:val="21"/>
              </w:rPr>
              <w:t>《便器冲洗阀用水效率限定值及</w:t>
            </w:r>
            <w:r w:rsidRPr="00CD58DA">
              <w:rPr>
                <w:rFonts w:ascii="宋体" w:eastAsia="宋体" w:hAnsi="宋体" w:cs="宋体" w:hint="eastAsia"/>
                <w:szCs w:val="21"/>
              </w:rPr>
              <w:t>用水效率等级》（GB28379）</w:t>
            </w:r>
          </w:p>
        </w:tc>
      </w:tr>
      <w:tr w:rsidR="00CD58DA" w:rsidRPr="00CD58DA" w:rsidTr="00CA6791">
        <w:tc>
          <w:tcPr>
            <w:tcW w:w="67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宋体"/>
                <w:szCs w:val="21"/>
                <w:lang w:eastAsia="en-US"/>
              </w:rPr>
            </w:pPr>
            <w:r w:rsidRPr="00CD58DA">
              <w:rPr>
                <w:rFonts w:ascii="宋体" w:eastAsia="宋体" w:hAnsi="宋体" w:cs="Times New Roman" w:hint="eastAsia"/>
                <w:szCs w:val="21"/>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spacing w:before="131"/>
              <w:ind w:left="7"/>
              <w:jc w:val="center"/>
              <w:rPr>
                <w:rFonts w:ascii="宋体" w:eastAsia="宋体" w:hAnsi="宋体" w:cs="宋体"/>
                <w:szCs w:val="21"/>
                <w:lang w:eastAsia="en-US"/>
              </w:rPr>
            </w:pPr>
            <w:r w:rsidRPr="00CD58DA">
              <w:rPr>
                <w:rFonts w:ascii="宋体" w:eastAsia="宋体" w:hAnsi="宋体" w:cs="仿宋_GB2312" w:hint="eastAsia"/>
                <w:szCs w:val="21"/>
                <w:lang w:eastAsia="en-US"/>
              </w:rPr>
              <w:t>A05020110</w:t>
            </w:r>
            <w:r w:rsidRPr="00CD58DA">
              <w:rPr>
                <w:rFonts w:ascii="宋体" w:eastAsia="宋体" w:hAnsi="宋体" w:cs="宋体" w:hint="eastAsia"/>
                <w:szCs w:val="21"/>
                <w:lang w:eastAsia="en-US"/>
              </w:rPr>
              <w:t>淋浴</w:t>
            </w:r>
            <w:r w:rsidRPr="00CD58DA">
              <w:rPr>
                <w:rFonts w:ascii="宋体" w:eastAsia="宋体" w:hAnsi="宋体" w:cs="宋体" w:hint="eastAsia"/>
                <w:w w:val="99"/>
                <w:szCs w:val="21"/>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D58DA" w:rsidRPr="00CD58DA" w:rsidRDefault="00CD58DA" w:rsidP="00CD58DA">
            <w:pPr>
              <w:jc w:val="center"/>
              <w:rPr>
                <w:rFonts w:ascii="宋体" w:eastAsia="宋体" w:hAnsi="宋体" w:cs="Times New Roman"/>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D58DA" w:rsidRPr="00CD58DA" w:rsidRDefault="00CD58DA" w:rsidP="00CD58DA">
            <w:pPr>
              <w:spacing w:before="131" w:line="276" w:lineRule="auto"/>
              <w:ind w:left="7" w:right="4"/>
              <w:rPr>
                <w:rFonts w:ascii="宋体" w:eastAsia="宋体" w:hAnsi="宋体" w:cs="宋体"/>
                <w:szCs w:val="21"/>
              </w:rPr>
            </w:pPr>
            <w:r w:rsidRPr="00CD58DA">
              <w:rPr>
                <w:rFonts w:ascii="宋体" w:eastAsia="宋体" w:hAnsi="宋体" w:cs="宋体" w:hint="eastAsia"/>
                <w:spacing w:val="10"/>
                <w:szCs w:val="21"/>
              </w:rPr>
              <w:t>《淋浴器用水效率限定值及用水</w:t>
            </w:r>
            <w:r w:rsidRPr="00CD58DA">
              <w:rPr>
                <w:rFonts w:ascii="宋体" w:eastAsia="宋体" w:hAnsi="宋体" w:cs="宋体" w:hint="eastAsia"/>
                <w:szCs w:val="21"/>
              </w:rPr>
              <w:t>效率等级》（GB28378）</w:t>
            </w:r>
          </w:p>
        </w:tc>
      </w:tr>
    </w:tbl>
    <w:p w:rsidR="00CD58DA" w:rsidRPr="00CD58DA" w:rsidRDefault="00CD58DA" w:rsidP="00CD58DA">
      <w:pPr>
        <w:spacing w:line="360" w:lineRule="auto"/>
        <w:jc w:val="both"/>
        <w:rPr>
          <w:rFonts w:ascii="宋体" w:eastAsia="宋体" w:hAnsi="宋体" w:cs="Times New Roman"/>
          <w:szCs w:val="21"/>
        </w:rPr>
      </w:pPr>
      <w:r w:rsidRPr="00CD58DA">
        <w:rPr>
          <w:rFonts w:ascii="宋体" w:eastAsia="宋体" w:hAnsi="宋体" w:cs="Times New Roman" w:hint="eastAsia"/>
          <w:spacing w:val="-3"/>
          <w:kern w:val="0"/>
          <w:szCs w:val="21"/>
        </w:rPr>
        <w:t>注：</w:t>
      </w:r>
      <w:r w:rsidRPr="00CD58DA">
        <w:rPr>
          <w:rFonts w:ascii="宋体" w:eastAsia="宋体" w:hAnsi="宋体" w:cs="Times New Roman"/>
          <w:spacing w:val="-3"/>
          <w:kern w:val="0"/>
          <w:szCs w:val="21"/>
        </w:rPr>
        <w:t>1.</w:t>
      </w:r>
      <w:r w:rsidRPr="00CD58DA">
        <w:rPr>
          <w:rFonts w:ascii="宋体" w:eastAsia="宋体" w:hAnsi="宋体" w:cs="Times New Roman" w:hint="eastAsia"/>
          <w:spacing w:val="-3"/>
          <w:kern w:val="0"/>
          <w:szCs w:val="21"/>
        </w:rPr>
        <w:t>节能产品认证应依据相关国家标准的最新版本，依据国家标准中二级能效（水效）</w:t>
      </w:r>
      <w:r w:rsidRPr="00CD58DA">
        <w:rPr>
          <w:rFonts w:ascii="宋体" w:eastAsia="宋体" w:hAnsi="宋体" w:cs="Times New Roman" w:hint="eastAsia"/>
          <w:kern w:val="0"/>
          <w:szCs w:val="21"/>
        </w:rPr>
        <w:t>指标。</w:t>
      </w:r>
    </w:p>
    <w:p w:rsidR="00CD58DA" w:rsidRPr="00CD58DA" w:rsidRDefault="00CD58DA" w:rsidP="00CD58DA">
      <w:pPr>
        <w:spacing w:line="360" w:lineRule="auto"/>
        <w:ind w:firstLine="465"/>
        <w:jc w:val="both"/>
        <w:rPr>
          <w:rFonts w:ascii="宋体" w:eastAsia="宋体" w:hAnsi="宋体" w:cs="Times New Roman"/>
          <w:kern w:val="0"/>
          <w:szCs w:val="21"/>
        </w:rPr>
      </w:pPr>
      <w:r w:rsidRPr="00CD58DA">
        <w:rPr>
          <w:rFonts w:ascii="宋体" w:eastAsia="宋体" w:hAnsi="宋体" w:cs="Times New Roman"/>
          <w:kern w:val="0"/>
          <w:szCs w:val="21"/>
        </w:rPr>
        <w:t>2</w:t>
      </w:r>
      <w:r w:rsidRPr="00CD58DA">
        <w:rPr>
          <w:rFonts w:ascii="宋体" w:eastAsia="宋体" w:hAnsi="宋体" w:cs="Times New Roman" w:hint="eastAsia"/>
          <w:kern w:val="0"/>
          <w:szCs w:val="21"/>
        </w:rPr>
        <w:t>.以</w:t>
      </w:r>
      <w:r w:rsidRPr="00CD58DA">
        <w:rPr>
          <w:rFonts w:ascii="宋体" w:eastAsia="宋体" w:hAnsi="宋体" w:cs="Times New Roman"/>
          <w:kern w:val="0"/>
          <w:szCs w:val="21"/>
        </w:rPr>
        <w:t>“</w:t>
      </w:r>
      <w:r w:rsidRPr="00CD58DA">
        <w:rPr>
          <w:rFonts w:ascii="宋体" w:eastAsia="宋体" w:hAnsi="宋体" w:cs="Times New Roman" w:hint="eastAsia"/>
          <w:kern w:val="0"/>
          <w:szCs w:val="21"/>
        </w:rPr>
        <w:t>★</w:t>
      </w:r>
      <w:r w:rsidRPr="00CD58DA">
        <w:rPr>
          <w:rFonts w:ascii="宋体" w:eastAsia="宋体" w:hAnsi="宋体" w:cs="Times New Roman"/>
          <w:kern w:val="0"/>
          <w:szCs w:val="21"/>
        </w:rPr>
        <w:t>”</w:t>
      </w:r>
      <w:r w:rsidRPr="00CD58DA">
        <w:rPr>
          <w:rFonts w:ascii="宋体" w:eastAsia="宋体" w:hAnsi="宋体" w:cs="Times New Roman" w:hint="eastAsia"/>
          <w:kern w:val="0"/>
          <w:szCs w:val="21"/>
        </w:rPr>
        <w:t>标注的为政府强制采购产品。</w:t>
      </w:r>
    </w:p>
    <w:p w:rsidR="00CD58DA" w:rsidRPr="00CD58DA" w:rsidRDefault="00CD58DA" w:rsidP="00CD58DA">
      <w:pPr>
        <w:spacing w:line="360" w:lineRule="auto"/>
        <w:ind w:firstLine="465"/>
        <w:jc w:val="both"/>
        <w:rPr>
          <w:rFonts w:ascii="宋体" w:eastAsia="宋体" w:hAnsi="宋体" w:cs="Times New Roman"/>
          <w:kern w:val="0"/>
          <w:szCs w:val="21"/>
        </w:rPr>
      </w:pPr>
      <w:r w:rsidRPr="00CD58DA">
        <w:rPr>
          <w:rFonts w:ascii="宋体" w:eastAsia="宋体" w:hAnsi="宋体" w:cs="Times New Roman" w:hint="eastAsia"/>
          <w:kern w:val="0"/>
          <w:szCs w:val="21"/>
        </w:rPr>
        <w:t>3.本表格原为《关于印发节能产品政府采购品目清单的通知》（财库〔2019〕19号）规定的表格附件，其中名称及编码已根据《财政部关于印发〈政府采购品目分类目录〉的通知》（财库〔2022〕31号）修改。</w:t>
      </w:r>
    </w:p>
    <w:p w:rsidR="00CD58DA" w:rsidRPr="00CD58DA" w:rsidRDefault="00CD58DA" w:rsidP="00CD58DA">
      <w:pPr>
        <w:widowControl/>
        <w:rPr>
          <w:rFonts w:ascii="宋体" w:eastAsia="宋体" w:hAnsi="宋体" w:cs="宋体"/>
          <w:sz w:val="20"/>
          <w:szCs w:val="20"/>
        </w:rPr>
      </w:pPr>
    </w:p>
    <w:p w:rsidR="00CD58DA" w:rsidRPr="00CD58DA" w:rsidRDefault="00CD58DA" w:rsidP="00CD58DA">
      <w:pPr>
        <w:widowControl/>
        <w:rPr>
          <w:rFonts w:ascii="宋体" w:eastAsia="宋体" w:hAnsi="宋体" w:cs="宋体"/>
          <w:sz w:val="20"/>
          <w:szCs w:val="20"/>
        </w:rPr>
      </w:pPr>
    </w:p>
    <w:p w:rsidR="00CD58DA" w:rsidRPr="00CD58DA" w:rsidRDefault="00CD58DA" w:rsidP="00CD58DA">
      <w:pPr>
        <w:widowControl/>
        <w:rPr>
          <w:rFonts w:ascii="黑体" w:eastAsia="黑体" w:hAnsi="黑体" w:cs="黑体"/>
          <w:sz w:val="32"/>
          <w:szCs w:val="32"/>
        </w:rPr>
      </w:pPr>
      <w:r w:rsidRPr="00CD58DA">
        <w:rPr>
          <w:rFonts w:ascii="宋体" w:eastAsia="宋体" w:hAnsi="宋体" w:cs="宋体"/>
          <w:sz w:val="20"/>
          <w:szCs w:val="20"/>
        </w:rPr>
        <w:br w:type="page"/>
      </w:r>
      <w:r w:rsidRPr="00CD58DA">
        <w:rPr>
          <w:rFonts w:ascii="黑体" w:eastAsia="黑体" w:hAnsi="黑体" w:cs="黑体" w:hint="eastAsia"/>
          <w:sz w:val="32"/>
          <w:szCs w:val="32"/>
        </w:rPr>
        <w:lastRenderedPageBreak/>
        <w:t>附件2：</w:t>
      </w:r>
    </w:p>
    <w:p w:rsidR="00CD58DA" w:rsidRPr="00CD58DA" w:rsidRDefault="00CD58DA" w:rsidP="00CD58DA">
      <w:pPr>
        <w:spacing w:line="380" w:lineRule="exact"/>
        <w:jc w:val="center"/>
        <w:rPr>
          <w:rFonts w:ascii="Times New Roman" w:eastAsia="宋体" w:hAnsi="Times New Roman" w:cs="Times New Roman"/>
          <w:b/>
          <w:kern w:val="0"/>
          <w:sz w:val="28"/>
          <w:szCs w:val="28"/>
        </w:rPr>
      </w:pPr>
      <w:r w:rsidRPr="00CD58DA">
        <w:rPr>
          <w:rFonts w:ascii="Times New Roman" w:eastAsia="宋体" w:hAnsi="Times New Roman" w:cs="Times New Roman" w:hint="eastAsia"/>
          <w:b/>
          <w:kern w:val="0"/>
          <w:sz w:val="28"/>
          <w:szCs w:val="28"/>
        </w:rPr>
        <w:t>中小企业划型标准规定</w:t>
      </w:r>
    </w:p>
    <w:p w:rsidR="00CD58DA" w:rsidRPr="00CD58DA" w:rsidRDefault="00CD58DA" w:rsidP="00CD58DA">
      <w:pPr>
        <w:spacing w:line="380" w:lineRule="exact"/>
        <w:jc w:val="center"/>
        <w:rPr>
          <w:rFonts w:ascii="宋体" w:eastAsia="宋体" w:hAnsi="宋体" w:cs="Times New Roman"/>
          <w:kern w:val="0"/>
          <w:szCs w:val="21"/>
        </w:rPr>
      </w:pPr>
      <w:r w:rsidRPr="00CD58DA">
        <w:rPr>
          <w:rFonts w:ascii="宋体" w:eastAsia="宋体" w:hAnsi="宋体" w:cs="Times New Roman" w:hint="eastAsia"/>
          <w:kern w:val="0"/>
          <w:szCs w:val="21"/>
        </w:rPr>
        <w:t>工信部联企业[2011]300号</w:t>
      </w:r>
    </w:p>
    <w:p w:rsidR="00CD58DA" w:rsidRPr="00CD58DA" w:rsidRDefault="00CD58DA" w:rsidP="00CD58DA">
      <w:pPr>
        <w:spacing w:line="380" w:lineRule="exact"/>
        <w:jc w:val="both"/>
        <w:rPr>
          <w:rFonts w:ascii="Times New Roman" w:eastAsia="宋体" w:hAnsi="Times New Roman" w:cs="Times New Roman"/>
          <w:kern w:val="0"/>
          <w:szCs w:val="21"/>
        </w:rPr>
      </w:pP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一、根据《中华人民共和国中小企业促进法》和《国务院关于进一步促进中小企业发展的若干意见》</w:t>
      </w:r>
      <w:r w:rsidRPr="00CD58DA">
        <w:rPr>
          <w:rFonts w:ascii="Times New Roman" w:eastAsia="宋体" w:hAnsi="Times New Roman" w:cs="Times New Roman" w:hint="eastAsia"/>
          <w:kern w:val="0"/>
          <w:szCs w:val="21"/>
        </w:rPr>
        <w:t>(</w:t>
      </w:r>
      <w:r w:rsidRPr="00CD58DA">
        <w:rPr>
          <w:rFonts w:ascii="Times New Roman" w:eastAsia="宋体" w:hAnsi="Times New Roman" w:cs="Times New Roman" w:hint="eastAsia"/>
          <w:kern w:val="0"/>
          <w:szCs w:val="21"/>
        </w:rPr>
        <w:t>国发</w:t>
      </w:r>
      <w:r w:rsidRPr="00CD58DA">
        <w:rPr>
          <w:rFonts w:ascii="Times New Roman" w:eastAsia="宋体" w:hAnsi="Times New Roman" w:cs="Times New Roman" w:hint="eastAsia"/>
          <w:kern w:val="0"/>
          <w:szCs w:val="21"/>
        </w:rPr>
        <w:t>[2009]36</w:t>
      </w:r>
      <w:r w:rsidRPr="00CD58DA">
        <w:rPr>
          <w:rFonts w:ascii="Times New Roman" w:eastAsia="宋体" w:hAnsi="Times New Roman" w:cs="Times New Roman" w:hint="eastAsia"/>
          <w:kern w:val="0"/>
          <w:szCs w:val="21"/>
        </w:rPr>
        <w:t>号</w:t>
      </w:r>
      <w:r w:rsidRPr="00CD58DA">
        <w:rPr>
          <w:rFonts w:ascii="Times New Roman" w:eastAsia="宋体" w:hAnsi="Times New Roman" w:cs="Times New Roman" w:hint="eastAsia"/>
          <w:kern w:val="0"/>
          <w:szCs w:val="21"/>
        </w:rPr>
        <w:t>)</w:t>
      </w:r>
      <w:r w:rsidRPr="00CD58DA">
        <w:rPr>
          <w:rFonts w:ascii="Times New Roman" w:eastAsia="宋体" w:hAnsi="Times New Roman" w:cs="Times New Roman" w:hint="eastAsia"/>
          <w:kern w:val="0"/>
          <w:szCs w:val="21"/>
        </w:rPr>
        <w:t>，制定本规定。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二、中小企业划分为中型、小型、微型三种类型，具体标准根据企业从业人员、营业收入、资产总额等指标，结合行业特点制定。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四、各行业划型标准为：</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（一）农、林、牧、渔业。营业收入</w:t>
      </w:r>
      <w:r w:rsidRPr="00CD58DA">
        <w:rPr>
          <w:rFonts w:ascii="Times New Roman" w:eastAsia="宋体" w:hAnsi="Times New Roman" w:cs="Times New Roman" w:hint="eastAsia"/>
          <w:kern w:val="0"/>
          <w:szCs w:val="21"/>
        </w:rPr>
        <w:t>20000</w:t>
      </w:r>
      <w:r w:rsidRPr="00CD58DA">
        <w:rPr>
          <w:rFonts w:ascii="Times New Roman" w:eastAsia="宋体" w:hAnsi="Times New Roman" w:cs="Times New Roman" w:hint="eastAsia"/>
          <w:kern w:val="0"/>
          <w:szCs w:val="21"/>
        </w:rPr>
        <w:t>万元以下的为中小微型企业。其中，营业收入</w:t>
      </w:r>
      <w:r w:rsidRPr="00CD58DA">
        <w:rPr>
          <w:rFonts w:ascii="Times New Roman" w:eastAsia="宋体" w:hAnsi="Times New Roman" w:cs="Times New Roman" w:hint="eastAsia"/>
          <w:kern w:val="0"/>
          <w:szCs w:val="21"/>
        </w:rPr>
        <w:t>500</w:t>
      </w:r>
      <w:r w:rsidRPr="00CD58DA">
        <w:rPr>
          <w:rFonts w:ascii="Times New Roman" w:eastAsia="宋体" w:hAnsi="Times New Roman" w:cs="Times New Roman" w:hint="eastAsia"/>
          <w:kern w:val="0"/>
          <w:szCs w:val="21"/>
        </w:rPr>
        <w:t>万元及以上的为中型企业，营业收入</w:t>
      </w:r>
      <w:r w:rsidRPr="00CD58DA">
        <w:rPr>
          <w:rFonts w:ascii="Times New Roman" w:eastAsia="宋体" w:hAnsi="Times New Roman" w:cs="Times New Roman" w:hint="eastAsia"/>
          <w:kern w:val="0"/>
          <w:szCs w:val="21"/>
        </w:rPr>
        <w:t>50</w:t>
      </w:r>
      <w:r w:rsidRPr="00CD58DA">
        <w:rPr>
          <w:rFonts w:ascii="Times New Roman" w:eastAsia="宋体" w:hAnsi="Times New Roman" w:cs="Times New Roman" w:hint="eastAsia"/>
          <w:kern w:val="0"/>
          <w:szCs w:val="21"/>
        </w:rPr>
        <w:t>万元及以上的为小型企业，营业收入</w:t>
      </w:r>
      <w:r w:rsidRPr="00CD58DA">
        <w:rPr>
          <w:rFonts w:ascii="Times New Roman" w:eastAsia="宋体" w:hAnsi="Times New Roman" w:cs="Times New Roman" w:hint="eastAsia"/>
          <w:kern w:val="0"/>
          <w:szCs w:val="21"/>
        </w:rPr>
        <w:t>50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（二）工业。从业人员</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40000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（三）建筑业。营业收入</w:t>
      </w:r>
      <w:r w:rsidRPr="00CD58DA">
        <w:rPr>
          <w:rFonts w:ascii="Times New Roman" w:eastAsia="宋体" w:hAnsi="Times New Roman" w:cs="Times New Roman" w:hint="eastAsia"/>
          <w:kern w:val="0"/>
          <w:szCs w:val="21"/>
        </w:rPr>
        <w:t>80000</w:t>
      </w:r>
      <w:r w:rsidRPr="00CD58DA">
        <w:rPr>
          <w:rFonts w:ascii="Times New Roman" w:eastAsia="宋体" w:hAnsi="Times New Roman" w:cs="Times New Roman" w:hint="eastAsia"/>
          <w:kern w:val="0"/>
          <w:szCs w:val="21"/>
        </w:rPr>
        <w:t>万元以下或资产总额</w:t>
      </w:r>
      <w:r w:rsidRPr="00CD58DA">
        <w:rPr>
          <w:rFonts w:ascii="Times New Roman" w:eastAsia="宋体" w:hAnsi="Times New Roman" w:cs="Times New Roman" w:hint="eastAsia"/>
          <w:kern w:val="0"/>
          <w:szCs w:val="21"/>
        </w:rPr>
        <w:t>80000</w:t>
      </w:r>
      <w:r w:rsidRPr="00CD58DA">
        <w:rPr>
          <w:rFonts w:ascii="Times New Roman" w:eastAsia="宋体" w:hAnsi="Times New Roman" w:cs="Times New Roman" w:hint="eastAsia"/>
          <w:kern w:val="0"/>
          <w:szCs w:val="21"/>
        </w:rPr>
        <w:t>万元以下的为中小微型企业。其中，营业收入</w:t>
      </w:r>
      <w:r w:rsidRPr="00CD58DA">
        <w:rPr>
          <w:rFonts w:ascii="Times New Roman" w:eastAsia="宋体" w:hAnsi="Times New Roman" w:cs="Times New Roman" w:hint="eastAsia"/>
          <w:kern w:val="0"/>
          <w:szCs w:val="21"/>
        </w:rPr>
        <w:t>6000</w:t>
      </w:r>
      <w:r w:rsidRPr="00CD58DA">
        <w:rPr>
          <w:rFonts w:ascii="Times New Roman" w:eastAsia="宋体" w:hAnsi="Times New Roman" w:cs="Times New Roman" w:hint="eastAsia"/>
          <w:kern w:val="0"/>
          <w:szCs w:val="21"/>
        </w:rPr>
        <w:t>万元及以上，且资产总额</w:t>
      </w:r>
      <w:r w:rsidRPr="00CD58DA">
        <w:rPr>
          <w:rFonts w:ascii="Times New Roman" w:eastAsia="宋体" w:hAnsi="Times New Roman" w:cs="Times New Roman" w:hint="eastAsia"/>
          <w:kern w:val="0"/>
          <w:szCs w:val="21"/>
        </w:rPr>
        <w:t>5000</w:t>
      </w:r>
      <w:r w:rsidRPr="00CD58DA">
        <w:rPr>
          <w:rFonts w:ascii="Times New Roman" w:eastAsia="宋体" w:hAnsi="Times New Roman" w:cs="Times New Roman" w:hint="eastAsia"/>
          <w:kern w:val="0"/>
          <w:szCs w:val="21"/>
        </w:rPr>
        <w:t>万元及以上的为中型企业；营业收入</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万元及以上，且资产总额</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万元及以上的为小型企业；营业收入</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万元以下</w:t>
      </w:r>
      <w:bookmarkStart w:id="3" w:name="_GoBack"/>
      <w:bookmarkEnd w:id="3"/>
      <w:r w:rsidRPr="00CD58DA">
        <w:rPr>
          <w:rFonts w:ascii="Times New Roman" w:eastAsia="宋体" w:hAnsi="Times New Roman" w:cs="Times New Roman" w:hint="eastAsia"/>
          <w:kern w:val="0"/>
          <w:szCs w:val="21"/>
        </w:rPr>
        <w:t>或资产总额</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（四）批发业。从业人员</w:t>
      </w:r>
      <w:r w:rsidRPr="00CD58DA">
        <w:rPr>
          <w:rFonts w:ascii="Times New Roman" w:eastAsia="宋体" w:hAnsi="Times New Roman" w:cs="Times New Roman" w:hint="eastAsia"/>
          <w:kern w:val="0"/>
          <w:szCs w:val="21"/>
        </w:rPr>
        <w:t>200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40000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5000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5</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5</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（五）零售业。从业人员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20000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50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500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（六）交通运输业。从业人员</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30000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3000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lastRenderedPageBreak/>
        <w:t>20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200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200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（七）仓储业。从业人员</w:t>
      </w:r>
      <w:r w:rsidRPr="00CD58DA">
        <w:rPr>
          <w:rFonts w:ascii="Times New Roman" w:eastAsia="宋体" w:hAnsi="Times New Roman" w:cs="Times New Roman" w:hint="eastAsia"/>
          <w:kern w:val="0"/>
          <w:szCs w:val="21"/>
        </w:rPr>
        <w:t>200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30000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（八）邮政业。从业人员</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30000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20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（九）住宿业。从业人员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（十）餐饮业。从业人员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（十一）信息传输业。从业人员</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（十二）软件和信息技术服务业。从业人员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10000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50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50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（十三）房地产开发经营。营业收入</w:t>
      </w:r>
      <w:r w:rsidRPr="00CD58DA">
        <w:rPr>
          <w:rFonts w:ascii="Times New Roman" w:eastAsia="宋体" w:hAnsi="Times New Roman" w:cs="Times New Roman" w:hint="eastAsia"/>
          <w:kern w:val="0"/>
          <w:szCs w:val="21"/>
        </w:rPr>
        <w:t>200000</w:t>
      </w:r>
      <w:r w:rsidRPr="00CD58DA">
        <w:rPr>
          <w:rFonts w:ascii="Times New Roman" w:eastAsia="宋体" w:hAnsi="Times New Roman" w:cs="Times New Roman" w:hint="eastAsia"/>
          <w:kern w:val="0"/>
          <w:szCs w:val="21"/>
        </w:rPr>
        <w:t>万元以下或资产总额</w:t>
      </w:r>
      <w:r w:rsidRPr="00CD58DA">
        <w:rPr>
          <w:rFonts w:ascii="Times New Roman" w:eastAsia="宋体" w:hAnsi="Times New Roman" w:cs="Times New Roman" w:hint="eastAsia"/>
          <w:kern w:val="0"/>
          <w:szCs w:val="21"/>
        </w:rPr>
        <w:t>10000</w:t>
      </w:r>
      <w:r w:rsidRPr="00CD58DA">
        <w:rPr>
          <w:rFonts w:ascii="Times New Roman" w:eastAsia="宋体" w:hAnsi="Times New Roman" w:cs="Times New Roman" w:hint="eastAsia"/>
          <w:kern w:val="0"/>
          <w:szCs w:val="21"/>
        </w:rPr>
        <w:t>万元以下的为中小微型企业。其中，营业收入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万元及以上，且资产总额</w:t>
      </w:r>
      <w:r w:rsidRPr="00CD58DA">
        <w:rPr>
          <w:rFonts w:ascii="Times New Roman" w:eastAsia="宋体" w:hAnsi="Times New Roman" w:cs="Times New Roman" w:hint="eastAsia"/>
          <w:kern w:val="0"/>
          <w:szCs w:val="21"/>
        </w:rPr>
        <w:t>5000</w:t>
      </w:r>
      <w:r w:rsidRPr="00CD58DA">
        <w:rPr>
          <w:rFonts w:ascii="Times New Roman" w:eastAsia="宋体" w:hAnsi="Times New Roman" w:cs="Times New Roman" w:hint="eastAsia"/>
          <w:kern w:val="0"/>
          <w:szCs w:val="21"/>
        </w:rPr>
        <w:t>万元及以上的为中型企业；营业收入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万元及以上，且资产总额</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万元及以上的为小型企业；营业收入</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万元以下或资产总额</w:t>
      </w:r>
      <w:r w:rsidRPr="00CD58DA">
        <w:rPr>
          <w:rFonts w:ascii="Times New Roman" w:eastAsia="宋体" w:hAnsi="Times New Roman" w:cs="Times New Roman" w:hint="eastAsia"/>
          <w:kern w:val="0"/>
          <w:szCs w:val="21"/>
        </w:rPr>
        <w:t>2000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（十四）物业管理。从业人员</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5000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1000</w:t>
      </w:r>
      <w:r w:rsidRPr="00CD58DA">
        <w:rPr>
          <w:rFonts w:ascii="Times New Roman" w:eastAsia="宋体" w:hAnsi="Times New Roman" w:cs="Times New Roman" w:hint="eastAsia"/>
          <w:kern w:val="0"/>
          <w:szCs w:val="21"/>
        </w:rPr>
        <w:t>万元及以上的为中型企业；从业人员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人及以上，且营业收入</w:t>
      </w:r>
      <w:r w:rsidRPr="00CD58DA">
        <w:rPr>
          <w:rFonts w:ascii="Times New Roman" w:eastAsia="宋体" w:hAnsi="Times New Roman" w:cs="Times New Roman" w:hint="eastAsia"/>
          <w:kern w:val="0"/>
          <w:szCs w:val="21"/>
        </w:rPr>
        <w:t>500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人以下或营业收入</w:t>
      </w:r>
      <w:r w:rsidRPr="00CD58DA">
        <w:rPr>
          <w:rFonts w:ascii="Times New Roman" w:eastAsia="宋体" w:hAnsi="Times New Roman" w:cs="Times New Roman" w:hint="eastAsia"/>
          <w:kern w:val="0"/>
          <w:szCs w:val="21"/>
        </w:rPr>
        <w:t>500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（十五）租赁和商务服务业。从业人员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人以下或资产总额</w:t>
      </w:r>
      <w:r w:rsidRPr="00CD58DA">
        <w:rPr>
          <w:rFonts w:ascii="Times New Roman" w:eastAsia="宋体" w:hAnsi="Times New Roman" w:cs="Times New Roman" w:hint="eastAsia"/>
          <w:kern w:val="0"/>
          <w:szCs w:val="21"/>
        </w:rPr>
        <w:t>120000</w:t>
      </w:r>
      <w:r w:rsidRPr="00CD58DA">
        <w:rPr>
          <w:rFonts w:ascii="Times New Roman" w:eastAsia="宋体" w:hAnsi="Times New Roman" w:cs="Times New Roman" w:hint="eastAsia"/>
          <w:kern w:val="0"/>
          <w:szCs w:val="21"/>
        </w:rPr>
        <w:t>万元以下的为中小微型企业。其中，从业人员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人及以上，且资产总额</w:t>
      </w:r>
      <w:r w:rsidRPr="00CD58DA">
        <w:rPr>
          <w:rFonts w:ascii="Times New Roman" w:eastAsia="宋体" w:hAnsi="Times New Roman" w:cs="Times New Roman" w:hint="eastAsia"/>
          <w:kern w:val="0"/>
          <w:szCs w:val="21"/>
        </w:rPr>
        <w:t>8000</w:t>
      </w:r>
      <w:r w:rsidRPr="00CD58DA">
        <w:rPr>
          <w:rFonts w:ascii="Times New Roman" w:eastAsia="宋体" w:hAnsi="Times New Roman" w:cs="Times New Roman" w:hint="eastAsia"/>
          <w:kern w:val="0"/>
          <w:szCs w:val="21"/>
        </w:rPr>
        <w:t>万元及以上的为中型企业；</w:t>
      </w:r>
      <w:r w:rsidRPr="00CD58DA">
        <w:rPr>
          <w:rFonts w:ascii="Times New Roman" w:eastAsia="宋体" w:hAnsi="Times New Roman" w:cs="Times New Roman" w:hint="eastAsia"/>
          <w:kern w:val="0"/>
          <w:szCs w:val="21"/>
        </w:rPr>
        <w:lastRenderedPageBreak/>
        <w:t>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人及以上，且资产总额</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人以下或资产总额</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万元以下的为微型企业。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（十六）其他未列明行业。从业人员</w:t>
      </w:r>
      <w:r w:rsidRPr="00CD58DA">
        <w:rPr>
          <w:rFonts w:ascii="Times New Roman" w:eastAsia="宋体" w:hAnsi="Times New Roman" w:cs="Times New Roman" w:hint="eastAsia"/>
          <w:kern w:val="0"/>
          <w:szCs w:val="21"/>
        </w:rPr>
        <w:t>300</w:t>
      </w:r>
      <w:r w:rsidRPr="00CD58DA">
        <w:rPr>
          <w:rFonts w:ascii="Times New Roman" w:eastAsia="宋体" w:hAnsi="Times New Roman" w:cs="Times New Roman" w:hint="eastAsia"/>
          <w:kern w:val="0"/>
          <w:szCs w:val="21"/>
        </w:rPr>
        <w:t>人以下的为中小微型企业。其中，从业人员</w:t>
      </w:r>
      <w:r w:rsidRPr="00CD58DA">
        <w:rPr>
          <w:rFonts w:ascii="Times New Roman" w:eastAsia="宋体" w:hAnsi="Times New Roman" w:cs="Times New Roman" w:hint="eastAsia"/>
          <w:kern w:val="0"/>
          <w:szCs w:val="21"/>
        </w:rPr>
        <w:t>100</w:t>
      </w:r>
      <w:r w:rsidRPr="00CD58DA">
        <w:rPr>
          <w:rFonts w:ascii="Times New Roman" w:eastAsia="宋体" w:hAnsi="Times New Roman" w:cs="Times New Roman" w:hint="eastAsia"/>
          <w:kern w:val="0"/>
          <w:szCs w:val="21"/>
        </w:rPr>
        <w:t>人及以上的为中型企业；从业人员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人及以上的为小型企业；从业人员</w:t>
      </w:r>
      <w:r w:rsidRPr="00CD58DA">
        <w:rPr>
          <w:rFonts w:ascii="Times New Roman" w:eastAsia="宋体" w:hAnsi="Times New Roman" w:cs="Times New Roman" w:hint="eastAsia"/>
          <w:kern w:val="0"/>
          <w:szCs w:val="21"/>
        </w:rPr>
        <w:t>10</w:t>
      </w:r>
      <w:r w:rsidRPr="00CD58DA">
        <w:rPr>
          <w:rFonts w:ascii="Times New Roman" w:eastAsia="宋体" w:hAnsi="Times New Roman" w:cs="Times New Roman" w:hint="eastAsia"/>
          <w:kern w:val="0"/>
          <w:szCs w:val="21"/>
        </w:rPr>
        <w:t>人以下的为微型企业。</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五、企业类型的划分以统计部门的统计数据为依据。</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六、本规定适用于在中华人民共和国境内依法设立的各类所有制和各种组织形式的企业。个体工商户和本规定以外的行业，参照本规定进行划型。</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八、本规定由工业和信息化部、国家统计局会同有关部门根据《国民经济行业分类》修订情况和企业发展变化情况适时修订。</w:t>
      </w:r>
    </w:p>
    <w:p w:rsidR="00CD58DA" w:rsidRPr="00CD58DA" w:rsidRDefault="00CD58DA" w:rsidP="00CD58DA">
      <w:pPr>
        <w:spacing w:line="380" w:lineRule="exact"/>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 xml:space="preserve">　　九、本规定由工业和信息化部、国家统计局会同有关部门负责解释。</w:t>
      </w:r>
    </w:p>
    <w:p w:rsidR="00CD58DA" w:rsidRPr="00CD58DA" w:rsidRDefault="00CD58DA" w:rsidP="00CD58DA">
      <w:pPr>
        <w:spacing w:line="380" w:lineRule="exact"/>
        <w:ind w:firstLine="420"/>
        <w:jc w:val="both"/>
        <w:rPr>
          <w:rFonts w:ascii="Times New Roman" w:eastAsia="宋体" w:hAnsi="Times New Roman" w:cs="Times New Roman"/>
          <w:kern w:val="0"/>
          <w:szCs w:val="21"/>
        </w:rPr>
      </w:pPr>
      <w:r w:rsidRPr="00CD58DA">
        <w:rPr>
          <w:rFonts w:ascii="Times New Roman" w:eastAsia="宋体" w:hAnsi="Times New Roman" w:cs="Times New Roman" w:hint="eastAsia"/>
          <w:kern w:val="0"/>
          <w:szCs w:val="21"/>
        </w:rPr>
        <w:t>十、本规定自发布之日起执行，原国家经贸委、原国家计委、财政部和国家统计局</w:t>
      </w:r>
      <w:r w:rsidRPr="00CD58DA">
        <w:rPr>
          <w:rFonts w:ascii="Times New Roman" w:eastAsia="宋体" w:hAnsi="Times New Roman" w:cs="Times New Roman" w:hint="eastAsia"/>
          <w:kern w:val="0"/>
          <w:szCs w:val="21"/>
        </w:rPr>
        <w:t>2003</w:t>
      </w:r>
      <w:r w:rsidRPr="00CD58DA">
        <w:rPr>
          <w:rFonts w:ascii="Times New Roman" w:eastAsia="宋体" w:hAnsi="Times New Roman" w:cs="Times New Roman" w:hint="eastAsia"/>
          <w:kern w:val="0"/>
          <w:szCs w:val="21"/>
        </w:rPr>
        <w:t>年颁布的《中小企业标准暂行规定》同时废止。</w:t>
      </w:r>
    </w:p>
    <w:p w:rsidR="00CD58DA" w:rsidRPr="00CD58DA" w:rsidRDefault="00CD58DA" w:rsidP="00CD58DA">
      <w:pPr>
        <w:spacing w:line="380" w:lineRule="exact"/>
        <w:ind w:firstLine="420"/>
        <w:jc w:val="both"/>
        <w:rPr>
          <w:rFonts w:ascii="Times New Roman" w:eastAsia="宋体" w:hAnsi="Times New Roman" w:cs="Times New Roman"/>
          <w:kern w:val="0"/>
          <w:szCs w:val="21"/>
        </w:rPr>
      </w:pPr>
    </w:p>
    <w:p w:rsidR="00BE099E" w:rsidRPr="00CD58DA" w:rsidRDefault="00BE099E"/>
    <w:sectPr w:rsidR="00BE099E" w:rsidRPr="00CD58DA" w:rsidSect="00BE09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3000509000000000000"/>
    <w:charset w:val="86"/>
    <w:family w:val="script"/>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70281"/>
    <w:multiLevelType w:val="hybridMultilevel"/>
    <w:tmpl w:val="B9847EF4"/>
    <w:lvl w:ilvl="0" w:tplc="C5EA5C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34067C20"/>
    <w:multiLevelType w:val="hybridMultilevel"/>
    <w:tmpl w:val="4036B838"/>
    <w:lvl w:ilvl="0" w:tplc="4280A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58DA"/>
    <w:rsid w:val="00084D42"/>
    <w:rsid w:val="001E1892"/>
    <w:rsid w:val="002D2445"/>
    <w:rsid w:val="00343A48"/>
    <w:rsid w:val="00413BCC"/>
    <w:rsid w:val="006320D3"/>
    <w:rsid w:val="00687DD8"/>
    <w:rsid w:val="006A0C0E"/>
    <w:rsid w:val="007F48BD"/>
    <w:rsid w:val="00A64260"/>
    <w:rsid w:val="00A92FB0"/>
    <w:rsid w:val="00BE099E"/>
    <w:rsid w:val="00CD5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qFormat="1"/>
    <w:lsdException w:name="footer" w:qFormat="1"/>
    <w:lsdException w:name="caption" w:uiPriority="0" w:qFormat="1"/>
    <w:lsdException w:name="footnote reference" w:qFormat="1"/>
    <w:lsdException w:name="annotation reference" w:uiPriority="0" w:qFormat="1"/>
    <w:lsdException w:name="page number" w:uiPriority="0" w:qFormat="1"/>
    <w:lsdException w:name="endnote reference" w:qFormat="1"/>
    <w:lsdException w:name="endnote text" w:qFormat="1"/>
    <w:lsdException w:name="List" w:uiPriority="0" w:qFormat="1"/>
    <w:lsdException w:name="List Number" w:uiPriority="0" w:qFormat="1"/>
    <w:lsdException w:name="List 2" w:uiPriority="0" w:qFormat="1"/>
    <w:lsdException w:name="List Number 3"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9E"/>
    <w:pPr>
      <w:widowControl w:val="0"/>
    </w:pPr>
  </w:style>
  <w:style w:type="paragraph" w:styleId="1">
    <w:name w:val="heading 1"/>
    <w:basedOn w:val="a"/>
    <w:next w:val="a"/>
    <w:link w:val="1Char"/>
    <w:qFormat/>
    <w:rsid w:val="00CD58DA"/>
    <w:pPr>
      <w:keepNext/>
      <w:keepLines/>
      <w:spacing w:before="340" w:after="330" w:line="578"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D58DA"/>
    <w:pPr>
      <w:keepNext/>
      <w:keepLines/>
      <w:spacing w:before="260" w:after="260" w:line="416" w:lineRule="auto"/>
      <w:jc w:val="both"/>
      <w:outlineLvl w:val="1"/>
    </w:pPr>
    <w:rPr>
      <w:rFonts w:ascii="Arial" w:eastAsia="黑体" w:hAnsi="Arial" w:cs="Times New Roman"/>
      <w:b/>
      <w:bCs/>
      <w:kern w:val="0"/>
      <w:sz w:val="32"/>
      <w:szCs w:val="32"/>
    </w:rPr>
  </w:style>
  <w:style w:type="paragraph" w:styleId="3">
    <w:name w:val="heading 3"/>
    <w:basedOn w:val="a"/>
    <w:next w:val="a"/>
    <w:link w:val="3Char"/>
    <w:qFormat/>
    <w:rsid w:val="00CD58DA"/>
    <w:pPr>
      <w:keepNext/>
      <w:keepLines/>
      <w:spacing w:before="260" w:after="260" w:line="416" w:lineRule="auto"/>
      <w:jc w:val="both"/>
      <w:outlineLvl w:val="2"/>
    </w:pPr>
    <w:rPr>
      <w:rFonts w:ascii="Times New Roman" w:eastAsia="宋体" w:hAnsi="Times New Roman" w:cs="Times New Roman"/>
      <w:b/>
      <w:bCs/>
      <w:kern w:val="0"/>
      <w:sz w:val="32"/>
      <w:szCs w:val="32"/>
    </w:rPr>
  </w:style>
  <w:style w:type="paragraph" w:styleId="5">
    <w:name w:val="heading 5"/>
    <w:basedOn w:val="a"/>
    <w:next w:val="a0"/>
    <w:link w:val="5Char1"/>
    <w:qFormat/>
    <w:rsid w:val="00CD58DA"/>
    <w:pPr>
      <w:keepNext/>
      <w:keepLines/>
      <w:spacing w:before="280" w:after="290" w:line="376" w:lineRule="auto"/>
      <w:jc w:val="both"/>
      <w:outlineLvl w:val="4"/>
    </w:pPr>
    <w:rPr>
      <w:rFonts w:ascii="Times New Roman" w:eastAsia="宋体" w:hAnsi="Times New Roman" w:cs="Times New Roman"/>
      <w:b/>
      <w:sz w:val="28"/>
      <w:szCs w:val="24"/>
    </w:rPr>
  </w:style>
  <w:style w:type="paragraph" w:styleId="6">
    <w:name w:val="heading 6"/>
    <w:basedOn w:val="a"/>
    <w:next w:val="a0"/>
    <w:link w:val="6Char"/>
    <w:qFormat/>
    <w:rsid w:val="00CD58DA"/>
    <w:pPr>
      <w:keepNext/>
      <w:keepLines/>
      <w:spacing w:before="240" w:after="64" w:line="320" w:lineRule="auto"/>
      <w:jc w:val="both"/>
      <w:outlineLvl w:val="5"/>
    </w:pPr>
    <w:rPr>
      <w:rFonts w:ascii="Arial" w:eastAsia="黑体" w:hAnsi="Arial" w:cs="Times New Roman"/>
      <w:b/>
      <w:sz w:val="24"/>
      <w:szCs w:val="24"/>
    </w:rPr>
  </w:style>
  <w:style w:type="paragraph" w:styleId="7">
    <w:name w:val="heading 7"/>
    <w:basedOn w:val="a"/>
    <w:next w:val="a0"/>
    <w:link w:val="7Char"/>
    <w:qFormat/>
    <w:rsid w:val="00CD58DA"/>
    <w:pPr>
      <w:keepNext/>
      <w:keepLines/>
      <w:spacing w:before="240" w:after="64" w:line="320" w:lineRule="auto"/>
      <w:jc w:val="both"/>
      <w:outlineLvl w:val="6"/>
    </w:pPr>
    <w:rPr>
      <w:rFonts w:ascii="Times New Roman" w:eastAsia="宋体" w:hAnsi="Times New Roman" w:cs="Times New Roman"/>
      <w:b/>
      <w:sz w:val="24"/>
      <w:szCs w:val="24"/>
    </w:rPr>
  </w:style>
  <w:style w:type="paragraph" w:styleId="8">
    <w:name w:val="heading 8"/>
    <w:basedOn w:val="a"/>
    <w:next w:val="a0"/>
    <w:link w:val="8Char"/>
    <w:qFormat/>
    <w:rsid w:val="00CD58DA"/>
    <w:pPr>
      <w:keepNext/>
      <w:keepLines/>
      <w:spacing w:before="240" w:after="64" w:line="320" w:lineRule="auto"/>
      <w:jc w:val="both"/>
      <w:outlineLvl w:val="7"/>
    </w:pPr>
    <w:rPr>
      <w:rFonts w:ascii="Arial" w:eastAsia="黑体" w:hAnsi="Arial" w:cs="Times New Roman"/>
      <w:sz w:val="24"/>
      <w:szCs w:val="24"/>
    </w:rPr>
  </w:style>
  <w:style w:type="paragraph" w:styleId="9">
    <w:name w:val="heading 9"/>
    <w:basedOn w:val="a"/>
    <w:next w:val="a0"/>
    <w:link w:val="9Char"/>
    <w:qFormat/>
    <w:rsid w:val="00CD58DA"/>
    <w:pPr>
      <w:keepNext/>
      <w:keepLines/>
      <w:spacing w:before="240" w:after="64" w:line="320" w:lineRule="auto"/>
      <w:jc w:val="both"/>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D58DA"/>
    <w:rPr>
      <w:rFonts w:ascii="Times New Roman" w:eastAsia="宋体" w:hAnsi="Times New Roman" w:cs="Times New Roman"/>
      <w:b/>
      <w:bCs/>
      <w:kern w:val="44"/>
      <w:sz w:val="44"/>
      <w:szCs w:val="44"/>
    </w:rPr>
  </w:style>
  <w:style w:type="character" w:customStyle="1" w:styleId="2Char">
    <w:name w:val="标题 2 Char"/>
    <w:basedOn w:val="a1"/>
    <w:link w:val="2"/>
    <w:qFormat/>
    <w:rsid w:val="00CD58DA"/>
    <w:rPr>
      <w:rFonts w:ascii="Arial" w:eastAsia="黑体" w:hAnsi="Arial" w:cs="Times New Roman"/>
      <w:b/>
      <w:bCs/>
      <w:kern w:val="0"/>
      <w:sz w:val="32"/>
      <w:szCs w:val="32"/>
    </w:rPr>
  </w:style>
  <w:style w:type="character" w:customStyle="1" w:styleId="3Char">
    <w:name w:val="标题 3 Char"/>
    <w:basedOn w:val="a1"/>
    <w:link w:val="3"/>
    <w:qFormat/>
    <w:rsid w:val="00CD58DA"/>
    <w:rPr>
      <w:rFonts w:ascii="Times New Roman" w:eastAsia="宋体" w:hAnsi="Times New Roman" w:cs="Times New Roman"/>
      <w:b/>
      <w:bCs/>
      <w:kern w:val="0"/>
      <w:sz w:val="32"/>
      <w:szCs w:val="32"/>
    </w:rPr>
  </w:style>
  <w:style w:type="character" w:customStyle="1" w:styleId="5Char">
    <w:name w:val="标题 5 Char"/>
    <w:basedOn w:val="a1"/>
    <w:link w:val="5"/>
    <w:qFormat/>
    <w:rsid w:val="00CD58DA"/>
    <w:rPr>
      <w:b/>
      <w:bCs/>
      <w:sz w:val="28"/>
      <w:szCs w:val="28"/>
    </w:rPr>
  </w:style>
  <w:style w:type="character" w:customStyle="1" w:styleId="6Char">
    <w:name w:val="标题 6 Char"/>
    <w:basedOn w:val="a1"/>
    <w:link w:val="6"/>
    <w:qFormat/>
    <w:rsid w:val="00CD58DA"/>
    <w:rPr>
      <w:rFonts w:ascii="Arial" w:eastAsia="黑体" w:hAnsi="Arial" w:cs="Times New Roman"/>
      <w:b/>
      <w:sz w:val="24"/>
      <w:szCs w:val="24"/>
    </w:rPr>
  </w:style>
  <w:style w:type="character" w:customStyle="1" w:styleId="7Char">
    <w:name w:val="标题 7 Char"/>
    <w:basedOn w:val="a1"/>
    <w:link w:val="7"/>
    <w:qFormat/>
    <w:rsid w:val="00CD58DA"/>
    <w:rPr>
      <w:rFonts w:ascii="Times New Roman" w:eastAsia="宋体" w:hAnsi="Times New Roman" w:cs="Times New Roman"/>
      <w:b/>
      <w:sz w:val="24"/>
      <w:szCs w:val="24"/>
    </w:rPr>
  </w:style>
  <w:style w:type="character" w:customStyle="1" w:styleId="8Char">
    <w:name w:val="标题 8 Char"/>
    <w:basedOn w:val="a1"/>
    <w:link w:val="8"/>
    <w:qFormat/>
    <w:rsid w:val="00CD58DA"/>
    <w:rPr>
      <w:rFonts w:ascii="Arial" w:eastAsia="黑体" w:hAnsi="Arial" w:cs="Times New Roman"/>
      <w:sz w:val="24"/>
      <w:szCs w:val="24"/>
    </w:rPr>
  </w:style>
  <w:style w:type="character" w:customStyle="1" w:styleId="9Char">
    <w:name w:val="标题 9 Char"/>
    <w:basedOn w:val="a1"/>
    <w:link w:val="9"/>
    <w:qFormat/>
    <w:rsid w:val="00CD58DA"/>
    <w:rPr>
      <w:rFonts w:ascii="Arial" w:eastAsia="黑体" w:hAnsi="Arial" w:cs="Times New Roman"/>
      <w:szCs w:val="24"/>
    </w:rPr>
  </w:style>
  <w:style w:type="numbering" w:customStyle="1" w:styleId="10">
    <w:name w:val="无列表1"/>
    <w:next w:val="a3"/>
    <w:uiPriority w:val="99"/>
    <w:semiHidden/>
    <w:unhideWhenUsed/>
    <w:rsid w:val="00CD58DA"/>
  </w:style>
  <w:style w:type="paragraph" w:styleId="a4">
    <w:name w:val="Body Text"/>
    <w:basedOn w:val="a"/>
    <w:link w:val="Char"/>
    <w:uiPriority w:val="99"/>
    <w:qFormat/>
    <w:rsid w:val="00CD58DA"/>
    <w:pPr>
      <w:spacing w:line="380" w:lineRule="exact"/>
      <w:jc w:val="both"/>
    </w:pPr>
    <w:rPr>
      <w:rFonts w:ascii="Times New Roman" w:eastAsia="宋体" w:hAnsi="Times New Roman" w:cs="Times New Roman"/>
      <w:kern w:val="0"/>
      <w:sz w:val="24"/>
      <w:szCs w:val="24"/>
    </w:rPr>
  </w:style>
  <w:style w:type="character" w:customStyle="1" w:styleId="Char">
    <w:name w:val="正文文本 Char"/>
    <w:basedOn w:val="a1"/>
    <w:link w:val="a4"/>
    <w:uiPriority w:val="99"/>
    <w:qFormat/>
    <w:rsid w:val="00CD58DA"/>
    <w:rPr>
      <w:rFonts w:ascii="Times New Roman" w:eastAsia="宋体" w:hAnsi="Times New Roman" w:cs="Times New Roman"/>
      <w:kern w:val="0"/>
      <w:sz w:val="24"/>
      <w:szCs w:val="24"/>
    </w:rPr>
  </w:style>
  <w:style w:type="paragraph" w:styleId="a0">
    <w:name w:val="Normal Indent"/>
    <w:basedOn w:val="a"/>
    <w:uiPriority w:val="99"/>
    <w:qFormat/>
    <w:rsid w:val="00CD58DA"/>
    <w:pPr>
      <w:ind w:firstLine="420"/>
      <w:jc w:val="both"/>
    </w:pPr>
    <w:rPr>
      <w:rFonts w:ascii="Times New Roman" w:eastAsia="宋体" w:hAnsi="Times New Roman" w:cs="Times New Roman"/>
      <w:szCs w:val="20"/>
    </w:rPr>
  </w:style>
  <w:style w:type="paragraph" w:styleId="70">
    <w:name w:val="toc 7"/>
    <w:basedOn w:val="a"/>
    <w:next w:val="a"/>
    <w:uiPriority w:val="39"/>
    <w:unhideWhenUsed/>
    <w:qFormat/>
    <w:rsid w:val="00CD58DA"/>
    <w:pPr>
      <w:ind w:leftChars="1200" w:left="2520"/>
      <w:jc w:val="both"/>
    </w:pPr>
    <w:rPr>
      <w:rFonts w:ascii="Calibri" w:eastAsia="宋体" w:hAnsi="Calibri" w:cs="Times New Roman"/>
    </w:rPr>
  </w:style>
  <w:style w:type="paragraph" w:styleId="a5">
    <w:name w:val="List Number"/>
    <w:basedOn w:val="a"/>
    <w:qFormat/>
    <w:rsid w:val="00CD58DA"/>
    <w:pPr>
      <w:widowControl/>
      <w:tabs>
        <w:tab w:val="left" w:pos="454"/>
        <w:tab w:val="left" w:pos="720"/>
        <w:tab w:val="left" w:pos="840"/>
      </w:tabs>
      <w:spacing w:afterLines="50"/>
      <w:ind w:left="454" w:hanging="284"/>
    </w:pPr>
    <w:rPr>
      <w:rFonts w:ascii="Times New Roman" w:eastAsia="宋体" w:hAnsi="Times New Roman" w:cs="Times New Roman"/>
      <w:kern w:val="0"/>
      <w:sz w:val="24"/>
      <w:szCs w:val="20"/>
    </w:rPr>
  </w:style>
  <w:style w:type="paragraph" w:styleId="a6">
    <w:name w:val="caption"/>
    <w:basedOn w:val="a"/>
    <w:next w:val="a"/>
    <w:qFormat/>
    <w:rsid w:val="00CD58DA"/>
    <w:pPr>
      <w:spacing w:before="152" w:after="160"/>
      <w:jc w:val="both"/>
    </w:pPr>
    <w:rPr>
      <w:rFonts w:ascii="Arial" w:eastAsia="黑体" w:hAnsi="Arial" w:cs="Arial"/>
      <w:sz w:val="20"/>
      <w:szCs w:val="20"/>
    </w:rPr>
  </w:style>
  <w:style w:type="paragraph" w:styleId="a7">
    <w:name w:val="Document Map"/>
    <w:basedOn w:val="a"/>
    <w:link w:val="Char0"/>
    <w:unhideWhenUsed/>
    <w:qFormat/>
    <w:rsid w:val="00CD58DA"/>
    <w:pPr>
      <w:shd w:val="clear" w:color="auto" w:fill="000080"/>
      <w:jc w:val="both"/>
    </w:pPr>
    <w:rPr>
      <w:rFonts w:ascii="宋体" w:eastAsia="宋体" w:hAnsi="宋体" w:cs="Times New Roman" w:hint="eastAsia"/>
      <w:kern w:val="0"/>
      <w:sz w:val="20"/>
      <w:szCs w:val="20"/>
    </w:rPr>
  </w:style>
  <w:style w:type="character" w:customStyle="1" w:styleId="Char0">
    <w:name w:val="文档结构图 Char"/>
    <w:basedOn w:val="a1"/>
    <w:link w:val="a7"/>
    <w:qFormat/>
    <w:rsid w:val="00CD58DA"/>
    <w:rPr>
      <w:rFonts w:ascii="宋体" w:eastAsia="宋体" w:hAnsi="宋体" w:cs="Times New Roman"/>
      <w:kern w:val="0"/>
      <w:sz w:val="20"/>
      <w:szCs w:val="20"/>
      <w:shd w:val="clear" w:color="auto" w:fill="000080"/>
    </w:rPr>
  </w:style>
  <w:style w:type="paragraph" w:styleId="a8">
    <w:name w:val="annotation text"/>
    <w:basedOn w:val="a"/>
    <w:link w:val="Char2"/>
    <w:unhideWhenUsed/>
    <w:qFormat/>
    <w:rsid w:val="00CD58DA"/>
    <w:rPr>
      <w:rFonts w:ascii="Times New Roman" w:eastAsia="宋体" w:hAnsi="Times New Roman" w:cs="Times New Roman"/>
      <w:szCs w:val="24"/>
    </w:rPr>
  </w:style>
  <w:style w:type="character" w:customStyle="1" w:styleId="Char1">
    <w:name w:val="批注文字 Char"/>
    <w:basedOn w:val="a1"/>
    <w:link w:val="a8"/>
    <w:uiPriority w:val="99"/>
    <w:qFormat/>
    <w:rsid w:val="00CD58DA"/>
  </w:style>
  <w:style w:type="paragraph" w:styleId="30">
    <w:name w:val="Body Text 3"/>
    <w:basedOn w:val="a"/>
    <w:link w:val="3Char0"/>
    <w:qFormat/>
    <w:rsid w:val="00CD58DA"/>
    <w:pPr>
      <w:spacing w:line="500" w:lineRule="exact"/>
      <w:jc w:val="both"/>
    </w:pPr>
    <w:rPr>
      <w:rFonts w:ascii="Times New Roman" w:eastAsia="宋体" w:hAnsi="Times New Roman" w:cs="Times New Roman"/>
      <w:b/>
      <w:bCs/>
      <w:kern w:val="0"/>
      <w:sz w:val="24"/>
      <w:szCs w:val="24"/>
    </w:rPr>
  </w:style>
  <w:style w:type="character" w:customStyle="1" w:styleId="3Char0">
    <w:name w:val="正文文本 3 Char"/>
    <w:basedOn w:val="a1"/>
    <w:link w:val="30"/>
    <w:qFormat/>
    <w:rsid w:val="00CD58DA"/>
    <w:rPr>
      <w:rFonts w:ascii="Times New Roman" w:eastAsia="宋体" w:hAnsi="Times New Roman" w:cs="Times New Roman"/>
      <w:b/>
      <w:bCs/>
      <w:kern w:val="0"/>
      <w:sz w:val="24"/>
      <w:szCs w:val="24"/>
    </w:rPr>
  </w:style>
  <w:style w:type="paragraph" w:styleId="a9">
    <w:name w:val="Body Text Indent"/>
    <w:basedOn w:val="a"/>
    <w:link w:val="Char3"/>
    <w:qFormat/>
    <w:rsid w:val="00CD58DA"/>
    <w:pPr>
      <w:ind w:firstLineChars="352" w:firstLine="830"/>
      <w:jc w:val="both"/>
    </w:pPr>
    <w:rPr>
      <w:rFonts w:ascii="仿宋_GB2312" w:eastAsia="仿宋_GB2312" w:hAnsi="Times New Roman" w:cs="Times New Roman"/>
      <w:kern w:val="0"/>
      <w:sz w:val="32"/>
      <w:szCs w:val="20"/>
    </w:rPr>
  </w:style>
  <w:style w:type="character" w:customStyle="1" w:styleId="Char3">
    <w:name w:val="正文文本缩进 Char"/>
    <w:basedOn w:val="a1"/>
    <w:link w:val="a9"/>
    <w:qFormat/>
    <w:rsid w:val="00CD58DA"/>
    <w:rPr>
      <w:rFonts w:ascii="仿宋_GB2312" w:eastAsia="仿宋_GB2312" w:hAnsi="Times New Roman" w:cs="Times New Roman"/>
      <w:kern w:val="0"/>
      <w:sz w:val="32"/>
      <w:szCs w:val="20"/>
    </w:rPr>
  </w:style>
  <w:style w:type="paragraph" w:styleId="31">
    <w:name w:val="List Number 3"/>
    <w:basedOn w:val="a"/>
    <w:qFormat/>
    <w:rsid w:val="00CD58DA"/>
    <w:pPr>
      <w:tabs>
        <w:tab w:val="left" w:pos="1200"/>
      </w:tabs>
      <w:ind w:left="1200" w:hanging="360"/>
      <w:jc w:val="both"/>
    </w:pPr>
    <w:rPr>
      <w:rFonts w:ascii="Times New Roman" w:eastAsia="宋体" w:hAnsi="Times New Roman" w:cs="Times New Roman"/>
      <w:szCs w:val="24"/>
    </w:rPr>
  </w:style>
  <w:style w:type="paragraph" w:styleId="20">
    <w:name w:val="List 2"/>
    <w:basedOn w:val="a"/>
    <w:qFormat/>
    <w:rsid w:val="00CD58DA"/>
    <w:pPr>
      <w:ind w:leftChars="200" w:left="100" w:hangingChars="200" w:hanging="200"/>
      <w:jc w:val="both"/>
    </w:pPr>
    <w:rPr>
      <w:rFonts w:ascii="Times New Roman" w:eastAsia="宋体" w:hAnsi="Times New Roman" w:cs="Times New Roman"/>
      <w:sz w:val="28"/>
      <w:szCs w:val="24"/>
    </w:rPr>
  </w:style>
  <w:style w:type="paragraph" w:styleId="50">
    <w:name w:val="toc 5"/>
    <w:basedOn w:val="a"/>
    <w:next w:val="a"/>
    <w:uiPriority w:val="39"/>
    <w:unhideWhenUsed/>
    <w:qFormat/>
    <w:rsid w:val="00CD58DA"/>
    <w:pPr>
      <w:ind w:leftChars="800" w:left="1680"/>
      <w:jc w:val="both"/>
    </w:pPr>
    <w:rPr>
      <w:rFonts w:ascii="Calibri" w:eastAsia="宋体" w:hAnsi="Calibri" w:cs="Times New Roman"/>
    </w:rPr>
  </w:style>
  <w:style w:type="paragraph" w:styleId="32">
    <w:name w:val="toc 3"/>
    <w:basedOn w:val="a"/>
    <w:next w:val="a"/>
    <w:uiPriority w:val="39"/>
    <w:unhideWhenUsed/>
    <w:qFormat/>
    <w:rsid w:val="00CD58DA"/>
    <w:pPr>
      <w:ind w:leftChars="400" w:left="840"/>
      <w:jc w:val="both"/>
    </w:pPr>
    <w:rPr>
      <w:rFonts w:ascii="Calibri" w:eastAsia="宋体" w:hAnsi="Calibri" w:cs="Times New Roman"/>
    </w:rPr>
  </w:style>
  <w:style w:type="paragraph" w:styleId="aa">
    <w:name w:val="Plain Text"/>
    <w:basedOn w:val="a"/>
    <w:link w:val="Char10"/>
    <w:qFormat/>
    <w:rsid w:val="00CD58DA"/>
    <w:pPr>
      <w:jc w:val="both"/>
    </w:pPr>
    <w:rPr>
      <w:rFonts w:ascii="宋体" w:eastAsia="宋体" w:hAnsi="Courier New" w:cs="Times New Roman"/>
      <w:kern w:val="0"/>
      <w:sz w:val="20"/>
      <w:szCs w:val="21"/>
    </w:rPr>
  </w:style>
  <w:style w:type="character" w:customStyle="1" w:styleId="Char4">
    <w:name w:val="纯文本 Char"/>
    <w:basedOn w:val="a1"/>
    <w:link w:val="aa"/>
    <w:qFormat/>
    <w:rsid w:val="00CD58DA"/>
    <w:rPr>
      <w:rFonts w:ascii="宋体" w:eastAsia="宋体" w:hAnsi="Courier New" w:cs="Courier New"/>
      <w:szCs w:val="21"/>
    </w:rPr>
  </w:style>
  <w:style w:type="paragraph" w:styleId="80">
    <w:name w:val="toc 8"/>
    <w:basedOn w:val="a"/>
    <w:next w:val="a"/>
    <w:uiPriority w:val="39"/>
    <w:unhideWhenUsed/>
    <w:qFormat/>
    <w:rsid w:val="00CD58DA"/>
    <w:pPr>
      <w:ind w:leftChars="1400" w:left="2940"/>
      <w:jc w:val="both"/>
    </w:pPr>
    <w:rPr>
      <w:rFonts w:ascii="Calibri" w:eastAsia="宋体" w:hAnsi="Calibri" w:cs="Times New Roman"/>
    </w:rPr>
  </w:style>
  <w:style w:type="paragraph" w:styleId="ab">
    <w:name w:val="Date"/>
    <w:basedOn w:val="a"/>
    <w:next w:val="a"/>
    <w:link w:val="Char5"/>
    <w:qFormat/>
    <w:rsid w:val="00CD58DA"/>
    <w:pPr>
      <w:ind w:leftChars="2500" w:left="100"/>
      <w:jc w:val="both"/>
    </w:pPr>
    <w:rPr>
      <w:rFonts w:ascii="宋体" w:eastAsia="宋体" w:hAnsi="Courier New" w:cs="Times New Roman"/>
      <w:kern w:val="0"/>
      <w:sz w:val="20"/>
      <w:szCs w:val="21"/>
    </w:rPr>
  </w:style>
  <w:style w:type="character" w:customStyle="1" w:styleId="Char5">
    <w:name w:val="日期 Char"/>
    <w:basedOn w:val="a1"/>
    <w:link w:val="ab"/>
    <w:qFormat/>
    <w:rsid w:val="00CD58DA"/>
    <w:rPr>
      <w:rFonts w:ascii="宋体" w:eastAsia="宋体" w:hAnsi="Courier New" w:cs="Times New Roman"/>
      <w:kern w:val="0"/>
      <w:sz w:val="20"/>
      <w:szCs w:val="21"/>
    </w:rPr>
  </w:style>
  <w:style w:type="paragraph" w:styleId="21">
    <w:name w:val="Body Text Indent 2"/>
    <w:basedOn w:val="a"/>
    <w:link w:val="2Char0"/>
    <w:qFormat/>
    <w:rsid w:val="00CD58DA"/>
    <w:pPr>
      <w:ind w:firstLine="630"/>
      <w:jc w:val="both"/>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CD58DA"/>
    <w:rPr>
      <w:rFonts w:ascii="Times New Roman" w:eastAsia="宋体" w:hAnsi="Times New Roman" w:cs="Times New Roman"/>
      <w:kern w:val="0"/>
      <w:sz w:val="32"/>
      <w:szCs w:val="20"/>
    </w:rPr>
  </w:style>
  <w:style w:type="paragraph" w:styleId="ac">
    <w:name w:val="endnote text"/>
    <w:basedOn w:val="a"/>
    <w:link w:val="Char6"/>
    <w:uiPriority w:val="99"/>
    <w:unhideWhenUsed/>
    <w:qFormat/>
    <w:rsid w:val="00CD58DA"/>
    <w:pPr>
      <w:snapToGrid w:val="0"/>
    </w:pPr>
    <w:rPr>
      <w:rFonts w:ascii="Times New Roman" w:eastAsia="宋体" w:hAnsi="Times New Roman" w:cs="Times New Roman"/>
      <w:szCs w:val="24"/>
    </w:rPr>
  </w:style>
  <w:style w:type="character" w:customStyle="1" w:styleId="Char6">
    <w:name w:val="尾注文本 Char"/>
    <w:basedOn w:val="a1"/>
    <w:link w:val="ac"/>
    <w:uiPriority w:val="99"/>
    <w:qFormat/>
    <w:rsid w:val="00CD58DA"/>
    <w:rPr>
      <w:rFonts w:ascii="Times New Roman" w:eastAsia="宋体" w:hAnsi="Times New Roman" w:cs="Times New Roman"/>
      <w:szCs w:val="24"/>
    </w:rPr>
  </w:style>
  <w:style w:type="paragraph" w:styleId="ad">
    <w:name w:val="Balloon Text"/>
    <w:basedOn w:val="a"/>
    <w:link w:val="Char7"/>
    <w:semiHidden/>
    <w:qFormat/>
    <w:rsid w:val="00CD58DA"/>
    <w:pPr>
      <w:jc w:val="both"/>
    </w:pPr>
    <w:rPr>
      <w:rFonts w:ascii="Times New Roman" w:eastAsia="宋体" w:hAnsi="Times New Roman" w:cs="Times New Roman"/>
      <w:kern w:val="0"/>
      <w:sz w:val="18"/>
      <w:szCs w:val="18"/>
    </w:rPr>
  </w:style>
  <w:style w:type="character" w:customStyle="1" w:styleId="Char7">
    <w:name w:val="批注框文本 Char"/>
    <w:basedOn w:val="a1"/>
    <w:link w:val="ad"/>
    <w:semiHidden/>
    <w:qFormat/>
    <w:rsid w:val="00CD58DA"/>
    <w:rPr>
      <w:rFonts w:ascii="Times New Roman" w:eastAsia="宋体" w:hAnsi="Times New Roman" w:cs="Times New Roman"/>
      <w:kern w:val="0"/>
      <w:sz w:val="18"/>
      <w:szCs w:val="18"/>
    </w:rPr>
  </w:style>
  <w:style w:type="paragraph" w:styleId="ae">
    <w:name w:val="footer"/>
    <w:basedOn w:val="a"/>
    <w:link w:val="Char8"/>
    <w:uiPriority w:val="99"/>
    <w:unhideWhenUsed/>
    <w:qFormat/>
    <w:rsid w:val="00CD58DA"/>
    <w:pPr>
      <w:tabs>
        <w:tab w:val="center" w:pos="4153"/>
        <w:tab w:val="right" w:pos="8306"/>
      </w:tabs>
      <w:snapToGrid w:val="0"/>
    </w:pPr>
    <w:rPr>
      <w:rFonts w:ascii="Times New Roman" w:eastAsia="宋体" w:hAnsi="Times New Roman" w:cs="Times New Roman"/>
      <w:kern w:val="0"/>
      <w:sz w:val="18"/>
      <w:szCs w:val="18"/>
    </w:rPr>
  </w:style>
  <w:style w:type="character" w:customStyle="1" w:styleId="Char8">
    <w:name w:val="页脚 Char"/>
    <w:basedOn w:val="a1"/>
    <w:link w:val="ae"/>
    <w:uiPriority w:val="99"/>
    <w:qFormat/>
    <w:rsid w:val="00CD58DA"/>
    <w:rPr>
      <w:rFonts w:ascii="Times New Roman" w:eastAsia="宋体" w:hAnsi="Times New Roman" w:cs="Times New Roman"/>
      <w:kern w:val="0"/>
      <w:sz w:val="18"/>
      <w:szCs w:val="18"/>
    </w:rPr>
  </w:style>
  <w:style w:type="paragraph" w:styleId="af">
    <w:name w:val="header"/>
    <w:basedOn w:val="a"/>
    <w:link w:val="Char9"/>
    <w:uiPriority w:val="99"/>
    <w:unhideWhenUsed/>
    <w:qFormat/>
    <w:rsid w:val="00CD58DA"/>
    <w:pPr>
      <w:pBdr>
        <w:bottom w:val="single" w:sz="6" w:space="1" w:color="auto"/>
      </w:pBdr>
      <w:tabs>
        <w:tab w:val="center" w:pos="0"/>
        <w:tab w:val="left" w:pos="8306"/>
      </w:tabs>
      <w:snapToGrid w:val="0"/>
      <w:jc w:val="center"/>
    </w:pPr>
    <w:rPr>
      <w:rFonts w:ascii="Times New Roman" w:eastAsia="宋体" w:hAnsi="Times New Roman" w:cs="Times New Roman"/>
      <w:sz w:val="18"/>
      <w:szCs w:val="18"/>
    </w:rPr>
  </w:style>
  <w:style w:type="character" w:customStyle="1" w:styleId="Char9">
    <w:name w:val="页眉 Char"/>
    <w:basedOn w:val="a1"/>
    <w:link w:val="af"/>
    <w:uiPriority w:val="99"/>
    <w:qFormat/>
    <w:rsid w:val="00CD58DA"/>
    <w:rPr>
      <w:rFonts w:ascii="Times New Roman" w:eastAsia="宋体" w:hAnsi="Times New Roman" w:cs="Times New Roman"/>
      <w:sz w:val="18"/>
      <w:szCs w:val="18"/>
    </w:rPr>
  </w:style>
  <w:style w:type="paragraph" w:styleId="11">
    <w:name w:val="toc 1"/>
    <w:basedOn w:val="a"/>
    <w:next w:val="a"/>
    <w:uiPriority w:val="39"/>
    <w:qFormat/>
    <w:rsid w:val="00CD58DA"/>
    <w:pPr>
      <w:tabs>
        <w:tab w:val="right" w:leader="dot" w:pos="8398"/>
      </w:tabs>
      <w:spacing w:before="120" w:after="120"/>
      <w:ind w:firstLineChars="100" w:firstLine="240"/>
    </w:pPr>
    <w:rPr>
      <w:rFonts w:ascii="宋体" w:eastAsia="宋体" w:hAnsi="宋体" w:cs="Times New Roman"/>
      <w:b/>
      <w:bCs/>
      <w:caps/>
      <w:sz w:val="24"/>
      <w:szCs w:val="24"/>
    </w:rPr>
  </w:style>
  <w:style w:type="paragraph" w:styleId="4">
    <w:name w:val="toc 4"/>
    <w:basedOn w:val="a"/>
    <w:next w:val="a"/>
    <w:uiPriority w:val="39"/>
    <w:unhideWhenUsed/>
    <w:qFormat/>
    <w:rsid w:val="00CD58DA"/>
    <w:pPr>
      <w:ind w:leftChars="600" w:left="1260"/>
      <w:jc w:val="both"/>
    </w:pPr>
    <w:rPr>
      <w:rFonts w:ascii="Calibri" w:eastAsia="宋体" w:hAnsi="Calibri" w:cs="Times New Roman"/>
    </w:rPr>
  </w:style>
  <w:style w:type="paragraph" w:styleId="af0">
    <w:name w:val="List"/>
    <w:basedOn w:val="a"/>
    <w:qFormat/>
    <w:rsid w:val="00CD58DA"/>
    <w:pPr>
      <w:ind w:left="200" w:hangingChars="200" w:hanging="200"/>
      <w:jc w:val="both"/>
    </w:pPr>
    <w:rPr>
      <w:rFonts w:ascii="Times New Roman" w:eastAsia="宋体" w:hAnsi="Times New Roman" w:cs="Times New Roman"/>
      <w:sz w:val="28"/>
      <w:szCs w:val="24"/>
    </w:rPr>
  </w:style>
  <w:style w:type="paragraph" w:styleId="af1">
    <w:name w:val="footnote text"/>
    <w:basedOn w:val="a"/>
    <w:link w:val="Chara"/>
    <w:uiPriority w:val="99"/>
    <w:unhideWhenUsed/>
    <w:qFormat/>
    <w:rsid w:val="00CD58DA"/>
    <w:pPr>
      <w:snapToGrid w:val="0"/>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CD58DA"/>
    <w:rPr>
      <w:rFonts w:ascii="Times New Roman" w:eastAsia="宋体" w:hAnsi="Times New Roman" w:cs="Times New Roman"/>
      <w:sz w:val="18"/>
      <w:szCs w:val="18"/>
    </w:rPr>
  </w:style>
  <w:style w:type="paragraph" w:styleId="60">
    <w:name w:val="toc 6"/>
    <w:basedOn w:val="a"/>
    <w:next w:val="a"/>
    <w:uiPriority w:val="39"/>
    <w:unhideWhenUsed/>
    <w:qFormat/>
    <w:rsid w:val="00CD58DA"/>
    <w:pPr>
      <w:ind w:leftChars="1000" w:left="2100"/>
      <w:jc w:val="both"/>
    </w:pPr>
    <w:rPr>
      <w:rFonts w:ascii="Calibri" w:eastAsia="宋体" w:hAnsi="Calibri" w:cs="Times New Roman"/>
    </w:rPr>
  </w:style>
  <w:style w:type="paragraph" w:styleId="33">
    <w:name w:val="Body Text Indent 3"/>
    <w:basedOn w:val="a"/>
    <w:link w:val="3Char1"/>
    <w:uiPriority w:val="99"/>
    <w:qFormat/>
    <w:rsid w:val="00CD58DA"/>
    <w:pPr>
      <w:spacing w:after="120"/>
      <w:ind w:leftChars="200" w:left="420"/>
      <w:jc w:val="both"/>
    </w:pPr>
    <w:rPr>
      <w:rFonts w:ascii="Times New Roman" w:eastAsia="宋体" w:hAnsi="Times New Roman" w:cs="Times New Roman"/>
      <w:kern w:val="0"/>
      <w:sz w:val="16"/>
      <w:szCs w:val="16"/>
    </w:rPr>
  </w:style>
  <w:style w:type="character" w:customStyle="1" w:styleId="3Char1">
    <w:name w:val="正文文本缩进 3 Char"/>
    <w:basedOn w:val="a1"/>
    <w:link w:val="33"/>
    <w:uiPriority w:val="99"/>
    <w:qFormat/>
    <w:rsid w:val="00CD58DA"/>
    <w:rPr>
      <w:rFonts w:ascii="Times New Roman" w:eastAsia="宋体" w:hAnsi="Times New Roman" w:cs="Times New Roman"/>
      <w:kern w:val="0"/>
      <w:sz w:val="16"/>
      <w:szCs w:val="16"/>
    </w:rPr>
  </w:style>
  <w:style w:type="paragraph" w:styleId="22">
    <w:name w:val="toc 2"/>
    <w:basedOn w:val="a"/>
    <w:next w:val="a"/>
    <w:uiPriority w:val="39"/>
    <w:unhideWhenUsed/>
    <w:qFormat/>
    <w:rsid w:val="00CD58DA"/>
    <w:pPr>
      <w:ind w:leftChars="200" w:left="420"/>
      <w:jc w:val="both"/>
    </w:pPr>
    <w:rPr>
      <w:rFonts w:ascii="Times New Roman" w:eastAsia="宋体" w:hAnsi="Times New Roman" w:cs="Times New Roman"/>
      <w:szCs w:val="24"/>
    </w:rPr>
  </w:style>
  <w:style w:type="paragraph" w:styleId="90">
    <w:name w:val="toc 9"/>
    <w:basedOn w:val="a"/>
    <w:next w:val="a"/>
    <w:uiPriority w:val="39"/>
    <w:unhideWhenUsed/>
    <w:qFormat/>
    <w:rsid w:val="00CD58DA"/>
    <w:pPr>
      <w:ind w:leftChars="1600" w:left="3360"/>
      <w:jc w:val="both"/>
    </w:pPr>
    <w:rPr>
      <w:rFonts w:ascii="Calibri" w:eastAsia="宋体" w:hAnsi="Calibri" w:cs="Times New Roman"/>
    </w:rPr>
  </w:style>
  <w:style w:type="paragraph" w:styleId="23">
    <w:name w:val="Body Text 2"/>
    <w:basedOn w:val="a"/>
    <w:link w:val="2Char1"/>
    <w:qFormat/>
    <w:rsid w:val="00CD58DA"/>
    <w:pPr>
      <w:spacing w:after="120" w:line="480" w:lineRule="auto"/>
      <w:jc w:val="both"/>
    </w:pPr>
    <w:rPr>
      <w:rFonts w:ascii="Times New Roman" w:eastAsia="宋体" w:hAnsi="Times New Roman" w:cs="Times New Roman"/>
      <w:kern w:val="0"/>
      <w:sz w:val="20"/>
      <w:szCs w:val="24"/>
    </w:rPr>
  </w:style>
  <w:style w:type="character" w:customStyle="1" w:styleId="2Char1">
    <w:name w:val="正文文本 2 Char"/>
    <w:basedOn w:val="a1"/>
    <w:link w:val="23"/>
    <w:qFormat/>
    <w:rsid w:val="00CD58DA"/>
    <w:rPr>
      <w:rFonts w:ascii="Times New Roman" w:eastAsia="宋体" w:hAnsi="Times New Roman" w:cs="Times New Roman"/>
      <w:kern w:val="0"/>
      <w:sz w:val="20"/>
      <w:szCs w:val="24"/>
    </w:rPr>
  </w:style>
  <w:style w:type="paragraph" w:styleId="af2">
    <w:name w:val="Normal (Web)"/>
    <w:basedOn w:val="a"/>
    <w:uiPriority w:val="99"/>
    <w:qFormat/>
    <w:rsid w:val="00CD58DA"/>
    <w:pPr>
      <w:widowControl/>
      <w:spacing w:before="100" w:beforeAutospacing="1" w:after="100" w:afterAutospacing="1"/>
    </w:pPr>
    <w:rPr>
      <w:rFonts w:ascii="宋体" w:eastAsia="宋体" w:hAnsi="宋体" w:cs="Times New Roman"/>
      <w:kern w:val="0"/>
      <w:sz w:val="24"/>
      <w:szCs w:val="24"/>
    </w:rPr>
  </w:style>
  <w:style w:type="paragraph" w:styleId="12">
    <w:name w:val="index 1"/>
    <w:basedOn w:val="a"/>
    <w:next w:val="a"/>
    <w:semiHidden/>
    <w:qFormat/>
    <w:rsid w:val="00CD58DA"/>
    <w:pPr>
      <w:spacing w:line="400" w:lineRule="exact"/>
      <w:ind w:firstLineChars="200" w:firstLine="420"/>
      <w:jc w:val="both"/>
    </w:pPr>
    <w:rPr>
      <w:rFonts w:ascii="宋体" w:eastAsia="宋体" w:hAnsi="Courier New" w:cs="Times New Roman"/>
      <w:b/>
      <w:szCs w:val="20"/>
    </w:rPr>
  </w:style>
  <w:style w:type="paragraph" w:styleId="af3">
    <w:name w:val="Title"/>
    <w:basedOn w:val="a"/>
    <w:next w:val="a"/>
    <w:link w:val="Charb"/>
    <w:uiPriority w:val="10"/>
    <w:qFormat/>
    <w:rsid w:val="00CD58DA"/>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CD58DA"/>
    <w:rPr>
      <w:rFonts w:ascii="Cambria" w:eastAsia="宋体" w:hAnsi="Cambria" w:cs="Times New Roman"/>
      <w:b/>
      <w:bCs/>
      <w:sz w:val="32"/>
      <w:szCs w:val="32"/>
    </w:rPr>
  </w:style>
  <w:style w:type="paragraph" w:styleId="af4">
    <w:name w:val="annotation subject"/>
    <w:basedOn w:val="a8"/>
    <w:next w:val="a8"/>
    <w:link w:val="Charc"/>
    <w:uiPriority w:val="99"/>
    <w:unhideWhenUsed/>
    <w:qFormat/>
    <w:rsid w:val="00CD58DA"/>
    <w:rPr>
      <w:b/>
      <w:bCs/>
    </w:rPr>
  </w:style>
  <w:style w:type="character" w:customStyle="1" w:styleId="Charc">
    <w:name w:val="批注主题 Char"/>
    <w:basedOn w:val="Char1"/>
    <w:link w:val="af4"/>
    <w:uiPriority w:val="99"/>
    <w:qFormat/>
    <w:rsid w:val="00CD58DA"/>
    <w:rPr>
      <w:rFonts w:ascii="Times New Roman" w:eastAsia="宋体" w:hAnsi="Times New Roman" w:cs="Times New Roman"/>
      <w:b/>
      <w:bCs/>
      <w:szCs w:val="24"/>
    </w:rPr>
  </w:style>
  <w:style w:type="table" w:styleId="af5">
    <w:name w:val="Table Grid"/>
    <w:basedOn w:val="a2"/>
    <w:qFormat/>
    <w:rsid w:val="00CD58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uiPriority w:val="99"/>
    <w:unhideWhenUsed/>
    <w:qFormat/>
    <w:rsid w:val="00CD58DA"/>
    <w:rPr>
      <w:vertAlign w:val="superscript"/>
    </w:rPr>
  </w:style>
  <w:style w:type="character" w:styleId="af7">
    <w:name w:val="page number"/>
    <w:qFormat/>
    <w:rsid w:val="00CD58DA"/>
  </w:style>
  <w:style w:type="character" w:styleId="af8">
    <w:name w:val="FollowedHyperlink"/>
    <w:qFormat/>
    <w:rsid w:val="00CD58DA"/>
    <w:rPr>
      <w:color w:val="800080"/>
      <w:u w:val="single"/>
    </w:rPr>
  </w:style>
  <w:style w:type="character" w:styleId="af9">
    <w:name w:val="Hyperlink"/>
    <w:uiPriority w:val="99"/>
    <w:qFormat/>
    <w:rsid w:val="00CD58DA"/>
    <w:rPr>
      <w:color w:val="0000FF"/>
      <w:u w:val="single"/>
    </w:rPr>
  </w:style>
  <w:style w:type="character" w:styleId="afa">
    <w:name w:val="annotation reference"/>
    <w:unhideWhenUsed/>
    <w:qFormat/>
    <w:rsid w:val="00CD58DA"/>
    <w:rPr>
      <w:sz w:val="21"/>
      <w:szCs w:val="21"/>
    </w:rPr>
  </w:style>
  <w:style w:type="character" w:styleId="afb">
    <w:name w:val="footnote reference"/>
    <w:uiPriority w:val="99"/>
    <w:unhideWhenUsed/>
    <w:qFormat/>
    <w:rsid w:val="00CD58DA"/>
    <w:rPr>
      <w:vertAlign w:val="superscript"/>
    </w:rPr>
  </w:style>
  <w:style w:type="character" w:customStyle="1" w:styleId="5Char1">
    <w:name w:val="标题 5 Char1"/>
    <w:link w:val="5"/>
    <w:qFormat/>
    <w:rsid w:val="00CD58DA"/>
    <w:rPr>
      <w:rFonts w:ascii="Times New Roman" w:eastAsia="宋体" w:hAnsi="Times New Roman" w:cs="Times New Roman"/>
      <w:b/>
      <w:sz w:val="28"/>
      <w:szCs w:val="24"/>
    </w:rPr>
  </w:style>
  <w:style w:type="character" w:customStyle="1" w:styleId="Char2">
    <w:name w:val="批注文字 Char2"/>
    <w:link w:val="a8"/>
    <w:qFormat/>
    <w:rsid w:val="00CD58DA"/>
    <w:rPr>
      <w:rFonts w:ascii="Times New Roman" w:eastAsia="宋体" w:hAnsi="Times New Roman" w:cs="Times New Roman"/>
      <w:szCs w:val="24"/>
    </w:rPr>
  </w:style>
  <w:style w:type="character" w:customStyle="1" w:styleId="Char10">
    <w:name w:val="纯文本 Char1"/>
    <w:link w:val="aa"/>
    <w:qFormat/>
    <w:rsid w:val="00CD58DA"/>
    <w:rPr>
      <w:rFonts w:ascii="宋体" w:eastAsia="宋体" w:hAnsi="Courier New" w:cs="Times New Roman"/>
      <w:kern w:val="0"/>
      <w:sz w:val="20"/>
      <w:szCs w:val="21"/>
    </w:rPr>
  </w:style>
  <w:style w:type="character" w:customStyle="1" w:styleId="Char11">
    <w:name w:val="批注文字 Char1"/>
    <w:semiHidden/>
    <w:qFormat/>
    <w:locked/>
    <w:rsid w:val="00CD58DA"/>
    <w:rPr>
      <w:rFonts w:ascii="Times New Roman" w:hAnsi="Times New Roman"/>
      <w:kern w:val="2"/>
      <w:sz w:val="21"/>
      <w:szCs w:val="24"/>
    </w:rPr>
  </w:style>
  <w:style w:type="character" w:customStyle="1" w:styleId="case31">
    <w:name w:val="case31"/>
    <w:qFormat/>
    <w:rsid w:val="00CD58DA"/>
    <w:rPr>
      <w:rFonts w:hint="default"/>
      <w:sz w:val="21"/>
      <w:szCs w:val="21"/>
    </w:rPr>
  </w:style>
  <w:style w:type="character" w:customStyle="1" w:styleId="13">
    <w:name w:val="纯文本 字符1"/>
    <w:qFormat/>
    <w:rsid w:val="00CD58DA"/>
    <w:rPr>
      <w:rFonts w:ascii="宋体" w:hAnsi="Courier New"/>
    </w:rPr>
  </w:style>
  <w:style w:type="character" w:customStyle="1" w:styleId="14">
    <w:name w:val="批注文字 字符1"/>
    <w:qFormat/>
    <w:rsid w:val="00CD58DA"/>
    <w:rPr>
      <w:rFonts w:ascii="Times New Roman" w:hAnsi="Times New Roman"/>
      <w:kern w:val="2"/>
      <w:sz w:val="21"/>
      <w:szCs w:val="24"/>
    </w:rPr>
  </w:style>
  <w:style w:type="character" w:customStyle="1" w:styleId="Char12">
    <w:name w:val="正文文本 Char1"/>
    <w:uiPriority w:val="99"/>
    <w:semiHidden/>
    <w:qFormat/>
    <w:locked/>
    <w:rsid w:val="00CD58DA"/>
    <w:rPr>
      <w:sz w:val="24"/>
      <w:szCs w:val="24"/>
    </w:rPr>
  </w:style>
  <w:style w:type="character" w:customStyle="1" w:styleId="apple-style-span">
    <w:name w:val="apple-style-span"/>
    <w:qFormat/>
    <w:rsid w:val="00CD58DA"/>
  </w:style>
  <w:style w:type="character" w:customStyle="1" w:styleId="textcontents">
    <w:name w:val="textcontents"/>
    <w:qFormat/>
    <w:rsid w:val="00CD58DA"/>
  </w:style>
  <w:style w:type="character" w:customStyle="1" w:styleId="CharChar2">
    <w:name w:val="普通文字 Char Char2"/>
    <w:qFormat/>
    <w:rsid w:val="00CD58DA"/>
    <w:rPr>
      <w:rFonts w:ascii="宋体" w:eastAsia="宋体" w:hAnsi="Courier New"/>
      <w:kern w:val="2"/>
      <w:sz w:val="21"/>
      <w:lang w:val="en-US" w:eastAsia="zh-CN" w:bidi="ar-SA"/>
    </w:rPr>
  </w:style>
  <w:style w:type="character" w:customStyle="1" w:styleId="afc">
    <w:name w:val="批注文字 字符"/>
    <w:qFormat/>
    <w:rsid w:val="00CD58DA"/>
    <w:rPr>
      <w:rFonts w:ascii="Times New Roman" w:hAnsi="Times New Roman"/>
      <w:kern w:val="2"/>
      <w:sz w:val="21"/>
      <w:szCs w:val="24"/>
    </w:rPr>
  </w:style>
  <w:style w:type="character" w:customStyle="1" w:styleId="15">
    <w:name w:val="标题 1 字符"/>
    <w:uiPriority w:val="9"/>
    <w:qFormat/>
    <w:rsid w:val="00CD58DA"/>
    <w:rPr>
      <w:rFonts w:ascii="Times New Roman" w:eastAsia="宋体" w:hAnsi="Times New Roman" w:cs="Times New Roman"/>
      <w:b/>
      <w:bCs/>
      <w:kern w:val="44"/>
      <w:sz w:val="44"/>
      <w:szCs w:val="44"/>
    </w:rPr>
  </w:style>
  <w:style w:type="character" w:customStyle="1" w:styleId="afd">
    <w:name w:val="纯文本 字符"/>
    <w:qFormat/>
    <w:rsid w:val="00CD58DA"/>
    <w:rPr>
      <w:rFonts w:ascii="宋体" w:eastAsia="宋体" w:hAnsi="Courier New" w:cs="Courier New"/>
      <w:szCs w:val="21"/>
    </w:rPr>
  </w:style>
  <w:style w:type="character" w:customStyle="1" w:styleId="headline-content4">
    <w:name w:val="headline-content4"/>
    <w:qFormat/>
    <w:rsid w:val="00CD58DA"/>
  </w:style>
  <w:style w:type="character" w:customStyle="1" w:styleId="260pt">
    <w:name w:val="正文文本 (26) + 间距 0 pt"/>
    <w:qFormat/>
    <w:rsid w:val="00CD58DA"/>
    <w:rPr>
      <w:rFonts w:ascii="宋体" w:eastAsia="宋体" w:hAnsi="宋体" w:cs="宋体"/>
      <w:color w:val="000000"/>
      <w:spacing w:val="0"/>
      <w:w w:val="100"/>
      <w:position w:val="0"/>
      <w:sz w:val="22"/>
      <w:szCs w:val="22"/>
      <w:u w:val="none"/>
      <w:lang w:val="zh-CN" w:eastAsia="zh-CN" w:bidi="zh-CN"/>
    </w:rPr>
  </w:style>
  <w:style w:type="character" w:customStyle="1" w:styleId="afe">
    <w:name w:val="正文文本缩进 字符"/>
    <w:qFormat/>
    <w:rsid w:val="00CD58DA"/>
    <w:rPr>
      <w:rFonts w:ascii="仿宋_GB2312" w:eastAsia="仿宋_GB2312" w:hAnsi="Times New Roman" w:cs="Times New Roman"/>
      <w:sz w:val="32"/>
      <w:szCs w:val="20"/>
    </w:rPr>
  </w:style>
  <w:style w:type="paragraph" w:customStyle="1" w:styleId="Char13">
    <w:name w:val="Char1"/>
    <w:basedOn w:val="a"/>
    <w:qFormat/>
    <w:rsid w:val="00CD58DA"/>
    <w:pPr>
      <w:jc w:val="both"/>
    </w:pPr>
    <w:rPr>
      <w:rFonts w:ascii="Times New Roman" w:eastAsia="宋体" w:hAnsi="Times New Roman" w:cs="Times New Roman"/>
      <w:szCs w:val="21"/>
    </w:rPr>
  </w:style>
  <w:style w:type="paragraph" w:styleId="aff">
    <w:name w:val="List Paragraph"/>
    <w:basedOn w:val="a"/>
    <w:uiPriority w:val="34"/>
    <w:qFormat/>
    <w:rsid w:val="00CD58DA"/>
    <w:pPr>
      <w:ind w:firstLineChars="200" w:firstLine="420"/>
      <w:jc w:val="both"/>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CD58DA"/>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CD58DA"/>
    <w:pPr>
      <w:jc w:val="both"/>
    </w:pPr>
    <w:rPr>
      <w:rFonts w:ascii="Tahoma" w:eastAsia="宋体" w:hAnsi="Tahoma" w:cs="Times New Roman"/>
      <w:sz w:val="24"/>
      <w:szCs w:val="20"/>
    </w:rPr>
  </w:style>
  <w:style w:type="paragraph" w:customStyle="1" w:styleId="aff0">
    <w:name w:val="样式"/>
    <w:qFormat/>
    <w:rsid w:val="00CD58DA"/>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CD58DA"/>
    <w:pPr>
      <w:jc w:val="both"/>
    </w:pPr>
    <w:rPr>
      <w:rFonts w:ascii="宋体" w:eastAsia="宋体" w:hAnsi="Courier New" w:cs="Century"/>
      <w:szCs w:val="21"/>
    </w:rPr>
  </w:style>
  <w:style w:type="paragraph" w:customStyle="1" w:styleId="TableParagraph">
    <w:name w:val="Table Paragraph"/>
    <w:basedOn w:val="a"/>
    <w:uiPriority w:val="1"/>
    <w:qFormat/>
    <w:rsid w:val="00CD58DA"/>
    <w:rPr>
      <w:rFonts w:ascii="Calibri" w:eastAsia="宋体" w:hAnsi="Calibri" w:cs="Times New Roman"/>
      <w:kern w:val="0"/>
      <w:sz w:val="22"/>
      <w:lang w:eastAsia="en-US"/>
    </w:rPr>
  </w:style>
  <w:style w:type="paragraph" w:customStyle="1" w:styleId="aff1">
    <w:name w:val="表内文字"/>
    <w:basedOn w:val="a"/>
    <w:qFormat/>
    <w:rsid w:val="00CD58DA"/>
    <w:pPr>
      <w:snapToGrid w:val="0"/>
      <w:spacing w:before="50" w:after="50"/>
      <w:jc w:val="center"/>
    </w:pPr>
    <w:rPr>
      <w:rFonts w:ascii="仿宋_GB2312" w:eastAsia="仿宋_GB2312" w:hAnsi="宋体" w:cs="Times New Roman"/>
      <w:b/>
      <w:color w:val="000000"/>
      <w:sz w:val="32"/>
      <w:szCs w:val="32"/>
    </w:rPr>
  </w:style>
  <w:style w:type="paragraph" w:customStyle="1" w:styleId="aff2">
    <w:name w:val="表格"/>
    <w:basedOn w:val="a"/>
    <w:qFormat/>
    <w:rsid w:val="00CD58DA"/>
    <w:pPr>
      <w:spacing w:line="400" w:lineRule="exact"/>
      <w:jc w:val="both"/>
    </w:pPr>
    <w:rPr>
      <w:rFonts w:ascii="Times New Roman" w:eastAsia="宋体" w:hAnsi="Times New Roman" w:cs="Times New Roman"/>
      <w:sz w:val="24"/>
      <w:szCs w:val="24"/>
    </w:rPr>
  </w:style>
  <w:style w:type="paragraph" w:customStyle="1" w:styleId="24">
    <w:name w:val="样式 首行缩进:  2 字符"/>
    <w:basedOn w:val="a"/>
    <w:qFormat/>
    <w:rsid w:val="00CD58DA"/>
    <w:pPr>
      <w:spacing w:line="400" w:lineRule="exact"/>
      <w:ind w:firstLineChars="200" w:firstLine="200"/>
      <w:jc w:val="both"/>
    </w:pPr>
    <w:rPr>
      <w:rFonts w:ascii="Times New Roman" w:eastAsia="宋体" w:hAnsi="Times New Roman" w:cs="宋体"/>
      <w:sz w:val="24"/>
      <w:szCs w:val="24"/>
    </w:rPr>
  </w:style>
  <w:style w:type="paragraph" w:customStyle="1" w:styleId="xl22">
    <w:name w:val="xl22"/>
    <w:basedOn w:val="a"/>
    <w:qFormat/>
    <w:rsid w:val="00CD58DA"/>
    <w:pPr>
      <w:widowControl/>
      <w:spacing w:before="100" w:beforeAutospacing="1" w:after="100" w:afterAutospacing="1"/>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qFormat/>
    <w:rsid w:val="00CD58DA"/>
    <w:pPr>
      <w:spacing w:before="0" w:after="0" w:line="400" w:lineRule="exact"/>
    </w:pPr>
    <w:rPr>
      <w:rFonts w:eastAsia="黑体" w:cs="宋体"/>
      <w:b w:val="0"/>
      <w:bCs w:val="0"/>
      <w:sz w:val="24"/>
      <w:szCs w:val="20"/>
    </w:rPr>
  </w:style>
  <w:style w:type="paragraph" w:customStyle="1" w:styleId="aff3">
    <w:name w:val="正文首行缩进两字符"/>
    <w:basedOn w:val="a"/>
    <w:qFormat/>
    <w:rsid w:val="00CD58DA"/>
    <w:pPr>
      <w:spacing w:line="360" w:lineRule="auto"/>
      <w:ind w:firstLineChars="200" w:firstLine="200"/>
      <w:jc w:val="both"/>
    </w:pPr>
    <w:rPr>
      <w:rFonts w:ascii="Times New Roman" w:eastAsia="宋体" w:hAnsi="Times New Roman" w:cs="Times New Roman"/>
      <w:szCs w:val="24"/>
    </w:rPr>
  </w:style>
  <w:style w:type="paragraph" w:customStyle="1" w:styleId="aff4">
    <w:name w:val="正文段"/>
    <w:basedOn w:val="a"/>
    <w:qFormat/>
    <w:rsid w:val="00CD58DA"/>
    <w:pPr>
      <w:widowControl/>
      <w:snapToGrid w:val="0"/>
      <w:spacing w:afterLines="50"/>
      <w:ind w:firstLineChars="200" w:firstLine="200"/>
      <w:jc w:val="both"/>
    </w:pPr>
    <w:rPr>
      <w:rFonts w:ascii="Times New Roman" w:eastAsia="宋体" w:hAnsi="Times New Roman" w:cs="Times New Roman"/>
      <w:kern w:val="0"/>
      <w:sz w:val="24"/>
      <w:szCs w:val="20"/>
    </w:rPr>
  </w:style>
  <w:style w:type="table" w:customStyle="1" w:styleId="TableNormal">
    <w:name w:val="Table Normal"/>
    <w:uiPriority w:val="2"/>
    <w:semiHidden/>
    <w:qFormat/>
    <w:rsid w:val="00CD58DA"/>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5">
    <w:name w:val="页脚 字符"/>
    <w:uiPriority w:val="99"/>
    <w:qFormat/>
    <w:rsid w:val="00CD58DA"/>
  </w:style>
  <w:style w:type="character" w:customStyle="1" w:styleId="2CharChar">
    <w:name w:val="正文2 Char Char"/>
    <w:link w:val="25"/>
    <w:qFormat/>
    <w:rsid w:val="00CD58DA"/>
    <w:rPr>
      <w:sz w:val="24"/>
    </w:rPr>
  </w:style>
  <w:style w:type="paragraph" w:customStyle="1" w:styleId="25">
    <w:name w:val="正文2"/>
    <w:basedOn w:val="a"/>
    <w:link w:val="2CharChar"/>
    <w:qFormat/>
    <w:rsid w:val="00CD58DA"/>
    <w:pPr>
      <w:adjustRightInd w:val="0"/>
      <w:spacing w:before="156" w:line="360" w:lineRule="auto"/>
      <w:ind w:firstLineChars="200" w:firstLine="510"/>
      <w:jc w:val="both"/>
    </w:pPr>
    <w:rPr>
      <w:sz w:val="24"/>
    </w:rPr>
  </w:style>
  <w:style w:type="paragraph" w:customStyle="1" w:styleId="17">
    <w:name w:val="修订1"/>
    <w:uiPriority w:val="99"/>
    <w:unhideWhenUsed/>
    <w:qFormat/>
    <w:rsid w:val="00CD58DA"/>
    <w:rPr>
      <w:rFonts w:ascii="Times New Roman" w:eastAsia="宋体" w:hAnsi="Times New Roman" w:cs="Times New Roman"/>
      <w:szCs w:val="24"/>
    </w:rPr>
  </w:style>
  <w:style w:type="character" w:customStyle="1" w:styleId="Char14">
    <w:name w:val="表格文字 Char1"/>
    <w:link w:val="aff6"/>
    <w:qFormat/>
    <w:locked/>
    <w:rsid w:val="00CD58DA"/>
    <w:rPr>
      <w:bCs/>
      <w:spacing w:val="10"/>
      <w:sz w:val="24"/>
    </w:rPr>
  </w:style>
  <w:style w:type="paragraph" w:customStyle="1" w:styleId="aff6">
    <w:name w:val="表格文字"/>
    <w:basedOn w:val="a"/>
    <w:next w:val="a4"/>
    <w:link w:val="Char14"/>
    <w:qFormat/>
    <w:rsid w:val="00CD58DA"/>
    <w:pPr>
      <w:spacing w:before="25" w:after="25"/>
    </w:pPr>
    <w:rPr>
      <w:bCs/>
      <w:spacing w:val="10"/>
      <w:sz w:val="24"/>
    </w:rPr>
  </w:style>
  <w:style w:type="paragraph" w:customStyle="1" w:styleId="AONormal">
    <w:name w:val="AONormal"/>
    <w:qFormat/>
    <w:rsid w:val="00CD58D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8">
    <w:name w:val="列出段落1"/>
    <w:basedOn w:val="a"/>
    <w:qFormat/>
    <w:rsid w:val="00CD58DA"/>
    <w:pPr>
      <w:ind w:firstLineChars="200" w:firstLine="420"/>
      <w:jc w:val="both"/>
    </w:pPr>
    <w:rPr>
      <w:rFonts w:ascii="Times New Roman" w:eastAsia="宋体" w:hAnsi="Times New Roman" w:cs="Times New Roman"/>
      <w:szCs w:val="21"/>
    </w:rPr>
  </w:style>
  <w:style w:type="character" w:customStyle="1" w:styleId="font31">
    <w:name w:val="font31"/>
    <w:basedOn w:val="a1"/>
    <w:qFormat/>
    <w:rsid w:val="00CD58D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11196</Words>
  <Characters>63820</Characters>
  <Application>Microsoft Office Word</Application>
  <DocSecurity>0</DocSecurity>
  <Lines>531</Lines>
  <Paragraphs>149</Paragraphs>
  <ScaleCrop>false</ScaleCrop>
  <Company>Microsoft</Company>
  <LinksUpToDate>false</LinksUpToDate>
  <CharactersWithSpaces>74867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2024-09-30T06:10:00Z</dcterms:created>
  <dcterms:modified xsi:type="dcterms:W3CDTF">2024-09-30T06:10:00Z</dcterms:modified>
</cp:coreProperties>
</file>