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00" w:lineRule="exact"/>
        <w:jc w:val="both"/>
        <w:rPr>
          <w:rFonts w:hint="eastAsia"/>
          <w:color w:val="auto"/>
          <w:sz w:val="36"/>
          <w:szCs w:val="36"/>
        </w:rPr>
      </w:pPr>
      <w:bookmarkStart w:id="0" w:name="OLE_LINK2"/>
      <w:bookmarkStart w:id="1" w:name="OLE_LINK7"/>
      <w:r>
        <w:rPr>
          <w:rFonts w:hint="eastAsia"/>
          <w:color w:val="auto"/>
          <w:sz w:val="36"/>
          <w:szCs w:val="36"/>
        </w:rPr>
        <w:t>云之龙咨询集团有限公司南宁市武鸣区城厢镇第二轮农村土地承包到期后再延长30年工作技术服务</w:t>
      </w:r>
      <w:r>
        <w:rPr>
          <w:rFonts w:hint="eastAsia"/>
          <w:color w:val="auto"/>
          <w:sz w:val="36"/>
          <w:szCs w:val="36"/>
          <w:lang w:eastAsia="zh-CN"/>
        </w:rPr>
        <w:t>（NNZC2025-C3-100037-YZLZ）</w:t>
      </w:r>
      <w:r>
        <w:rPr>
          <w:rFonts w:hint="eastAsia"/>
          <w:color w:val="auto"/>
          <w:sz w:val="36"/>
          <w:szCs w:val="36"/>
        </w:rPr>
        <w:t>竞争性磋商公告</w:t>
      </w:r>
    </w:p>
    <w:p/>
    <w:p>
      <w:pPr>
        <w:pStyle w:val="4"/>
        <w:spacing w:line="400" w:lineRule="exact"/>
        <w:ind w:firstLine="723" w:firstLineChars="200"/>
        <w:rPr>
          <w:rFonts w:hint="eastAsia" w:ascii="黑体" w:hAnsi="黑体" w:eastAsia="黑体" w:cs="宋体"/>
          <w:bCs w:val="0"/>
          <w:color w:val="auto"/>
          <w:sz w:val="24"/>
          <w:szCs w:val="24"/>
        </w:rPr>
      </w:pPr>
      <w:r>
        <w:rPr>
          <w:color w:val="auto"/>
          <w:sz w:val="36"/>
          <w:szCs w:val="36"/>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93345</wp:posOffset>
                </wp:positionV>
                <wp:extent cx="6099175" cy="1431925"/>
                <wp:effectExtent l="0" t="0" r="12065" b="635"/>
                <wp:wrapNone/>
                <wp:docPr id="1" name="矩形 1"/>
                <wp:cNvGraphicFramePr/>
                <a:graphic xmlns:a="http://schemas.openxmlformats.org/drawingml/2006/main">
                  <a:graphicData uri="http://schemas.microsoft.com/office/word/2010/wordprocessingShape">
                    <wps:wsp>
                      <wps:cNvSpPr/>
                      <wps:spPr>
                        <a:xfrm>
                          <a:off x="0" y="0"/>
                          <a:ext cx="6098875" cy="1431925"/>
                        </a:xfrm>
                        <a:prstGeom prst="rect">
                          <a:avLst/>
                        </a:prstGeom>
                        <a:solidFill>
                          <a:prstClr val="white"/>
                        </a:solidFill>
                        <a:ln>
                          <a:noFill/>
                        </a:ln>
                        <a:effectLst/>
                      </wps:spPr>
                      <wps:txbx>
                        <w:txbxContent>
                          <w:p>
                            <w:pPr>
                              <w:pBdr>
                                <w:top w:val="single" w:color="auto" w:sz="4" w:space="1"/>
                                <w:left w:val="single" w:color="auto" w:sz="4" w:space="1"/>
                                <w:bottom w:val="single" w:color="auto" w:sz="4" w:space="1"/>
                                <w:right w:val="single" w:color="auto" w:sz="4" w:space="4"/>
                              </w:pBdr>
                              <w:spacing w:line="360" w:lineRule="auto"/>
                              <w:ind w:firstLine="420" w:firstLineChars="200"/>
                              <w:rPr>
                                <w:rFonts w:hint="eastAsia" w:ascii="宋体" w:hAnsi="宋体"/>
                                <w:color w:val="000000"/>
                                <w:szCs w:val="21"/>
                              </w:rPr>
                            </w:pPr>
                            <w:bookmarkStart w:id="26" w:name="OLE_LINK8"/>
                            <w:r>
                              <w:rPr>
                                <w:rFonts w:hint="eastAsia" w:ascii="宋体" w:hAnsi="宋体"/>
                                <w:color w:val="000000"/>
                                <w:szCs w:val="21"/>
                              </w:rPr>
                              <w:t>项目概况</w:t>
                            </w:r>
                          </w:p>
                          <w:p>
                            <w:pPr>
                              <w:pBdr>
                                <w:top w:val="single" w:color="auto" w:sz="4" w:space="1"/>
                                <w:left w:val="single" w:color="auto" w:sz="4" w:space="1"/>
                                <w:bottom w:val="single" w:color="auto" w:sz="4" w:space="1"/>
                                <w:right w:val="single" w:color="auto" w:sz="4" w:space="4"/>
                              </w:pBdr>
                              <w:wordWrap w:val="0"/>
                              <w:spacing w:line="360" w:lineRule="auto"/>
                              <w:ind w:firstLine="420" w:firstLineChars="200"/>
                              <w:rPr>
                                <w:rFonts w:hint="eastAsia" w:ascii="宋体" w:hAnsi="宋体"/>
                                <w:color w:val="000000"/>
                                <w:szCs w:val="21"/>
                              </w:rPr>
                            </w:pPr>
                            <w:r>
                              <w:rPr>
                                <w:rFonts w:hint="eastAsia" w:ascii="宋体" w:hAnsi="宋体"/>
                                <w:color w:val="000000"/>
                                <w:szCs w:val="21"/>
                                <w:u w:val="single"/>
                              </w:rPr>
                              <w:t>南宁市武鸣区城厢镇第二轮农村土地承包到期后再延长30年工作技术服务</w:t>
                            </w:r>
                            <w:r>
                              <w:rPr>
                                <w:rFonts w:hint="eastAsia" w:ascii="宋体" w:hAnsi="宋体"/>
                                <w:color w:val="000000"/>
                                <w:szCs w:val="21"/>
                              </w:rPr>
                              <w:t>的潜在供应商应在</w:t>
                            </w:r>
                            <w:r>
                              <w:rPr>
                                <w:rFonts w:hint="eastAsia" w:ascii="宋体" w:hAnsi="宋体"/>
                                <w:szCs w:val="21"/>
                              </w:rPr>
                              <w:t>广西政府采购云平台（https://www.gcy.zfcg.gxzf.gov.cn/）</w:t>
                            </w:r>
                            <w:r>
                              <w:rPr>
                                <w:rFonts w:ascii="宋体" w:hAnsi="宋体"/>
                              </w:rPr>
                              <w:t>获取（下载）</w:t>
                            </w:r>
                            <w:r>
                              <w:rPr>
                                <w:rFonts w:hint="eastAsia" w:ascii="宋体" w:hAnsi="宋体"/>
                              </w:rPr>
                              <w:t>获取竞争性磋商文件，并于</w:t>
                            </w:r>
                            <w:r>
                              <w:rPr>
                                <w:rFonts w:hint="eastAsia" w:ascii="宋体" w:hAnsi="宋体"/>
                                <w:u w:val="single"/>
                              </w:rPr>
                              <w:t>2025年4月</w:t>
                            </w:r>
                            <w:r>
                              <w:rPr>
                                <w:rFonts w:hint="eastAsia" w:ascii="宋体" w:hAnsi="宋体"/>
                                <w:bCs/>
                                <w:szCs w:val="21"/>
                                <w:u w:val="single"/>
                              </w:rPr>
                              <w:t>28日9点30分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bookmarkEnd w:id="26"/>
                          <w:p/>
                        </w:txbxContent>
                      </wps:txbx>
                      <wps:bodyPr rot="0" vert="horz" wrap="square" lIns="91440" tIns="45720" rIns="91440" bIns="45720" anchor="t" anchorCtr="0"/>
                    </wps:wsp>
                  </a:graphicData>
                </a:graphic>
              </wp:anchor>
            </w:drawing>
          </mc:Choice>
          <mc:Fallback>
            <w:pict>
              <v:rect id="_x0000_s1026" o:spid="_x0000_s1026" o:spt="1" style="position:absolute;left:0pt;margin-left:-12.9pt;margin-top:7.35pt;height:112.75pt;width:480.25pt;z-index:251658240;mso-width-relative:page;mso-height-relative:page;" fillcolor="#FFFFFF" filled="t" stroked="f" coordsize="21600,21600" o:gfxdata="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kEhCN2AAAAAoBAAAPAAAAAAAAAAEAIAAA&#10;ACIAAABkcnMvZG93bnJldi54bWxQSwECFAAUAAAACACHTuJAldoaidMBAACNAwAADgAAAAAAAAAB&#10;ACAAAAAnAQAAZHJzL2Uyb0RvYy54bWxQSwUGAAAAAAYABgBZAQAAbAUAAAAA&#10;">
                <v:fill on="t" focussize="0,0"/>
                <v:stroke on="f"/>
                <v:imagedata o:title=""/>
                <o:lock v:ext="edit" aspectratio="f"/>
                <v:textbox>
                  <w:txbxContent>
                    <w:p>
                      <w:pPr>
                        <w:pBdr>
                          <w:top w:val="single" w:color="auto" w:sz="4" w:space="1"/>
                          <w:left w:val="single" w:color="auto" w:sz="4" w:space="1"/>
                          <w:bottom w:val="single" w:color="auto" w:sz="4" w:space="1"/>
                          <w:right w:val="single" w:color="auto" w:sz="4" w:space="4"/>
                        </w:pBdr>
                        <w:spacing w:line="360" w:lineRule="auto"/>
                        <w:ind w:firstLine="420" w:firstLineChars="200"/>
                        <w:rPr>
                          <w:rFonts w:hint="eastAsia" w:ascii="宋体" w:hAnsi="宋体"/>
                          <w:color w:val="000000"/>
                          <w:szCs w:val="21"/>
                        </w:rPr>
                      </w:pPr>
                      <w:bookmarkStart w:id="26" w:name="OLE_LINK8"/>
                      <w:r>
                        <w:rPr>
                          <w:rFonts w:hint="eastAsia" w:ascii="宋体" w:hAnsi="宋体"/>
                          <w:color w:val="000000"/>
                          <w:szCs w:val="21"/>
                        </w:rPr>
                        <w:t>项目概况</w:t>
                      </w:r>
                    </w:p>
                    <w:p>
                      <w:pPr>
                        <w:pBdr>
                          <w:top w:val="single" w:color="auto" w:sz="4" w:space="1"/>
                          <w:left w:val="single" w:color="auto" w:sz="4" w:space="1"/>
                          <w:bottom w:val="single" w:color="auto" w:sz="4" w:space="1"/>
                          <w:right w:val="single" w:color="auto" w:sz="4" w:space="4"/>
                        </w:pBdr>
                        <w:wordWrap w:val="0"/>
                        <w:spacing w:line="360" w:lineRule="auto"/>
                        <w:ind w:firstLine="420" w:firstLineChars="200"/>
                        <w:rPr>
                          <w:rFonts w:hint="eastAsia" w:ascii="宋体" w:hAnsi="宋体"/>
                          <w:color w:val="000000"/>
                          <w:szCs w:val="21"/>
                        </w:rPr>
                      </w:pPr>
                      <w:r>
                        <w:rPr>
                          <w:rFonts w:hint="eastAsia" w:ascii="宋体" w:hAnsi="宋体"/>
                          <w:color w:val="000000"/>
                          <w:szCs w:val="21"/>
                          <w:u w:val="single"/>
                        </w:rPr>
                        <w:t>南宁市武鸣区城厢镇第二轮农村土地承包到期后再延长30年工作技术服务</w:t>
                      </w:r>
                      <w:r>
                        <w:rPr>
                          <w:rFonts w:hint="eastAsia" w:ascii="宋体" w:hAnsi="宋体"/>
                          <w:color w:val="000000"/>
                          <w:szCs w:val="21"/>
                        </w:rPr>
                        <w:t>的潜在供应商应在</w:t>
                      </w:r>
                      <w:r>
                        <w:rPr>
                          <w:rFonts w:hint="eastAsia" w:ascii="宋体" w:hAnsi="宋体"/>
                          <w:szCs w:val="21"/>
                        </w:rPr>
                        <w:t>广西政府采购云平台（https://www.gcy.zfcg.gxzf.gov.cn/）</w:t>
                      </w:r>
                      <w:r>
                        <w:rPr>
                          <w:rFonts w:ascii="宋体" w:hAnsi="宋体"/>
                        </w:rPr>
                        <w:t>获取（下载）</w:t>
                      </w:r>
                      <w:r>
                        <w:rPr>
                          <w:rFonts w:hint="eastAsia" w:ascii="宋体" w:hAnsi="宋体"/>
                        </w:rPr>
                        <w:t>获取竞争性磋商文件，并于</w:t>
                      </w:r>
                      <w:r>
                        <w:rPr>
                          <w:rFonts w:hint="eastAsia" w:ascii="宋体" w:hAnsi="宋体"/>
                          <w:u w:val="single"/>
                        </w:rPr>
                        <w:t>2025年4月</w:t>
                      </w:r>
                      <w:r>
                        <w:rPr>
                          <w:rFonts w:hint="eastAsia" w:ascii="宋体" w:hAnsi="宋体"/>
                          <w:bCs/>
                          <w:szCs w:val="21"/>
                          <w:u w:val="single"/>
                        </w:rPr>
                        <w:t>28日9点30分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bookmarkEnd w:id="26"/>
                    <w:p/>
                  </w:txbxContent>
                </v:textbox>
              </v:rect>
            </w:pict>
          </mc:Fallback>
        </mc:AlternateContent>
      </w:r>
    </w:p>
    <w:p>
      <w:pPr>
        <w:pStyle w:val="4"/>
        <w:spacing w:line="400" w:lineRule="exact"/>
        <w:ind w:firstLine="482" w:firstLineChars="200"/>
        <w:rPr>
          <w:rFonts w:hint="eastAsia" w:ascii="黑体" w:hAnsi="黑体" w:eastAsia="黑体" w:cs="宋体"/>
          <w:bCs w:val="0"/>
          <w:color w:val="auto"/>
          <w:sz w:val="24"/>
          <w:szCs w:val="24"/>
        </w:rPr>
      </w:pPr>
    </w:p>
    <w:p>
      <w:pPr>
        <w:pStyle w:val="4"/>
        <w:spacing w:line="400" w:lineRule="exact"/>
        <w:ind w:firstLine="482"/>
        <w:rPr>
          <w:rFonts w:hint="eastAsia" w:ascii="黑体" w:hAnsi="黑体" w:eastAsia="黑体" w:cs="宋体"/>
          <w:bCs w:val="0"/>
          <w:color w:val="auto"/>
          <w:sz w:val="24"/>
          <w:szCs w:val="24"/>
        </w:rPr>
      </w:pPr>
    </w:p>
    <w:p>
      <w:pPr>
        <w:spacing w:line="360" w:lineRule="exact"/>
        <w:ind w:firstLine="480" w:firstLineChars="200"/>
        <w:rPr>
          <w:color w:val="auto"/>
        </w:rPr>
      </w:pPr>
      <w:r>
        <w:rPr>
          <w:rFonts w:hint="eastAsia" w:ascii="黑体" w:hAnsi="黑体" w:eastAsia="黑体" w:cs="宋体"/>
          <w:bCs/>
          <w:color w:val="auto"/>
          <w:sz w:val="24"/>
        </w:rPr>
        <w:t>一、项目基本情况</w:t>
      </w:r>
    </w:p>
    <w:p>
      <w:pPr>
        <w:spacing w:line="360" w:lineRule="exact"/>
        <w:ind w:firstLine="420" w:firstLineChars="200"/>
        <w:rPr>
          <w:rFonts w:hint="eastAsia" w:ascii="宋体" w:hAnsi="宋体"/>
          <w:color w:val="auto"/>
        </w:rPr>
      </w:pPr>
      <w:r>
        <w:rPr>
          <w:rFonts w:hint="eastAsia" w:ascii="宋体" w:hAnsi="宋体"/>
          <w:color w:val="auto"/>
        </w:rPr>
        <w:t>1</w:t>
      </w:r>
      <w:r>
        <w:rPr>
          <w:rFonts w:ascii="宋体" w:hAnsi="宋体"/>
          <w:color w:val="auto"/>
        </w:rPr>
        <w:t>.</w:t>
      </w:r>
      <w:r>
        <w:rPr>
          <w:rFonts w:hint="eastAsia" w:ascii="宋体" w:hAnsi="宋体"/>
          <w:color w:val="auto"/>
        </w:rPr>
        <w:t>项目编号：</w:t>
      </w:r>
      <w:bookmarkStart w:id="2" w:name="OLE_LINK5"/>
      <w:r>
        <w:rPr>
          <w:rFonts w:ascii="宋体" w:hAnsi="宋体"/>
          <w:color w:val="auto"/>
        </w:rPr>
        <w:t>NNZC2025-C3-100037-YZLZ</w:t>
      </w:r>
      <w:bookmarkEnd w:id="2"/>
      <w:r>
        <w:rPr>
          <w:rFonts w:hint="eastAsia" w:ascii="宋体" w:hAnsi="宋体"/>
          <w:color w:val="auto"/>
        </w:rPr>
        <w:t>（采购计划编号：</w:t>
      </w:r>
      <w:r>
        <w:rPr>
          <w:color w:val="auto"/>
        </w:rPr>
        <w:fldChar w:fldCharType="begin"/>
      </w:r>
      <w:r>
        <w:rPr>
          <w:color w:val="auto"/>
        </w:rPr>
        <w:instrText xml:space="preserve"> HYPERLINK "https://pay.gcy.zfcg.gxzf.gov.cn/purchaseplan_front/" \l "/plan/apply/detail/1000010960414" </w:instrText>
      </w:r>
      <w:r>
        <w:rPr>
          <w:color w:val="auto"/>
        </w:rPr>
        <w:fldChar w:fldCharType="separate"/>
      </w:r>
      <w:r>
        <w:rPr>
          <w:color w:val="auto"/>
        </w:rPr>
        <w:fldChar w:fldCharType="end"/>
      </w:r>
      <w:r>
        <w:rPr>
          <w:rFonts w:hint="eastAsia" w:ascii="宋体" w:hAnsi="宋体"/>
          <w:color w:val="auto"/>
        </w:rPr>
        <w:t>WMZC2025-C3-00361-001、WMZC2025-C3-00361-002）</w:t>
      </w:r>
    </w:p>
    <w:p>
      <w:pPr>
        <w:spacing w:line="360" w:lineRule="exact"/>
        <w:ind w:firstLine="420" w:firstLineChars="200"/>
        <w:rPr>
          <w:rFonts w:hint="eastAsia"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项目名称：</w:t>
      </w:r>
      <w:bookmarkStart w:id="3" w:name="OLE_LINK1"/>
      <w:r>
        <w:rPr>
          <w:rFonts w:hint="eastAsia" w:ascii="宋体" w:hAnsi="宋体" w:cs="宋体"/>
          <w:color w:val="auto"/>
          <w:kern w:val="0"/>
          <w:szCs w:val="21"/>
        </w:rPr>
        <w:t>南宁市武鸣区城厢镇第二轮农村土地承包到期后再延长30年工作技术服务</w:t>
      </w:r>
      <w:bookmarkEnd w:id="3"/>
    </w:p>
    <w:p>
      <w:pPr>
        <w:spacing w:line="360" w:lineRule="exact"/>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采购方式：竞争性磋商</w:t>
      </w:r>
    </w:p>
    <w:p>
      <w:pPr>
        <w:spacing w:line="360" w:lineRule="exact"/>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预算金额：</w:t>
      </w:r>
      <w:r>
        <w:rPr>
          <w:rFonts w:ascii="宋体" w:hAnsi="宋体"/>
          <w:color w:val="auto"/>
          <w:szCs w:val="21"/>
        </w:rPr>
        <w:t>134.5392</w:t>
      </w:r>
      <w:r>
        <w:rPr>
          <w:rFonts w:hint="eastAsia" w:ascii="宋体" w:hAnsi="宋体"/>
          <w:color w:val="auto"/>
          <w:szCs w:val="21"/>
        </w:rPr>
        <w:t>万元</w:t>
      </w:r>
    </w:p>
    <w:p>
      <w:pPr>
        <w:spacing w:line="360" w:lineRule="exact"/>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最高限价：134.5392万元</w:t>
      </w:r>
    </w:p>
    <w:p>
      <w:pPr>
        <w:spacing w:line="360" w:lineRule="exact"/>
        <w:ind w:firstLine="420" w:firstLineChars="200"/>
        <w:rPr>
          <w:rFonts w:hint="eastAsia"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采购需求：</w:t>
      </w:r>
    </w:p>
    <w:tbl>
      <w:tblPr>
        <w:tblStyle w:val="6"/>
        <w:tblW w:w="90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2"/>
        <w:gridCol w:w="931"/>
        <w:gridCol w:w="6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rPr>
            </w:pPr>
            <w:r>
              <w:rPr>
                <w:rFonts w:hint="eastAsia" w:ascii="宋体" w:hAnsi="宋体"/>
                <w:color w:val="auto"/>
                <w:szCs w:val="21"/>
              </w:rPr>
              <w:t>标的的名称</w:t>
            </w:r>
          </w:p>
        </w:tc>
        <w:tc>
          <w:tcPr>
            <w:tcW w:w="9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rPr>
            </w:pPr>
            <w:r>
              <w:rPr>
                <w:rFonts w:hint="eastAsia" w:ascii="宋体" w:hAnsi="宋体"/>
                <w:color w:val="auto"/>
                <w:szCs w:val="21"/>
              </w:rPr>
              <w:t>数量</w:t>
            </w:r>
          </w:p>
          <w:p>
            <w:pPr>
              <w:snapToGrid w:val="0"/>
              <w:spacing w:line="360" w:lineRule="exact"/>
              <w:jc w:val="center"/>
              <w:rPr>
                <w:rFonts w:hint="eastAsia" w:ascii="宋体" w:hAnsi="宋体"/>
                <w:color w:val="auto"/>
                <w:szCs w:val="21"/>
              </w:rPr>
            </w:pPr>
            <w:r>
              <w:rPr>
                <w:rFonts w:hint="eastAsia" w:ascii="宋体" w:hAnsi="宋体"/>
                <w:color w:val="auto"/>
                <w:szCs w:val="21"/>
              </w:rPr>
              <w:t>及单位</w:t>
            </w:r>
          </w:p>
        </w:tc>
        <w:tc>
          <w:tcPr>
            <w:tcW w:w="608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rPr>
            </w:pPr>
            <w:r>
              <w:rPr>
                <w:rFonts w:hint="eastAsia" w:ascii="宋体" w:hAnsi="宋体"/>
                <w:color w:val="auto"/>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rPr>
            </w:pPr>
            <w:r>
              <w:rPr>
                <w:rFonts w:hint="eastAsia" w:ascii="宋体" w:hAnsi="宋体"/>
                <w:color w:val="auto"/>
                <w:szCs w:val="21"/>
              </w:rPr>
              <w:t>南宁市武鸣区城厢镇第二轮农村土地承包到期后再延长30年工作技术服务</w:t>
            </w:r>
          </w:p>
        </w:tc>
        <w:tc>
          <w:tcPr>
            <w:tcW w:w="9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rPr>
            </w:pPr>
            <w:r>
              <w:rPr>
                <w:rFonts w:hint="eastAsia" w:ascii="宋体" w:hAnsi="宋体"/>
                <w:color w:val="auto"/>
                <w:szCs w:val="21"/>
              </w:rPr>
              <w:t>1项</w:t>
            </w:r>
          </w:p>
        </w:tc>
        <w:tc>
          <w:tcPr>
            <w:tcW w:w="6085" w:type="dxa"/>
            <w:tcBorders>
              <w:top w:val="single" w:color="auto" w:sz="4" w:space="0"/>
              <w:left w:val="single" w:color="auto" w:sz="4" w:space="0"/>
              <w:bottom w:val="single" w:color="auto" w:sz="4" w:space="0"/>
              <w:right w:val="single" w:color="auto" w:sz="4" w:space="0"/>
            </w:tcBorders>
            <w:noWrap w:val="0"/>
            <w:vAlign w:val="center"/>
          </w:tcPr>
          <w:p>
            <w:pPr>
              <w:pStyle w:val="8"/>
              <w:spacing w:before="11" w:line="305" w:lineRule="auto"/>
              <w:ind w:right="24" w:firstLine="420" w:firstLineChars="200"/>
              <w:jc w:val="both"/>
              <w:rPr>
                <w:rFonts w:ascii="Times New Roman" w:hAnsi="Times New Roman" w:cs="Times New Roman"/>
                <w:snapToGrid/>
                <w:color w:val="auto"/>
                <w:kern w:val="2"/>
                <w:sz w:val="21"/>
                <w:szCs w:val="24"/>
                <w:lang w:eastAsia="zh-CN"/>
              </w:rPr>
            </w:pPr>
            <w:r>
              <w:rPr>
                <w:rFonts w:hint="eastAsia" w:ascii="Times New Roman" w:hAnsi="Times New Roman" w:cs="Times New Roman"/>
                <w:snapToGrid/>
                <w:color w:val="auto"/>
                <w:kern w:val="2"/>
                <w:sz w:val="21"/>
                <w:szCs w:val="24"/>
                <w:lang w:eastAsia="zh-CN"/>
              </w:rPr>
              <w:t>总体目标：按照广西壮族自治区、南宁市相关要求，在武鸣区农村土地承包经营权确权登记颁证的基础上，进一步完善农村土地承包经营权确权登记颁证数据库，制定具体措施办法、工作程序和进度安排。摸清承包现状和农户延包意愿，完善档案和确权登记信息造册。建立数据库，完善网签系统，完成档案整理、数字化、归档，完成最终成果数据的合库、质检、汇交工作，通过相关验收，并移交档案及推送数据给不动产部门，并且结合延包工作，规范耕地管理，做好“非农化、非粮化”及撂荒土地管理工作。按计划在完成城厢镇第二轮农村土地承包到期后再延长30年试点工作。</w:t>
            </w:r>
          </w:p>
          <w:p>
            <w:pPr>
              <w:pStyle w:val="8"/>
              <w:spacing w:before="11" w:line="305" w:lineRule="auto"/>
              <w:ind w:right="24" w:firstLine="420" w:firstLineChars="200"/>
              <w:jc w:val="both"/>
              <w:rPr>
                <w:rFonts w:hint="eastAsia"/>
                <w:color w:val="auto"/>
                <w:szCs w:val="21"/>
                <w:lang w:eastAsia="zh-CN"/>
              </w:rPr>
            </w:pPr>
            <w:r>
              <w:rPr>
                <w:rFonts w:hint="eastAsia" w:ascii="Times New Roman" w:hAnsi="Times New Roman" w:cs="Times New Roman"/>
                <w:snapToGrid/>
                <w:color w:val="auto"/>
                <w:kern w:val="2"/>
                <w:sz w:val="21"/>
                <w:szCs w:val="24"/>
                <w:lang w:eastAsia="zh-CN"/>
              </w:rPr>
              <w:t>具体详见竞争性磋商文件。</w:t>
            </w:r>
          </w:p>
        </w:tc>
      </w:tr>
    </w:tbl>
    <w:p>
      <w:pPr>
        <w:spacing w:line="360" w:lineRule="exact"/>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合同履行期限：</w:t>
      </w:r>
      <w:r>
        <w:rPr>
          <w:rFonts w:hint="eastAsia" w:ascii="宋体" w:hAnsi="宋体" w:eastAsia="宋体"/>
          <w:color w:val="auto"/>
          <w:szCs w:val="21"/>
        </w:rPr>
        <w:t>自合同签订之日起成交供应商开始实施工作，于2025年10月15日前，组织各村、组完成土地承包(延包)合同的签订；于2025年12月15日前，完成土地延包资料的归档整理并进行总结验收。</w:t>
      </w:r>
    </w:p>
    <w:p>
      <w:pPr>
        <w:spacing w:line="360" w:lineRule="exact"/>
        <w:ind w:firstLine="420" w:firstLineChars="200"/>
        <w:rPr>
          <w:rFonts w:hint="eastAsia" w:ascii="宋体" w:hAnsi="宋体"/>
          <w:color w:val="auto"/>
          <w:szCs w:val="21"/>
        </w:rPr>
      </w:pPr>
      <w:r>
        <w:rPr>
          <w:rFonts w:ascii="宋体" w:hAnsi="宋体"/>
          <w:color w:val="auto"/>
          <w:szCs w:val="21"/>
        </w:rPr>
        <w:t>8.</w:t>
      </w:r>
      <w:r>
        <w:rPr>
          <w:rFonts w:hint="eastAsia" w:ascii="宋体" w:hAnsi="宋体"/>
          <w:color w:val="auto"/>
          <w:szCs w:val="21"/>
        </w:rPr>
        <w:t>本项目是否接受联合体：□是，</w:t>
      </w:r>
      <w:r>
        <w:rPr>
          <w:rFonts w:hint="eastAsia" w:ascii="MS Mincho" w:hAnsi="MS Mincho" w:eastAsia="MS Mincho" w:cs="MS Mincho"/>
          <w:color w:val="auto"/>
          <w:sz w:val="22"/>
          <w:szCs w:val="22"/>
        </w:rPr>
        <w:t>☑</w:t>
      </w:r>
      <w:r>
        <w:rPr>
          <w:rFonts w:ascii="宋体" w:hAnsi="宋体"/>
          <w:color w:val="auto"/>
          <w:szCs w:val="21"/>
        </w:rPr>
        <w:t>否</w:t>
      </w:r>
      <w:r>
        <w:rPr>
          <w:rFonts w:hint="eastAsia" w:ascii="宋体" w:hAnsi="宋体"/>
          <w:color w:val="auto"/>
          <w:szCs w:val="21"/>
        </w:rPr>
        <w:t>。</w:t>
      </w:r>
    </w:p>
    <w:p>
      <w:pPr>
        <w:spacing w:line="360" w:lineRule="exact"/>
        <w:ind w:firstLine="482" w:firstLineChars="200"/>
        <w:rPr>
          <w:rFonts w:hint="eastAsia" w:ascii="黑体" w:hAnsi="黑体" w:eastAsia="黑体" w:cs="宋体"/>
          <w:bCs/>
          <w:color w:val="auto"/>
          <w:sz w:val="24"/>
        </w:rPr>
      </w:pPr>
      <w:bookmarkStart w:id="4" w:name="_Toc35393630"/>
      <w:bookmarkEnd w:id="4"/>
      <w:bookmarkStart w:id="5" w:name="_Toc44229879"/>
      <w:bookmarkEnd w:id="5"/>
      <w:bookmarkStart w:id="6" w:name="_Toc28359013"/>
      <w:bookmarkEnd w:id="6"/>
      <w:bookmarkStart w:id="7" w:name="_Toc35393799"/>
      <w:bookmarkEnd w:id="7"/>
      <w:bookmarkStart w:id="8" w:name="_Toc28359090"/>
      <w:bookmarkEnd w:id="8"/>
      <w:r>
        <w:rPr>
          <w:rFonts w:hint="eastAsia" w:ascii="黑体" w:hAnsi="黑体" w:eastAsia="黑体" w:cs="宋体"/>
          <w:b/>
          <w:color w:val="auto"/>
          <w:kern w:val="44"/>
          <w:sz w:val="24"/>
        </w:rPr>
        <w:t>二、供应商的资格条件</w:t>
      </w:r>
    </w:p>
    <w:p>
      <w:pPr>
        <w:spacing w:line="360" w:lineRule="exact"/>
        <w:ind w:firstLine="420" w:firstLineChars="200"/>
        <w:rPr>
          <w:rFonts w:hint="eastAsia" w:ascii="宋体" w:hAnsi="宋体"/>
          <w:color w:val="auto"/>
          <w:szCs w:val="21"/>
        </w:rPr>
      </w:pPr>
      <w:r>
        <w:rPr>
          <w:rFonts w:hint="eastAsia" w:ascii="宋体" w:hAnsi="宋体"/>
          <w:color w:val="auto"/>
          <w:szCs w:val="21"/>
        </w:rPr>
        <w:t>1.满足《中华人民共和国政府采购法》第二十二条规定；</w:t>
      </w:r>
    </w:p>
    <w:p>
      <w:pPr>
        <w:spacing w:line="36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p>
    <w:p>
      <w:pPr>
        <w:spacing w:line="360" w:lineRule="exact"/>
        <w:ind w:firstLine="440" w:firstLineChars="200"/>
        <w:rPr>
          <w:rFonts w:hint="eastAsia" w:ascii="宋体" w:hAnsi="宋体"/>
          <w:color w:val="auto"/>
          <w:szCs w:val="21"/>
        </w:rPr>
      </w:pPr>
      <w:r>
        <w:rPr>
          <w:rFonts w:hint="eastAsia" w:ascii="MS Mincho" w:hAnsi="MS Mincho" w:eastAsia="MS Mincho" w:cs="MS Mincho"/>
          <w:color w:val="auto"/>
          <w:sz w:val="22"/>
          <w:szCs w:val="22"/>
        </w:rPr>
        <w:t>☑</w:t>
      </w:r>
      <w:r>
        <w:rPr>
          <w:rFonts w:hint="eastAsia" w:ascii="宋体" w:hAnsi="宋体"/>
          <w:color w:val="auto"/>
          <w:szCs w:val="21"/>
        </w:rPr>
        <w:t>专门面向中小企业采购的项目（供应商应为中小微企业、监狱企业、残疾人福利性单位）</w:t>
      </w:r>
    </w:p>
    <w:p>
      <w:pPr>
        <w:spacing w:line="360" w:lineRule="exact"/>
        <w:ind w:firstLine="420" w:firstLineChars="200"/>
        <w:rPr>
          <w:rFonts w:hint="eastAsia" w:ascii="宋体" w:hAnsi="宋体"/>
          <w:color w:val="auto"/>
          <w:szCs w:val="21"/>
        </w:rPr>
      </w:pPr>
      <w:r>
        <w:rPr>
          <w:rFonts w:hint="eastAsia" w:ascii="宋体" w:hAnsi="宋体"/>
          <w:color w:val="auto"/>
          <w:szCs w:val="21"/>
        </w:rPr>
        <w:t>□非专门面向中小企业采购的项目</w:t>
      </w:r>
    </w:p>
    <w:p>
      <w:pPr>
        <w:spacing w:line="360" w:lineRule="exact"/>
        <w:ind w:firstLine="420" w:firstLineChars="200"/>
        <w:rPr>
          <w:rFonts w:hint="eastAsia" w:ascii="宋体" w:hAnsi="宋体"/>
          <w:color w:val="auto"/>
          <w:szCs w:val="21"/>
        </w:rPr>
      </w:pPr>
      <w:r>
        <w:rPr>
          <w:rFonts w:hint="eastAsia" w:ascii="宋体" w:hAnsi="宋体"/>
          <w:color w:val="auto"/>
          <w:szCs w:val="21"/>
        </w:rPr>
        <w:t>3.本项目的特定资格要求：</w:t>
      </w:r>
      <w:r>
        <w:rPr>
          <w:rFonts w:hint="eastAsia" w:ascii="Calibri" w:hAnsi="Calibri" w:cs="Calibri"/>
          <w:color w:val="auto"/>
          <w:szCs w:val="21"/>
        </w:rPr>
        <w:t>供应商须具备乙级及以上测绘资质（内容包含工程测量、界线与不动产测绘）</w:t>
      </w:r>
      <w:r>
        <w:rPr>
          <w:rFonts w:hint="eastAsia" w:ascii="宋体" w:hAnsi="宋体"/>
          <w:color w:val="auto"/>
          <w:szCs w:val="21"/>
        </w:rPr>
        <w:t xml:space="preserve"> </w:t>
      </w:r>
    </w:p>
    <w:p>
      <w:pPr>
        <w:widowControl/>
        <w:spacing w:line="360" w:lineRule="exact"/>
        <w:ind w:firstLine="420" w:firstLineChars="200"/>
        <w:rPr>
          <w:rFonts w:hint="eastAsia" w:ascii="宋体" w:hAnsi="宋体"/>
          <w:color w:val="auto"/>
          <w:szCs w:val="21"/>
        </w:rPr>
      </w:pPr>
      <w:r>
        <w:rPr>
          <w:rFonts w:ascii="宋体" w:hAnsi="宋体"/>
          <w:color w:val="auto"/>
          <w:szCs w:val="21"/>
        </w:rPr>
        <w:t>4</w:t>
      </w:r>
      <w:r>
        <w:rPr>
          <w:rFonts w:hint="eastAsia" w:ascii="宋体" w:hAnsi="宋体"/>
          <w:color w:val="auto"/>
          <w:szCs w:val="21"/>
        </w:rPr>
        <w:t>.本项目的特定条件：无。</w:t>
      </w:r>
    </w:p>
    <w:p>
      <w:pPr>
        <w:snapToGrid w:val="0"/>
        <w:spacing w:line="360" w:lineRule="exact"/>
        <w:ind w:firstLine="420" w:firstLineChars="200"/>
        <w:jc w:val="left"/>
        <w:rPr>
          <w:rFonts w:hint="eastAsia" w:ascii="宋体" w:hAnsi="宋体"/>
          <w:color w:val="auto"/>
          <w:szCs w:val="21"/>
        </w:rPr>
      </w:pPr>
      <w:r>
        <w:rPr>
          <w:rFonts w:hint="eastAsia" w:ascii="宋体" w:hAnsi="宋体"/>
          <w:color w:val="auto"/>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20" w:firstLineChars="200"/>
        <w:rPr>
          <w:rFonts w:hint="eastAsia" w:ascii="宋体" w:hAnsi="宋体"/>
          <w:color w:val="auto"/>
          <w:szCs w:val="21"/>
        </w:rPr>
      </w:pPr>
      <w:r>
        <w:rPr>
          <w:rFonts w:hint="eastAsia" w:ascii="宋体" w:hAnsi="宋体"/>
          <w:color w:val="auto"/>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exact"/>
        <w:ind w:firstLine="482" w:firstLineChars="200"/>
        <w:rPr>
          <w:rFonts w:hint="eastAsia" w:ascii="黑体" w:hAnsi="黑体" w:eastAsia="黑体"/>
          <w:b/>
          <w:bCs/>
          <w:color w:val="auto"/>
          <w:sz w:val="24"/>
        </w:rPr>
      </w:pPr>
      <w:r>
        <w:rPr>
          <w:rFonts w:hint="eastAsia" w:ascii="黑体" w:hAnsi="黑体" w:eastAsia="黑体"/>
          <w:b/>
          <w:bCs/>
          <w:color w:val="auto"/>
          <w:sz w:val="24"/>
        </w:rPr>
        <w:t>三、获取竞争性磋商文件</w:t>
      </w:r>
    </w:p>
    <w:p>
      <w:pPr>
        <w:spacing w:line="360" w:lineRule="exact"/>
        <w:ind w:firstLine="420" w:firstLineChars="200"/>
        <w:rPr>
          <w:rFonts w:hint="eastAsia" w:ascii="宋体" w:hAnsi="宋体"/>
          <w:color w:val="auto"/>
          <w:szCs w:val="21"/>
        </w:rPr>
      </w:pPr>
      <w:bookmarkStart w:id="9" w:name="_Toc35393793"/>
      <w:bookmarkStart w:id="10" w:name="_Toc35393624"/>
      <w:bookmarkStart w:id="11" w:name="_Toc28359082"/>
      <w:bookmarkStart w:id="12" w:name="_Toc28359005"/>
      <w:bookmarkStart w:id="27" w:name="_GoBack"/>
      <w:r>
        <w:rPr>
          <w:rFonts w:hint="eastAsia" w:ascii="宋体" w:hAnsi="宋体"/>
          <w:color w:val="auto"/>
          <w:szCs w:val="21"/>
        </w:rPr>
        <w:t>时间：自公告发布之日。</w:t>
      </w:r>
    </w:p>
    <w:p>
      <w:pPr>
        <w:spacing w:line="360" w:lineRule="exact"/>
        <w:ind w:firstLine="420" w:firstLineChars="200"/>
        <w:rPr>
          <w:rFonts w:hint="eastAsia" w:ascii="宋体" w:hAnsi="宋体"/>
          <w:b/>
          <w:bCs/>
          <w:color w:val="auto"/>
          <w:sz w:val="24"/>
        </w:rPr>
      </w:pPr>
      <w:r>
        <w:rPr>
          <w:rFonts w:hint="eastAsia" w:ascii="宋体" w:hAnsi="宋体"/>
          <w:color w:val="auto"/>
          <w:szCs w:val="21"/>
        </w:rPr>
        <w:t>获取方式：网上下载。本项目不发放纸质采购文件，供应商可自行在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olor w:val="auto"/>
          <w:szCs w:val="21"/>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pPr>
        <w:snapToGrid w:val="0"/>
        <w:spacing w:line="360" w:lineRule="exact"/>
        <w:ind w:firstLine="420" w:firstLineChars="200"/>
        <w:rPr>
          <w:rFonts w:hint="eastAsia" w:ascii="宋体" w:hAnsi="宋体"/>
          <w:color w:val="auto"/>
          <w:szCs w:val="21"/>
        </w:rPr>
      </w:pPr>
      <w:r>
        <w:rPr>
          <w:rFonts w:hint="eastAsia" w:ascii="宋体" w:hAnsi="宋体"/>
          <w:color w:val="auto"/>
          <w:szCs w:val="21"/>
        </w:rPr>
        <w:t>售价：0元。</w:t>
      </w:r>
      <w:bookmarkEnd w:id="27"/>
    </w:p>
    <w:bookmarkEnd w:id="9"/>
    <w:bookmarkEnd w:id="10"/>
    <w:bookmarkEnd w:id="11"/>
    <w:bookmarkEnd w:id="12"/>
    <w:p>
      <w:pPr>
        <w:spacing w:line="360" w:lineRule="exact"/>
        <w:ind w:firstLine="482" w:firstLineChars="200"/>
        <w:rPr>
          <w:rFonts w:hint="eastAsia" w:ascii="黑体" w:hAnsi="黑体" w:eastAsia="黑体"/>
          <w:b/>
          <w:bCs/>
          <w:color w:val="auto"/>
          <w:sz w:val="24"/>
        </w:rPr>
      </w:pPr>
      <w:r>
        <w:rPr>
          <w:rFonts w:hint="eastAsia" w:ascii="黑体" w:hAnsi="黑体" w:eastAsia="黑体"/>
          <w:b/>
          <w:bCs/>
          <w:color w:val="auto"/>
          <w:sz w:val="24"/>
        </w:rPr>
        <w:t>四、响应文件提交</w:t>
      </w:r>
    </w:p>
    <w:p>
      <w:pPr>
        <w:spacing w:line="360" w:lineRule="exact"/>
        <w:ind w:firstLine="420" w:firstLineChars="200"/>
        <w:rPr>
          <w:rFonts w:hint="eastAsia" w:ascii="宋体" w:hAnsi="宋体" w:cs="宋体"/>
          <w:color w:val="auto"/>
          <w:szCs w:val="21"/>
        </w:rPr>
      </w:pPr>
      <w:r>
        <w:rPr>
          <w:rFonts w:hint="eastAsia" w:ascii="宋体" w:hAnsi="宋体"/>
          <w:color w:val="auto"/>
          <w:szCs w:val="21"/>
        </w:rPr>
        <w:t>1、首次响应文件提交截止时间</w:t>
      </w:r>
      <w:r>
        <w:rPr>
          <w:rFonts w:hint="eastAsia" w:ascii="宋体" w:hAnsi="宋体"/>
          <w:bCs/>
          <w:color w:val="auto"/>
          <w:szCs w:val="21"/>
        </w:rPr>
        <w:t>（北京时间）：2025年4月28日9点30分（北京时间）</w:t>
      </w:r>
    </w:p>
    <w:p>
      <w:pPr>
        <w:spacing w:line="360" w:lineRule="exact"/>
        <w:ind w:firstLine="420" w:firstLineChars="200"/>
        <w:rPr>
          <w:rFonts w:hint="eastAsia" w:ascii="宋体" w:hAnsi="宋体"/>
          <w:color w:val="auto"/>
          <w:szCs w:val="21"/>
        </w:rPr>
      </w:pPr>
      <w:r>
        <w:rPr>
          <w:rFonts w:hint="eastAsia" w:ascii="宋体" w:hAnsi="宋体"/>
          <w:color w:val="auto"/>
          <w:szCs w:val="21"/>
        </w:rPr>
        <w:t>2、首次响应文件提交地点：</w:t>
      </w:r>
    </w:p>
    <w:p>
      <w:pPr>
        <w:widowControl/>
        <w:spacing w:line="360" w:lineRule="exact"/>
        <w:ind w:firstLine="420" w:firstLineChars="200"/>
        <w:jc w:val="left"/>
        <w:rPr>
          <w:rFonts w:hint="eastAsia" w:ascii="宋体" w:hAnsi="宋体"/>
          <w:color w:val="auto"/>
          <w:szCs w:val="21"/>
        </w:rPr>
      </w:pPr>
      <w:r>
        <w:rPr>
          <w:rFonts w:hint="eastAsia" w:ascii="宋体" w:hAnsi="宋体"/>
          <w:color w:val="auto"/>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南宁市本级广西政府采购云平台，</w:t>
      </w:r>
      <w:r>
        <w:rPr>
          <w:rFonts w:hint="eastAsia" w:ascii="宋体" w:hAnsi="宋体"/>
          <w:b/>
          <w:color w:val="auto"/>
          <w:szCs w:val="21"/>
        </w:rPr>
        <w:t>供应商在广西政府采购云平台提交电子版响应文件时，请填写参加远程采购活动经办人联系方式，</w:t>
      </w:r>
      <w:r>
        <w:rPr>
          <w:rFonts w:hint="eastAsia" w:ascii="宋体" w:hAnsi="宋体"/>
          <w:color w:val="auto"/>
          <w:szCs w:val="21"/>
        </w:rPr>
        <w:t>电子响应文件具体操作流程详见本公告附件2。</w:t>
      </w:r>
    </w:p>
    <w:p>
      <w:pPr>
        <w:widowControl/>
        <w:spacing w:line="360" w:lineRule="exact"/>
        <w:ind w:firstLine="420" w:firstLineChars="200"/>
        <w:jc w:val="left"/>
        <w:rPr>
          <w:rFonts w:hint="eastAsia" w:ascii="宋体" w:hAnsi="宋体"/>
          <w:color w:val="auto"/>
          <w:szCs w:val="21"/>
        </w:rPr>
      </w:pPr>
      <w:r>
        <w:rPr>
          <w:rFonts w:hint="eastAsia" w:ascii="宋体" w:hAnsi="宋体"/>
          <w:color w:val="auto"/>
          <w:szCs w:val="21"/>
        </w:rPr>
        <w:t>（2）未进行网上注册并办理数字证书（CA认证）的供应商将无法参与本项目政府采购活动，潜在供应商应当在投标截止时间前，完成电子交易平台上的CA数字证书办理（申领流程见本公告附件1）及响应文件的提交。完成</w:t>
      </w:r>
      <w:r>
        <w:rPr>
          <w:rFonts w:ascii="宋体" w:hAnsi="宋体"/>
          <w:color w:val="auto"/>
          <w:szCs w:val="21"/>
        </w:rPr>
        <w:t>CA数字证书办理预计7日左右，</w:t>
      </w:r>
      <w:r>
        <w:rPr>
          <w:rFonts w:hint="eastAsia" w:ascii="宋体" w:hAnsi="宋体" w:cs="宋体"/>
          <w:color w:val="auto"/>
          <w:szCs w:val="21"/>
        </w:rPr>
        <w:t>供应商只需办理其中一家</w:t>
      </w:r>
      <w:r>
        <w:rPr>
          <w:rFonts w:ascii="宋体" w:hAnsi="宋体" w:cs="宋体"/>
          <w:color w:val="auto"/>
          <w:szCs w:val="21"/>
        </w:rPr>
        <w:t>CA数字证书及签章</w:t>
      </w:r>
      <w:r>
        <w:rPr>
          <w:rFonts w:hint="eastAsia" w:ascii="宋体" w:hAnsi="宋体"/>
          <w:color w:val="auto"/>
          <w:szCs w:val="21"/>
        </w:rPr>
        <w:t>。</w:t>
      </w:r>
    </w:p>
    <w:p>
      <w:pPr>
        <w:widowControl/>
        <w:spacing w:line="360" w:lineRule="exact"/>
        <w:ind w:firstLine="420" w:firstLineChars="200"/>
        <w:jc w:val="left"/>
        <w:rPr>
          <w:rFonts w:hint="eastAsia" w:ascii="宋体" w:hAnsi="宋体"/>
          <w:color w:val="auto"/>
          <w:szCs w:val="21"/>
        </w:rPr>
      </w:pPr>
      <w:r>
        <w:rPr>
          <w:rFonts w:hint="eastAsia" w:ascii="宋体" w:hAnsi="宋体"/>
          <w:color w:val="auto"/>
          <w:szCs w:val="21"/>
        </w:rPr>
        <w:t>（3）为确保网上操作合法、有效和安全，请供应商确保在电子响应过程中能够对相关数据电文进行加密和使用电子签章，妥善保管C</w:t>
      </w:r>
      <w:r>
        <w:rPr>
          <w:rFonts w:ascii="宋体" w:hAnsi="宋体"/>
          <w:color w:val="auto"/>
          <w:szCs w:val="21"/>
        </w:rPr>
        <w:t>A</w:t>
      </w:r>
      <w:r>
        <w:rPr>
          <w:rFonts w:hint="eastAsia" w:ascii="宋体" w:hAnsi="宋体"/>
          <w:color w:val="auto"/>
          <w:szCs w:val="21"/>
        </w:rPr>
        <w:t>数字证书并使用有效的CA数字证书参与整个采购活动。</w:t>
      </w:r>
    </w:p>
    <w:p>
      <w:pPr>
        <w:spacing w:line="360" w:lineRule="exact"/>
        <w:ind w:firstLine="420" w:firstLineChars="200"/>
        <w:rPr>
          <w:rFonts w:hint="eastAsia" w:ascii="宋体" w:hAnsi="宋体"/>
          <w:bCs/>
          <w:color w:val="auto"/>
          <w:szCs w:val="21"/>
        </w:rPr>
      </w:pPr>
      <w:r>
        <w:rPr>
          <w:rFonts w:hint="eastAsia" w:ascii="宋体" w:hAnsi="宋体"/>
          <w:bCs/>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pPr>
        <w:snapToGrid w:val="0"/>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3、CA证书在线解密：首次响应文件开启时，须供应商携带制作响应文件时用来加密的有效数字证书（CA认证）登录广西政府采购云平台电子开标大厅现场按规定时间对加密的响应文件进行解密</w:t>
      </w:r>
      <w:r>
        <w:rPr>
          <w:rFonts w:hint="eastAsia" w:ascii="宋体" w:hAnsi="宋体" w:cs="宋体"/>
          <w:color w:val="auto"/>
          <w:szCs w:val="21"/>
        </w:rPr>
        <w:t>，未能按要求进行解密的，由此产生的后果由投标人自行承担。</w:t>
      </w:r>
    </w:p>
    <w:p>
      <w:pPr>
        <w:snapToGrid w:val="0"/>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4、供应商需要在具备摄像头及语音功能且互联网网络状况良好的电脑登录广西政府采购云平台远程开标大厅参与本次磋商，否则后果自负。</w:t>
      </w:r>
    </w:p>
    <w:p>
      <w:pPr>
        <w:spacing w:line="360" w:lineRule="exact"/>
        <w:ind w:firstLine="482" w:firstLineChars="200"/>
        <w:rPr>
          <w:rFonts w:hint="eastAsia" w:ascii="黑体" w:hAnsi="黑体" w:eastAsia="黑体"/>
          <w:b/>
          <w:bCs/>
          <w:color w:val="auto"/>
          <w:sz w:val="24"/>
        </w:rPr>
      </w:pPr>
      <w:r>
        <w:rPr>
          <w:rFonts w:hint="eastAsia" w:ascii="黑体" w:hAnsi="黑体" w:eastAsia="黑体"/>
          <w:b/>
          <w:bCs/>
          <w:color w:val="auto"/>
          <w:sz w:val="24"/>
        </w:rPr>
        <w:t>五、开启（首次响应文件开启时间）</w:t>
      </w:r>
    </w:p>
    <w:p>
      <w:pPr>
        <w:spacing w:line="360" w:lineRule="exact"/>
        <w:ind w:firstLine="420" w:firstLineChars="200"/>
        <w:rPr>
          <w:rFonts w:hint="eastAsia" w:ascii="宋体" w:hAnsi="宋体"/>
          <w:bCs/>
          <w:color w:val="auto"/>
          <w:szCs w:val="21"/>
        </w:rPr>
      </w:pPr>
      <w:r>
        <w:rPr>
          <w:rFonts w:hint="eastAsia" w:ascii="宋体" w:hAnsi="宋体"/>
          <w:color w:val="auto"/>
          <w:szCs w:val="21"/>
        </w:rPr>
        <w:t>1、时间：2025年</w:t>
      </w:r>
      <w:r>
        <w:rPr>
          <w:rFonts w:hint="eastAsia" w:ascii="宋体" w:hAnsi="宋体"/>
          <w:bCs/>
          <w:color w:val="auto"/>
          <w:szCs w:val="21"/>
        </w:rPr>
        <w:t>4月28日9点30分</w:t>
      </w:r>
      <w:r>
        <w:rPr>
          <w:rFonts w:hint="eastAsia" w:ascii="宋体" w:hAnsi="宋体"/>
          <w:color w:val="auto"/>
          <w:szCs w:val="21"/>
        </w:rPr>
        <w:t>（北京时间）</w:t>
      </w:r>
    </w:p>
    <w:p>
      <w:pPr>
        <w:spacing w:line="360" w:lineRule="exact"/>
        <w:ind w:firstLine="420" w:firstLineChars="200"/>
        <w:rPr>
          <w:rFonts w:hint="eastAsia" w:ascii="宋体" w:hAnsi="宋体"/>
          <w:bCs/>
          <w:color w:val="auto"/>
          <w:szCs w:val="21"/>
        </w:rPr>
      </w:pPr>
      <w:r>
        <w:rPr>
          <w:rFonts w:hint="eastAsia" w:ascii="宋体" w:hAnsi="宋体"/>
          <w:color w:val="auto"/>
          <w:szCs w:val="21"/>
        </w:rPr>
        <w:t>2、地点：广西政府采购云平台（https://www.gcy.zfcg.gxzf.gov.cn/）</w:t>
      </w:r>
    </w:p>
    <w:p>
      <w:pPr>
        <w:spacing w:line="360" w:lineRule="exact"/>
        <w:ind w:firstLine="482" w:firstLineChars="200"/>
        <w:rPr>
          <w:rFonts w:hint="eastAsia" w:ascii="黑体" w:hAnsi="黑体" w:eastAsia="黑体"/>
          <w:b/>
          <w:bCs/>
          <w:color w:val="auto"/>
          <w:sz w:val="24"/>
        </w:rPr>
      </w:pPr>
      <w:bookmarkStart w:id="13" w:name="_Toc28359084"/>
      <w:bookmarkEnd w:id="13"/>
      <w:bookmarkStart w:id="14" w:name="_Toc35393625"/>
      <w:bookmarkEnd w:id="14"/>
      <w:bookmarkStart w:id="15" w:name="_Toc35393794"/>
      <w:bookmarkEnd w:id="15"/>
      <w:bookmarkStart w:id="16" w:name="_Toc28359007"/>
      <w:bookmarkEnd w:id="16"/>
      <w:r>
        <w:rPr>
          <w:rFonts w:hint="eastAsia" w:ascii="黑体" w:hAnsi="黑体" w:eastAsia="黑体"/>
          <w:b/>
          <w:bCs/>
          <w:color w:val="auto"/>
          <w:sz w:val="24"/>
        </w:rPr>
        <w:t>六、公告期限</w:t>
      </w:r>
    </w:p>
    <w:p>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pPr>
        <w:spacing w:line="360" w:lineRule="exact"/>
        <w:ind w:firstLine="482" w:firstLineChars="200"/>
        <w:rPr>
          <w:rFonts w:hint="eastAsia" w:ascii="黑体" w:hAnsi="黑体" w:eastAsia="黑体"/>
          <w:b/>
          <w:bCs/>
          <w:color w:val="auto"/>
          <w:sz w:val="24"/>
        </w:rPr>
      </w:pPr>
      <w:bookmarkStart w:id="17" w:name="_Toc35393626"/>
      <w:bookmarkEnd w:id="17"/>
      <w:bookmarkStart w:id="18" w:name="_Toc35393795"/>
      <w:bookmarkEnd w:id="18"/>
      <w:r>
        <w:rPr>
          <w:rFonts w:hint="eastAsia" w:ascii="黑体" w:hAnsi="黑体" w:eastAsia="黑体"/>
          <w:b/>
          <w:bCs/>
          <w:color w:val="auto"/>
          <w:sz w:val="24"/>
        </w:rPr>
        <w:t>七、其他补充事宜</w:t>
      </w:r>
    </w:p>
    <w:p>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磋商保证金：本项目不收取磋商保证金</w:t>
      </w:r>
    </w:p>
    <w:p>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2.采购意向公开链接：</w:t>
      </w:r>
    </w:p>
    <w:p>
      <w:pPr>
        <w:wordWrap w:val="0"/>
        <w:spacing w:line="360" w:lineRule="exact"/>
        <w:ind w:firstLine="420" w:firstLineChars="200"/>
        <w:rPr>
          <w:rFonts w:hint="eastAsia" w:ascii="宋体" w:hAnsi="宋体" w:cs="宋体"/>
          <w:color w:val="auto"/>
          <w:kern w:val="0"/>
          <w:szCs w:val="21"/>
        </w:rPr>
      </w:pPr>
      <w:bookmarkStart w:id="19" w:name="_Hlk37429585"/>
      <w:r>
        <w:rPr>
          <w:rFonts w:ascii="宋体" w:hAnsi="宋体" w:cs="宋体"/>
          <w:color w:val="auto"/>
          <w:kern w:val="0"/>
          <w:szCs w:val="21"/>
        </w:rPr>
        <w:t>https://zfcg.gxzf.gov.cn/luban/detail?parentId=66601&amp;articleId=ann_GdGRb2EI0+X98lcjlXQo49D5ndTMr3NGt5TILBJnhQo=</w:t>
      </w:r>
    </w:p>
    <w:p>
      <w:pPr>
        <w:wordWrap w:val="0"/>
        <w:spacing w:line="360" w:lineRule="exact"/>
        <w:ind w:firstLine="420" w:firstLineChars="200"/>
        <w:rPr>
          <w:rFonts w:hint="eastAsia" w:ascii="宋体" w:hAnsi="宋体" w:cs="宋体"/>
          <w:color w:val="auto"/>
          <w:kern w:val="0"/>
          <w:szCs w:val="21"/>
        </w:rPr>
      </w:pPr>
      <w:bookmarkStart w:id="20" w:name="_Hlk37429595"/>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网上查询地址</w:t>
      </w:r>
    </w:p>
    <w:bookmarkEnd w:id="19"/>
    <w:bookmarkEnd w:id="20"/>
    <w:p>
      <w:pPr>
        <w:wordWrap w:val="0"/>
        <w:spacing w:line="360" w:lineRule="exact"/>
        <w:ind w:firstLine="420" w:firstLineChars="200"/>
        <w:rPr>
          <w:rFonts w:hint="eastAsia" w:ascii="宋体" w:hAnsi="宋体" w:cs="宋体"/>
          <w:color w:val="auto"/>
          <w:kern w:val="0"/>
          <w:szCs w:val="21"/>
        </w:rPr>
      </w:pPr>
      <w:bookmarkStart w:id="21" w:name="_Hlk37429674"/>
      <w:r>
        <w:rPr>
          <w:rFonts w:hint="eastAsia" w:ascii="宋体" w:hAnsi="宋体" w:cs="宋体"/>
          <w:color w:val="auto"/>
          <w:kern w:val="0"/>
          <w:szCs w:val="21"/>
        </w:rPr>
        <w:t>中国政府采购网（http://www.ccgp.gov.cn）、广西壮族自治区政府采购网（http://zfcg.gxzf.gov.cn）、全国公共资源交易平台（广西.南宁）（http://ggzy.jgswj.gxzf.gov.cn/nnggzy/）</w:t>
      </w:r>
    </w:p>
    <w:p>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olor w:val="auto"/>
          <w:szCs w:val="21"/>
        </w:rPr>
        <w:t>.</w:t>
      </w:r>
      <w:r>
        <w:rPr>
          <w:rFonts w:hint="eastAsia" w:ascii="宋体" w:hAnsi="宋体" w:cs="宋体"/>
          <w:color w:val="auto"/>
          <w:kern w:val="0"/>
          <w:szCs w:val="21"/>
        </w:rPr>
        <w:t>本项目需要落实的政府采购政策</w:t>
      </w:r>
    </w:p>
    <w:p>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（2）政府采购支持采用本国产品的政策。</w:t>
      </w:r>
    </w:p>
    <w:p>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（4）政府采购促进残疾人就业政策。</w:t>
      </w:r>
    </w:p>
    <w:bookmarkEnd w:id="21"/>
    <w:p>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（5）政府采购支持监狱企业发展。</w:t>
      </w:r>
    </w:p>
    <w:p>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wordWrap w:val="0"/>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6.若对项目采购电子交易系统操作有疑问，可登录广西政府采购云平台（</w:t>
      </w:r>
      <w:r>
        <w:rPr>
          <w:rFonts w:hint="eastAsia" w:ascii="宋体" w:hAnsi="宋体"/>
          <w:color w:val="auto"/>
          <w:szCs w:val="21"/>
        </w:rPr>
        <w:t>https://www.gcy.zfcg.gxzf.gov.cn</w:t>
      </w:r>
      <w:r>
        <w:rPr>
          <w:rFonts w:hint="eastAsia" w:ascii="宋体" w:hAnsi="宋体" w:cs="宋体"/>
          <w:color w:val="auto"/>
          <w:kern w:val="0"/>
          <w:szCs w:val="21"/>
        </w:rPr>
        <w:t>/），或拨打广西政府采购云服务热线</w:t>
      </w:r>
      <w:r>
        <w:rPr>
          <w:rFonts w:ascii="宋体" w:hAnsi="宋体" w:cs="宋体"/>
          <w:color w:val="auto"/>
          <w:kern w:val="0"/>
          <w:szCs w:val="21"/>
        </w:rPr>
        <w:t>95763</w:t>
      </w:r>
      <w:r>
        <w:rPr>
          <w:rFonts w:hint="eastAsia" w:ascii="宋体" w:hAnsi="宋体" w:cs="宋体"/>
          <w:color w:val="auto"/>
          <w:kern w:val="0"/>
          <w:szCs w:val="21"/>
        </w:rPr>
        <w:t xml:space="preserve">或0771-3381253获取热线服务帮助。 </w:t>
      </w:r>
    </w:p>
    <w:p>
      <w:pPr>
        <w:spacing w:line="360" w:lineRule="exact"/>
        <w:ind w:firstLine="482" w:firstLineChars="200"/>
        <w:rPr>
          <w:rFonts w:hint="eastAsia" w:ascii="黑体" w:hAnsi="黑体" w:eastAsia="黑体" w:cs="宋体"/>
          <w:bCs/>
          <w:color w:val="auto"/>
          <w:sz w:val="24"/>
        </w:rPr>
      </w:pPr>
      <w:r>
        <w:rPr>
          <w:rFonts w:hint="eastAsia" w:ascii="黑体" w:hAnsi="黑体" w:eastAsia="黑体" w:cs="宋体"/>
          <w:b/>
          <w:color w:val="auto"/>
          <w:kern w:val="44"/>
          <w:sz w:val="24"/>
        </w:rPr>
        <w:t>八、凡对本次采购提出询问，请按</w:t>
      </w:r>
      <w:r>
        <w:rPr>
          <w:rFonts w:ascii="黑体" w:hAnsi="黑体" w:eastAsia="黑体" w:cs="宋体"/>
          <w:b/>
          <w:color w:val="auto"/>
          <w:kern w:val="44"/>
          <w:sz w:val="24"/>
        </w:rPr>
        <w:t>以下方式</w:t>
      </w:r>
      <w:r>
        <w:rPr>
          <w:rFonts w:hint="eastAsia" w:ascii="黑体" w:hAnsi="黑体" w:eastAsia="黑体" w:cs="宋体"/>
          <w:b/>
          <w:color w:val="auto"/>
          <w:kern w:val="44"/>
          <w:sz w:val="24"/>
        </w:rPr>
        <w:t>联系</w:t>
      </w:r>
    </w:p>
    <w:p>
      <w:pPr>
        <w:spacing w:line="360" w:lineRule="exact"/>
        <w:ind w:firstLine="420" w:firstLineChars="200"/>
        <w:rPr>
          <w:rFonts w:hint="eastAsia" w:ascii="宋体" w:hAnsi="宋体" w:cs="宋体"/>
          <w:color w:val="auto"/>
          <w:szCs w:val="21"/>
        </w:rPr>
      </w:pPr>
      <w:bookmarkStart w:id="22" w:name="OLE_LINK9"/>
      <w:r>
        <w:rPr>
          <w:rFonts w:hint="eastAsia" w:ascii="宋体" w:hAnsi="宋体" w:cs="宋体"/>
          <w:color w:val="auto"/>
          <w:szCs w:val="21"/>
        </w:rPr>
        <w:t>1.采购人信息</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名 称：南宁市武鸣区城厢镇人民政府</w:t>
      </w:r>
    </w:p>
    <w:p>
      <w:pPr>
        <w:wordWrap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地址：南宁市武鸣区城厢镇农坛路</w:t>
      </w:r>
      <w:r>
        <w:rPr>
          <w:rFonts w:ascii="宋体" w:hAnsi="宋体" w:cs="宋体"/>
          <w:color w:val="auto"/>
          <w:szCs w:val="21"/>
        </w:rPr>
        <w:t>252</w:t>
      </w:r>
      <w:r>
        <w:rPr>
          <w:rFonts w:hint="eastAsia" w:ascii="宋体" w:hAnsi="宋体" w:cs="宋体"/>
          <w:color w:val="auto"/>
          <w:szCs w:val="21"/>
        </w:rPr>
        <w:t>号</w:t>
      </w:r>
      <w:r>
        <w:rPr>
          <w:color w:val="auto"/>
          <w:szCs w:val="21"/>
        </w:rPr>
        <w:t>‌‌</w:t>
      </w:r>
      <w:r>
        <w:rPr>
          <w:rFonts w:hint="eastAsia" w:ascii="宋体" w:hAnsi="宋体" w:cs="宋体"/>
          <w:color w:val="auto"/>
          <w:szCs w:val="21"/>
        </w:rPr>
        <w:t xml:space="preserve"> </w:t>
      </w:r>
    </w:p>
    <w:p>
      <w:pPr>
        <w:wordWrap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项目联系人：蒙日毅、林宇弘</w:t>
      </w:r>
    </w:p>
    <w:p>
      <w:pPr>
        <w:wordWrap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联系电话：</w:t>
      </w:r>
      <w:r>
        <w:rPr>
          <w:rFonts w:ascii="宋体" w:hAnsi="宋体" w:cs="宋体"/>
          <w:color w:val="auto"/>
          <w:szCs w:val="21"/>
        </w:rPr>
        <w:t>0771-</w:t>
      </w:r>
      <w:r>
        <w:rPr>
          <w:rFonts w:hint="eastAsia" w:ascii="宋体" w:hAnsi="宋体" w:cs="宋体"/>
          <w:color w:val="auto"/>
        </w:rPr>
        <w:t>6018600</w:t>
      </w:r>
    </w:p>
    <w:p>
      <w:pPr>
        <w:wordWrap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2.采购代理机构信息</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名  称：</w:t>
      </w:r>
      <w:bookmarkStart w:id="23" w:name="OLE_LINK6"/>
      <w:r>
        <w:rPr>
          <w:rFonts w:hint="eastAsia" w:ascii="宋体" w:hAnsi="宋体" w:cs="宋体"/>
          <w:color w:val="auto"/>
          <w:szCs w:val="21"/>
        </w:rPr>
        <w:t>云之龙咨询集团有限公司</w:t>
      </w:r>
      <w:bookmarkEnd w:id="23"/>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地址：南宁市良庆区云英路15号3号楼云之龙咨询集团大厦6楼</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联系电话：0771-2618199、2618118 、2611898</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3.项目联系方式</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项目联系人：郭春燕</w:t>
      </w:r>
    </w:p>
    <w:p>
      <w:pPr>
        <w:spacing w:line="360" w:lineRule="exact"/>
        <w:ind w:firstLine="420" w:firstLineChars="200"/>
        <w:rPr>
          <w:rFonts w:hint="eastAsia" w:ascii="宋体" w:hAnsi="宋体"/>
          <w:color w:val="auto"/>
          <w:szCs w:val="21"/>
        </w:rPr>
      </w:pPr>
      <w:r>
        <w:rPr>
          <w:rFonts w:hint="eastAsia" w:ascii="宋体" w:hAnsi="宋体" w:cs="宋体"/>
          <w:color w:val="auto"/>
          <w:szCs w:val="21"/>
        </w:rPr>
        <w:t>电话：0771-2618199、2618118、2611898</w:t>
      </w:r>
    </w:p>
    <w:p>
      <w:pPr>
        <w:pStyle w:val="5"/>
        <w:widowControl/>
        <w:spacing w:line="360" w:lineRule="exact"/>
        <w:ind w:firstLine="420" w:firstLineChars="200"/>
        <w:rPr>
          <w:color w:val="auto"/>
        </w:rPr>
      </w:pPr>
      <w:bookmarkStart w:id="24" w:name="OLE_LINK3"/>
      <w:r>
        <w:rPr>
          <w:rFonts w:hint="eastAsia" w:ascii="宋体" w:hAnsi="宋体" w:cs="宋体"/>
          <w:color w:val="auto"/>
          <w:szCs w:val="21"/>
        </w:rPr>
        <w:t>附件：1.CA证书申请方式及操作指南下载地址（登陆</w:t>
      </w:r>
      <w:bookmarkStart w:id="25" w:name="OLE_LINK4"/>
      <w:r>
        <w:rPr>
          <w:color w:val="auto"/>
        </w:rPr>
        <w:t>http://nncz.nanning.gov.cn/</w:t>
      </w:r>
      <w:bookmarkEnd w:id="25"/>
      <w:r>
        <w:rPr>
          <w:rFonts w:hint="eastAsia" w:cs="宋体"/>
          <w:color w:val="auto"/>
        </w:rPr>
        <w:t>（南宁市财政局官网）</w:t>
      </w:r>
      <w:r>
        <w:rPr>
          <w:color w:val="auto"/>
        </w:rPr>
        <w:t>-</w:t>
      </w:r>
      <w:r>
        <w:rPr>
          <w:rFonts w:hint="eastAsia" w:cs="宋体"/>
          <w:color w:val="auto"/>
        </w:rPr>
        <w:t>业务专题</w:t>
      </w:r>
      <w:r>
        <w:rPr>
          <w:color w:val="auto"/>
        </w:rPr>
        <w:t>-</w:t>
      </w:r>
      <w:r>
        <w:rPr>
          <w:rFonts w:hint="eastAsia" w:cs="宋体"/>
          <w:color w:val="auto"/>
        </w:rPr>
        <w:t>政府采购监督管理</w:t>
      </w:r>
      <w:r>
        <w:rPr>
          <w:color w:val="auto"/>
        </w:rPr>
        <w:t>-</w:t>
      </w:r>
      <w:r>
        <w:rPr>
          <w:rFonts w:hint="eastAsia" w:cs="宋体"/>
          <w:color w:val="auto"/>
        </w:rPr>
        <w:t>资料下载</w:t>
      </w:r>
      <w:r>
        <w:rPr>
          <w:color w:val="auto"/>
        </w:rPr>
        <w:t>-</w:t>
      </w:r>
      <w:r>
        <w:rPr>
          <w:rFonts w:hint="eastAsia" w:cs="宋体"/>
          <w:color w:val="auto"/>
        </w:rPr>
        <w:t>“广西政采云西部</w:t>
      </w:r>
      <w:r>
        <w:rPr>
          <w:color w:val="auto"/>
        </w:rPr>
        <w:t>CA</w:t>
      </w:r>
      <w:r>
        <w:rPr>
          <w:rFonts w:hint="eastAsia" w:cs="宋体"/>
          <w:color w:val="auto"/>
        </w:rPr>
        <w:t>办理方式”或“南宁市政采云</w:t>
      </w:r>
      <w:r>
        <w:rPr>
          <w:color w:val="auto"/>
        </w:rPr>
        <w:t>CA</w:t>
      </w:r>
      <w:r>
        <w:rPr>
          <w:rFonts w:hint="eastAsia" w:cs="宋体"/>
          <w:color w:val="auto"/>
        </w:rPr>
        <w:t>证书办理操作指南”</w:t>
      </w:r>
      <w:r>
        <w:rPr>
          <w:rFonts w:hint="eastAsia" w:ascii="宋体" w:hAnsi="宋体" w:cs="宋体"/>
          <w:color w:val="auto"/>
          <w:szCs w:val="21"/>
        </w:rPr>
        <w:t>）</w:t>
      </w:r>
    </w:p>
    <w:p>
      <w:pPr>
        <w:widowControl/>
        <w:spacing w:line="360" w:lineRule="exact"/>
        <w:ind w:firstLine="420" w:firstLineChars="200"/>
        <w:jc w:val="left"/>
        <w:rPr>
          <w:color w:val="auto"/>
        </w:rPr>
      </w:pPr>
      <w:r>
        <w:rPr>
          <w:rFonts w:hint="eastAsia" w:ascii="宋体" w:hAnsi="宋体"/>
          <w:color w:val="auto"/>
          <w:szCs w:val="21"/>
        </w:rPr>
        <w:t>2.电子投标文件制作与投送教程（在此网址下载：</w:t>
      </w:r>
      <w:r>
        <w:rPr>
          <w:color w:val="auto"/>
        </w:rPr>
        <w:t>http://nncz.nanning.gov.cn/</w:t>
      </w:r>
      <w:r>
        <w:rPr>
          <w:rFonts w:hint="eastAsia"/>
          <w:color w:val="auto"/>
        </w:rPr>
        <w:t>（南宁市财政局官网）</w:t>
      </w:r>
      <w:r>
        <w:rPr>
          <w:color w:val="auto"/>
        </w:rPr>
        <w:t>-</w:t>
      </w:r>
      <w:r>
        <w:rPr>
          <w:rFonts w:hint="eastAsia"/>
          <w:color w:val="auto"/>
        </w:rPr>
        <w:t>业务专题</w:t>
      </w:r>
      <w:r>
        <w:rPr>
          <w:color w:val="auto"/>
        </w:rPr>
        <w:t>-</w:t>
      </w:r>
      <w:r>
        <w:rPr>
          <w:rFonts w:hint="eastAsia"/>
          <w:color w:val="auto"/>
        </w:rPr>
        <w:t>政府采购监督管理</w:t>
      </w:r>
      <w:r>
        <w:rPr>
          <w:color w:val="auto"/>
        </w:rPr>
        <w:t>-</w:t>
      </w:r>
      <w:r>
        <w:rPr>
          <w:rFonts w:hint="eastAsia"/>
          <w:color w:val="auto"/>
        </w:rPr>
        <w:t>资料下载</w:t>
      </w:r>
      <w:r>
        <w:rPr>
          <w:color w:val="auto"/>
        </w:rPr>
        <w:t>-</w:t>
      </w:r>
      <w:r>
        <w:rPr>
          <w:rFonts w:hint="eastAsia"/>
          <w:color w:val="auto"/>
        </w:rPr>
        <w:t>南宁市政府采购项目全流程电子化交易操作指南</w:t>
      </w:r>
      <w:r>
        <w:rPr>
          <w:rFonts w:hint="eastAsia" w:ascii="宋体" w:hAnsi="宋体"/>
          <w:color w:val="auto"/>
          <w:szCs w:val="21"/>
        </w:rPr>
        <w:t>）</w:t>
      </w:r>
      <w:bookmarkEnd w:id="24"/>
    </w:p>
    <w:p>
      <w:pPr>
        <w:pStyle w:val="5"/>
        <w:spacing w:line="360" w:lineRule="exact"/>
        <w:ind w:firstLine="420" w:firstLineChars="200"/>
        <w:rPr>
          <w:rFonts w:hint="eastAsia" w:ascii="宋体" w:hAnsi="宋体"/>
          <w:color w:val="auto"/>
          <w:szCs w:val="21"/>
        </w:rPr>
      </w:pPr>
    </w:p>
    <w:p>
      <w:pPr>
        <w:spacing w:line="360" w:lineRule="exact"/>
        <w:ind w:firstLine="420" w:firstLineChars="200"/>
        <w:jc w:val="right"/>
        <w:rPr>
          <w:rFonts w:hint="eastAsia" w:ascii="宋体" w:hAnsi="宋体"/>
          <w:color w:val="auto"/>
          <w:szCs w:val="21"/>
        </w:rPr>
      </w:pPr>
      <w:r>
        <w:rPr>
          <w:rFonts w:hint="eastAsia" w:ascii="宋体" w:hAnsi="宋体"/>
          <w:color w:val="auto"/>
          <w:szCs w:val="21"/>
        </w:rPr>
        <w:t>云之龙咨询集团有限公司</w:t>
      </w:r>
    </w:p>
    <w:p>
      <w:pPr>
        <w:spacing w:line="360" w:lineRule="exact"/>
        <w:ind w:firstLine="420" w:firstLineChars="200"/>
        <w:jc w:val="right"/>
        <w:rPr>
          <w:rFonts w:hint="eastAsia" w:ascii="宋体" w:hAnsi="宋体"/>
          <w:color w:val="auto"/>
          <w:szCs w:val="21"/>
        </w:rPr>
      </w:pPr>
      <w:r>
        <w:rPr>
          <w:rFonts w:hint="eastAsia" w:ascii="宋体" w:hAnsi="宋体"/>
          <w:color w:val="auto"/>
          <w:szCs w:val="21"/>
        </w:rPr>
        <w:t>2025年4月</w:t>
      </w:r>
      <w:r>
        <w:rPr>
          <w:rFonts w:hint="eastAsia" w:ascii="宋体" w:hAnsi="宋体"/>
          <w:color w:val="auto"/>
          <w:szCs w:val="21"/>
          <w:lang w:val="en-US" w:eastAsia="zh-CN"/>
        </w:rPr>
        <w:t>17</w:t>
      </w:r>
      <w:r>
        <w:rPr>
          <w:rFonts w:hint="eastAsia" w:ascii="宋体" w:hAnsi="宋体"/>
          <w:color w:val="auto"/>
          <w:szCs w:val="21"/>
        </w:rPr>
        <w:t>日</w:t>
      </w:r>
    </w:p>
    <w:bookmarkEnd w:id="0"/>
    <w:bookmarkEnd w:id="1"/>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algun Gothic Semilight"/>
    <w:panose1 w:val="02020609040205080304"/>
    <w:charset w:val="80"/>
    <w:family w:val="moder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D52CE"/>
    <w:rsid w:val="08666515"/>
    <w:rsid w:val="55DC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next w:val="2"/>
    <w:qFormat/>
    <w:uiPriority w:val="0"/>
    <w:pPr>
      <w:spacing w:after="120" w:line="480" w:lineRule="auto"/>
    </w:pPr>
    <w:rPr>
      <w:rFonts w:ascii="Times New Roman" w:hAnsi="Times New Roman" w:eastAsia="宋体" w:cs="Times New Roman"/>
      <w:kern w:val="0"/>
      <w:sz w:val="20"/>
    </w:rPr>
  </w:style>
  <w:style w:type="paragraph" w:styleId="5">
    <w:name w:val="annotation text"/>
    <w:basedOn w:val="1"/>
    <w:qFormat/>
    <w:uiPriority w:val="99"/>
    <w:pPr>
      <w:jc w:val="left"/>
    </w:pPr>
  </w:style>
  <w:style w:type="paragraph" w:customStyle="1" w:styleId="8">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2025-04-17T05:17:40Z</dcterms:created>
  <dc:creator>Administrator</dc:creator>
  <cp:lastModifiedBy>Administrator</cp:lastModifiedBy>
  <dcterms:modified xsi:type="dcterms:W3CDTF">2025-04-17T05:22:55Z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