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C71D610">
      <w:pPr>
        <w:widowControl/>
        <w:spacing w:line="360" w:lineRule="auto"/>
        <w:rPr>
          <w:rFonts w:ascii="宋体" w:hAnsi="宋体"/>
          <w:color w:val="auto"/>
          <w:kern w:val="0"/>
          <w:szCs w:val="21"/>
          <w:highlight w:val="none"/>
        </w:rPr>
      </w:pPr>
      <w:r>
        <w:rPr>
          <w:rFonts w:ascii="宋体" w:hAnsi="宋体"/>
          <w:color w:val="auto"/>
          <w:kern w:val="0"/>
          <w:szCs w:val="21"/>
          <w:highlight w:val="none"/>
        </w:rPr>
        <w:drawing>
          <wp:anchor distT="0" distB="0" distL="114300" distR="114300" simplePos="0" relativeHeight="251661312" behindDoc="0" locked="0" layoutInCell="1" allowOverlap="1">
            <wp:simplePos x="0" y="0"/>
            <wp:positionH relativeFrom="column">
              <wp:posOffset>243205</wp:posOffset>
            </wp:positionH>
            <wp:positionV relativeFrom="paragraph">
              <wp:posOffset>81280</wp:posOffset>
            </wp:positionV>
            <wp:extent cx="5414010" cy="1203325"/>
            <wp:effectExtent l="0" t="0" r="0" b="0"/>
            <wp:wrapNone/>
            <wp:docPr id="3" name="图片 2" descr="I:\03★工作★（硬盘）\2018年项目-2022年项目-招标\5、2022年项目\（2.28投标入库）南宁轨道地产集团有限责任公司2022-2025年招标代理服务\招标公司-名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03★工作★（硬盘）\2018年项目-2022年项目-招标\5、2022年项目\（2.28投标入库）南宁轨道地产集团有限责任公司2022-2025年招标代理服务\招标公司-名称.png"/>
                    <pic:cNvPicPr>
                      <a:picLocks noChangeAspect="1"/>
                    </pic:cNvPicPr>
                  </pic:nvPicPr>
                  <pic:blipFill>
                    <a:blip r:embed="rId16"/>
                    <a:srcRect r="6451"/>
                    <a:stretch>
                      <a:fillRect/>
                    </a:stretch>
                  </pic:blipFill>
                  <pic:spPr>
                    <a:xfrm>
                      <a:off x="0" y="0"/>
                      <a:ext cx="5414010" cy="1203325"/>
                    </a:xfrm>
                    <a:prstGeom prst="rect">
                      <a:avLst/>
                    </a:prstGeom>
                    <a:noFill/>
                    <a:ln>
                      <a:noFill/>
                    </a:ln>
                  </pic:spPr>
                </pic:pic>
              </a:graphicData>
            </a:graphic>
          </wp:anchor>
        </w:drawing>
      </w:r>
    </w:p>
    <w:p w14:paraId="18E815F9">
      <w:pPr>
        <w:spacing w:line="360" w:lineRule="auto"/>
        <w:jc w:val="center"/>
        <w:rPr>
          <w:rFonts w:ascii="宋体" w:hAnsi="宋体"/>
          <w:b/>
          <w:color w:val="auto"/>
          <w:kern w:val="0"/>
          <w:sz w:val="44"/>
          <w:szCs w:val="44"/>
          <w:highlight w:val="none"/>
        </w:rPr>
      </w:pPr>
    </w:p>
    <w:p w14:paraId="0A0DCBD9">
      <w:pPr>
        <w:spacing w:line="360" w:lineRule="auto"/>
        <w:jc w:val="center"/>
        <w:rPr>
          <w:rFonts w:ascii="宋体" w:hAnsi="宋体"/>
          <w:b/>
          <w:color w:val="auto"/>
          <w:kern w:val="0"/>
          <w:sz w:val="44"/>
          <w:szCs w:val="44"/>
          <w:highlight w:val="none"/>
        </w:rPr>
      </w:pPr>
    </w:p>
    <w:p w14:paraId="69A8B0B6">
      <w:pPr>
        <w:spacing w:line="360" w:lineRule="auto"/>
        <w:jc w:val="center"/>
        <w:rPr>
          <w:rFonts w:ascii="宋体" w:hAnsi="宋体"/>
          <w:b/>
          <w:color w:val="auto"/>
          <w:kern w:val="0"/>
          <w:sz w:val="44"/>
          <w:szCs w:val="44"/>
          <w:highlight w:val="none"/>
        </w:rPr>
      </w:pPr>
      <w:r>
        <w:rPr>
          <w:rFonts w:ascii="宋体" w:hAnsi="宋体"/>
          <w:color w:val="auto"/>
          <w:kern w:val="0"/>
          <w:sz w:val="20"/>
          <w:szCs w:val="21"/>
          <w:highlight w:val="none"/>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518795</wp:posOffset>
                </wp:positionV>
                <wp:extent cx="5209540" cy="0"/>
                <wp:effectExtent l="0" t="0" r="0" b="0"/>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5209540" cy="0"/>
                        </a:xfrm>
                        <a:prstGeom prst="straightConnector1">
                          <a:avLst/>
                        </a:prstGeom>
                        <a:noFill/>
                        <a:ln w="57150" cmpd="thinThick">
                          <a:solidFill>
                            <a:srgbClr val="000000"/>
                          </a:solidFill>
                          <a:round/>
                        </a:ln>
                        <a:effectLst/>
                      </wps:spPr>
                      <wps:bodyPr/>
                    </wps:wsp>
                  </a:graphicData>
                </a:graphic>
              </wp:anchor>
            </w:drawing>
          </mc:Choice>
          <mc:Fallback>
            <w:pict>
              <v:shape id="_x0000_s1026" o:spid="_x0000_s1026" o:spt="32" type="#_x0000_t32" style="position:absolute;left:0pt;margin-left:27pt;margin-top:40.85pt;height:0pt;width:410.2pt;z-index:251660288;mso-width-relative:page;mso-height-relative:page;" filled="f" stroked="t" coordsize="21600,21600" o:gfxdata="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zg0f1AAAAAgBAAAPAAAAAAAAAAEAIAAAACIAAABkcnMvZG93&#10;bnJldi54bWxQSwECFAAUAAAACACHTuJAmDr3wwQCAADeAwAADgAAAAAAAAABACAAAAAjAQAAZHJz&#10;L2Uyb0RvYy54bWxQSwUGAAAAAAYABgBZAQAAmQUAAAAA&#10;">
                <v:fill on="f" focussize="0,0"/>
                <v:stroke weight="4.5pt" color="#000000" linestyle="thinThick" joinstyle="round"/>
                <v:imagedata o:title=""/>
                <o:lock v:ext="edit" aspectratio="f"/>
              </v:shape>
            </w:pict>
          </mc:Fallback>
        </mc:AlternateContent>
      </w:r>
      <w:r>
        <w:rPr>
          <w:rFonts w:hint="eastAsia" w:ascii="宋体" w:hAnsi="宋体"/>
          <w:b/>
          <w:color w:val="auto"/>
          <w:kern w:val="0"/>
          <w:sz w:val="44"/>
          <w:szCs w:val="44"/>
          <w:highlight w:val="none"/>
        </w:rPr>
        <w:t>广西壮族自治区政府采购</w:t>
      </w:r>
    </w:p>
    <w:p w14:paraId="193AB223">
      <w:pPr>
        <w:widowControl/>
        <w:spacing w:before="120" w:line="360" w:lineRule="auto"/>
        <w:jc w:val="center"/>
        <w:rPr>
          <w:rFonts w:ascii="宋体" w:hAnsi="宋体"/>
          <w:b/>
          <w:color w:val="auto"/>
          <w:spacing w:val="20"/>
          <w:kern w:val="0"/>
          <w:sz w:val="72"/>
          <w:szCs w:val="72"/>
          <w:highlight w:val="none"/>
        </w:rPr>
      </w:pPr>
    </w:p>
    <w:p w14:paraId="5E48EF2D">
      <w:pPr>
        <w:rPr>
          <w:color w:val="auto"/>
          <w:highlight w:val="none"/>
        </w:rPr>
      </w:pPr>
    </w:p>
    <w:p w14:paraId="47310B2B">
      <w:pPr>
        <w:pStyle w:val="15"/>
        <w:rPr>
          <w:color w:val="auto"/>
          <w:highlight w:val="none"/>
        </w:rPr>
      </w:pPr>
    </w:p>
    <w:p w14:paraId="19448DC8">
      <w:pPr>
        <w:widowControl/>
        <w:spacing w:before="120" w:line="360" w:lineRule="auto"/>
        <w:jc w:val="center"/>
        <w:rPr>
          <w:rFonts w:ascii="宋体" w:hAnsi="宋体"/>
          <w:b/>
          <w:color w:val="auto"/>
          <w:spacing w:val="20"/>
          <w:kern w:val="0"/>
          <w:sz w:val="72"/>
          <w:szCs w:val="72"/>
          <w:highlight w:val="none"/>
        </w:rPr>
      </w:pPr>
      <w:r>
        <w:rPr>
          <w:rFonts w:hint="eastAsia" w:ascii="宋体" w:hAnsi="宋体"/>
          <w:b/>
          <w:color w:val="auto"/>
          <w:spacing w:val="20"/>
          <w:kern w:val="0"/>
          <w:sz w:val="84"/>
          <w:szCs w:val="84"/>
          <w:highlight w:val="none"/>
        </w:rPr>
        <w:t>公开招标采购文件</w:t>
      </w:r>
    </w:p>
    <w:p w14:paraId="7A862F15">
      <w:pPr>
        <w:snapToGrid w:val="0"/>
        <w:spacing w:before="165" w:beforeLines="50" w:line="360" w:lineRule="auto"/>
        <w:ind w:firstLine="3012" w:firstLineChars="1000"/>
        <w:rPr>
          <w:rFonts w:ascii="仿宋_GB2312" w:hAnsi="宋体" w:eastAsia="仿宋_GB2312"/>
          <w:b/>
          <w:bCs/>
          <w:color w:val="auto"/>
          <w:sz w:val="30"/>
          <w:szCs w:val="72"/>
          <w:highlight w:val="none"/>
        </w:rPr>
      </w:pPr>
      <w:r>
        <w:rPr>
          <w:rFonts w:hint="eastAsia" w:ascii="仿宋_GB2312" w:hAnsi="宋体" w:eastAsia="仿宋_GB2312"/>
          <w:b/>
          <w:bCs/>
          <w:color w:val="auto"/>
          <w:sz w:val="30"/>
          <w:szCs w:val="72"/>
          <w:highlight w:val="none"/>
        </w:rPr>
        <w:t>（全流程电子化评标）</w:t>
      </w:r>
    </w:p>
    <w:p w14:paraId="57EF13A2">
      <w:pPr>
        <w:pStyle w:val="15"/>
        <w:rPr>
          <w:rFonts w:ascii="仿宋_GB2312" w:hAnsi="宋体" w:eastAsia="仿宋_GB2312"/>
          <w:color w:val="auto"/>
          <w:sz w:val="30"/>
          <w:szCs w:val="72"/>
          <w:highlight w:val="none"/>
        </w:rPr>
      </w:pPr>
    </w:p>
    <w:p w14:paraId="602B28A6">
      <w:pPr>
        <w:rPr>
          <w:color w:val="auto"/>
          <w:highlight w:val="none"/>
        </w:rPr>
      </w:pPr>
    </w:p>
    <w:p w14:paraId="336813A8">
      <w:pPr>
        <w:rPr>
          <w:color w:val="auto"/>
          <w:highlight w:val="none"/>
        </w:rPr>
      </w:pPr>
    </w:p>
    <w:p w14:paraId="3B64ACF3">
      <w:pPr>
        <w:pStyle w:val="19"/>
        <w:snapToGrid w:val="0"/>
        <w:spacing w:before="50" w:after="120" w:line="360" w:lineRule="auto"/>
        <w:ind w:left="2886" w:leftChars="608" w:hanging="1609" w:hangingChars="501"/>
        <w:jc w:val="left"/>
        <w:rPr>
          <w:rFonts w:hint="eastAsia" w:ascii="仿宋_GB2312" w:hAnsi="宋体" w:eastAsia="仿宋_GB2312"/>
          <w:b/>
          <w:bCs/>
          <w:color w:val="auto"/>
          <w:sz w:val="32"/>
          <w:szCs w:val="32"/>
          <w:highlight w:val="none"/>
          <w:lang w:eastAsia="zh-CN"/>
        </w:rPr>
      </w:pPr>
      <w:r>
        <w:rPr>
          <w:rFonts w:hint="eastAsia" w:ascii="仿宋_GB2312" w:hAnsi="宋体" w:eastAsia="仿宋_GB2312"/>
          <w:b/>
          <w:bCs/>
          <w:color w:val="auto"/>
          <w:sz w:val="32"/>
          <w:szCs w:val="32"/>
          <w:highlight w:val="none"/>
        </w:rPr>
        <w:t>项目</w:t>
      </w:r>
      <w:r>
        <w:rPr>
          <w:rFonts w:hint="eastAsia" w:ascii="仿宋_GB2312" w:hAnsi="宋体" w:eastAsia="仿宋_GB2312" w:cs="Courier New"/>
          <w:b/>
          <w:bCs/>
          <w:color w:val="auto"/>
          <w:w w:val="95"/>
          <w:sz w:val="32"/>
          <w:szCs w:val="32"/>
          <w:highlight w:val="none"/>
        </w:rPr>
        <w:t>名称</w:t>
      </w:r>
      <w:r>
        <w:rPr>
          <w:rFonts w:hint="eastAsia" w:ascii="仿宋_GB2312" w:hAnsi="宋体" w:eastAsia="仿宋_GB2312"/>
          <w:b/>
          <w:bCs/>
          <w:color w:val="auto"/>
          <w:sz w:val="32"/>
          <w:szCs w:val="32"/>
          <w:highlight w:val="none"/>
        </w:rPr>
        <w:t>：</w:t>
      </w:r>
      <w:r>
        <w:rPr>
          <w:rFonts w:hint="eastAsia" w:ascii="仿宋_GB2312" w:hAnsi="宋体" w:eastAsia="仿宋_GB2312"/>
          <w:b/>
          <w:bCs/>
          <w:color w:val="auto"/>
          <w:sz w:val="32"/>
          <w:szCs w:val="32"/>
          <w:highlight w:val="none"/>
          <w:lang w:eastAsia="zh-CN"/>
        </w:rPr>
        <w:t>陆川县农村义务教育学生营养改善计划食材采购项目</w:t>
      </w:r>
    </w:p>
    <w:p w14:paraId="0C884826">
      <w:pPr>
        <w:snapToGrid w:val="0"/>
        <w:spacing w:before="165" w:beforeLines="50" w:line="360" w:lineRule="auto"/>
        <w:ind w:firstLine="1221" w:firstLineChars="400"/>
        <w:rPr>
          <w:rFonts w:hint="eastAsia" w:ascii="仿宋_GB2312" w:hAnsi="宋体" w:eastAsia="仿宋_GB2312"/>
          <w:b/>
          <w:bCs/>
          <w:color w:val="auto"/>
          <w:sz w:val="32"/>
          <w:szCs w:val="32"/>
          <w:highlight w:val="none"/>
          <w:lang w:eastAsia="zh-CN"/>
        </w:rPr>
      </w:pPr>
      <w:r>
        <w:rPr>
          <w:rFonts w:hint="eastAsia" w:ascii="仿宋_GB2312" w:hAnsi="宋体" w:eastAsia="仿宋_GB2312" w:cs="Courier New"/>
          <w:b/>
          <w:bCs/>
          <w:color w:val="auto"/>
          <w:w w:val="95"/>
          <w:sz w:val="32"/>
          <w:szCs w:val="32"/>
          <w:highlight w:val="none"/>
        </w:rPr>
        <w:t>项目</w:t>
      </w:r>
      <w:r>
        <w:rPr>
          <w:rFonts w:hint="eastAsia" w:ascii="仿宋_GB2312" w:hAnsi="宋体" w:eastAsia="仿宋_GB2312"/>
          <w:b/>
          <w:bCs/>
          <w:color w:val="auto"/>
          <w:sz w:val="32"/>
          <w:szCs w:val="32"/>
          <w:highlight w:val="none"/>
        </w:rPr>
        <w:t>编号</w:t>
      </w:r>
      <w:r>
        <w:rPr>
          <w:rFonts w:hint="eastAsia" w:ascii="仿宋_GB2312" w:hAnsi="宋体" w:eastAsia="仿宋_GB2312" w:cs="Courier New"/>
          <w:b/>
          <w:bCs/>
          <w:color w:val="auto"/>
          <w:w w:val="95"/>
          <w:sz w:val="32"/>
          <w:szCs w:val="32"/>
          <w:highlight w:val="none"/>
        </w:rPr>
        <w:t>：</w:t>
      </w:r>
      <w:r>
        <w:rPr>
          <w:rFonts w:hint="eastAsia" w:ascii="仿宋_GB2312" w:hAnsi="宋体" w:eastAsia="仿宋_GB2312"/>
          <w:b/>
          <w:bCs/>
          <w:color w:val="auto"/>
          <w:sz w:val="32"/>
          <w:szCs w:val="32"/>
          <w:highlight w:val="none"/>
          <w:lang w:eastAsia="zh-CN"/>
        </w:rPr>
        <w:t>YLZC2025-G3-220003-JGJD</w:t>
      </w:r>
    </w:p>
    <w:p w14:paraId="18F89696">
      <w:pPr>
        <w:pStyle w:val="19"/>
        <w:snapToGrid w:val="0"/>
        <w:spacing w:before="50" w:after="120" w:line="360" w:lineRule="auto"/>
        <w:ind w:firstLine="1200" w:firstLineChars="393"/>
        <w:rPr>
          <w:rFonts w:hint="eastAsia" w:ascii="仿宋_GB2312" w:hAnsi="宋体" w:eastAsia="仿宋_GB2312"/>
          <w:b/>
          <w:bCs/>
          <w:color w:val="auto"/>
          <w:w w:val="95"/>
          <w:sz w:val="32"/>
          <w:szCs w:val="32"/>
          <w:highlight w:val="none"/>
          <w:lang w:eastAsia="zh-CN"/>
        </w:rPr>
      </w:pPr>
      <w:r>
        <w:rPr>
          <w:rFonts w:hint="eastAsia" w:ascii="仿宋_GB2312" w:hAnsi="宋体" w:eastAsia="仿宋_GB2312"/>
          <w:b/>
          <w:bCs/>
          <w:color w:val="auto"/>
          <w:w w:val="95"/>
          <w:sz w:val="32"/>
          <w:szCs w:val="32"/>
          <w:highlight w:val="none"/>
        </w:rPr>
        <w:t>采 购 人：</w:t>
      </w:r>
      <w:bookmarkStart w:id="160" w:name="_GoBack"/>
      <w:r>
        <w:rPr>
          <w:rFonts w:hint="eastAsia" w:ascii="仿宋_GB2312" w:hAnsi="宋体" w:eastAsia="仿宋_GB2312"/>
          <w:b/>
          <w:bCs/>
          <w:color w:val="auto"/>
          <w:w w:val="95"/>
          <w:sz w:val="32"/>
          <w:szCs w:val="32"/>
          <w:highlight w:val="none"/>
          <w:lang w:eastAsia="zh-CN"/>
        </w:rPr>
        <w:t>陆川县教育局</w:t>
      </w:r>
      <w:bookmarkEnd w:id="160"/>
    </w:p>
    <w:p w14:paraId="365AD846">
      <w:pPr>
        <w:pStyle w:val="19"/>
        <w:snapToGrid w:val="0"/>
        <w:spacing w:before="50" w:after="120" w:line="360" w:lineRule="auto"/>
        <w:ind w:firstLine="1200" w:firstLineChars="393"/>
        <w:rPr>
          <w:rFonts w:ascii="仿宋_GB2312" w:hAnsi="宋体" w:eastAsia="仿宋_GB2312"/>
          <w:b/>
          <w:bCs/>
          <w:color w:val="auto"/>
          <w:w w:val="95"/>
          <w:sz w:val="32"/>
          <w:szCs w:val="32"/>
          <w:highlight w:val="none"/>
        </w:rPr>
      </w:pPr>
      <w:r>
        <w:rPr>
          <w:rFonts w:hint="eastAsia" w:ascii="仿宋_GB2312" w:hAnsi="宋体" w:eastAsia="仿宋_GB2312"/>
          <w:b/>
          <w:bCs/>
          <w:color w:val="auto"/>
          <w:w w:val="95"/>
          <w:sz w:val="32"/>
          <w:szCs w:val="32"/>
          <w:highlight w:val="none"/>
        </w:rPr>
        <w:t>采购代理机构：</w:t>
      </w:r>
      <w:bookmarkStart w:id="0" w:name="PO_3000001866_PM031"/>
      <w:r>
        <w:rPr>
          <w:rFonts w:hint="eastAsia" w:ascii="仿宋_GB2312" w:hAnsi="宋体" w:eastAsia="仿宋_GB2312"/>
          <w:b/>
          <w:bCs/>
          <w:color w:val="auto"/>
          <w:w w:val="95"/>
          <w:sz w:val="32"/>
          <w:szCs w:val="32"/>
          <w:highlight w:val="none"/>
        </w:rPr>
        <w:t>广西建设工程机电设备招标中心有限公司</w:t>
      </w:r>
      <w:bookmarkEnd w:id="0"/>
    </w:p>
    <w:p w14:paraId="2981F2B5">
      <w:pPr>
        <w:pStyle w:val="19"/>
        <w:snapToGrid w:val="0"/>
        <w:spacing w:before="50" w:after="120" w:line="360" w:lineRule="auto"/>
        <w:ind w:firstLine="897" w:firstLineChars="294"/>
        <w:rPr>
          <w:rFonts w:hint="eastAsia" w:ascii="仿宋_GB2312" w:hAnsi="宋体" w:eastAsia="仿宋_GB2312"/>
          <w:b/>
          <w:bCs/>
          <w:color w:val="auto"/>
          <w:w w:val="95"/>
          <w:sz w:val="32"/>
          <w:szCs w:val="32"/>
          <w:highlight w:val="none"/>
        </w:rPr>
      </w:pPr>
      <w:r>
        <w:rPr>
          <w:rFonts w:hint="eastAsia" w:ascii="仿宋_GB2312" w:hAnsi="宋体" w:eastAsia="仿宋_GB2312"/>
          <w:b/>
          <w:bCs/>
          <w:color w:val="auto"/>
          <w:w w:val="95"/>
          <w:sz w:val="32"/>
          <w:szCs w:val="32"/>
          <w:highlight w:val="none"/>
        </w:rPr>
        <w:t xml:space="preserve">                     </w:t>
      </w:r>
    </w:p>
    <w:p w14:paraId="2A673353">
      <w:pPr>
        <w:pStyle w:val="19"/>
        <w:snapToGrid w:val="0"/>
        <w:spacing w:before="50" w:after="120" w:line="360" w:lineRule="auto"/>
        <w:ind w:firstLine="897" w:firstLineChars="294"/>
        <w:jc w:val="center"/>
        <w:rPr>
          <w:rFonts w:ascii="仿宋_GB2312" w:hAnsi="宋体" w:eastAsia="仿宋_GB2312"/>
          <w:b/>
          <w:bCs/>
          <w:color w:val="auto"/>
          <w:w w:val="95"/>
          <w:sz w:val="32"/>
          <w:szCs w:val="32"/>
          <w:highlight w:val="none"/>
        </w:rPr>
        <w:sectPr>
          <w:headerReference r:id="rId3" w:type="default"/>
          <w:footerReference r:id="rId4" w:type="default"/>
          <w:footerReference r:id="rId5" w:type="even"/>
          <w:pgSz w:w="11906" w:h="16838"/>
          <w:pgMar w:top="1134" w:right="1134" w:bottom="1134" w:left="1134" w:header="720" w:footer="720" w:gutter="0"/>
          <w:pgNumType w:start="1"/>
          <w:cols w:space="720" w:num="1"/>
          <w:docGrid w:type="lines" w:linePitch="331" w:charSpace="0"/>
        </w:sectPr>
      </w:pPr>
      <w:r>
        <w:rPr>
          <w:rFonts w:hint="eastAsia" w:ascii="仿宋_GB2312" w:hAnsi="宋体" w:eastAsia="仿宋_GB2312"/>
          <w:b/>
          <w:bCs/>
          <w:color w:val="auto"/>
          <w:w w:val="95"/>
          <w:sz w:val="32"/>
          <w:szCs w:val="32"/>
          <w:highlight w:val="none"/>
        </w:rPr>
        <w:t>202</w:t>
      </w:r>
      <w:r>
        <w:rPr>
          <w:rFonts w:hint="eastAsia" w:ascii="仿宋_GB2312" w:hAnsi="宋体" w:eastAsia="仿宋_GB2312"/>
          <w:b/>
          <w:bCs/>
          <w:color w:val="auto"/>
          <w:w w:val="95"/>
          <w:sz w:val="32"/>
          <w:szCs w:val="32"/>
          <w:highlight w:val="none"/>
          <w:lang w:val="en-US" w:eastAsia="zh-CN"/>
        </w:rPr>
        <w:t>5</w:t>
      </w:r>
      <w:r>
        <w:rPr>
          <w:rFonts w:hint="eastAsia" w:ascii="仿宋_GB2312" w:hAnsi="宋体" w:eastAsia="仿宋_GB2312"/>
          <w:b/>
          <w:bCs/>
          <w:color w:val="auto"/>
          <w:w w:val="95"/>
          <w:sz w:val="32"/>
          <w:szCs w:val="32"/>
          <w:highlight w:val="none"/>
        </w:rPr>
        <w:t>年</w:t>
      </w:r>
      <w:r>
        <w:rPr>
          <w:rFonts w:hint="eastAsia" w:ascii="仿宋_GB2312" w:hAnsi="宋体" w:eastAsia="仿宋_GB2312"/>
          <w:b/>
          <w:bCs/>
          <w:color w:val="auto"/>
          <w:w w:val="95"/>
          <w:sz w:val="32"/>
          <w:szCs w:val="32"/>
          <w:highlight w:val="none"/>
          <w:lang w:val="en-US" w:eastAsia="zh-CN"/>
        </w:rPr>
        <w:t>1</w:t>
      </w:r>
      <w:r>
        <w:rPr>
          <w:rFonts w:hint="eastAsia" w:ascii="仿宋_GB2312" w:hAnsi="宋体" w:eastAsia="仿宋_GB2312"/>
          <w:b/>
          <w:bCs/>
          <w:color w:val="auto"/>
          <w:w w:val="95"/>
          <w:sz w:val="32"/>
          <w:szCs w:val="32"/>
          <w:highlight w:val="none"/>
        </w:rPr>
        <w:t>月</w:t>
      </w:r>
    </w:p>
    <w:p w14:paraId="678553B1">
      <w:pPr>
        <w:pStyle w:val="19"/>
        <w:jc w:val="center"/>
        <w:rPr>
          <w:rFonts w:hint="eastAsia" w:ascii="Times New Roman" w:hAnsi="Times New Roman"/>
          <w:b/>
          <w:color w:val="auto"/>
          <w:sz w:val="48"/>
          <w:szCs w:val="48"/>
          <w:highlight w:val="none"/>
        </w:rPr>
      </w:pPr>
    </w:p>
    <w:p w14:paraId="28A14857">
      <w:pPr>
        <w:pStyle w:val="19"/>
        <w:jc w:val="center"/>
        <w:rPr>
          <w:rFonts w:hint="eastAsia" w:ascii="Times New Roman" w:hAnsi="Times New Roman"/>
          <w:b/>
          <w:color w:val="auto"/>
          <w:sz w:val="48"/>
          <w:szCs w:val="48"/>
          <w:highlight w:val="none"/>
        </w:rPr>
      </w:pPr>
    </w:p>
    <w:p w14:paraId="04397AB4">
      <w:pPr>
        <w:pStyle w:val="19"/>
        <w:jc w:val="center"/>
        <w:rPr>
          <w:rFonts w:ascii="Times New Roman" w:hAnsi="Times New Roman"/>
          <w:b/>
          <w:color w:val="auto"/>
          <w:sz w:val="48"/>
          <w:szCs w:val="48"/>
          <w:highlight w:val="none"/>
        </w:rPr>
      </w:pPr>
      <w:r>
        <w:rPr>
          <w:rFonts w:hint="eastAsia" w:ascii="Times New Roman" w:hAnsi="Times New Roman"/>
          <w:b/>
          <w:color w:val="auto"/>
          <w:sz w:val="48"/>
          <w:szCs w:val="48"/>
          <w:highlight w:val="none"/>
        </w:rPr>
        <w:t>目</w:t>
      </w:r>
      <w:r>
        <w:rPr>
          <w:rFonts w:ascii="Times New Roman" w:hAnsi="Times New Roman"/>
          <w:b/>
          <w:color w:val="auto"/>
          <w:sz w:val="48"/>
          <w:szCs w:val="48"/>
          <w:highlight w:val="none"/>
        </w:rPr>
        <w:t xml:space="preserve">     </w:t>
      </w:r>
      <w:r>
        <w:rPr>
          <w:rFonts w:hint="eastAsia" w:ascii="Times New Roman" w:hAnsi="Times New Roman"/>
          <w:b/>
          <w:color w:val="auto"/>
          <w:sz w:val="48"/>
          <w:szCs w:val="48"/>
          <w:highlight w:val="none"/>
        </w:rPr>
        <w:t>录</w:t>
      </w:r>
    </w:p>
    <w:p w14:paraId="54CFEAF8">
      <w:pPr>
        <w:pStyle w:val="27"/>
        <w:tabs>
          <w:tab w:val="right" w:leader="dot" w:pos="9628"/>
        </w:tabs>
        <w:rPr>
          <w:b w:val="0"/>
          <w:bCs w:val="0"/>
          <w:caps w:val="0"/>
          <w:color w:val="auto"/>
          <w:sz w:val="21"/>
          <w:highlight w:val="none"/>
          <w:u w:val="none"/>
        </w:rPr>
      </w:pPr>
      <w:r>
        <w:rPr>
          <w:rFonts w:hAnsi="宋体"/>
          <w:b w:val="0"/>
          <w:bCs w:val="0"/>
          <w:caps w:val="0"/>
          <w:color w:val="auto"/>
          <w:sz w:val="28"/>
          <w:szCs w:val="28"/>
          <w:highlight w:val="none"/>
        </w:rPr>
        <w:fldChar w:fldCharType="begin"/>
      </w:r>
      <w:r>
        <w:rPr>
          <w:rFonts w:hAnsi="宋体"/>
          <w:b w:val="0"/>
          <w:bCs w:val="0"/>
          <w:caps w:val="0"/>
          <w:color w:val="auto"/>
          <w:sz w:val="28"/>
          <w:szCs w:val="28"/>
          <w:highlight w:val="none"/>
        </w:rPr>
        <w:instrText xml:space="preserve"> TOC \o "1-3" \h \z \u </w:instrText>
      </w:r>
      <w:r>
        <w:rPr>
          <w:rFonts w:hAnsi="宋体"/>
          <w:b w:val="0"/>
          <w:bCs w:val="0"/>
          <w:caps w:val="0"/>
          <w:color w:val="auto"/>
          <w:sz w:val="28"/>
          <w:szCs w:val="28"/>
          <w:highlight w:val="none"/>
        </w:rPr>
        <w:fldChar w:fldCharType="separate"/>
      </w:r>
      <w:r>
        <w:rPr>
          <w:color w:val="auto"/>
          <w:highlight w:val="none"/>
        </w:rPr>
        <w:fldChar w:fldCharType="begin"/>
      </w:r>
      <w:r>
        <w:rPr>
          <w:color w:val="auto"/>
          <w:highlight w:val="none"/>
        </w:rPr>
        <w:instrText xml:space="preserve"> HYPERLINK \l "_Toc80092990" </w:instrText>
      </w:r>
      <w:r>
        <w:rPr>
          <w:color w:val="auto"/>
          <w:highlight w:val="none"/>
        </w:rPr>
        <w:fldChar w:fldCharType="separate"/>
      </w:r>
      <w:r>
        <w:rPr>
          <w:rStyle w:val="46"/>
          <w:rFonts w:hint="eastAsia" w:ascii="Times New Roman" w:hAnsi="Times New Roman"/>
          <w:color w:val="auto"/>
          <w:highlight w:val="none"/>
        </w:rPr>
        <w:t>第一章</w:t>
      </w:r>
      <w:r>
        <w:rPr>
          <w:rStyle w:val="46"/>
          <w:rFonts w:ascii="Times New Roman" w:hAnsi="Times New Roman"/>
          <w:color w:val="auto"/>
          <w:highlight w:val="none"/>
        </w:rPr>
        <w:t xml:space="preserve">  </w:t>
      </w:r>
      <w:r>
        <w:rPr>
          <w:rStyle w:val="46"/>
          <w:rFonts w:hint="eastAsia" w:ascii="Times New Roman" w:hAnsi="Times New Roman"/>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_Toc80092990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619978F9">
      <w:pPr>
        <w:pStyle w:val="27"/>
        <w:tabs>
          <w:tab w:val="right" w:leader="dot" w:pos="9628"/>
        </w:tabs>
        <w:rPr>
          <w:b w:val="0"/>
          <w:bCs w:val="0"/>
          <w:caps w:val="0"/>
          <w:color w:val="auto"/>
          <w:sz w:val="21"/>
          <w:highlight w:val="none"/>
          <w:u w:val="none"/>
        </w:rPr>
      </w:pPr>
      <w:r>
        <w:rPr>
          <w:color w:val="auto"/>
          <w:highlight w:val="none"/>
        </w:rPr>
        <w:fldChar w:fldCharType="begin"/>
      </w:r>
      <w:r>
        <w:rPr>
          <w:color w:val="auto"/>
          <w:highlight w:val="none"/>
        </w:rPr>
        <w:instrText xml:space="preserve"> HYPERLINK \l "_Toc80092991" </w:instrText>
      </w:r>
      <w:r>
        <w:rPr>
          <w:color w:val="auto"/>
          <w:highlight w:val="none"/>
        </w:rPr>
        <w:fldChar w:fldCharType="separate"/>
      </w:r>
      <w:r>
        <w:rPr>
          <w:rStyle w:val="46"/>
          <w:rFonts w:hint="eastAsia" w:ascii="Times New Roman" w:hAnsi="Times New Roman"/>
          <w:color w:val="auto"/>
          <w:highlight w:val="none"/>
        </w:rPr>
        <w:t>第二章</w:t>
      </w:r>
      <w:r>
        <w:rPr>
          <w:rStyle w:val="46"/>
          <w:rFonts w:ascii="Times New Roman" w:hAnsi="Times New Roman"/>
          <w:color w:val="auto"/>
          <w:highlight w:val="none"/>
        </w:rPr>
        <w:t xml:space="preserve">  </w:t>
      </w:r>
      <w:r>
        <w:rPr>
          <w:rStyle w:val="46"/>
          <w:rFonts w:hint="eastAsia" w:ascii="Times New Roman" w:hAnsi="Times New Roman"/>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_Toc80092991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218CF3DF">
      <w:pPr>
        <w:pStyle w:val="27"/>
        <w:tabs>
          <w:tab w:val="right" w:leader="dot" w:pos="9628"/>
        </w:tabs>
        <w:rPr>
          <w:b w:val="0"/>
          <w:bCs w:val="0"/>
          <w:caps w:val="0"/>
          <w:color w:val="auto"/>
          <w:sz w:val="21"/>
          <w:highlight w:val="none"/>
          <w:u w:val="none"/>
        </w:rPr>
      </w:pPr>
      <w:r>
        <w:rPr>
          <w:color w:val="auto"/>
          <w:highlight w:val="none"/>
        </w:rPr>
        <w:fldChar w:fldCharType="begin"/>
      </w:r>
      <w:r>
        <w:rPr>
          <w:color w:val="auto"/>
          <w:highlight w:val="none"/>
        </w:rPr>
        <w:instrText xml:space="preserve"> HYPERLINK \l "_Toc80092992" </w:instrText>
      </w:r>
      <w:r>
        <w:rPr>
          <w:color w:val="auto"/>
          <w:highlight w:val="none"/>
        </w:rPr>
        <w:fldChar w:fldCharType="separate"/>
      </w:r>
      <w:r>
        <w:rPr>
          <w:rStyle w:val="46"/>
          <w:rFonts w:hint="eastAsia" w:ascii="Times New Roman" w:hAnsi="Times New Roman"/>
          <w:color w:val="auto"/>
          <w:highlight w:val="none"/>
        </w:rPr>
        <w:t>第三章</w:t>
      </w:r>
      <w:r>
        <w:rPr>
          <w:rStyle w:val="46"/>
          <w:rFonts w:ascii="Times New Roman" w:hAnsi="Times New Roman"/>
          <w:color w:val="auto"/>
          <w:highlight w:val="none"/>
        </w:rPr>
        <w:t xml:space="preserve">  </w:t>
      </w:r>
      <w:r>
        <w:rPr>
          <w:rStyle w:val="46"/>
          <w:rFonts w:hint="eastAsia" w:ascii="Times New Roman" w:hAnsi="Times New Roman"/>
          <w:color w:val="auto"/>
          <w:highlight w:val="none"/>
        </w:rPr>
        <w:t>供应商须知</w:t>
      </w:r>
      <w:r>
        <w:rPr>
          <w:color w:val="auto"/>
          <w:highlight w:val="none"/>
        </w:rPr>
        <w:tab/>
      </w:r>
      <w:r>
        <w:rPr>
          <w:color w:val="auto"/>
          <w:highlight w:val="none"/>
        </w:rPr>
        <w:fldChar w:fldCharType="begin"/>
      </w:r>
      <w:r>
        <w:rPr>
          <w:color w:val="auto"/>
          <w:highlight w:val="none"/>
        </w:rPr>
        <w:instrText xml:space="preserve"> PAGEREF _Toc80092992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60E649EB">
      <w:pPr>
        <w:pStyle w:val="27"/>
        <w:tabs>
          <w:tab w:val="right" w:leader="dot" w:pos="9628"/>
        </w:tabs>
        <w:rPr>
          <w:b w:val="0"/>
          <w:bCs w:val="0"/>
          <w:color w:val="auto"/>
          <w:sz w:val="21"/>
          <w:highlight w:val="none"/>
        </w:rPr>
      </w:pPr>
      <w:r>
        <w:rPr>
          <w:color w:val="auto"/>
          <w:highlight w:val="none"/>
        </w:rPr>
        <w:fldChar w:fldCharType="begin"/>
      </w:r>
      <w:r>
        <w:rPr>
          <w:color w:val="auto"/>
          <w:highlight w:val="none"/>
        </w:rPr>
        <w:instrText xml:space="preserve"> HYPERLINK \l "_Toc80093003" </w:instrText>
      </w:r>
      <w:r>
        <w:rPr>
          <w:color w:val="auto"/>
          <w:highlight w:val="none"/>
        </w:rPr>
        <w:fldChar w:fldCharType="separate"/>
      </w:r>
      <w:r>
        <w:rPr>
          <w:rStyle w:val="46"/>
          <w:rFonts w:hint="eastAsia" w:ascii="Times New Roman" w:hAnsi="Times New Roman"/>
          <w:color w:val="auto"/>
          <w:highlight w:val="none"/>
        </w:rPr>
        <w:t>第四章</w:t>
      </w:r>
      <w:r>
        <w:rPr>
          <w:rStyle w:val="46"/>
          <w:rFonts w:ascii="Times New Roman" w:hAnsi="Times New Roman"/>
          <w:color w:val="auto"/>
          <w:highlight w:val="none"/>
        </w:rPr>
        <w:t xml:space="preserve">  </w:t>
      </w:r>
      <w:r>
        <w:rPr>
          <w:rStyle w:val="46"/>
          <w:rFonts w:hint="eastAsia" w:ascii="Times New Roman" w:hAnsi="Times New Roman"/>
          <w:color w:val="auto"/>
          <w:highlight w:val="none"/>
        </w:rPr>
        <w:t>评标方法</w:t>
      </w:r>
      <w:bookmarkStart w:id="1" w:name="_Hlt80698806"/>
      <w:r>
        <w:rPr>
          <w:rStyle w:val="46"/>
          <w:rFonts w:hint="eastAsia" w:ascii="Times New Roman" w:hAnsi="Times New Roman"/>
          <w:color w:val="auto"/>
          <w:highlight w:val="none"/>
        </w:rPr>
        <w:t>及</w:t>
      </w:r>
      <w:bookmarkEnd w:id="1"/>
      <w:r>
        <w:rPr>
          <w:rStyle w:val="46"/>
          <w:rFonts w:hint="eastAsia" w:ascii="Times New Roman" w:hAnsi="Times New Roman"/>
          <w:color w:val="auto"/>
          <w:highlight w:val="none"/>
        </w:rPr>
        <w:t>评分标准</w:t>
      </w:r>
      <w:r>
        <w:rPr>
          <w:color w:val="auto"/>
          <w:highlight w:val="none"/>
        </w:rPr>
        <w:tab/>
      </w:r>
      <w:r>
        <w:rPr>
          <w:color w:val="auto"/>
          <w:highlight w:val="none"/>
        </w:rPr>
        <w:fldChar w:fldCharType="begin"/>
      </w:r>
      <w:r>
        <w:rPr>
          <w:color w:val="auto"/>
          <w:highlight w:val="none"/>
        </w:rPr>
        <w:instrText xml:space="preserve"> PAGEREF _Toc80093003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2BBD3698">
      <w:pPr>
        <w:pStyle w:val="27"/>
        <w:tabs>
          <w:tab w:val="right" w:leader="dot" w:pos="9628"/>
        </w:tabs>
        <w:rPr>
          <w:b w:val="0"/>
          <w:bCs w:val="0"/>
          <w:caps w:val="0"/>
          <w:color w:val="auto"/>
          <w:sz w:val="21"/>
          <w:highlight w:val="none"/>
          <w:u w:val="none"/>
        </w:rPr>
      </w:pPr>
      <w:r>
        <w:rPr>
          <w:color w:val="auto"/>
          <w:highlight w:val="none"/>
        </w:rPr>
        <w:fldChar w:fldCharType="begin"/>
      </w:r>
      <w:r>
        <w:rPr>
          <w:color w:val="auto"/>
          <w:highlight w:val="none"/>
        </w:rPr>
        <w:instrText xml:space="preserve"> HYPERLINK \l "_Toc80093009" </w:instrText>
      </w:r>
      <w:r>
        <w:rPr>
          <w:color w:val="auto"/>
          <w:highlight w:val="none"/>
        </w:rPr>
        <w:fldChar w:fldCharType="separate"/>
      </w:r>
      <w:r>
        <w:rPr>
          <w:rStyle w:val="46"/>
          <w:rFonts w:hint="eastAsia" w:ascii="Times New Roman" w:hAnsi="Times New Roman"/>
          <w:color w:val="auto"/>
          <w:highlight w:val="none"/>
        </w:rPr>
        <w:t>第五章</w:t>
      </w:r>
      <w:r>
        <w:rPr>
          <w:rStyle w:val="46"/>
          <w:rFonts w:ascii="Times New Roman" w:hAnsi="Times New Roman"/>
          <w:color w:val="auto"/>
          <w:highlight w:val="none"/>
        </w:rPr>
        <w:t xml:space="preserve"> </w:t>
      </w:r>
      <w:r>
        <w:rPr>
          <w:rStyle w:val="46"/>
          <w:rFonts w:hint="eastAsia" w:ascii="Times New Roman" w:hAnsi="Times New Roman"/>
          <w:color w:val="auto"/>
          <w:highlight w:val="none"/>
        </w:rPr>
        <w:t>拟签订的合同文本</w:t>
      </w:r>
      <w:r>
        <w:rPr>
          <w:color w:val="auto"/>
          <w:highlight w:val="none"/>
        </w:rPr>
        <w:tab/>
      </w:r>
      <w:r>
        <w:rPr>
          <w:color w:val="auto"/>
          <w:highlight w:val="none"/>
        </w:rPr>
        <w:fldChar w:fldCharType="begin"/>
      </w:r>
      <w:r>
        <w:rPr>
          <w:color w:val="auto"/>
          <w:highlight w:val="none"/>
        </w:rPr>
        <w:instrText xml:space="preserve"> PAGEREF _Toc80093009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4B852034">
      <w:pPr>
        <w:pStyle w:val="27"/>
        <w:tabs>
          <w:tab w:val="right" w:leader="dot" w:pos="9628"/>
        </w:tabs>
        <w:rPr>
          <w:b w:val="0"/>
          <w:bCs w:val="0"/>
          <w:color w:val="auto"/>
          <w:sz w:val="21"/>
          <w:highlight w:val="none"/>
        </w:rPr>
      </w:pPr>
      <w:r>
        <w:rPr>
          <w:color w:val="auto"/>
          <w:highlight w:val="none"/>
        </w:rPr>
        <w:fldChar w:fldCharType="begin"/>
      </w:r>
      <w:r>
        <w:rPr>
          <w:color w:val="auto"/>
          <w:highlight w:val="none"/>
        </w:rPr>
        <w:instrText xml:space="preserve"> HYPERLINK \l "_Toc80093010" </w:instrText>
      </w:r>
      <w:r>
        <w:rPr>
          <w:color w:val="auto"/>
          <w:highlight w:val="none"/>
        </w:rPr>
        <w:fldChar w:fldCharType="separate"/>
      </w:r>
      <w:r>
        <w:rPr>
          <w:rStyle w:val="46"/>
          <w:rFonts w:hint="eastAsia" w:ascii="Times New Roman" w:hAnsi="Times New Roman"/>
          <w:color w:val="auto"/>
          <w:highlight w:val="none"/>
        </w:rPr>
        <w:t>第六章</w:t>
      </w:r>
      <w:r>
        <w:rPr>
          <w:rStyle w:val="46"/>
          <w:rFonts w:ascii="Times New Roman" w:hAnsi="Times New Roman"/>
          <w:color w:val="auto"/>
          <w:highlight w:val="none"/>
        </w:rPr>
        <w:t xml:space="preserve"> </w:t>
      </w:r>
      <w:r>
        <w:rPr>
          <w:rStyle w:val="46"/>
          <w:rFonts w:hint="eastAsia" w:ascii="Times New Roman" w:hAnsi="Times New Roman"/>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_Toc80093010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07FBB2F2">
      <w:pPr>
        <w:pStyle w:val="27"/>
        <w:tabs>
          <w:tab w:val="right" w:leader="dot" w:pos="9628"/>
        </w:tabs>
        <w:rPr>
          <w:rFonts w:hint="default" w:eastAsia="宋体"/>
          <w:b w:val="0"/>
          <w:bCs w:val="0"/>
          <w:caps w:val="0"/>
          <w:color w:val="auto"/>
          <w:sz w:val="21"/>
          <w:highlight w:val="none"/>
          <w:u w:val="none"/>
          <w:lang w:val="en-US" w:eastAsia="zh-CN"/>
        </w:rPr>
      </w:pPr>
      <w:r>
        <w:rPr>
          <w:color w:val="auto"/>
          <w:highlight w:val="none"/>
        </w:rPr>
        <w:fldChar w:fldCharType="begin"/>
      </w:r>
      <w:r>
        <w:rPr>
          <w:color w:val="auto"/>
          <w:highlight w:val="none"/>
        </w:rPr>
        <w:instrText xml:space="preserve"> HYPERLINK \l "_Toc80093017" </w:instrText>
      </w:r>
      <w:r>
        <w:rPr>
          <w:color w:val="auto"/>
          <w:highlight w:val="none"/>
        </w:rPr>
        <w:fldChar w:fldCharType="separate"/>
      </w:r>
      <w:r>
        <w:rPr>
          <w:rStyle w:val="46"/>
          <w:rFonts w:hint="eastAsia" w:ascii="Times New Roman" w:hAnsi="Times New Roman"/>
          <w:color w:val="auto"/>
          <w:highlight w:val="none"/>
        </w:rPr>
        <w:t>第七章</w:t>
      </w:r>
      <w:r>
        <w:rPr>
          <w:rStyle w:val="46"/>
          <w:rFonts w:ascii="Times New Roman" w:hAnsi="Times New Roman"/>
          <w:color w:val="auto"/>
          <w:highlight w:val="none"/>
        </w:rPr>
        <w:t xml:space="preserve"> </w:t>
      </w:r>
      <w:r>
        <w:rPr>
          <w:rStyle w:val="46"/>
          <w:rFonts w:hint="eastAsia" w:ascii="Times New Roman" w:hAnsi="Times New Roman"/>
          <w:color w:val="auto"/>
          <w:highlight w:val="none"/>
        </w:rPr>
        <w:t>质疑、投诉证明材料格式</w:t>
      </w:r>
      <w:r>
        <w:rPr>
          <w:color w:val="auto"/>
          <w:highlight w:val="none"/>
        </w:rPr>
        <w:tab/>
      </w:r>
      <w:r>
        <w:rPr>
          <w:rFonts w:hint="eastAsia"/>
          <w:color w:val="auto"/>
          <w:highlight w:val="none"/>
        </w:rPr>
        <w:fldChar w:fldCharType="end"/>
      </w:r>
      <w:r>
        <w:rPr>
          <w:rFonts w:hint="eastAsia"/>
          <w:color w:val="auto"/>
          <w:highlight w:val="none"/>
          <w:lang w:val="en-US" w:eastAsia="zh-CN"/>
        </w:rPr>
        <w:t>116</w:t>
      </w:r>
    </w:p>
    <w:p w14:paraId="39821B9C">
      <w:pPr>
        <w:pStyle w:val="19"/>
        <w:jc w:val="center"/>
        <w:rPr>
          <w:rFonts w:ascii="Calibri" w:hAnsi="宋体"/>
          <w:b/>
          <w:bCs/>
          <w:caps/>
          <w:color w:val="auto"/>
          <w:sz w:val="28"/>
          <w:szCs w:val="28"/>
          <w:highlight w:val="none"/>
          <w:u w:val="single"/>
        </w:rPr>
      </w:pPr>
    </w:p>
    <w:p w14:paraId="27C0077F">
      <w:pPr>
        <w:pStyle w:val="19"/>
        <w:jc w:val="center"/>
        <w:rPr>
          <w:rFonts w:ascii="Calibri" w:hAnsi="宋体"/>
          <w:b/>
          <w:bCs/>
          <w:caps/>
          <w:color w:val="auto"/>
          <w:sz w:val="28"/>
          <w:szCs w:val="28"/>
          <w:highlight w:val="none"/>
          <w:u w:val="single"/>
        </w:rPr>
      </w:pPr>
      <w:r>
        <w:rPr>
          <w:rFonts w:ascii="Calibri" w:hAnsi="宋体"/>
          <w:b/>
          <w:bCs/>
          <w:caps/>
          <w:color w:val="auto"/>
          <w:sz w:val="28"/>
          <w:szCs w:val="28"/>
          <w:highlight w:val="none"/>
          <w:u w:val="single"/>
        </w:rPr>
        <w:fldChar w:fldCharType="end"/>
      </w:r>
    </w:p>
    <w:p w14:paraId="5238DFED">
      <w:pPr>
        <w:pStyle w:val="19"/>
        <w:jc w:val="center"/>
        <w:rPr>
          <w:rFonts w:ascii="Calibri" w:hAnsi="宋体"/>
          <w:b/>
          <w:bCs/>
          <w:caps/>
          <w:color w:val="auto"/>
          <w:sz w:val="28"/>
          <w:szCs w:val="28"/>
          <w:highlight w:val="none"/>
          <w:u w:val="single"/>
        </w:rPr>
      </w:pPr>
    </w:p>
    <w:p w14:paraId="71B9C627">
      <w:pPr>
        <w:pStyle w:val="19"/>
        <w:jc w:val="center"/>
        <w:rPr>
          <w:rFonts w:ascii="Calibri" w:hAnsi="宋体"/>
          <w:b/>
          <w:bCs/>
          <w:caps/>
          <w:color w:val="auto"/>
          <w:sz w:val="28"/>
          <w:szCs w:val="28"/>
          <w:highlight w:val="none"/>
          <w:u w:val="single"/>
        </w:rPr>
      </w:pPr>
    </w:p>
    <w:p w14:paraId="01093391">
      <w:pPr>
        <w:pStyle w:val="19"/>
        <w:jc w:val="center"/>
        <w:rPr>
          <w:rFonts w:ascii="Calibri" w:hAnsi="宋体"/>
          <w:b/>
          <w:bCs/>
          <w:caps/>
          <w:color w:val="auto"/>
          <w:sz w:val="28"/>
          <w:szCs w:val="28"/>
          <w:highlight w:val="none"/>
          <w:u w:val="single"/>
        </w:rPr>
      </w:pPr>
    </w:p>
    <w:p w14:paraId="27837A7A">
      <w:pPr>
        <w:pStyle w:val="19"/>
        <w:jc w:val="center"/>
        <w:rPr>
          <w:rFonts w:ascii="Calibri" w:hAnsi="宋体"/>
          <w:b/>
          <w:bCs/>
          <w:caps/>
          <w:color w:val="auto"/>
          <w:sz w:val="28"/>
          <w:szCs w:val="28"/>
          <w:highlight w:val="none"/>
          <w:u w:val="single"/>
        </w:rPr>
      </w:pPr>
    </w:p>
    <w:p w14:paraId="5D1FF517">
      <w:pPr>
        <w:pStyle w:val="19"/>
        <w:jc w:val="center"/>
        <w:rPr>
          <w:rFonts w:ascii="Calibri" w:hAnsi="宋体"/>
          <w:b/>
          <w:bCs/>
          <w:caps/>
          <w:color w:val="auto"/>
          <w:sz w:val="28"/>
          <w:szCs w:val="28"/>
          <w:highlight w:val="none"/>
          <w:u w:val="single"/>
        </w:rPr>
      </w:pPr>
    </w:p>
    <w:p w14:paraId="672E5D3F">
      <w:pPr>
        <w:pStyle w:val="19"/>
        <w:jc w:val="center"/>
        <w:rPr>
          <w:rFonts w:ascii="Calibri" w:hAnsi="宋体"/>
          <w:b/>
          <w:bCs/>
          <w:caps/>
          <w:color w:val="auto"/>
          <w:sz w:val="28"/>
          <w:szCs w:val="28"/>
          <w:highlight w:val="none"/>
          <w:u w:val="single"/>
        </w:rPr>
      </w:pPr>
    </w:p>
    <w:p w14:paraId="655CCA1E">
      <w:pPr>
        <w:pStyle w:val="19"/>
        <w:jc w:val="center"/>
        <w:rPr>
          <w:rFonts w:ascii="Calibri" w:hAnsi="宋体"/>
          <w:b/>
          <w:bCs/>
          <w:caps/>
          <w:color w:val="auto"/>
          <w:sz w:val="28"/>
          <w:szCs w:val="28"/>
          <w:highlight w:val="none"/>
          <w:u w:val="single"/>
        </w:rPr>
      </w:pPr>
    </w:p>
    <w:p w14:paraId="6DDF6226">
      <w:pPr>
        <w:pStyle w:val="19"/>
        <w:jc w:val="center"/>
        <w:rPr>
          <w:rFonts w:ascii="Calibri" w:hAnsi="宋体"/>
          <w:b/>
          <w:bCs/>
          <w:caps/>
          <w:color w:val="auto"/>
          <w:sz w:val="28"/>
          <w:szCs w:val="28"/>
          <w:highlight w:val="none"/>
          <w:u w:val="single"/>
        </w:rPr>
      </w:pPr>
    </w:p>
    <w:p w14:paraId="436E7EB1">
      <w:pPr>
        <w:pStyle w:val="19"/>
        <w:jc w:val="center"/>
        <w:rPr>
          <w:rFonts w:ascii="Calibri" w:hAnsi="宋体"/>
          <w:b/>
          <w:bCs/>
          <w:caps/>
          <w:color w:val="auto"/>
          <w:sz w:val="28"/>
          <w:szCs w:val="28"/>
          <w:highlight w:val="none"/>
          <w:u w:val="single"/>
        </w:rPr>
      </w:pPr>
    </w:p>
    <w:p w14:paraId="3A8A1151">
      <w:pPr>
        <w:pStyle w:val="19"/>
        <w:jc w:val="center"/>
        <w:rPr>
          <w:rFonts w:ascii="Calibri" w:hAnsi="宋体"/>
          <w:b/>
          <w:bCs/>
          <w:caps/>
          <w:color w:val="auto"/>
          <w:sz w:val="28"/>
          <w:szCs w:val="28"/>
          <w:highlight w:val="none"/>
          <w:u w:val="single"/>
        </w:rPr>
        <w:sectPr>
          <w:pgSz w:w="11906" w:h="16838"/>
          <w:pgMar w:top="1134" w:right="1134" w:bottom="1134" w:left="1134" w:header="720" w:footer="720" w:gutter="0"/>
          <w:pgNumType w:start="1"/>
          <w:cols w:space="720" w:num="1"/>
          <w:docGrid w:type="lines" w:linePitch="331" w:charSpace="0"/>
        </w:sectPr>
      </w:pPr>
    </w:p>
    <w:p w14:paraId="776D9676">
      <w:pPr>
        <w:pStyle w:val="20"/>
      </w:pPr>
    </w:p>
    <w:p w14:paraId="751B3A04">
      <w:pPr>
        <w:pStyle w:val="19"/>
        <w:jc w:val="center"/>
        <w:rPr>
          <w:rFonts w:ascii="Calibri" w:hAnsi="宋体"/>
          <w:b/>
          <w:bCs/>
          <w:caps/>
          <w:color w:val="auto"/>
          <w:sz w:val="28"/>
          <w:szCs w:val="28"/>
          <w:highlight w:val="none"/>
          <w:u w:val="single"/>
        </w:rPr>
      </w:pPr>
    </w:p>
    <w:p w14:paraId="3CC579CE">
      <w:pPr>
        <w:pStyle w:val="19"/>
        <w:jc w:val="center"/>
        <w:rPr>
          <w:rFonts w:hAnsi="宋体"/>
          <w:b/>
          <w:color w:val="auto"/>
          <w:sz w:val="36"/>
          <w:szCs w:val="36"/>
          <w:highlight w:val="none"/>
        </w:rPr>
      </w:pPr>
      <w:bookmarkStart w:id="2" w:name="_Toc532545041"/>
      <w:bookmarkStart w:id="3" w:name="_Toc80092990"/>
      <w:r>
        <w:rPr>
          <w:rFonts w:hint="eastAsia" w:ascii="Times New Roman" w:hAnsi="Times New Roman"/>
          <w:b/>
          <w:color w:val="auto"/>
          <w:sz w:val="36"/>
          <w:highlight w:val="none"/>
        </w:rPr>
        <w:t>第一章</w:t>
      </w:r>
      <w:r>
        <w:rPr>
          <w:rFonts w:ascii="Times New Roman" w:hAnsi="Times New Roman"/>
          <w:b/>
          <w:color w:val="auto"/>
          <w:sz w:val="36"/>
          <w:highlight w:val="none"/>
        </w:rPr>
        <w:t xml:space="preserve">  </w:t>
      </w:r>
      <w:r>
        <w:rPr>
          <w:rFonts w:hint="eastAsia" w:ascii="Times New Roman" w:hAnsi="Times New Roman"/>
          <w:b/>
          <w:color w:val="auto"/>
          <w:sz w:val="36"/>
          <w:highlight w:val="none"/>
        </w:rPr>
        <w:t>招标公告</w:t>
      </w:r>
      <w:bookmarkEnd w:id="2"/>
      <w:bookmarkEnd w:id="3"/>
    </w:p>
    <w:p w14:paraId="36A8352F">
      <w:pPr>
        <w:pStyle w:val="19"/>
        <w:jc w:val="center"/>
        <w:rPr>
          <w:rFonts w:hint="eastAsia" w:ascii="Times New Roman" w:hAnsi="Times New Roman" w:eastAsia="宋体"/>
          <w:b/>
          <w:color w:val="auto"/>
          <w:sz w:val="44"/>
          <w:szCs w:val="44"/>
          <w:highlight w:val="none"/>
          <w:lang w:eastAsia="zh-CN"/>
        </w:rPr>
      </w:pPr>
      <w:r>
        <w:rPr>
          <w:rFonts w:hint="eastAsia" w:ascii="Times New Roman" w:hAnsi="Times New Roman"/>
          <w:b/>
          <w:color w:val="auto"/>
          <w:sz w:val="44"/>
          <w:szCs w:val="44"/>
          <w:highlight w:val="none"/>
        </w:rPr>
        <w:t>公开招标公告</w:t>
      </w:r>
      <w:r>
        <w:rPr>
          <w:rFonts w:hint="eastAsia" w:ascii="Times New Roman" w:hAnsi="Times New Roman"/>
          <w:b/>
          <w:color w:val="auto"/>
          <w:sz w:val="44"/>
          <w:szCs w:val="44"/>
          <w:highlight w:val="none"/>
          <w:lang w:eastAsia="zh-CN"/>
        </w:rPr>
        <w:t>（</w:t>
      </w:r>
      <w:r>
        <w:rPr>
          <w:rFonts w:hint="eastAsia" w:ascii="Times New Roman" w:hAnsi="Times New Roman"/>
          <w:b/>
          <w:color w:val="auto"/>
          <w:sz w:val="44"/>
          <w:szCs w:val="44"/>
          <w:highlight w:val="none"/>
          <w:lang w:val="en-US" w:eastAsia="zh-CN"/>
        </w:rPr>
        <w:t>远程异地评标</w:t>
      </w:r>
      <w:r>
        <w:rPr>
          <w:rFonts w:hint="eastAsia" w:ascii="Times New Roman" w:hAnsi="Times New Roman"/>
          <w:b/>
          <w:color w:val="auto"/>
          <w:sz w:val="44"/>
          <w:szCs w:val="44"/>
          <w:highlight w:val="none"/>
          <w:lang w:eastAsia="zh-CN"/>
        </w:rPr>
        <w:t>）</w:t>
      </w:r>
    </w:p>
    <w:p w14:paraId="6D91732B">
      <w:pPr>
        <w:pBdr>
          <w:top w:val="single" w:color="auto" w:sz="4" w:space="1"/>
          <w:left w:val="single" w:color="auto" w:sz="4" w:space="4"/>
          <w:bottom w:val="single" w:color="auto" w:sz="4" w:space="1"/>
          <w:right w:val="single" w:color="auto" w:sz="4" w:space="4"/>
        </w:pBdr>
        <w:spacing w:line="40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项目概况</w:t>
      </w:r>
    </w:p>
    <w:p w14:paraId="5E8D6101">
      <w:pPr>
        <w:pBdr>
          <w:top w:val="single" w:color="auto" w:sz="4" w:space="1"/>
          <w:left w:val="single" w:color="auto" w:sz="4" w:space="4"/>
          <w:bottom w:val="single" w:color="auto" w:sz="4" w:space="1"/>
          <w:right w:val="single" w:color="auto" w:sz="4" w:space="4"/>
        </w:pBdr>
        <w:spacing w:line="400" w:lineRule="exact"/>
        <w:ind w:firstLine="422" w:firstLineChars="200"/>
        <w:rPr>
          <w:rFonts w:ascii="宋体" w:hAnsi="宋体" w:cs="宋体"/>
          <w:color w:val="auto"/>
          <w:sz w:val="21"/>
          <w:szCs w:val="21"/>
          <w:highlight w:val="none"/>
          <w:u w:val="single"/>
        </w:rPr>
      </w:pPr>
      <w:r>
        <w:rPr>
          <w:rFonts w:hint="eastAsia" w:ascii="宋体" w:hAnsi="宋体" w:cs="宋体"/>
          <w:b/>
          <w:bCs/>
          <w:color w:val="auto"/>
          <w:sz w:val="21"/>
          <w:szCs w:val="21"/>
          <w:highlight w:val="none"/>
          <w:u w:val="single"/>
        </w:rPr>
        <w:t xml:space="preserve"> </w:t>
      </w:r>
      <w:r>
        <w:rPr>
          <w:rFonts w:hint="eastAsia" w:ascii="宋体" w:hAnsi="宋体" w:cs="宋体"/>
          <w:b/>
          <w:bCs/>
          <w:color w:val="auto"/>
          <w:sz w:val="21"/>
          <w:szCs w:val="21"/>
          <w:highlight w:val="none"/>
          <w:u w:val="single"/>
          <w:lang w:eastAsia="zh-CN"/>
        </w:rPr>
        <w:t>陆川县农村义务教育学生营养改善计划食材采购项目</w:t>
      </w:r>
      <w:r>
        <w:rPr>
          <w:rFonts w:hint="eastAsia" w:ascii="宋体" w:hAnsi="宋体" w:cs="宋体"/>
          <w:b/>
          <w:bCs/>
          <w:color w:val="auto"/>
          <w:sz w:val="21"/>
          <w:szCs w:val="21"/>
          <w:highlight w:val="none"/>
          <w:u w:val="single"/>
        </w:rPr>
        <w:t xml:space="preserve"> </w:t>
      </w:r>
      <w:r>
        <w:rPr>
          <w:rFonts w:hint="eastAsia" w:ascii="宋体" w:hAnsi="宋体" w:cs="宋体"/>
          <w:color w:val="auto"/>
          <w:sz w:val="21"/>
          <w:szCs w:val="21"/>
          <w:highlight w:val="none"/>
        </w:rPr>
        <w:t>招标项目的潜在供应商应在</w:t>
      </w:r>
      <w:r>
        <w:rPr>
          <w:rFonts w:hint="eastAsia" w:ascii="宋体" w:hAnsi="宋体" w:cs="宋体"/>
          <w:color w:val="auto"/>
          <w:sz w:val="21"/>
          <w:szCs w:val="21"/>
          <w:highlight w:val="none"/>
          <w:u w:val="single"/>
        </w:rPr>
        <w:t>广西政府采购云平台（https://www.gcy.zfcg.gxzf.gov.cn/）</w:t>
      </w:r>
      <w:r>
        <w:rPr>
          <w:color w:val="auto"/>
          <w:sz w:val="21"/>
          <w:szCs w:val="21"/>
          <w:highlight w:val="none"/>
        </w:rPr>
        <w:fldChar w:fldCharType="begin"/>
      </w:r>
      <w:r>
        <w:rPr>
          <w:color w:val="auto"/>
          <w:sz w:val="21"/>
          <w:szCs w:val="21"/>
          <w:highlight w:val="none"/>
        </w:rPr>
        <w:instrText xml:space="preserve"> HYPERLINK "https://www.zcygov.cn/）获取（下载）招标文件，并于%202023-5-8%20%209" </w:instrText>
      </w:r>
      <w:r>
        <w:rPr>
          <w:color w:val="auto"/>
          <w:sz w:val="21"/>
          <w:szCs w:val="21"/>
          <w:highlight w:val="none"/>
        </w:rPr>
        <w:fldChar w:fldCharType="separate"/>
      </w:r>
      <w:r>
        <w:rPr>
          <w:rFonts w:hint="eastAsia" w:ascii="宋体" w:hAnsi="宋体" w:cs="宋体"/>
          <w:color w:val="auto"/>
          <w:sz w:val="21"/>
          <w:szCs w:val="21"/>
          <w:highlight w:val="none"/>
        </w:rPr>
        <w:t>获取（下载）招标文件，并于</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日9点</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0分</w:t>
      </w:r>
      <w:r>
        <w:rPr>
          <w:rFonts w:hint="eastAsia" w:ascii="宋体" w:hAnsi="宋体" w:cs="宋体"/>
          <w:color w:val="auto"/>
          <w:sz w:val="21"/>
          <w:szCs w:val="21"/>
          <w:highlight w:val="none"/>
        </w:rPr>
        <w:fldChar w:fldCharType="end"/>
      </w:r>
      <w:r>
        <w:rPr>
          <w:rFonts w:hint="eastAsia" w:ascii="宋体" w:hAnsi="宋体" w:cs="宋体"/>
          <w:bCs/>
          <w:color w:val="auto"/>
          <w:sz w:val="21"/>
          <w:szCs w:val="21"/>
          <w:highlight w:val="none"/>
        </w:rPr>
        <w:t>（北京时间）前</w:t>
      </w:r>
      <w:r>
        <w:rPr>
          <w:rFonts w:hint="eastAsia" w:ascii="宋体" w:hAnsi="宋体" w:cs="宋体"/>
          <w:color w:val="auto"/>
          <w:sz w:val="21"/>
          <w:szCs w:val="21"/>
          <w:highlight w:val="none"/>
        </w:rPr>
        <w:t>递交（上传）投标文件。</w:t>
      </w:r>
    </w:p>
    <w:p w14:paraId="1CF18330">
      <w:pPr>
        <w:spacing w:line="400" w:lineRule="exact"/>
        <w:rPr>
          <w:rFonts w:ascii="宋体" w:hAnsi="宋体" w:cs="宋体"/>
          <w:b/>
          <w:bCs/>
          <w:color w:val="auto"/>
          <w:sz w:val="21"/>
          <w:szCs w:val="21"/>
          <w:highlight w:val="none"/>
        </w:rPr>
      </w:pPr>
      <w:bookmarkStart w:id="4" w:name="_Toc28359002"/>
      <w:bookmarkStart w:id="5" w:name="_Toc35393790"/>
      <w:bookmarkStart w:id="6" w:name="_Toc28359079"/>
      <w:bookmarkStart w:id="7" w:name="_Toc35393621"/>
      <w:bookmarkStart w:id="8" w:name="_Hlk24379207"/>
      <w:r>
        <w:rPr>
          <w:rFonts w:hint="eastAsia" w:ascii="宋体" w:hAnsi="宋体" w:cs="宋体"/>
          <w:b/>
          <w:bCs/>
          <w:color w:val="auto"/>
          <w:sz w:val="21"/>
          <w:szCs w:val="21"/>
          <w:highlight w:val="none"/>
        </w:rPr>
        <w:t>一、项目基本情况</w:t>
      </w:r>
      <w:bookmarkEnd w:id="4"/>
      <w:bookmarkEnd w:id="5"/>
      <w:bookmarkEnd w:id="6"/>
      <w:bookmarkEnd w:id="7"/>
    </w:p>
    <w:p w14:paraId="33966F3B">
      <w:pPr>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YLZC2025-G3-220003-JGJD</w:t>
      </w:r>
    </w:p>
    <w:p w14:paraId="55B550B9">
      <w:pPr>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采购计划文号：</w:t>
      </w:r>
      <w:r>
        <w:rPr>
          <w:rFonts w:hint="eastAsia" w:ascii="宋体" w:hAnsi="宋体" w:cs="宋体"/>
          <w:color w:val="auto"/>
          <w:sz w:val="21"/>
          <w:szCs w:val="21"/>
          <w:highlight w:val="none"/>
          <w:lang w:eastAsia="zh-CN"/>
        </w:rPr>
        <w:t>YLZC2025-G3-50009-001、002、003</w:t>
      </w:r>
    </w:p>
    <w:p w14:paraId="66621C46">
      <w:pPr>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lang w:eastAsia="zh-CN"/>
        </w:rPr>
        <w:t>陆川县农村义务教育学生营养改善计划食材采购项目</w:t>
      </w:r>
    </w:p>
    <w:bookmarkEnd w:id="8"/>
    <w:p w14:paraId="656C8D35">
      <w:pPr>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采购方式：公开招标</w:t>
      </w:r>
    </w:p>
    <w:p w14:paraId="00ACD89B">
      <w:pPr>
        <w:spacing w:line="440" w:lineRule="exact"/>
        <w:ind w:firstLine="420" w:firstLineChars="200"/>
        <w:rPr>
          <w:rFonts w:hint="default" w:asciiTheme="minorEastAsia" w:hAnsiTheme="minorEastAsia" w:eastAsiaTheme="minorEastAsia" w:cstheme="minorEastAsia"/>
          <w:b w:val="0"/>
          <w:bCs w:val="0"/>
          <w:color w:val="auto"/>
          <w:sz w:val="21"/>
          <w:szCs w:val="21"/>
          <w:highlight w:val="none"/>
          <w:lang w:val="en-US" w:eastAsia="zh-CN"/>
        </w:rPr>
      </w:pPr>
      <w:r>
        <w:rPr>
          <w:rFonts w:hint="eastAsia" w:ascii="宋体" w:hAnsi="宋体" w:cs="宋体"/>
          <w:b w:val="0"/>
          <w:bCs w:val="0"/>
          <w:color w:val="auto"/>
          <w:sz w:val="21"/>
          <w:szCs w:val="21"/>
          <w:highlight w:val="none"/>
        </w:rPr>
        <w:t>预算金额：</w:t>
      </w:r>
      <w:r>
        <w:rPr>
          <w:rFonts w:hint="eastAsia" w:ascii="宋体" w:hAnsi="宋体" w:cs="宋体"/>
          <w:b w:val="0"/>
          <w:bCs w:val="0"/>
          <w:color w:val="auto"/>
          <w:sz w:val="21"/>
          <w:szCs w:val="21"/>
          <w:highlight w:val="none"/>
          <w:lang w:val="en-US" w:eastAsia="zh-CN"/>
        </w:rPr>
        <w:t>299403000.00</w:t>
      </w:r>
      <w:r>
        <w:rPr>
          <w:rFonts w:hint="eastAsia" w:asciiTheme="minorEastAsia" w:hAnsiTheme="minorEastAsia" w:eastAsiaTheme="minorEastAsia" w:cstheme="minorEastAsia"/>
          <w:b w:val="0"/>
          <w:bCs w:val="0"/>
          <w:color w:val="auto"/>
          <w:sz w:val="21"/>
          <w:szCs w:val="21"/>
          <w:highlight w:val="none"/>
        </w:rPr>
        <w:t>元</w:t>
      </w:r>
      <w:r>
        <w:rPr>
          <w:rFonts w:hint="eastAsia" w:asciiTheme="minorEastAsia" w:hAnsiTheme="minorEastAsia" w:eastAsiaTheme="minorEastAsia" w:cstheme="minorEastAsia"/>
          <w:b w:val="0"/>
          <w:bCs w:val="0"/>
          <w:color w:val="auto"/>
          <w:sz w:val="21"/>
          <w:szCs w:val="21"/>
          <w:highlight w:val="none"/>
          <w:lang w:eastAsia="zh-CN"/>
        </w:rPr>
        <w:t>，其中1分标：</w:t>
      </w:r>
      <w:r>
        <w:rPr>
          <w:rFonts w:hint="eastAsia" w:asciiTheme="minorEastAsia" w:hAnsiTheme="minorEastAsia" w:eastAsiaTheme="minorEastAsia" w:cstheme="minorEastAsia"/>
          <w:b w:val="0"/>
          <w:bCs w:val="0"/>
          <w:color w:val="auto"/>
          <w:sz w:val="21"/>
          <w:szCs w:val="21"/>
          <w:highlight w:val="none"/>
          <w:lang w:val="en-US" w:eastAsia="zh-CN"/>
        </w:rPr>
        <w:t>111831525.00</w:t>
      </w:r>
      <w:r>
        <w:rPr>
          <w:rFonts w:hint="eastAsia" w:asciiTheme="minorEastAsia" w:hAnsiTheme="minorEastAsia" w:eastAsiaTheme="minorEastAsia" w:cstheme="minorEastAsia"/>
          <w:b w:val="0"/>
          <w:bCs w:val="0"/>
          <w:color w:val="auto"/>
          <w:sz w:val="21"/>
          <w:szCs w:val="21"/>
          <w:highlight w:val="none"/>
          <w:lang w:eastAsia="zh-CN"/>
        </w:rPr>
        <w:t>元；2分标：</w:t>
      </w:r>
      <w:r>
        <w:rPr>
          <w:rFonts w:hint="eastAsia" w:asciiTheme="minorEastAsia" w:hAnsiTheme="minorEastAsia" w:eastAsiaTheme="minorEastAsia" w:cstheme="minorEastAsia"/>
          <w:b w:val="0"/>
          <w:bCs w:val="0"/>
          <w:color w:val="auto"/>
          <w:sz w:val="21"/>
          <w:szCs w:val="21"/>
          <w:highlight w:val="none"/>
          <w:lang w:val="en-US" w:eastAsia="zh-CN"/>
        </w:rPr>
        <w:t>92742975.00</w:t>
      </w:r>
      <w:r>
        <w:rPr>
          <w:rFonts w:hint="eastAsia" w:asciiTheme="minorEastAsia" w:hAnsiTheme="minorEastAsia" w:eastAsiaTheme="minorEastAsia" w:cstheme="minorEastAsia"/>
          <w:b w:val="0"/>
          <w:bCs w:val="0"/>
          <w:color w:val="auto"/>
          <w:sz w:val="21"/>
          <w:szCs w:val="21"/>
          <w:highlight w:val="none"/>
          <w:lang w:eastAsia="zh-CN"/>
        </w:rPr>
        <w:t>元；</w:t>
      </w:r>
      <w:r>
        <w:rPr>
          <w:rFonts w:hint="eastAsia" w:asciiTheme="minorEastAsia" w:hAnsiTheme="minorEastAsia" w:eastAsiaTheme="minorEastAsia" w:cstheme="minorEastAsia"/>
          <w:b w:val="0"/>
          <w:bCs w:val="0"/>
          <w:color w:val="auto"/>
          <w:sz w:val="21"/>
          <w:szCs w:val="21"/>
          <w:highlight w:val="none"/>
          <w:lang w:val="en-US" w:eastAsia="zh-CN"/>
        </w:rPr>
        <w:t>3</w:t>
      </w:r>
      <w:r>
        <w:rPr>
          <w:rFonts w:hint="eastAsia" w:asciiTheme="minorEastAsia" w:hAnsiTheme="minorEastAsia" w:eastAsiaTheme="minorEastAsia" w:cstheme="minorEastAsia"/>
          <w:b w:val="0"/>
          <w:bCs w:val="0"/>
          <w:color w:val="auto"/>
          <w:sz w:val="21"/>
          <w:szCs w:val="21"/>
          <w:highlight w:val="none"/>
          <w:lang w:eastAsia="zh-CN"/>
        </w:rPr>
        <w:t>分标：</w:t>
      </w:r>
      <w:r>
        <w:rPr>
          <w:rFonts w:hint="eastAsia" w:asciiTheme="minorEastAsia" w:hAnsiTheme="minorEastAsia" w:eastAsiaTheme="minorEastAsia" w:cstheme="minorEastAsia"/>
          <w:b w:val="0"/>
          <w:bCs w:val="0"/>
          <w:color w:val="auto"/>
          <w:sz w:val="21"/>
          <w:szCs w:val="21"/>
          <w:highlight w:val="none"/>
          <w:lang w:val="en-US" w:eastAsia="zh-CN"/>
        </w:rPr>
        <w:t>94828500.00</w:t>
      </w:r>
      <w:r>
        <w:rPr>
          <w:rFonts w:hint="eastAsia" w:asciiTheme="minorEastAsia" w:hAnsiTheme="minorEastAsia" w:eastAsiaTheme="minorEastAsia" w:cstheme="minorEastAsia"/>
          <w:b w:val="0"/>
          <w:bCs w:val="0"/>
          <w:color w:val="auto"/>
          <w:sz w:val="21"/>
          <w:szCs w:val="21"/>
          <w:highlight w:val="none"/>
          <w:lang w:eastAsia="zh-CN"/>
        </w:rPr>
        <w:t>元</w:t>
      </w:r>
    </w:p>
    <w:p w14:paraId="25182A02">
      <w:pPr>
        <w:spacing w:line="440" w:lineRule="exact"/>
        <w:ind w:firstLine="420" w:firstLineChars="200"/>
        <w:rPr>
          <w:rFonts w:asciiTheme="minorEastAsia" w:hAnsiTheme="minorEastAsia" w:eastAsiaTheme="minorEastAsia" w:cstheme="minorEastAsia"/>
          <w:color w:val="auto"/>
          <w:sz w:val="21"/>
          <w:szCs w:val="21"/>
          <w:highlight w:val="none"/>
        </w:rPr>
      </w:pPr>
      <w:r>
        <w:rPr>
          <w:rFonts w:hint="eastAsia" w:ascii="宋体" w:hAnsi="宋体" w:cs="宋体"/>
          <w:b w:val="0"/>
          <w:bCs w:val="0"/>
          <w:color w:val="auto"/>
          <w:sz w:val="21"/>
          <w:szCs w:val="21"/>
          <w:highlight w:val="none"/>
        </w:rPr>
        <w:t>最高限价：</w:t>
      </w:r>
      <w:r>
        <w:rPr>
          <w:rFonts w:hint="eastAsia" w:ascii="宋体" w:hAnsi="宋体" w:cs="宋体"/>
          <w:b w:val="0"/>
          <w:bCs w:val="0"/>
          <w:color w:val="auto"/>
          <w:sz w:val="21"/>
          <w:szCs w:val="21"/>
          <w:highlight w:val="none"/>
          <w:lang w:val="en-US" w:eastAsia="zh-CN"/>
        </w:rPr>
        <w:t>299403000.00</w:t>
      </w:r>
      <w:r>
        <w:rPr>
          <w:rFonts w:hint="eastAsia" w:asciiTheme="minorEastAsia" w:hAnsiTheme="minorEastAsia" w:eastAsiaTheme="minorEastAsia" w:cstheme="minorEastAsia"/>
          <w:color w:val="auto"/>
          <w:sz w:val="21"/>
          <w:szCs w:val="21"/>
          <w:highlight w:val="none"/>
        </w:rPr>
        <w:t>元</w:t>
      </w:r>
      <w:r>
        <w:rPr>
          <w:rFonts w:hint="eastAsia" w:asciiTheme="minorEastAsia" w:hAnsiTheme="minorEastAsia" w:eastAsiaTheme="minorEastAsia" w:cstheme="minorEastAsia"/>
          <w:color w:val="auto"/>
          <w:sz w:val="21"/>
          <w:szCs w:val="21"/>
          <w:highlight w:val="none"/>
          <w:lang w:eastAsia="zh-CN"/>
        </w:rPr>
        <w:t>，其中1分标：</w:t>
      </w:r>
      <w:r>
        <w:rPr>
          <w:rFonts w:hint="eastAsia" w:asciiTheme="minorEastAsia" w:hAnsiTheme="minorEastAsia" w:eastAsiaTheme="minorEastAsia" w:cstheme="minorEastAsia"/>
          <w:b w:val="0"/>
          <w:bCs w:val="0"/>
          <w:color w:val="auto"/>
          <w:sz w:val="21"/>
          <w:szCs w:val="21"/>
          <w:highlight w:val="none"/>
          <w:lang w:val="en-US" w:eastAsia="zh-CN"/>
        </w:rPr>
        <w:t>111831525.00</w:t>
      </w:r>
      <w:r>
        <w:rPr>
          <w:rFonts w:hint="eastAsia" w:asciiTheme="minorEastAsia" w:hAnsiTheme="minorEastAsia" w:eastAsiaTheme="minorEastAsia" w:cstheme="minorEastAsia"/>
          <w:b w:val="0"/>
          <w:bCs w:val="0"/>
          <w:color w:val="auto"/>
          <w:sz w:val="21"/>
          <w:szCs w:val="21"/>
          <w:highlight w:val="none"/>
          <w:lang w:eastAsia="zh-CN"/>
        </w:rPr>
        <w:t>元；2分标：</w:t>
      </w:r>
      <w:r>
        <w:rPr>
          <w:rFonts w:hint="eastAsia" w:asciiTheme="minorEastAsia" w:hAnsiTheme="minorEastAsia" w:eastAsiaTheme="minorEastAsia" w:cstheme="minorEastAsia"/>
          <w:b w:val="0"/>
          <w:bCs w:val="0"/>
          <w:color w:val="auto"/>
          <w:sz w:val="21"/>
          <w:szCs w:val="21"/>
          <w:highlight w:val="none"/>
          <w:lang w:val="en-US" w:eastAsia="zh-CN"/>
        </w:rPr>
        <w:t>92742975.00</w:t>
      </w:r>
      <w:r>
        <w:rPr>
          <w:rFonts w:hint="eastAsia" w:asciiTheme="minorEastAsia" w:hAnsiTheme="minorEastAsia" w:eastAsiaTheme="minorEastAsia" w:cstheme="minorEastAsia"/>
          <w:b w:val="0"/>
          <w:bCs w:val="0"/>
          <w:color w:val="auto"/>
          <w:sz w:val="21"/>
          <w:szCs w:val="21"/>
          <w:highlight w:val="none"/>
          <w:lang w:eastAsia="zh-CN"/>
        </w:rPr>
        <w:t>元；</w:t>
      </w:r>
      <w:r>
        <w:rPr>
          <w:rFonts w:hint="eastAsia" w:asciiTheme="minorEastAsia" w:hAnsiTheme="minorEastAsia" w:eastAsiaTheme="minorEastAsia" w:cstheme="minorEastAsia"/>
          <w:b w:val="0"/>
          <w:bCs w:val="0"/>
          <w:color w:val="auto"/>
          <w:sz w:val="21"/>
          <w:szCs w:val="21"/>
          <w:highlight w:val="none"/>
          <w:lang w:val="en-US" w:eastAsia="zh-CN"/>
        </w:rPr>
        <w:t>3</w:t>
      </w:r>
      <w:r>
        <w:rPr>
          <w:rFonts w:hint="eastAsia" w:asciiTheme="minorEastAsia" w:hAnsiTheme="minorEastAsia" w:eastAsiaTheme="minorEastAsia" w:cstheme="minorEastAsia"/>
          <w:b w:val="0"/>
          <w:bCs w:val="0"/>
          <w:color w:val="auto"/>
          <w:sz w:val="21"/>
          <w:szCs w:val="21"/>
          <w:highlight w:val="none"/>
          <w:lang w:eastAsia="zh-CN"/>
        </w:rPr>
        <w:t>分标：</w:t>
      </w:r>
      <w:r>
        <w:rPr>
          <w:rFonts w:hint="eastAsia" w:asciiTheme="minorEastAsia" w:hAnsiTheme="minorEastAsia" w:eastAsiaTheme="minorEastAsia" w:cstheme="minorEastAsia"/>
          <w:b w:val="0"/>
          <w:bCs w:val="0"/>
          <w:color w:val="auto"/>
          <w:sz w:val="21"/>
          <w:szCs w:val="21"/>
          <w:highlight w:val="none"/>
          <w:lang w:val="en-US" w:eastAsia="zh-CN"/>
        </w:rPr>
        <w:t>94828500.00</w:t>
      </w:r>
      <w:r>
        <w:rPr>
          <w:rFonts w:hint="eastAsia" w:asciiTheme="minorEastAsia" w:hAnsiTheme="minorEastAsia" w:eastAsiaTheme="minorEastAsia" w:cstheme="minorEastAsia"/>
          <w:b w:val="0"/>
          <w:bCs w:val="0"/>
          <w:color w:val="auto"/>
          <w:sz w:val="21"/>
          <w:szCs w:val="21"/>
          <w:highlight w:val="none"/>
          <w:lang w:eastAsia="zh-CN"/>
        </w:rPr>
        <w:t>元</w:t>
      </w:r>
    </w:p>
    <w:p w14:paraId="4F48D263">
      <w:pPr>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采购需求：</w:t>
      </w:r>
      <w:bookmarkStart w:id="9" w:name="PO_3000001866_PM004"/>
      <w:r>
        <w:rPr>
          <w:rFonts w:hint="eastAsia" w:ascii="宋体" w:hAnsi="宋体" w:cs="宋体"/>
          <w:color w:val="auto"/>
          <w:sz w:val="21"/>
          <w:szCs w:val="21"/>
          <w:highlight w:val="none"/>
        </w:rPr>
        <w:t xml:space="preserve"> </w:t>
      </w:r>
      <w:bookmarkEnd w:id="9"/>
    </w:p>
    <w:p w14:paraId="7843818A">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标项一</w:t>
      </w:r>
    </w:p>
    <w:p w14:paraId="23462FFB">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标项名称:</w:t>
      </w:r>
      <w:r>
        <w:rPr>
          <w:rFonts w:hint="eastAsia" w:ascii="宋体" w:hAnsi="宋体" w:cs="宋体"/>
          <w:i w:val="0"/>
          <w:iCs w:val="0"/>
          <w:caps w:val="0"/>
          <w:color w:val="auto"/>
          <w:spacing w:val="0"/>
          <w:sz w:val="21"/>
          <w:szCs w:val="21"/>
          <w:highlight w:val="none"/>
          <w:lang w:eastAsia="zh-CN"/>
        </w:rPr>
        <w:t>陆川县农村义务教育学生营养改善计划食材采购项目</w:t>
      </w:r>
      <w:r>
        <w:rPr>
          <w:rFonts w:hint="eastAsia" w:ascii="宋体" w:hAnsi="宋体" w:eastAsia="宋体" w:cs="宋体"/>
          <w:i w:val="0"/>
          <w:iCs w:val="0"/>
          <w:caps w:val="0"/>
          <w:color w:val="auto"/>
          <w:spacing w:val="0"/>
          <w:sz w:val="21"/>
          <w:szCs w:val="21"/>
          <w:highlight w:val="none"/>
        </w:rPr>
        <w:t>（</w:t>
      </w:r>
      <w:r>
        <w:rPr>
          <w:rFonts w:hint="eastAsia" w:ascii="宋体" w:hAnsi="宋体" w:cs="宋体"/>
          <w:i w:val="0"/>
          <w:iCs w:val="0"/>
          <w:caps w:val="0"/>
          <w:color w:val="auto"/>
          <w:spacing w:val="0"/>
          <w:sz w:val="21"/>
          <w:szCs w:val="21"/>
          <w:highlight w:val="none"/>
          <w:lang w:val="en-US" w:eastAsia="zh-CN"/>
        </w:rPr>
        <w:t>第一标段</w:t>
      </w:r>
      <w:r>
        <w:rPr>
          <w:rFonts w:hint="eastAsia" w:ascii="宋体" w:hAnsi="宋体" w:eastAsia="宋体" w:cs="宋体"/>
          <w:i w:val="0"/>
          <w:iCs w:val="0"/>
          <w:caps w:val="0"/>
          <w:color w:val="auto"/>
          <w:spacing w:val="0"/>
          <w:sz w:val="21"/>
          <w:szCs w:val="21"/>
          <w:highlight w:val="none"/>
        </w:rPr>
        <w:t>）</w:t>
      </w:r>
    </w:p>
    <w:p w14:paraId="41CAF856">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数量:1</w:t>
      </w:r>
    </w:p>
    <w:p w14:paraId="1D44B0AA">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b w:val="0"/>
          <w:bCs w:val="0"/>
          <w:color w:val="auto"/>
          <w:sz w:val="21"/>
          <w:szCs w:val="21"/>
          <w:highlight w:val="none"/>
          <w:lang w:eastAsia="zh-CN"/>
        </w:rPr>
      </w:pPr>
      <w:r>
        <w:rPr>
          <w:rFonts w:hint="eastAsia" w:ascii="宋体" w:hAnsi="宋体" w:eastAsia="宋体" w:cs="宋体"/>
          <w:i w:val="0"/>
          <w:iCs w:val="0"/>
          <w:caps w:val="0"/>
          <w:color w:val="auto"/>
          <w:spacing w:val="0"/>
          <w:sz w:val="21"/>
          <w:szCs w:val="21"/>
          <w:highlight w:val="none"/>
        </w:rPr>
        <w:t>预算金额（元）:</w:t>
      </w:r>
      <w:r>
        <w:rPr>
          <w:rFonts w:hint="eastAsia" w:asciiTheme="minorEastAsia" w:hAnsiTheme="minorEastAsia" w:eastAsiaTheme="minorEastAsia" w:cstheme="minorEastAsia"/>
          <w:b w:val="0"/>
          <w:bCs w:val="0"/>
          <w:color w:val="auto"/>
          <w:sz w:val="21"/>
          <w:szCs w:val="21"/>
          <w:highlight w:val="none"/>
          <w:lang w:val="en-US" w:eastAsia="zh-CN"/>
        </w:rPr>
        <w:t>111831525.00</w:t>
      </w:r>
    </w:p>
    <w:p w14:paraId="4B5A8158">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简要规格描述或项目基本概况介绍、用途：</w:t>
      </w:r>
      <w:r>
        <w:rPr>
          <w:rFonts w:hint="eastAsia" w:ascii="宋体" w:hAnsi="宋体" w:cs="宋体"/>
          <w:i w:val="0"/>
          <w:iCs w:val="0"/>
          <w:caps w:val="0"/>
          <w:color w:val="auto"/>
          <w:spacing w:val="0"/>
          <w:sz w:val="21"/>
          <w:szCs w:val="21"/>
          <w:highlight w:val="none"/>
          <w:lang w:eastAsia="zh-CN"/>
        </w:rPr>
        <w:t>陆川县农村义务教育学生营养改善计划食材采购项目</w:t>
      </w:r>
      <w:r>
        <w:rPr>
          <w:rFonts w:hint="eastAsia" w:ascii="宋体" w:hAnsi="宋体" w:eastAsia="宋体" w:cs="宋体"/>
          <w:i w:val="0"/>
          <w:iCs w:val="0"/>
          <w:caps w:val="0"/>
          <w:color w:val="auto"/>
          <w:spacing w:val="0"/>
          <w:sz w:val="21"/>
          <w:szCs w:val="21"/>
          <w:highlight w:val="none"/>
        </w:rPr>
        <w:t>（</w:t>
      </w:r>
      <w:r>
        <w:rPr>
          <w:rFonts w:hint="eastAsia" w:ascii="宋体" w:hAnsi="宋体" w:cs="宋体"/>
          <w:i w:val="0"/>
          <w:iCs w:val="0"/>
          <w:caps w:val="0"/>
          <w:color w:val="auto"/>
          <w:spacing w:val="0"/>
          <w:sz w:val="21"/>
          <w:szCs w:val="21"/>
          <w:highlight w:val="none"/>
          <w:lang w:val="en-US" w:eastAsia="zh-CN"/>
        </w:rPr>
        <w:t>第一标段</w:t>
      </w:r>
      <w:r>
        <w:rPr>
          <w:rFonts w:hint="eastAsia" w:ascii="宋体" w:hAnsi="宋体" w:eastAsia="宋体" w:cs="宋体"/>
          <w:i w:val="0"/>
          <w:iCs w:val="0"/>
          <w:caps w:val="0"/>
          <w:color w:val="auto"/>
          <w:spacing w:val="0"/>
          <w:sz w:val="21"/>
          <w:szCs w:val="21"/>
          <w:highlight w:val="none"/>
        </w:rPr>
        <w:t>）1</w:t>
      </w:r>
      <w:r>
        <w:rPr>
          <w:rFonts w:hint="eastAsia" w:ascii="宋体" w:hAnsi="宋体" w:cs="宋体"/>
          <w:i w:val="0"/>
          <w:iCs w:val="0"/>
          <w:caps w:val="0"/>
          <w:color w:val="auto"/>
          <w:spacing w:val="0"/>
          <w:sz w:val="21"/>
          <w:szCs w:val="21"/>
          <w:highlight w:val="none"/>
          <w:lang w:val="en-US" w:eastAsia="zh-CN"/>
        </w:rPr>
        <w:t>项</w:t>
      </w:r>
      <w:r>
        <w:rPr>
          <w:rFonts w:hint="eastAsia" w:ascii="宋体" w:hAnsi="宋体" w:eastAsia="宋体" w:cs="宋体"/>
          <w:i w:val="0"/>
          <w:iCs w:val="0"/>
          <w:caps w:val="0"/>
          <w:color w:val="auto"/>
          <w:spacing w:val="0"/>
          <w:sz w:val="21"/>
          <w:szCs w:val="21"/>
          <w:highlight w:val="none"/>
        </w:rPr>
        <w:t>，供餐人数约</w:t>
      </w:r>
      <w:r>
        <w:rPr>
          <w:rFonts w:hint="eastAsia" w:ascii="宋体" w:hAnsi="宋体" w:eastAsia="宋体" w:cs="宋体"/>
          <w:i w:val="0"/>
          <w:iCs w:val="0"/>
          <w:caps w:val="0"/>
          <w:color w:val="auto"/>
          <w:spacing w:val="0"/>
          <w:sz w:val="21"/>
          <w:szCs w:val="21"/>
          <w:highlight w:val="none"/>
          <w:lang w:val="en-US" w:eastAsia="zh-CN"/>
        </w:rPr>
        <w:t>38233</w:t>
      </w:r>
      <w:r>
        <w:rPr>
          <w:rFonts w:hint="eastAsia" w:ascii="宋体" w:hAnsi="宋体" w:eastAsia="宋体" w:cs="宋体"/>
          <w:i w:val="0"/>
          <w:iCs w:val="0"/>
          <w:caps w:val="0"/>
          <w:color w:val="auto"/>
          <w:spacing w:val="0"/>
          <w:sz w:val="21"/>
          <w:szCs w:val="21"/>
          <w:highlight w:val="none"/>
        </w:rPr>
        <w:t>人</w:t>
      </w:r>
      <w:r>
        <w:rPr>
          <w:rFonts w:hint="eastAsia" w:ascii="宋体" w:hAnsi="宋体" w:cs="宋体"/>
          <w:i w:val="0"/>
          <w:iCs w:val="0"/>
          <w:caps w:val="0"/>
          <w:color w:val="auto"/>
          <w:spacing w:val="0"/>
          <w:sz w:val="21"/>
          <w:szCs w:val="21"/>
          <w:highlight w:val="none"/>
          <w:lang w:eastAsia="zh-CN"/>
        </w:rPr>
        <w:t>，</w:t>
      </w:r>
      <w:r>
        <w:rPr>
          <w:rFonts w:hint="eastAsia" w:ascii="宋体" w:hAnsi="宋体" w:cs="宋体"/>
          <w:i w:val="0"/>
          <w:iCs w:val="0"/>
          <w:caps w:val="0"/>
          <w:color w:val="auto"/>
          <w:spacing w:val="0"/>
          <w:sz w:val="21"/>
          <w:szCs w:val="21"/>
          <w:highlight w:val="none"/>
          <w:lang w:val="en-US" w:eastAsia="zh-CN"/>
        </w:rPr>
        <w:t>配送范围</w:t>
      </w:r>
      <w:r>
        <w:rPr>
          <w:rFonts w:hint="eastAsia" w:ascii="宋体" w:hAnsi="宋体" w:cs="宋体"/>
          <w:i w:val="0"/>
          <w:iCs w:val="0"/>
          <w:caps w:val="0"/>
          <w:color w:val="auto"/>
          <w:spacing w:val="0"/>
          <w:sz w:val="21"/>
          <w:szCs w:val="21"/>
          <w:highlight w:val="none"/>
          <w:lang w:eastAsia="zh-CN"/>
        </w:rPr>
        <w:t>为</w:t>
      </w:r>
      <w:r>
        <w:rPr>
          <w:rFonts w:hint="eastAsia" w:ascii="宋体" w:hAnsi="宋体" w:cs="宋体"/>
          <w:i w:val="0"/>
          <w:iCs w:val="0"/>
          <w:caps w:val="0"/>
          <w:color w:val="auto"/>
          <w:spacing w:val="0"/>
          <w:sz w:val="21"/>
          <w:szCs w:val="21"/>
          <w:highlight w:val="none"/>
          <w:lang w:val="en-US" w:eastAsia="zh-CN"/>
        </w:rPr>
        <w:t>珊罗镇（7182人）、平乐镇（5931人）、马坡镇（13051人）、米场镇（9462人）、沙湖镇（2607人）</w:t>
      </w:r>
      <w:r>
        <w:rPr>
          <w:rFonts w:hint="eastAsia" w:ascii="宋体" w:hAnsi="宋体" w:cs="宋体"/>
          <w:i w:val="0"/>
          <w:iCs w:val="0"/>
          <w:caps w:val="0"/>
          <w:color w:val="auto"/>
          <w:spacing w:val="0"/>
          <w:sz w:val="21"/>
          <w:szCs w:val="21"/>
          <w:highlight w:val="none"/>
          <w:lang w:eastAsia="zh-CN"/>
        </w:rPr>
        <w:t>的农村义务教育学校，</w:t>
      </w:r>
      <w:r>
        <w:rPr>
          <w:rFonts w:hint="eastAsia" w:ascii="宋体" w:hAnsi="宋体" w:eastAsia="宋体" w:cs="宋体"/>
          <w:i w:val="0"/>
          <w:iCs w:val="0"/>
          <w:caps w:val="0"/>
          <w:color w:val="auto"/>
          <w:spacing w:val="0"/>
          <w:sz w:val="21"/>
          <w:szCs w:val="21"/>
          <w:highlight w:val="none"/>
        </w:rPr>
        <w:t>具体详见招标文件</w:t>
      </w:r>
    </w:p>
    <w:p w14:paraId="2250F11A">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最高限价（如有）：</w:t>
      </w:r>
      <w:r>
        <w:rPr>
          <w:rFonts w:hint="eastAsia" w:asciiTheme="minorEastAsia" w:hAnsiTheme="minorEastAsia" w:eastAsiaTheme="minorEastAsia" w:cstheme="minorEastAsia"/>
          <w:b w:val="0"/>
          <w:bCs w:val="0"/>
          <w:color w:val="auto"/>
          <w:sz w:val="21"/>
          <w:szCs w:val="21"/>
          <w:highlight w:val="none"/>
          <w:lang w:val="en-US" w:eastAsia="zh-CN"/>
        </w:rPr>
        <w:t>111831525.00</w:t>
      </w:r>
    </w:p>
    <w:p w14:paraId="0D894B1D">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合同履约期限：</w:t>
      </w:r>
      <w:r>
        <w:rPr>
          <w:rStyle w:val="51"/>
          <w:rFonts w:hint="eastAsia" w:ascii="宋体" w:hAnsi="宋体" w:cs="宋体"/>
          <w:i w:val="0"/>
          <w:iCs w:val="0"/>
          <w:caps w:val="0"/>
          <w:color w:val="auto"/>
          <w:spacing w:val="0"/>
          <w:sz w:val="21"/>
          <w:szCs w:val="21"/>
          <w:highlight w:val="none"/>
          <w:lang w:val="en-US" w:eastAsia="zh-CN"/>
        </w:rPr>
        <w:t>自合同签订之日起3年（具体起止时间以签订合同为准）</w:t>
      </w:r>
      <w:r>
        <w:rPr>
          <w:rStyle w:val="51"/>
          <w:rFonts w:hint="eastAsia" w:ascii="宋体" w:hAnsi="宋体" w:eastAsia="宋体" w:cs="宋体"/>
          <w:i w:val="0"/>
          <w:iCs w:val="0"/>
          <w:caps w:val="0"/>
          <w:color w:val="auto"/>
          <w:spacing w:val="0"/>
          <w:sz w:val="21"/>
          <w:szCs w:val="21"/>
          <w:highlight w:val="none"/>
        </w:rPr>
        <w:t>。</w:t>
      </w:r>
    </w:p>
    <w:p w14:paraId="31038B20">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本标项（</w:t>
      </w:r>
      <w:r>
        <w:rPr>
          <w:rStyle w:val="51"/>
          <w:rFonts w:hint="eastAsia" w:ascii="宋体" w:hAnsi="宋体" w:cs="宋体"/>
          <w:i w:val="0"/>
          <w:iCs w:val="0"/>
          <w:caps w:val="0"/>
          <w:color w:val="auto"/>
          <w:spacing w:val="0"/>
          <w:sz w:val="21"/>
          <w:szCs w:val="21"/>
          <w:highlight w:val="none"/>
          <w:lang w:val="en-US" w:eastAsia="zh-CN"/>
        </w:rPr>
        <w:t>是</w:t>
      </w:r>
      <w:r>
        <w:rPr>
          <w:rFonts w:hint="eastAsia" w:ascii="宋体" w:hAnsi="宋体" w:eastAsia="宋体" w:cs="宋体"/>
          <w:i w:val="0"/>
          <w:iCs w:val="0"/>
          <w:caps w:val="0"/>
          <w:color w:val="auto"/>
          <w:spacing w:val="0"/>
          <w:sz w:val="21"/>
          <w:szCs w:val="21"/>
          <w:highlight w:val="none"/>
        </w:rPr>
        <w:t>）接受联合体投标</w:t>
      </w:r>
    </w:p>
    <w:p w14:paraId="3E01F300">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备注：</w:t>
      </w:r>
    </w:p>
    <w:p w14:paraId="0B3981AE">
      <w:pPr>
        <w:spacing w:line="400" w:lineRule="exact"/>
        <w:rPr>
          <w:rFonts w:hint="eastAsia" w:ascii="宋体" w:hAnsi="宋体" w:eastAsia="宋体" w:cs="宋体"/>
          <w:color w:val="auto"/>
          <w:sz w:val="21"/>
          <w:szCs w:val="21"/>
          <w:highlight w:val="none"/>
        </w:rPr>
      </w:pPr>
    </w:p>
    <w:p w14:paraId="14BC3ACD">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val="en-US" w:eastAsia="zh-CN"/>
        </w:rPr>
      </w:pPr>
      <w:r>
        <w:rPr>
          <w:rFonts w:hint="eastAsia" w:ascii="宋体" w:hAnsi="宋体" w:eastAsia="宋体" w:cs="宋体"/>
          <w:i w:val="0"/>
          <w:iCs w:val="0"/>
          <w:caps w:val="0"/>
          <w:color w:val="auto"/>
          <w:spacing w:val="0"/>
          <w:sz w:val="21"/>
          <w:szCs w:val="21"/>
          <w:highlight w:val="none"/>
        </w:rPr>
        <w:t>标项</w:t>
      </w:r>
      <w:r>
        <w:rPr>
          <w:rFonts w:hint="eastAsia" w:ascii="宋体" w:hAnsi="宋体" w:eastAsia="宋体" w:cs="宋体"/>
          <w:i w:val="0"/>
          <w:iCs w:val="0"/>
          <w:caps w:val="0"/>
          <w:color w:val="auto"/>
          <w:spacing w:val="0"/>
          <w:sz w:val="21"/>
          <w:szCs w:val="21"/>
          <w:highlight w:val="none"/>
          <w:lang w:val="en-US" w:eastAsia="zh-CN"/>
        </w:rPr>
        <w:t>二</w:t>
      </w:r>
    </w:p>
    <w:p w14:paraId="29572904">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标项名称:</w:t>
      </w:r>
      <w:r>
        <w:rPr>
          <w:rFonts w:hint="eastAsia" w:ascii="宋体" w:hAnsi="宋体" w:cs="宋体"/>
          <w:i w:val="0"/>
          <w:iCs w:val="0"/>
          <w:caps w:val="0"/>
          <w:color w:val="auto"/>
          <w:spacing w:val="0"/>
          <w:sz w:val="21"/>
          <w:szCs w:val="21"/>
          <w:highlight w:val="none"/>
          <w:lang w:eastAsia="zh-CN"/>
        </w:rPr>
        <w:t>陆川县农村义务教育学生营养改善计划食材采购项目</w:t>
      </w:r>
      <w:r>
        <w:rPr>
          <w:rFonts w:hint="eastAsia" w:ascii="宋体" w:hAnsi="宋体" w:eastAsia="宋体" w:cs="宋体"/>
          <w:i w:val="0"/>
          <w:iCs w:val="0"/>
          <w:caps w:val="0"/>
          <w:color w:val="auto"/>
          <w:spacing w:val="0"/>
          <w:sz w:val="21"/>
          <w:szCs w:val="21"/>
          <w:highlight w:val="none"/>
        </w:rPr>
        <w:t>（</w:t>
      </w:r>
      <w:r>
        <w:rPr>
          <w:rFonts w:hint="eastAsia" w:ascii="宋体" w:hAnsi="宋体" w:cs="宋体"/>
          <w:i w:val="0"/>
          <w:iCs w:val="0"/>
          <w:caps w:val="0"/>
          <w:color w:val="auto"/>
          <w:spacing w:val="0"/>
          <w:sz w:val="21"/>
          <w:szCs w:val="21"/>
          <w:highlight w:val="none"/>
          <w:lang w:val="en-US" w:eastAsia="zh-CN"/>
        </w:rPr>
        <w:t>第二标段</w:t>
      </w:r>
      <w:r>
        <w:rPr>
          <w:rFonts w:hint="eastAsia" w:ascii="宋体" w:hAnsi="宋体" w:eastAsia="宋体" w:cs="宋体"/>
          <w:i w:val="0"/>
          <w:iCs w:val="0"/>
          <w:caps w:val="0"/>
          <w:color w:val="auto"/>
          <w:spacing w:val="0"/>
          <w:sz w:val="21"/>
          <w:szCs w:val="21"/>
          <w:highlight w:val="none"/>
        </w:rPr>
        <w:t>）</w:t>
      </w:r>
    </w:p>
    <w:p w14:paraId="4C8262D3">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数量:1</w:t>
      </w:r>
    </w:p>
    <w:p w14:paraId="75390B93">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Theme="minorEastAsia" w:hAnsiTheme="minorEastAsia" w:eastAsiaTheme="minorEastAsia" w:cstheme="minorEastAsia"/>
          <w:b w:val="0"/>
          <w:bCs w:val="0"/>
          <w:color w:val="auto"/>
          <w:sz w:val="21"/>
          <w:szCs w:val="21"/>
          <w:highlight w:val="none"/>
          <w:lang w:eastAsia="zh-CN"/>
        </w:rPr>
      </w:pPr>
      <w:r>
        <w:rPr>
          <w:rFonts w:hint="eastAsia" w:ascii="宋体" w:hAnsi="宋体" w:eastAsia="宋体" w:cs="宋体"/>
          <w:i w:val="0"/>
          <w:iCs w:val="0"/>
          <w:caps w:val="0"/>
          <w:color w:val="auto"/>
          <w:spacing w:val="0"/>
          <w:sz w:val="21"/>
          <w:szCs w:val="21"/>
          <w:highlight w:val="none"/>
        </w:rPr>
        <w:t>预算金额（元）:</w:t>
      </w:r>
      <w:r>
        <w:rPr>
          <w:rFonts w:hint="eastAsia" w:asciiTheme="minorEastAsia" w:hAnsiTheme="minorEastAsia" w:eastAsiaTheme="minorEastAsia" w:cstheme="minorEastAsia"/>
          <w:b w:val="0"/>
          <w:bCs w:val="0"/>
          <w:color w:val="auto"/>
          <w:sz w:val="21"/>
          <w:szCs w:val="21"/>
          <w:highlight w:val="none"/>
          <w:lang w:val="en-US" w:eastAsia="zh-CN"/>
        </w:rPr>
        <w:t>92742975.00</w:t>
      </w:r>
    </w:p>
    <w:p w14:paraId="6C40B7F9">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简要规格描述或项目基本概况介绍、用途：</w:t>
      </w:r>
      <w:r>
        <w:rPr>
          <w:rFonts w:hint="eastAsia" w:ascii="宋体" w:hAnsi="宋体" w:cs="宋体"/>
          <w:i w:val="0"/>
          <w:iCs w:val="0"/>
          <w:caps w:val="0"/>
          <w:color w:val="auto"/>
          <w:spacing w:val="0"/>
          <w:sz w:val="21"/>
          <w:szCs w:val="21"/>
          <w:highlight w:val="none"/>
          <w:lang w:eastAsia="zh-CN"/>
        </w:rPr>
        <w:t>陆川县农村义务教育学生营养改善计划食材采购项目</w:t>
      </w:r>
      <w:r>
        <w:rPr>
          <w:rFonts w:hint="eastAsia" w:ascii="宋体" w:hAnsi="宋体" w:eastAsia="宋体" w:cs="宋体"/>
          <w:i w:val="0"/>
          <w:iCs w:val="0"/>
          <w:caps w:val="0"/>
          <w:color w:val="auto"/>
          <w:spacing w:val="0"/>
          <w:sz w:val="21"/>
          <w:szCs w:val="21"/>
          <w:highlight w:val="none"/>
        </w:rPr>
        <w:t>（</w:t>
      </w:r>
      <w:r>
        <w:rPr>
          <w:rFonts w:hint="eastAsia" w:ascii="宋体" w:hAnsi="宋体" w:cs="宋体"/>
          <w:i w:val="0"/>
          <w:iCs w:val="0"/>
          <w:caps w:val="0"/>
          <w:color w:val="auto"/>
          <w:spacing w:val="0"/>
          <w:sz w:val="21"/>
          <w:szCs w:val="21"/>
          <w:highlight w:val="none"/>
          <w:lang w:val="en-US" w:eastAsia="zh-CN"/>
        </w:rPr>
        <w:t>第二标段</w:t>
      </w:r>
      <w:r>
        <w:rPr>
          <w:rFonts w:hint="eastAsia" w:ascii="宋体" w:hAnsi="宋体" w:eastAsia="宋体" w:cs="宋体"/>
          <w:i w:val="0"/>
          <w:iCs w:val="0"/>
          <w:caps w:val="0"/>
          <w:color w:val="auto"/>
          <w:spacing w:val="0"/>
          <w:sz w:val="21"/>
          <w:szCs w:val="21"/>
          <w:highlight w:val="none"/>
        </w:rPr>
        <w:t>）1</w:t>
      </w:r>
      <w:r>
        <w:rPr>
          <w:rFonts w:hint="eastAsia" w:ascii="宋体" w:hAnsi="宋体" w:cs="宋体"/>
          <w:i w:val="0"/>
          <w:iCs w:val="0"/>
          <w:caps w:val="0"/>
          <w:color w:val="auto"/>
          <w:spacing w:val="0"/>
          <w:sz w:val="21"/>
          <w:szCs w:val="21"/>
          <w:highlight w:val="none"/>
          <w:lang w:val="en-US" w:eastAsia="zh-CN"/>
        </w:rPr>
        <w:t>项</w:t>
      </w:r>
      <w:r>
        <w:rPr>
          <w:rFonts w:hint="eastAsia" w:ascii="宋体" w:hAnsi="宋体" w:eastAsia="宋体" w:cs="宋体"/>
          <w:i w:val="0"/>
          <w:iCs w:val="0"/>
          <w:caps w:val="0"/>
          <w:color w:val="auto"/>
          <w:spacing w:val="0"/>
          <w:sz w:val="21"/>
          <w:szCs w:val="21"/>
          <w:highlight w:val="none"/>
        </w:rPr>
        <w:t>，供餐人数约</w:t>
      </w:r>
      <w:r>
        <w:rPr>
          <w:rFonts w:hint="eastAsia" w:ascii="宋体" w:hAnsi="宋体" w:eastAsia="宋体" w:cs="宋体"/>
          <w:i w:val="0"/>
          <w:iCs w:val="0"/>
          <w:caps w:val="0"/>
          <w:color w:val="auto"/>
          <w:spacing w:val="0"/>
          <w:sz w:val="21"/>
          <w:szCs w:val="21"/>
          <w:highlight w:val="none"/>
          <w:lang w:val="en-US" w:eastAsia="zh-CN"/>
        </w:rPr>
        <w:t>31707</w:t>
      </w:r>
      <w:r>
        <w:rPr>
          <w:rFonts w:hint="eastAsia" w:ascii="宋体" w:hAnsi="宋体" w:eastAsia="宋体" w:cs="宋体"/>
          <w:i w:val="0"/>
          <w:iCs w:val="0"/>
          <w:caps w:val="0"/>
          <w:color w:val="auto"/>
          <w:spacing w:val="0"/>
          <w:sz w:val="21"/>
          <w:szCs w:val="21"/>
          <w:highlight w:val="none"/>
        </w:rPr>
        <w:t>人</w:t>
      </w:r>
      <w:r>
        <w:rPr>
          <w:rFonts w:hint="eastAsia" w:ascii="宋体" w:hAnsi="宋体" w:cs="宋体"/>
          <w:i w:val="0"/>
          <w:iCs w:val="0"/>
          <w:caps w:val="0"/>
          <w:color w:val="auto"/>
          <w:spacing w:val="0"/>
          <w:sz w:val="21"/>
          <w:szCs w:val="21"/>
          <w:highlight w:val="none"/>
          <w:lang w:eastAsia="zh-CN"/>
        </w:rPr>
        <w:t>，</w:t>
      </w:r>
      <w:r>
        <w:rPr>
          <w:rFonts w:hint="eastAsia" w:ascii="宋体" w:hAnsi="宋体" w:cs="宋体"/>
          <w:i w:val="0"/>
          <w:iCs w:val="0"/>
          <w:caps w:val="0"/>
          <w:color w:val="auto"/>
          <w:spacing w:val="0"/>
          <w:sz w:val="21"/>
          <w:szCs w:val="21"/>
          <w:highlight w:val="none"/>
          <w:lang w:val="en-US" w:eastAsia="zh-CN"/>
        </w:rPr>
        <w:t>配送范围</w:t>
      </w:r>
      <w:r>
        <w:rPr>
          <w:rFonts w:hint="eastAsia" w:ascii="宋体" w:hAnsi="宋体" w:cs="宋体"/>
          <w:i w:val="0"/>
          <w:iCs w:val="0"/>
          <w:caps w:val="0"/>
          <w:color w:val="auto"/>
          <w:spacing w:val="0"/>
          <w:sz w:val="21"/>
          <w:szCs w:val="21"/>
          <w:highlight w:val="none"/>
          <w:lang w:eastAsia="zh-CN"/>
        </w:rPr>
        <w:t>为</w:t>
      </w:r>
      <w:r>
        <w:rPr>
          <w:rFonts w:hint="eastAsia" w:ascii="宋体" w:hAnsi="宋体" w:eastAsia="宋体" w:cs="宋体"/>
          <w:i w:val="0"/>
          <w:iCs w:val="0"/>
          <w:caps w:val="0"/>
          <w:color w:val="auto"/>
          <w:spacing w:val="0"/>
          <w:sz w:val="21"/>
          <w:szCs w:val="21"/>
          <w:highlight w:val="none"/>
          <w:lang w:val="en-US" w:eastAsia="zh-CN"/>
        </w:rPr>
        <w:t>沙坡</w:t>
      </w:r>
      <w:r>
        <w:rPr>
          <w:rFonts w:hint="eastAsia" w:ascii="宋体" w:hAnsi="宋体" w:eastAsia="宋体" w:cs="宋体"/>
          <w:i w:val="0"/>
          <w:iCs w:val="0"/>
          <w:caps w:val="0"/>
          <w:color w:val="auto"/>
          <w:spacing w:val="0"/>
          <w:sz w:val="21"/>
          <w:szCs w:val="21"/>
          <w:highlight w:val="none"/>
          <w:lang w:eastAsia="zh-CN"/>
        </w:rPr>
        <w:t>镇</w:t>
      </w:r>
      <w:bookmarkStart w:id="10" w:name="OLE_LINK3"/>
      <w:r>
        <w:rPr>
          <w:rFonts w:hint="eastAsia" w:ascii="宋体" w:hAnsi="宋体" w:eastAsia="宋体" w:cs="宋体"/>
          <w:i w:val="0"/>
          <w:iCs w:val="0"/>
          <w:caps w:val="0"/>
          <w:color w:val="auto"/>
          <w:spacing w:val="0"/>
          <w:sz w:val="21"/>
          <w:szCs w:val="21"/>
          <w:highlight w:val="none"/>
          <w:lang w:eastAsia="zh-CN"/>
        </w:rPr>
        <w:t>（</w:t>
      </w:r>
      <w:r>
        <w:rPr>
          <w:rFonts w:hint="eastAsia" w:ascii="宋体" w:hAnsi="宋体" w:eastAsia="宋体" w:cs="宋体"/>
          <w:i w:val="0"/>
          <w:iCs w:val="0"/>
          <w:caps w:val="0"/>
          <w:color w:val="auto"/>
          <w:spacing w:val="0"/>
          <w:sz w:val="21"/>
          <w:szCs w:val="21"/>
          <w:highlight w:val="none"/>
          <w:lang w:val="en-US" w:eastAsia="zh-CN"/>
        </w:rPr>
        <w:t>8861人）</w:t>
      </w:r>
      <w:bookmarkEnd w:id="10"/>
      <w:r>
        <w:rPr>
          <w:rFonts w:hint="eastAsia" w:ascii="宋体" w:hAnsi="宋体" w:eastAsia="宋体" w:cs="宋体"/>
          <w:i w:val="0"/>
          <w:iCs w:val="0"/>
          <w:caps w:val="0"/>
          <w:color w:val="auto"/>
          <w:spacing w:val="0"/>
          <w:sz w:val="21"/>
          <w:szCs w:val="21"/>
          <w:highlight w:val="none"/>
          <w:lang w:val="en-US" w:eastAsia="zh-CN"/>
        </w:rPr>
        <w:t>、温泉镇（除温泉镇初级中学、温泉镇中心学校、温泉镇中心学校温汤校区外2296人）、大桥镇</w:t>
      </w:r>
      <w:r>
        <w:rPr>
          <w:rFonts w:hint="eastAsia" w:ascii="宋体" w:hAnsi="宋体" w:eastAsia="宋体" w:cs="宋体"/>
          <w:i w:val="0"/>
          <w:iCs w:val="0"/>
          <w:caps w:val="0"/>
          <w:color w:val="auto"/>
          <w:spacing w:val="0"/>
          <w:sz w:val="21"/>
          <w:szCs w:val="21"/>
          <w:highlight w:val="none"/>
          <w:lang w:eastAsia="zh-CN"/>
        </w:rPr>
        <w:t>（</w:t>
      </w:r>
      <w:r>
        <w:rPr>
          <w:rFonts w:hint="eastAsia" w:ascii="宋体" w:hAnsi="宋体" w:eastAsia="宋体" w:cs="宋体"/>
          <w:i w:val="0"/>
          <w:iCs w:val="0"/>
          <w:caps w:val="0"/>
          <w:color w:val="auto"/>
          <w:spacing w:val="0"/>
          <w:sz w:val="21"/>
          <w:szCs w:val="21"/>
          <w:highlight w:val="none"/>
          <w:lang w:val="en-US" w:eastAsia="zh-CN"/>
        </w:rPr>
        <w:t>4301人）、横山镇</w:t>
      </w:r>
      <w:r>
        <w:rPr>
          <w:rFonts w:hint="eastAsia" w:ascii="宋体" w:hAnsi="宋体" w:eastAsia="宋体" w:cs="宋体"/>
          <w:i w:val="0"/>
          <w:iCs w:val="0"/>
          <w:caps w:val="0"/>
          <w:color w:val="auto"/>
          <w:spacing w:val="0"/>
          <w:sz w:val="21"/>
          <w:szCs w:val="21"/>
          <w:highlight w:val="none"/>
          <w:lang w:eastAsia="zh-CN"/>
        </w:rPr>
        <w:t>（</w:t>
      </w:r>
      <w:r>
        <w:rPr>
          <w:rFonts w:hint="eastAsia" w:ascii="宋体" w:hAnsi="宋体" w:eastAsia="宋体" w:cs="宋体"/>
          <w:i w:val="0"/>
          <w:iCs w:val="0"/>
          <w:caps w:val="0"/>
          <w:color w:val="auto"/>
          <w:spacing w:val="0"/>
          <w:sz w:val="21"/>
          <w:szCs w:val="21"/>
          <w:highlight w:val="none"/>
          <w:lang w:val="en-US" w:eastAsia="zh-CN"/>
        </w:rPr>
        <w:t>3441人）、乌石</w:t>
      </w:r>
      <w:r>
        <w:rPr>
          <w:rFonts w:hint="eastAsia" w:ascii="宋体" w:hAnsi="宋体" w:eastAsia="宋体" w:cs="宋体"/>
          <w:i w:val="0"/>
          <w:iCs w:val="0"/>
          <w:caps w:val="0"/>
          <w:color w:val="auto"/>
          <w:spacing w:val="0"/>
          <w:sz w:val="21"/>
          <w:szCs w:val="21"/>
          <w:highlight w:val="none"/>
          <w:lang w:eastAsia="zh-CN"/>
        </w:rPr>
        <w:t>镇（</w:t>
      </w:r>
      <w:r>
        <w:rPr>
          <w:rFonts w:hint="eastAsia" w:ascii="宋体" w:hAnsi="宋体" w:eastAsia="宋体" w:cs="宋体"/>
          <w:i w:val="0"/>
          <w:iCs w:val="0"/>
          <w:caps w:val="0"/>
          <w:color w:val="auto"/>
          <w:spacing w:val="0"/>
          <w:sz w:val="21"/>
          <w:szCs w:val="21"/>
          <w:highlight w:val="none"/>
          <w:lang w:val="en-US" w:eastAsia="zh-CN"/>
        </w:rPr>
        <w:t>12808人）</w:t>
      </w:r>
      <w:r>
        <w:rPr>
          <w:rFonts w:hint="eastAsia" w:ascii="宋体" w:hAnsi="宋体" w:eastAsia="宋体" w:cs="宋体"/>
          <w:i w:val="0"/>
          <w:iCs w:val="0"/>
          <w:caps w:val="0"/>
          <w:color w:val="auto"/>
          <w:spacing w:val="0"/>
          <w:sz w:val="21"/>
          <w:szCs w:val="21"/>
          <w:highlight w:val="none"/>
          <w:lang w:eastAsia="zh-CN"/>
        </w:rPr>
        <w:t>的农村义务教育学校</w:t>
      </w:r>
      <w:r>
        <w:rPr>
          <w:rFonts w:hint="eastAsia" w:ascii="宋体" w:hAnsi="宋体" w:cs="宋体"/>
          <w:i w:val="0"/>
          <w:iCs w:val="0"/>
          <w:caps w:val="0"/>
          <w:color w:val="auto"/>
          <w:spacing w:val="0"/>
          <w:sz w:val="21"/>
          <w:szCs w:val="21"/>
          <w:highlight w:val="none"/>
          <w:lang w:eastAsia="zh-CN"/>
        </w:rPr>
        <w:t>，</w:t>
      </w:r>
      <w:r>
        <w:rPr>
          <w:rFonts w:hint="eastAsia" w:ascii="宋体" w:hAnsi="宋体" w:eastAsia="宋体" w:cs="宋体"/>
          <w:i w:val="0"/>
          <w:iCs w:val="0"/>
          <w:caps w:val="0"/>
          <w:color w:val="auto"/>
          <w:spacing w:val="0"/>
          <w:sz w:val="21"/>
          <w:szCs w:val="21"/>
          <w:highlight w:val="none"/>
        </w:rPr>
        <w:t>具体详见招标文件</w:t>
      </w:r>
    </w:p>
    <w:p w14:paraId="2C441C4B">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最高限价（如有）：</w:t>
      </w:r>
      <w:r>
        <w:rPr>
          <w:rFonts w:hint="eastAsia" w:asciiTheme="minorEastAsia" w:hAnsiTheme="minorEastAsia" w:eastAsiaTheme="minorEastAsia" w:cstheme="minorEastAsia"/>
          <w:b w:val="0"/>
          <w:bCs w:val="0"/>
          <w:color w:val="auto"/>
          <w:sz w:val="21"/>
          <w:szCs w:val="21"/>
          <w:highlight w:val="none"/>
          <w:lang w:val="en-US" w:eastAsia="zh-CN"/>
        </w:rPr>
        <w:t>92742975.00</w:t>
      </w:r>
    </w:p>
    <w:p w14:paraId="6A7745BD">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合同履约期限：</w:t>
      </w:r>
      <w:r>
        <w:rPr>
          <w:rStyle w:val="51"/>
          <w:rFonts w:hint="eastAsia" w:ascii="宋体" w:hAnsi="宋体" w:cs="宋体"/>
          <w:i w:val="0"/>
          <w:iCs w:val="0"/>
          <w:caps w:val="0"/>
          <w:color w:val="auto"/>
          <w:spacing w:val="0"/>
          <w:sz w:val="21"/>
          <w:szCs w:val="21"/>
          <w:highlight w:val="none"/>
          <w:lang w:val="en-US" w:eastAsia="zh-CN"/>
        </w:rPr>
        <w:t>自合同签订之日起3年（具体起止时间以签订合同为准）</w:t>
      </w:r>
      <w:r>
        <w:rPr>
          <w:rStyle w:val="51"/>
          <w:rFonts w:hint="eastAsia" w:ascii="宋体" w:hAnsi="宋体" w:eastAsia="宋体" w:cs="宋体"/>
          <w:i w:val="0"/>
          <w:iCs w:val="0"/>
          <w:caps w:val="0"/>
          <w:color w:val="auto"/>
          <w:spacing w:val="0"/>
          <w:sz w:val="21"/>
          <w:szCs w:val="21"/>
          <w:highlight w:val="none"/>
        </w:rPr>
        <w:t>。</w:t>
      </w:r>
    </w:p>
    <w:p w14:paraId="10C586D9">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本标项（</w:t>
      </w:r>
      <w:r>
        <w:rPr>
          <w:rStyle w:val="51"/>
          <w:rFonts w:hint="eastAsia" w:ascii="宋体" w:hAnsi="宋体" w:cs="宋体"/>
          <w:i w:val="0"/>
          <w:iCs w:val="0"/>
          <w:caps w:val="0"/>
          <w:color w:val="auto"/>
          <w:spacing w:val="0"/>
          <w:sz w:val="21"/>
          <w:szCs w:val="21"/>
          <w:highlight w:val="none"/>
          <w:lang w:val="en-US" w:eastAsia="zh-CN"/>
        </w:rPr>
        <w:t>是</w:t>
      </w:r>
      <w:r>
        <w:rPr>
          <w:rFonts w:hint="eastAsia" w:ascii="宋体" w:hAnsi="宋体" w:eastAsia="宋体" w:cs="宋体"/>
          <w:i w:val="0"/>
          <w:iCs w:val="0"/>
          <w:caps w:val="0"/>
          <w:color w:val="auto"/>
          <w:spacing w:val="0"/>
          <w:sz w:val="21"/>
          <w:szCs w:val="21"/>
          <w:highlight w:val="none"/>
        </w:rPr>
        <w:t>）接受联合体投标</w:t>
      </w:r>
    </w:p>
    <w:p w14:paraId="367664A8">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备注：</w:t>
      </w:r>
    </w:p>
    <w:p w14:paraId="53F46CA4">
      <w:pPr>
        <w:pStyle w:val="138"/>
        <w:rPr>
          <w:color w:val="auto"/>
          <w:sz w:val="21"/>
          <w:szCs w:val="21"/>
          <w:highlight w:val="none"/>
        </w:rPr>
      </w:pPr>
    </w:p>
    <w:p w14:paraId="218984A0">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val="en-US" w:eastAsia="zh-CN"/>
        </w:rPr>
      </w:pPr>
      <w:r>
        <w:rPr>
          <w:rFonts w:hint="eastAsia" w:ascii="宋体" w:hAnsi="宋体" w:eastAsia="宋体" w:cs="宋体"/>
          <w:i w:val="0"/>
          <w:iCs w:val="0"/>
          <w:caps w:val="0"/>
          <w:color w:val="auto"/>
          <w:spacing w:val="0"/>
          <w:sz w:val="21"/>
          <w:szCs w:val="21"/>
          <w:highlight w:val="none"/>
        </w:rPr>
        <w:t>标项</w:t>
      </w:r>
      <w:r>
        <w:rPr>
          <w:rFonts w:hint="eastAsia" w:ascii="宋体" w:hAnsi="宋体" w:eastAsia="宋体" w:cs="宋体"/>
          <w:i w:val="0"/>
          <w:iCs w:val="0"/>
          <w:caps w:val="0"/>
          <w:color w:val="auto"/>
          <w:spacing w:val="0"/>
          <w:sz w:val="21"/>
          <w:szCs w:val="21"/>
          <w:highlight w:val="none"/>
          <w:lang w:val="en-US" w:eastAsia="zh-CN"/>
        </w:rPr>
        <w:t>三</w:t>
      </w:r>
    </w:p>
    <w:p w14:paraId="7D1E3754">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标项名称:</w:t>
      </w:r>
      <w:r>
        <w:rPr>
          <w:rFonts w:hint="eastAsia" w:ascii="宋体" w:hAnsi="宋体" w:cs="宋体"/>
          <w:i w:val="0"/>
          <w:iCs w:val="0"/>
          <w:caps w:val="0"/>
          <w:color w:val="auto"/>
          <w:spacing w:val="0"/>
          <w:sz w:val="21"/>
          <w:szCs w:val="21"/>
          <w:highlight w:val="none"/>
          <w:lang w:eastAsia="zh-CN"/>
        </w:rPr>
        <w:t>陆川县农村义务教育学生营养改善计划食材采购项目</w:t>
      </w:r>
      <w:r>
        <w:rPr>
          <w:rFonts w:hint="eastAsia" w:ascii="宋体" w:hAnsi="宋体" w:eastAsia="宋体" w:cs="宋体"/>
          <w:i w:val="0"/>
          <w:iCs w:val="0"/>
          <w:caps w:val="0"/>
          <w:color w:val="auto"/>
          <w:spacing w:val="0"/>
          <w:sz w:val="21"/>
          <w:szCs w:val="21"/>
          <w:highlight w:val="none"/>
        </w:rPr>
        <w:t>（</w:t>
      </w:r>
      <w:r>
        <w:rPr>
          <w:rFonts w:hint="eastAsia" w:ascii="宋体" w:hAnsi="宋体" w:cs="宋体"/>
          <w:i w:val="0"/>
          <w:iCs w:val="0"/>
          <w:caps w:val="0"/>
          <w:color w:val="auto"/>
          <w:spacing w:val="0"/>
          <w:sz w:val="21"/>
          <w:szCs w:val="21"/>
          <w:highlight w:val="none"/>
          <w:lang w:val="en-US" w:eastAsia="zh-CN"/>
        </w:rPr>
        <w:t>第三标段</w:t>
      </w:r>
      <w:r>
        <w:rPr>
          <w:rFonts w:hint="eastAsia" w:ascii="宋体" w:hAnsi="宋体" w:eastAsia="宋体" w:cs="宋体"/>
          <w:i w:val="0"/>
          <w:iCs w:val="0"/>
          <w:caps w:val="0"/>
          <w:color w:val="auto"/>
          <w:spacing w:val="0"/>
          <w:sz w:val="21"/>
          <w:szCs w:val="21"/>
          <w:highlight w:val="none"/>
        </w:rPr>
        <w:t>）</w:t>
      </w:r>
    </w:p>
    <w:p w14:paraId="08809CCA">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数量:1</w:t>
      </w:r>
    </w:p>
    <w:p w14:paraId="19403198">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Theme="minorEastAsia" w:hAnsiTheme="minorEastAsia" w:eastAsiaTheme="minorEastAsia" w:cstheme="minorEastAsia"/>
          <w:b w:val="0"/>
          <w:bCs w:val="0"/>
          <w:color w:val="auto"/>
          <w:sz w:val="21"/>
          <w:szCs w:val="21"/>
          <w:highlight w:val="none"/>
          <w:lang w:eastAsia="zh-CN"/>
        </w:rPr>
      </w:pPr>
      <w:r>
        <w:rPr>
          <w:rFonts w:hint="eastAsia" w:ascii="宋体" w:hAnsi="宋体" w:eastAsia="宋体" w:cs="宋体"/>
          <w:i w:val="0"/>
          <w:iCs w:val="0"/>
          <w:caps w:val="0"/>
          <w:color w:val="auto"/>
          <w:spacing w:val="0"/>
          <w:sz w:val="21"/>
          <w:szCs w:val="21"/>
          <w:highlight w:val="none"/>
        </w:rPr>
        <w:t>预算金额（元）:</w:t>
      </w:r>
      <w:r>
        <w:rPr>
          <w:rFonts w:hint="eastAsia" w:asciiTheme="minorEastAsia" w:hAnsiTheme="minorEastAsia" w:eastAsiaTheme="minorEastAsia" w:cstheme="minorEastAsia"/>
          <w:b w:val="0"/>
          <w:bCs w:val="0"/>
          <w:color w:val="auto"/>
          <w:sz w:val="21"/>
          <w:szCs w:val="21"/>
          <w:highlight w:val="none"/>
          <w:lang w:val="en-US" w:eastAsia="zh-CN"/>
        </w:rPr>
        <w:t>94828500.00</w:t>
      </w:r>
    </w:p>
    <w:p w14:paraId="0E6417F9">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简要规格描述或项目基本概况介绍、用途：</w:t>
      </w:r>
      <w:r>
        <w:rPr>
          <w:rFonts w:hint="eastAsia" w:ascii="宋体" w:hAnsi="宋体" w:cs="宋体"/>
          <w:i w:val="0"/>
          <w:iCs w:val="0"/>
          <w:caps w:val="0"/>
          <w:color w:val="auto"/>
          <w:spacing w:val="0"/>
          <w:sz w:val="21"/>
          <w:szCs w:val="21"/>
          <w:highlight w:val="none"/>
          <w:lang w:eastAsia="zh-CN"/>
        </w:rPr>
        <w:t>陆川县农村义务教育学生营养改善计划食材采购项目</w:t>
      </w:r>
      <w:r>
        <w:rPr>
          <w:rFonts w:hint="eastAsia" w:ascii="宋体" w:hAnsi="宋体" w:eastAsia="宋体" w:cs="宋体"/>
          <w:i w:val="0"/>
          <w:iCs w:val="0"/>
          <w:caps w:val="0"/>
          <w:color w:val="auto"/>
          <w:spacing w:val="0"/>
          <w:sz w:val="21"/>
          <w:szCs w:val="21"/>
          <w:highlight w:val="none"/>
        </w:rPr>
        <w:t>（</w:t>
      </w:r>
      <w:r>
        <w:rPr>
          <w:rFonts w:hint="eastAsia" w:ascii="宋体" w:hAnsi="宋体" w:cs="宋体"/>
          <w:i w:val="0"/>
          <w:iCs w:val="0"/>
          <w:caps w:val="0"/>
          <w:color w:val="auto"/>
          <w:spacing w:val="0"/>
          <w:sz w:val="21"/>
          <w:szCs w:val="21"/>
          <w:highlight w:val="none"/>
          <w:lang w:val="en-US" w:eastAsia="zh-CN"/>
        </w:rPr>
        <w:t>第三标段</w:t>
      </w:r>
      <w:r>
        <w:rPr>
          <w:rFonts w:hint="eastAsia" w:ascii="宋体" w:hAnsi="宋体" w:eastAsia="宋体" w:cs="宋体"/>
          <w:i w:val="0"/>
          <w:iCs w:val="0"/>
          <w:caps w:val="0"/>
          <w:color w:val="auto"/>
          <w:spacing w:val="0"/>
          <w:sz w:val="21"/>
          <w:szCs w:val="21"/>
          <w:highlight w:val="none"/>
        </w:rPr>
        <w:t>）1</w:t>
      </w:r>
      <w:r>
        <w:rPr>
          <w:rFonts w:hint="eastAsia" w:ascii="宋体" w:hAnsi="宋体" w:cs="宋体"/>
          <w:i w:val="0"/>
          <w:iCs w:val="0"/>
          <w:caps w:val="0"/>
          <w:color w:val="auto"/>
          <w:spacing w:val="0"/>
          <w:sz w:val="21"/>
          <w:szCs w:val="21"/>
          <w:highlight w:val="none"/>
          <w:lang w:val="en-US" w:eastAsia="zh-CN"/>
        </w:rPr>
        <w:t>项</w:t>
      </w:r>
      <w:r>
        <w:rPr>
          <w:rFonts w:hint="eastAsia" w:ascii="宋体" w:hAnsi="宋体" w:eastAsia="宋体" w:cs="宋体"/>
          <w:i w:val="0"/>
          <w:iCs w:val="0"/>
          <w:caps w:val="0"/>
          <w:color w:val="auto"/>
          <w:spacing w:val="0"/>
          <w:sz w:val="21"/>
          <w:szCs w:val="21"/>
          <w:highlight w:val="none"/>
        </w:rPr>
        <w:t>，供餐人数约</w:t>
      </w:r>
      <w:r>
        <w:rPr>
          <w:rFonts w:hint="eastAsia" w:ascii="宋体" w:hAnsi="宋体" w:eastAsia="宋体" w:cs="宋体"/>
          <w:i w:val="0"/>
          <w:iCs w:val="0"/>
          <w:caps w:val="0"/>
          <w:color w:val="auto"/>
          <w:spacing w:val="0"/>
          <w:sz w:val="21"/>
          <w:szCs w:val="21"/>
          <w:highlight w:val="none"/>
          <w:lang w:val="en-US" w:eastAsia="zh-CN"/>
        </w:rPr>
        <w:t>32420</w:t>
      </w:r>
      <w:r>
        <w:rPr>
          <w:rFonts w:hint="eastAsia" w:ascii="宋体" w:hAnsi="宋体" w:eastAsia="宋体" w:cs="宋体"/>
          <w:i w:val="0"/>
          <w:iCs w:val="0"/>
          <w:caps w:val="0"/>
          <w:color w:val="auto"/>
          <w:spacing w:val="0"/>
          <w:sz w:val="21"/>
          <w:szCs w:val="21"/>
          <w:highlight w:val="none"/>
        </w:rPr>
        <w:t>人</w:t>
      </w:r>
      <w:r>
        <w:rPr>
          <w:rFonts w:hint="eastAsia" w:ascii="宋体" w:hAnsi="宋体" w:cs="宋体"/>
          <w:i w:val="0"/>
          <w:iCs w:val="0"/>
          <w:caps w:val="0"/>
          <w:color w:val="auto"/>
          <w:spacing w:val="0"/>
          <w:sz w:val="21"/>
          <w:szCs w:val="21"/>
          <w:highlight w:val="none"/>
          <w:lang w:eastAsia="zh-CN"/>
        </w:rPr>
        <w:t>，</w:t>
      </w:r>
      <w:r>
        <w:rPr>
          <w:rFonts w:hint="eastAsia" w:ascii="宋体" w:hAnsi="宋体" w:cs="宋体"/>
          <w:i w:val="0"/>
          <w:iCs w:val="0"/>
          <w:caps w:val="0"/>
          <w:color w:val="auto"/>
          <w:spacing w:val="0"/>
          <w:sz w:val="21"/>
          <w:szCs w:val="21"/>
          <w:highlight w:val="none"/>
          <w:lang w:val="en-US" w:eastAsia="zh-CN"/>
        </w:rPr>
        <w:t>配送范围</w:t>
      </w:r>
      <w:r>
        <w:rPr>
          <w:rFonts w:hint="eastAsia" w:ascii="宋体" w:hAnsi="宋体" w:cs="宋体"/>
          <w:i w:val="0"/>
          <w:iCs w:val="0"/>
          <w:caps w:val="0"/>
          <w:color w:val="auto"/>
          <w:spacing w:val="0"/>
          <w:sz w:val="21"/>
          <w:szCs w:val="21"/>
          <w:highlight w:val="none"/>
          <w:lang w:eastAsia="zh-CN"/>
        </w:rPr>
        <w:t>为</w:t>
      </w:r>
      <w:r>
        <w:rPr>
          <w:rFonts w:hint="eastAsia" w:ascii="宋体" w:hAnsi="宋体" w:cs="宋体"/>
          <w:i w:val="0"/>
          <w:iCs w:val="0"/>
          <w:caps w:val="0"/>
          <w:color w:val="auto"/>
          <w:spacing w:val="0"/>
          <w:sz w:val="21"/>
          <w:szCs w:val="21"/>
          <w:highlight w:val="none"/>
          <w:lang w:val="en-US" w:eastAsia="zh-CN"/>
        </w:rPr>
        <w:t>滩面镇</w:t>
      </w:r>
      <w:r>
        <w:rPr>
          <w:rFonts w:hint="eastAsia" w:ascii="宋体" w:hAnsi="宋体" w:cs="宋体"/>
          <w:i w:val="0"/>
          <w:iCs w:val="0"/>
          <w:caps w:val="0"/>
          <w:color w:val="auto"/>
          <w:spacing w:val="0"/>
          <w:sz w:val="21"/>
          <w:szCs w:val="21"/>
          <w:highlight w:val="none"/>
          <w:lang w:eastAsia="zh-CN"/>
        </w:rPr>
        <w:t>（</w:t>
      </w:r>
      <w:r>
        <w:rPr>
          <w:rFonts w:hint="eastAsia" w:ascii="宋体" w:hAnsi="宋体" w:cs="宋体"/>
          <w:i w:val="0"/>
          <w:iCs w:val="0"/>
          <w:caps w:val="0"/>
          <w:color w:val="auto"/>
          <w:spacing w:val="0"/>
          <w:sz w:val="21"/>
          <w:szCs w:val="21"/>
          <w:highlight w:val="none"/>
          <w:lang w:val="en-US" w:eastAsia="zh-CN"/>
        </w:rPr>
        <w:t>2453人）、良田镇</w:t>
      </w:r>
      <w:r>
        <w:rPr>
          <w:rFonts w:hint="eastAsia" w:ascii="宋体" w:hAnsi="宋体" w:cs="宋体"/>
          <w:i w:val="0"/>
          <w:iCs w:val="0"/>
          <w:caps w:val="0"/>
          <w:color w:val="auto"/>
          <w:spacing w:val="0"/>
          <w:sz w:val="21"/>
          <w:szCs w:val="21"/>
          <w:highlight w:val="none"/>
          <w:lang w:eastAsia="zh-CN"/>
        </w:rPr>
        <w:t>（</w:t>
      </w:r>
      <w:r>
        <w:rPr>
          <w:rFonts w:hint="eastAsia" w:ascii="宋体" w:hAnsi="宋体" w:cs="宋体"/>
          <w:i w:val="0"/>
          <w:iCs w:val="0"/>
          <w:caps w:val="0"/>
          <w:color w:val="auto"/>
          <w:spacing w:val="0"/>
          <w:sz w:val="21"/>
          <w:szCs w:val="21"/>
          <w:highlight w:val="none"/>
          <w:lang w:val="en-US" w:eastAsia="zh-CN"/>
        </w:rPr>
        <w:t>11897人）、清湖镇</w:t>
      </w:r>
      <w:r>
        <w:rPr>
          <w:rFonts w:hint="eastAsia" w:ascii="宋体" w:hAnsi="宋体" w:cs="宋体"/>
          <w:i w:val="0"/>
          <w:iCs w:val="0"/>
          <w:caps w:val="0"/>
          <w:color w:val="auto"/>
          <w:spacing w:val="0"/>
          <w:sz w:val="21"/>
          <w:szCs w:val="21"/>
          <w:highlight w:val="none"/>
          <w:lang w:eastAsia="zh-CN"/>
        </w:rPr>
        <w:t>（</w:t>
      </w:r>
      <w:r>
        <w:rPr>
          <w:rFonts w:hint="eastAsia" w:ascii="宋体" w:hAnsi="宋体" w:cs="宋体"/>
          <w:i w:val="0"/>
          <w:iCs w:val="0"/>
          <w:caps w:val="0"/>
          <w:color w:val="auto"/>
          <w:spacing w:val="0"/>
          <w:sz w:val="21"/>
          <w:szCs w:val="21"/>
          <w:highlight w:val="none"/>
          <w:lang w:val="en-US" w:eastAsia="zh-CN"/>
        </w:rPr>
        <w:t>9080人）、古城</w:t>
      </w:r>
      <w:r>
        <w:rPr>
          <w:rFonts w:hint="eastAsia" w:ascii="宋体" w:hAnsi="宋体" w:cs="宋体"/>
          <w:i w:val="0"/>
          <w:iCs w:val="0"/>
          <w:caps w:val="0"/>
          <w:color w:val="auto"/>
          <w:spacing w:val="0"/>
          <w:sz w:val="21"/>
          <w:szCs w:val="21"/>
          <w:highlight w:val="none"/>
          <w:lang w:eastAsia="zh-CN"/>
        </w:rPr>
        <w:t>镇（</w:t>
      </w:r>
      <w:r>
        <w:rPr>
          <w:rFonts w:hint="eastAsia" w:ascii="宋体" w:hAnsi="宋体" w:cs="宋体"/>
          <w:i w:val="0"/>
          <w:iCs w:val="0"/>
          <w:caps w:val="0"/>
          <w:color w:val="auto"/>
          <w:spacing w:val="0"/>
          <w:sz w:val="21"/>
          <w:szCs w:val="21"/>
          <w:highlight w:val="none"/>
          <w:lang w:val="en-US" w:eastAsia="zh-CN"/>
        </w:rPr>
        <w:t>8990人）</w:t>
      </w:r>
      <w:r>
        <w:rPr>
          <w:rFonts w:hint="eastAsia" w:ascii="宋体" w:hAnsi="宋体" w:cs="宋体"/>
          <w:i w:val="0"/>
          <w:iCs w:val="0"/>
          <w:caps w:val="0"/>
          <w:color w:val="auto"/>
          <w:spacing w:val="0"/>
          <w:sz w:val="21"/>
          <w:szCs w:val="21"/>
          <w:highlight w:val="none"/>
          <w:lang w:eastAsia="zh-CN"/>
        </w:rPr>
        <w:t>的农村义务教育学校，</w:t>
      </w:r>
      <w:r>
        <w:rPr>
          <w:rFonts w:hint="eastAsia" w:ascii="宋体" w:hAnsi="宋体" w:eastAsia="宋体" w:cs="宋体"/>
          <w:i w:val="0"/>
          <w:iCs w:val="0"/>
          <w:caps w:val="0"/>
          <w:color w:val="auto"/>
          <w:spacing w:val="0"/>
          <w:sz w:val="21"/>
          <w:szCs w:val="21"/>
          <w:highlight w:val="none"/>
        </w:rPr>
        <w:t>具体详见招标文件</w:t>
      </w:r>
    </w:p>
    <w:p w14:paraId="661ED382">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最高限价（如有）：</w:t>
      </w:r>
      <w:r>
        <w:rPr>
          <w:rFonts w:hint="eastAsia" w:asciiTheme="minorEastAsia" w:hAnsiTheme="minorEastAsia" w:eastAsiaTheme="minorEastAsia" w:cstheme="minorEastAsia"/>
          <w:b w:val="0"/>
          <w:bCs w:val="0"/>
          <w:color w:val="auto"/>
          <w:sz w:val="21"/>
          <w:szCs w:val="21"/>
          <w:highlight w:val="none"/>
          <w:lang w:val="en-US" w:eastAsia="zh-CN"/>
        </w:rPr>
        <w:t>94828500.00</w:t>
      </w:r>
    </w:p>
    <w:p w14:paraId="0E0C908C">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合同履约期限：</w:t>
      </w:r>
      <w:r>
        <w:rPr>
          <w:rStyle w:val="51"/>
          <w:rFonts w:hint="eastAsia" w:ascii="宋体" w:hAnsi="宋体" w:cs="宋体"/>
          <w:i w:val="0"/>
          <w:iCs w:val="0"/>
          <w:caps w:val="0"/>
          <w:color w:val="auto"/>
          <w:spacing w:val="0"/>
          <w:sz w:val="21"/>
          <w:szCs w:val="21"/>
          <w:highlight w:val="none"/>
          <w:lang w:val="en-US" w:eastAsia="zh-CN"/>
        </w:rPr>
        <w:t>自合同签订之日起3年（具体起止时间以签订合同为准）</w:t>
      </w:r>
      <w:r>
        <w:rPr>
          <w:rStyle w:val="51"/>
          <w:rFonts w:hint="eastAsia" w:ascii="宋体" w:hAnsi="宋体" w:eastAsia="宋体" w:cs="宋体"/>
          <w:i w:val="0"/>
          <w:iCs w:val="0"/>
          <w:caps w:val="0"/>
          <w:color w:val="auto"/>
          <w:spacing w:val="0"/>
          <w:sz w:val="21"/>
          <w:szCs w:val="21"/>
          <w:highlight w:val="none"/>
        </w:rPr>
        <w:t>。</w:t>
      </w:r>
    </w:p>
    <w:p w14:paraId="45E7C946">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rPr>
        <w:t>本标项（</w:t>
      </w:r>
      <w:r>
        <w:rPr>
          <w:rStyle w:val="51"/>
          <w:rFonts w:hint="eastAsia" w:ascii="宋体" w:hAnsi="宋体" w:cs="宋体"/>
          <w:i w:val="0"/>
          <w:iCs w:val="0"/>
          <w:caps w:val="0"/>
          <w:color w:val="auto"/>
          <w:spacing w:val="0"/>
          <w:sz w:val="21"/>
          <w:szCs w:val="21"/>
          <w:highlight w:val="none"/>
          <w:lang w:val="en-US" w:eastAsia="zh-CN"/>
        </w:rPr>
        <w:t>是</w:t>
      </w:r>
      <w:r>
        <w:rPr>
          <w:rFonts w:hint="eastAsia" w:ascii="宋体" w:hAnsi="宋体" w:eastAsia="宋体" w:cs="宋体"/>
          <w:i w:val="0"/>
          <w:iCs w:val="0"/>
          <w:caps w:val="0"/>
          <w:color w:val="auto"/>
          <w:spacing w:val="0"/>
          <w:sz w:val="21"/>
          <w:szCs w:val="21"/>
          <w:highlight w:val="none"/>
        </w:rPr>
        <w:t>）接受联合体投标</w:t>
      </w:r>
    </w:p>
    <w:p w14:paraId="099A13B0">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rPr>
        <w:t>备注：</w:t>
      </w:r>
    </w:p>
    <w:p w14:paraId="5AC84A99">
      <w:pPr>
        <w:pStyle w:val="138"/>
        <w:rPr>
          <w:color w:val="auto"/>
          <w:sz w:val="21"/>
          <w:szCs w:val="21"/>
          <w:highlight w:val="none"/>
        </w:rPr>
      </w:pPr>
    </w:p>
    <w:p w14:paraId="0067FB45">
      <w:pPr>
        <w:spacing w:line="400" w:lineRule="exact"/>
        <w:rPr>
          <w:rFonts w:ascii="宋体" w:hAnsi="宋体" w:cs="宋体"/>
          <w:b/>
          <w:bCs/>
          <w:color w:val="auto"/>
          <w:sz w:val="21"/>
          <w:szCs w:val="21"/>
          <w:highlight w:val="none"/>
        </w:rPr>
      </w:pPr>
      <w:bookmarkStart w:id="11" w:name="_Toc28359080"/>
      <w:bookmarkStart w:id="12" w:name="_Toc35393791"/>
      <w:bookmarkStart w:id="13" w:name="_Toc35393622"/>
      <w:bookmarkStart w:id="14" w:name="_Toc28359003"/>
      <w:r>
        <w:rPr>
          <w:rFonts w:hint="eastAsia" w:ascii="宋体" w:hAnsi="宋体" w:cs="宋体"/>
          <w:b/>
          <w:bCs/>
          <w:color w:val="auto"/>
          <w:sz w:val="21"/>
          <w:szCs w:val="21"/>
          <w:highlight w:val="none"/>
        </w:rPr>
        <w:t>二、供应商的资格要求：</w:t>
      </w:r>
      <w:bookmarkEnd w:id="11"/>
      <w:bookmarkEnd w:id="12"/>
      <w:bookmarkEnd w:id="13"/>
      <w:bookmarkEnd w:id="14"/>
    </w:p>
    <w:p w14:paraId="3C433BBC">
      <w:pPr>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518488FD">
      <w:pPr>
        <w:spacing w:line="400" w:lineRule="exact"/>
        <w:ind w:firstLine="420" w:firstLineChars="200"/>
        <w:rPr>
          <w:rFonts w:ascii="宋体" w:hAnsi="宋体" w:cs="宋体"/>
          <w:color w:val="auto"/>
          <w:sz w:val="21"/>
          <w:szCs w:val="21"/>
          <w:highlight w:val="none"/>
        </w:rPr>
      </w:pPr>
      <w:bookmarkStart w:id="15" w:name="_Toc28359081"/>
      <w:bookmarkStart w:id="16" w:name="_Toc28359004"/>
      <w:r>
        <w:rPr>
          <w:rFonts w:hint="eastAsia" w:ascii="宋体" w:hAnsi="宋体" w:cs="宋体"/>
          <w:color w:val="auto"/>
          <w:sz w:val="21"/>
          <w:szCs w:val="21"/>
          <w:highlight w:val="none"/>
        </w:rPr>
        <w:t>2.落实政府采购政策需满足的资格要求：</w:t>
      </w:r>
    </w:p>
    <w:p w14:paraId="09E3233A">
      <w:pPr>
        <w:spacing w:line="400" w:lineRule="exact"/>
        <w:ind w:firstLine="420" w:firstLineChars="200"/>
        <w:rPr>
          <w:rFonts w:ascii="宋体" w:hAnsi="宋体" w:cs="宋体"/>
          <w:b/>
          <w:bCs/>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b/>
          <w:bCs/>
          <w:color w:val="auto"/>
          <w:sz w:val="21"/>
          <w:szCs w:val="21"/>
          <w:highlight w:val="none"/>
        </w:rPr>
        <w:t>专门面向中小企业采购的项目（供应商应为中小微企业</w:t>
      </w:r>
      <w:r>
        <w:rPr>
          <w:rFonts w:hint="eastAsia" w:ascii="宋体" w:hAnsi="宋体" w:cs="宋体"/>
          <w:b/>
          <w:bCs/>
          <w:color w:val="auto"/>
          <w:sz w:val="21"/>
          <w:szCs w:val="21"/>
          <w:highlight w:val="none"/>
          <w:lang w:eastAsia="zh-CN"/>
        </w:rPr>
        <w:t>或</w:t>
      </w:r>
      <w:r>
        <w:rPr>
          <w:rFonts w:hint="eastAsia" w:ascii="宋体" w:hAnsi="宋体" w:cs="宋体"/>
          <w:b/>
          <w:bCs/>
          <w:color w:val="auto"/>
          <w:sz w:val="21"/>
          <w:szCs w:val="21"/>
          <w:highlight w:val="none"/>
        </w:rPr>
        <w:t>监狱企业</w:t>
      </w:r>
      <w:r>
        <w:rPr>
          <w:rFonts w:hint="eastAsia" w:ascii="宋体" w:hAnsi="宋体" w:cs="宋体"/>
          <w:b/>
          <w:bCs/>
          <w:color w:val="auto"/>
          <w:sz w:val="21"/>
          <w:szCs w:val="21"/>
          <w:highlight w:val="none"/>
          <w:lang w:eastAsia="zh-CN"/>
        </w:rPr>
        <w:t>或</w:t>
      </w:r>
      <w:r>
        <w:rPr>
          <w:rFonts w:hint="eastAsia" w:ascii="宋体" w:hAnsi="宋体" w:cs="宋体"/>
          <w:b/>
          <w:bCs/>
          <w:color w:val="auto"/>
          <w:sz w:val="21"/>
          <w:szCs w:val="21"/>
          <w:highlight w:val="none"/>
        </w:rPr>
        <w:t>残疾人福利性单位)</w:t>
      </w:r>
    </w:p>
    <w:p w14:paraId="6F9518CC">
      <w:pPr>
        <w:spacing w:line="400" w:lineRule="exact"/>
        <w:ind w:firstLine="420" w:firstLineChars="2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rPr>
        <w:t>非专门面向中小企业采购的项目</w:t>
      </w:r>
    </w:p>
    <w:p w14:paraId="1BECBB2A">
      <w:pPr>
        <w:spacing w:line="400" w:lineRule="exact"/>
        <w:ind w:firstLine="422" w:firstLineChars="200"/>
        <w:rPr>
          <w:rFonts w:ascii="宋体" w:hAnsi="宋体"/>
          <w:color w:val="auto"/>
          <w:sz w:val="21"/>
          <w:szCs w:val="21"/>
          <w:highlight w:val="none"/>
        </w:rPr>
      </w:pPr>
      <w:r>
        <w:rPr>
          <w:rFonts w:hint="eastAsia" w:ascii="宋体" w:hAnsi="宋体" w:cs="宋体"/>
          <w:b/>
          <w:bCs/>
          <w:color w:val="auto"/>
          <w:sz w:val="21"/>
          <w:szCs w:val="21"/>
          <w:highlight w:val="none"/>
        </w:rPr>
        <w:t>3.本项目的特定资格要求：供应商须具备有效的《食品经营许可证》（许可证上主体业态</w:t>
      </w:r>
      <w:r>
        <w:rPr>
          <w:rFonts w:hint="eastAsia" w:ascii="宋体" w:hAnsi="宋体" w:cs="宋体"/>
          <w:b/>
          <w:bCs/>
          <w:color w:val="auto"/>
          <w:sz w:val="21"/>
          <w:szCs w:val="21"/>
          <w:highlight w:val="none"/>
          <w:lang w:val="en-US" w:eastAsia="zh-CN"/>
        </w:rPr>
        <w:t>须是</w:t>
      </w:r>
      <w:r>
        <w:rPr>
          <w:rFonts w:hint="eastAsia" w:ascii="宋体" w:hAnsi="宋体" w:cs="宋体"/>
          <w:b/>
          <w:bCs/>
          <w:color w:val="auto"/>
          <w:sz w:val="21"/>
          <w:szCs w:val="21"/>
          <w:highlight w:val="none"/>
        </w:rPr>
        <w:t>餐饮服务经营者（集体用餐配送单位）</w:t>
      </w:r>
      <w:r>
        <w:rPr>
          <w:rFonts w:hint="eastAsia" w:ascii="宋体" w:hAnsi="宋体" w:cs="宋体"/>
          <w:b/>
          <w:bCs/>
          <w:color w:val="auto"/>
          <w:sz w:val="21"/>
          <w:szCs w:val="21"/>
          <w:highlight w:val="none"/>
          <w:lang w:eastAsia="zh-CN"/>
        </w:rPr>
        <w:t>）</w:t>
      </w:r>
      <w:r>
        <w:rPr>
          <w:rFonts w:hint="eastAsia" w:ascii="宋体" w:hAnsi="宋体"/>
          <w:color w:val="auto"/>
          <w:sz w:val="21"/>
          <w:szCs w:val="21"/>
          <w:highlight w:val="none"/>
        </w:rPr>
        <w:t>。</w:t>
      </w:r>
    </w:p>
    <w:p w14:paraId="500F12C1">
      <w:pPr>
        <w:spacing w:line="400" w:lineRule="exact"/>
        <w:rPr>
          <w:rFonts w:ascii="宋体" w:hAnsi="宋体" w:cs="宋体"/>
          <w:b/>
          <w:bCs/>
          <w:color w:val="auto"/>
          <w:sz w:val="21"/>
          <w:szCs w:val="21"/>
          <w:highlight w:val="none"/>
        </w:rPr>
      </w:pPr>
      <w:bookmarkStart w:id="17" w:name="_Toc35393792"/>
      <w:bookmarkStart w:id="18" w:name="_Toc35393623"/>
      <w:r>
        <w:rPr>
          <w:rFonts w:hint="eastAsia" w:ascii="宋体" w:hAnsi="宋体" w:cs="宋体"/>
          <w:b/>
          <w:bCs/>
          <w:color w:val="auto"/>
          <w:sz w:val="21"/>
          <w:szCs w:val="21"/>
          <w:highlight w:val="none"/>
        </w:rPr>
        <w:t>三、获取招标文件</w:t>
      </w:r>
      <w:bookmarkEnd w:id="15"/>
      <w:bookmarkEnd w:id="16"/>
      <w:bookmarkEnd w:id="17"/>
      <w:bookmarkEnd w:id="18"/>
    </w:p>
    <w:p w14:paraId="0699DA17">
      <w:pPr>
        <w:snapToGrid w:val="0"/>
        <w:spacing w:line="400" w:lineRule="exact"/>
        <w:ind w:firstLine="420" w:firstLineChars="200"/>
        <w:rPr>
          <w:rFonts w:ascii="宋体" w:hAnsi="宋体" w:cs="宋体"/>
          <w:color w:val="auto"/>
          <w:sz w:val="21"/>
          <w:szCs w:val="21"/>
          <w:highlight w:val="none"/>
        </w:rPr>
      </w:pPr>
      <w:bookmarkStart w:id="19" w:name="_Toc28359005"/>
      <w:bookmarkStart w:id="20" w:name="_Toc28359082"/>
      <w:bookmarkStart w:id="21" w:name="_Toc35393624"/>
      <w:bookmarkStart w:id="22" w:name="_Toc35393793"/>
      <w:r>
        <w:rPr>
          <w:rFonts w:hint="eastAsia" w:ascii="宋体" w:hAnsi="宋体" w:cs="宋体"/>
          <w:color w:val="auto"/>
          <w:sz w:val="21"/>
          <w:szCs w:val="21"/>
          <w:highlight w:val="none"/>
        </w:rPr>
        <w:t>时间：</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日至</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日，每天上午00:00至11:59，下午12:00至23:59（北京时间，法定节假日除外）</w:t>
      </w:r>
    </w:p>
    <w:p w14:paraId="528EF2E5">
      <w:pPr>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地点（网站）：广西政府采购云平台线上获取</w:t>
      </w:r>
    </w:p>
    <w:p w14:paraId="39619A30">
      <w:pPr>
        <w:spacing w:line="40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方式：供应商登录广西政府采购云平台https://www.gcy.zfcg.gxzf.gov.cn/在线申请获取采购文件（进入“项目采购”应用，在获取采购文件菜单中选择项目，申请获取采购文件）。 </w:t>
      </w:r>
    </w:p>
    <w:p w14:paraId="1182306E">
      <w:pPr>
        <w:spacing w:line="40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售价（元）：0</w:t>
      </w:r>
    </w:p>
    <w:p w14:paraId="329CDFC1">
      <w:pPr>
        <w:spacing w:line="40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四、提交投标文件</w:t>
      </w:r>
      <w:bookmarkEnd w:id="19"/>
      <w:bookmarkEnd w:id="20"/>
      <w:r>
        <w:rPr>
          <w:rFonts w:hint="eastAsia" w:ascii="宋体" w:hAnsi="宋体" w:cs="宋体"/>
          <w:b/>
          <w:bCs/>
          <w:color w:val="auto"/>
          <w:sz w:val="21"/>
          <w:szCs w:val="21"/>
          <w:highlight w:val="none"/>
        </w:rPr>
        <w:t>截止时间、开标时间和地点</w:t>
      </w:r>
      <w:bookmarkEnd w:id="21"/>
      <w:bookmarkEnd w:id="22"/>
    </w:p>
    <w:p w14:paraId="5524ABE7">
      <w:pPr>
        <w:pStyle w:val="33"/>
        <w:widowControl/>
        <w:spacing w:before="0" w:after="0"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提交投标文件截止时间：</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 09:00（北京时间）</w:t>
      </w:r>
    </w:p>
    <w:p w14:paraId="35C99D35">
      <w:pPr>
        <w:pStyle w:val="33"/>
        <w:widowControl/>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投标地点（网址）：请登录广西政府采购云平台投标客户端投标 </w:t>
      </w:r>
    </w:p>
    <w:p w14:paraId="423D8A28">
      <w:pPr>
        <w:pStyle w:val="33"/>
        <w:widowControl/>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开标时间：</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日 09:00 </w:t>
      </w:r>
    </w:p>
    <w:p w14:paraId="2CCF15C0">
      <w:pPr>
        <w:pStyle w:val="33"/>
        <w:widowControl/>
        <w:spacing w:before="0" w:after="0" w:line="400" w:lineRule="exact"/>
        <w:rPr>
          <w:rFonts w:ascii="宋体" w:hAnsi="宋体" w:cs="宋体"/>
          <w:color w:val="auto"/>
          <w:kern w:val="2"/>
          <w:sz w:val="21"/>
          <w:szCs w:val="21"/>
          <w:highlight w:val="none"/>
        </w:rPr>
      </w:pPr>
      <w:r>
        <w:rPr>
          <w:rFonts w:hint="eastAsia" w:ascii="宋体" w:hAnsi="宋体" w:cs="宋体"/>
          <w:color w:val="auto"/>
          <w:sz w:val="21"/>
          <w:szCs w:val="21"/>
          <w:highlight w:val="none"/>
        </w:rPr>
        <w:t xml:space="preserve">    开标地点：通过广西政府采购云平台（https://www.gcy.zfcg.gxzf.gov.cn/）实行在线投标响应</w:t>
      </w:r>
      <w:r>
        <w:rPr>
          <w:rFonts w:hint="eastAsia" w:ascii="宋体" w:hAnsi="宋体" w:cs="宋体"/>
          <w:color w:val="auto"/>
          <w:kern w:val="2"/>
          <w:sz w:val="21"/>
          <w:szCs w:val="21"/>
          <w:highlight w:val="none"/>
        </w:rPr>
        <w:t>。</w:t>
      </w:r>
    </w:p>
    <w:p w14:paraId="2C24FA49">
      <w:pPr>
        <w:widowControl/>
        <w:spacing w:line="400" w:lineRule="exact"/>
        <w:ind w:firstLine="422" w:firstLineChars="200"/>
        <w:jc w:val="left"/>
        <w:rPr>
          <w:rFonts w:ascii="宋体" w:hAnsi="宋体" w:cs="宋体"/>
          <w:color w:val="auto"/>
          <w:sz w:val="21"/>
          <w:szCs w:val="21"/>
          <w:highlight w:val="none"/>
        </w:rPr>
      </w:pPr>
      <w:r>
        <w:rPr>
          <w:rFonts w:hint="eastAsia" w:ascii="宋体" w:hAnsi="宋体"/>
          <w:b/>
          <w:bCs/>
          <w:color w:val="auto"/>
          <w:sz w:val="21"/>
          <w:szCs w:val="21"/>
          <w:highlight w:val="none"/>
        </w:rPr>
        <w:t>提示：</w:t>
      </w:r>
      <w:r>
        <w:rPr>
          <w:rFonts w:hint="eastAsia" w:ascii="宋体" w:hAnsi="宋体"/>
          <w:color w:val="auto"/>
          <w:sz w:val="21"/>
          <w:szCs w:val="21"/>
          <w:highlight w:val="none"/>
        </w:rPr>
        <w:t>本项目不要求投标供应商到达开标现场，但供应商应派法定代表人或委托代理人准时在线出席电子开评标会议，随时关注开评标进度，如在开评标过程中有电子询标，应在规定的时间内对电子询标函进行澄清回复。</w:t>
      </w:r>
    </w:p>
    <w:p w14:paraId="3C01F60E">
      <w:pPr>
        <w:spacing w:line="400" w:lineRule="exact"/>
        <w:rPr>
          <w:rFonts w:ascii="宋体" w:hAnsi="宋体" w:cs="宋体"/>
          <w:b/>
          <w:bCs/>
          <w:color w:val="auto"/>
          <w:sz w:val="21"/>
          <w:szCs w:val="21"/>
          <w:highlight w:val="none"/>
        </w:rPr>
      </w:pPr>
      <w:bookmarkStart w:id="23" w:name="_Toc35393794"/>
      <w:bookmarkStart w:id="24" w:name="_Toc28359084"/>
      <w:bookmarkStart w:id="25" w:name="_Toc35393625"/>
      <w:bookmarkStart w:id="26" w:name="_Toc28359007"/>
      <w:r>
        <w:rPr>
          <w:rFonts w:hint="eastAsia" w:ascii="宋体" w:hAnsi="宋体" w:cs="宋体"/>
          <w:b/>
          <w:bCs/>
          <w:color w:val="auto"/>
          <w:sz w:val="21"/>
          <w:szCs w:val="21"/>
          <w:highlight w:val="none"/>
        </w:rPr>
        <w:t>五、公告期限</w:t>
      </w:r>
      <w:bookmarkEnd w:id="23"/>
      <w:bookmarkEnd w:id="24"/>
      <w:bookmarkEnd w:id="25"/>
      <w:bookmarkEnd w:id="26"/>
    </w:p>
    <w:p w14:paraId="74697ED7">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p>
    <w:p w14:paraId="1AD9EF57">
      <w:pPr>
        <w:spacing w:line="40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六、其他补充事宜</w:t>
      </w:r>
    </w:p>
    <w:p w14:paraId="59E413F4">
      <w:pPr>
        <w:spacing w:line="400" w:lineRule="exact"/>
        <w:ind w:firstLine="315" w:firstLineChars="150"/>
        <w:rPr>
          <w:rFonts w:ascii="宋体" w:hAnsi="宋体" w:cs="宋体"/>
          <w:color w:val="auto"/>
          <w:kern w:val="0"/>
          <w:sz w:val="21"/>
          <w:szCs w:val="21"/>
          <w:highlight w:val="none"/>
        </w:rPr>
      </w:pPr>
      <w:r>
        <w:rPr>
          <w:rFonts w:hint="eastAsia" w:ascii="宋体" w:hAnsi="宋体" w:cs="宋体"/>
          <w:color w:val="auto"/>
          <w:sz w:val="21"/>
          <w:szCs w:val="21"/>
          <w:highlight w:val="none"/>
        </w:rPr>
        <w:t>1、</w:t>
      </w:r>
      <w:r>
        <w:rPr>
          <w:rFonts w:hint="eastAsia" w:ascii="宋体" w:hAnsi="宋体" w:cs="宋体"/>
          <w:color w:val="auto"/>
          <w:kern w:val="0"/>
          <w:sz w:val="21"/>
          <w:szCs w:val="21"/>
          <w:highlight w:val="none"/>
        </w:rPr>
        <w:t>投标保证金：本项目不收取投标保证金</w:t>
      </w:r>
    </w:p>
    <w:p w14:paraId="415ED847">
      <w:pPr>
        <w:spacing w:line="400" w:lineRule="exact"/>
        <w:ind w:firstLine="315" w:firstLineChars="150"/>
        <w:rPr>
          <w:rFonts w:ascii="宋体" w:hAnsi="宋体" w:cs="宋体"/>
          <w:color w:val="auto"/>
          <w:kern w:val="0"/>
          <w:sz w:val="21"/>
          <w:szCs w:val="21"/>
          <w:highlight w:val="none"/>
        </w:rPr>
      </w:pPr>
      <w:bookmarkStart w:id="27" w:name="_Hlk37429595"/>
      <w:bookmarkStart w:id="28" w:name="_Hlk37429585"/>
      <w:r>
        <w:rPr>
          <w:rFonts w:hint="eastAsia" w:ascii="宋体" w:hAnsi="宋体" w:cs="宋体"/>
          <w:color w:val="auto"/>
          <w:sz w:val="21"/>
          <w:szCs w:val="21"/>
          <w:highlight w:val="none"/>
        </w:rPr>
        <w:t>2、</w:t>
      </w:r>
      <w:r>
        <w:rPr>
          <w:rFonts w:hint="eastAsia" w:ascii="宋体" w:hAnsi="宋体" w:cs="宋体"/>
          <w:color w:val="auto"/>
          <w:kern w:val="0"/>
          <w:sz w:val="21"/>
          <w:szCs w:val="21"/>
          <w:highlight w:val="none"/>
        </w:rPr>
        <w:t>网上查询地址</w:t>
      </w:r>
      <w:bookmarkEnd w:id="27"/>
      <w:bookmarkEnd w:id="28"/>
      <w:bookmarkStart w:id="29" w:name="_Hlk37429674"/>
      <w:r>
        <w:rPr>
          <w:rFonts w:hint="eastAsia" w:ascii="宋体" w:hAnsi="宋体" w:cs="宋体"/>
          <w:color w:val="auto"/>
          <w:kern w:val="0"/>
          <w:sz w:val="21"/>
          <w:szCs w:val="21"/>
          <w:highlight w:val="none"/>
        </w:rPr>
        <w:t>：中国政府采购网（http://www.ccgp.gov.cn）、广西壮族自治区政府采购网（http://www.ccgp-guangxi.gov.cn/）、全国公共资源交易平台（广西•</w:t>
      </w:r>
      <w:r>
        <w:rPr>
          <w:rFonts w:hint="eastAsia" w:ascii="宋体" w:hAnsi="宋体" w:cs="宋体"/>
          <w:color w:val="auto"/>
          <w:kern w:val="0"/>
          <w:sz w:val="21"/>
          <w:szCs w:val="21"/>
          <w:highlight w:val="none"/>
          <w:lang w:val="en-US" w:eastAsia="zh-CN"/>
        </w:rPr>
        <w:t>陆川</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http://ggzy.jgswj.gxzf.gov.cn/lcggzy/</w:t>
      </w:r>
      <w:r>
        <w:rPr>
          <w:rFonts w:hint="eastAsia" w:ascii="宋体" w:hAnsi="宋体" w:cs="宋体"/>
          <w:color w:val="auto"/>
          <w:kern w:val="0"/>
          <w:sz w:val="21"/>
          <w:szCs w:val="21"/>
          <w:highlight w:val="none"/>
        </w:rPr>
        <w:t>）。</w:t>
      </w:r>
    </w:p>
    <w:p w14:paraId="507F1FEC">
      <w:pPr>
        <w:spacing w:line="400" w:lineRule="exact"/>
        <w:ind w:firstLine="315" w:firstLineChars="150"/>
        <w:rPr>
          <w:rFonts w:ascii="宋体" w:hAnsi="宋体" w:cs="宋体"/>
          <w:color w:val="auto"/>
          <w:kern w:val="0"/>
          <w:sz w:val="21"/>
          <w:szCs w:val="21"/>
          <w:highlight w:val="none"/>
        </w:rPr>
      </w:pPr>
      <w:r>
        <w:rPr>
          <w:rFonts w:hint="eastAsia" w:ascii="宋体" w:hAnsi="宋体" w:cs="宋体"/>
          <w:color w:val="auto"/>
          <w:kern w:val="0"/>
          <w:sz w:val="21"/>
          <w:szCs w:val="21"/>
          <w:highlight w:val="none"/>
        </w:rPr>
        <w:t>3、本项目需要落实的政府采购政策：</w:t>
      </w:r>
    </w:p>
    <w:p w14:paraId="70AD795E">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（1）政府采购促进中小企业发展。</w:t>
      </w:r>
    </w:p>
    <w:p w14:paraId="5624540C">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（2）政府采购支持采用本国产品的政策。</w:t>
      </w:r>
    </w:p>
    <w:p w14:paraId="15E3772C">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（3）强制采购节能产品；优先采购节能产品、环境标志产品。</w:t>
      </w:r>
    </w:p>
    <w:p w14:paraId="6C4C6290">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（4）政府采购促进残疾人就业政策。</w:t>
      </w:r>
    </w:p>
    <w:p w14:paraId="1EF7FE23">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（5）政府采购支持监狱企业发展。</w:t>
      </w:r>
    </w:p>
    <w:p w14:paraId="4965B559">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（6）扶持不发达地区和少数民族地区政策。</w:t>
      </w:r>
    </w:p>
    <w:bookmarkEnd w:id="29"/>
    <w:p w14:paraId="7CE5F9ED">
      <w:pPr>
        <w:snapToGrid w:val="0"/>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bCs/>
          <w:color w:val="auto"/>
          <w:sz w:val="21"/>
          <w:szCs w:val="21"/>
          <w:highlight w:val="none"/>
        </w:rPr>
        <w:t>根据《〈政府采购法实施条例〉释义》，银行、保险、石油石化、电力、电信等有行业特殊情况的，取得营业执照的分支机构可以分公司名义参与投标，采购文件中涉及的“法定代表人”在前述特殊行业中即对应为“分支机构负责人”。</w:t>
      </w:r>
    </w:p>
    <w:p w14:paraId="6B7E0B7E">
      <w:pPr>
        <w:snapToGrid w:val="0"/>
        <w:spacing w:line="40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5、</w:t>
      </w:r>
      <w:r>
        <w:rPr>
          <w:rFonts w:hint="eastAsia" w:ascii="宋体" w:hAnsi="宋体" w:cs="宋体"/>
          <w:color w:val="auto"/>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4CA2C91">
      <w:pPr>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A550D78">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sz w:val="21"/>
          <w:szCs w:val="21"/>
          <w:highlight w:val="none"/>
        </w:rPr>
        <w:t>7、</w:t>
      </w:r>
      <w:r>
        <w:rPr>
          <w:rFonts w:hint="eastAsia" w:ascii="宋体" w:hAnsi="宋体" w:cs="宋体"/>
          <w:color w:val="auto"/>
          <w:kern w:val="0"/>
          <w:sz w:val="21"/>
          <w:szCs w:val="21"/>
          <w:highlight w:val="none"/>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AE095F1">
      <w:pPr>
        <w:spacing w:line="40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8、</w:t>
      </w:r>
      <w:r>
        <w:rPr>
          <w:rFonts w:hint="eastAsia" w:ascii="宋体" w:hAnsi="宋体" w:cs="宋体"/>
          <w:b/>
          <w:bCs/>
          <w:color w:val="auto"/>
          <w:kern w:val="0"/>
          <w:sz w:val="21"/>
          <w:szCs w:val="21"/>
          <w:highlight w:val="none"/>
        </w:rPr>
        <w:t>供应商</w:t>
      </w:r>
      <w:r>
        <w:rPr>
          <w:rFonts w:hint="eastAsia" w:ascii="宋体" w:hAnsi="宋体"/>
          <w:b/>
          <w:bCs/>
          <w:color w:val="auto"/>
          <w:sz w:val="21"/>
          <w:szCs w:val="21"/>
          <w:highlight w:val="none"/>
        </w:rPr>
        <w:t>投标注意事项</w:t>
      </w:r>
    </w:p>
    <w:p w14:paraId="22B0FC78">
      <w:pPr>
        <w:spacing w:line="400" w:lineRule="exact"/>
        <w:rPr>
          <w:rFonts w:hint="eastAsia" w:ascii="宋体" w:hAnsi="宋体" w:eastAsia="宋体"/>
          <w:b/>
          <w:color w:val="auto"/>
          <w:sz w:val="21"/>
          <w:szCs w:val="21"/>
          <w:highlight w:val="none"/>
          <w:lang w:eastAsia="zh-CN"/>
        </w:rPr>
      </w:pPr>
      <w:r>
        <w:rPr>
          <w:rFonts w:hint="eastAsia" w:ascii="宋体" w:hAnsi="宋体"/>
          <w:color w:val="auto"/>
          <w:sz w:val="21"/>
          <w:szCs w:val="21"/>
          <w:highlight w:val="none"/>
        </w:rPr>
        <w:t>（1）</w:t>
      </w:r>
      <w:bookmarkStart w:id="30" w:name="_Toc35393627"/>
      <w:bookmarkStart w:id="31" w:name="_Toc35393796"/>
      <w:bookmarkStart w:id="32" w:name="_Toc28359008"/>
      <w:bookmarkStart w:id="33" w:name="_Toc28359085"/>
      <w:r>
        <w:rPr>
          <w:rStyle w:val="133"/>
          <w:rFonts w:hint="eastAsia" w:ascii="宋体" w:hAnsi="宋体" w:cs="宋体"/>
          <w:color w:val="auto"/>
          <w:sz w:val="21"/>
          <w:szCs w:val="21"/>
          <w:highlight w:val="none"/>
        </w:rPr>
        <w:t>本项目实行电子投标，供应商应按照本项目招标文件和</w:t>
      </w:r>
      <w:r>
        <w:rPr>
          <w:rFonts w:ascii="宋体" w:hAnsi="宋体"/>
          <w:color w:val="auto"/>
          <w:sz w:val="21"/>
          <w:szCs w:val="21"/>
          <w:highlight w:val="none"/>
        </w:rPr>
        <w:t>广西政府采购云平台</w:t>
      </w:r>
      <w:r>
        <w:rPr>
          <w:rStyle w:val="133"/>
          <w:rFonts w:hint="eastAsia" w:ascii="宋体" w:hAnsi="宋体" w:cs="宋体"/>
          <w:color w:val="auto"/>
          <w:sz w:val="21"/>
          <w:szCs w:val="21"/>
          <w:highlight w:val="none"/>
        </w:rPr>
        <w:t>的要求编制、加密并提交投标文件。供应商在使用系统参与投标过程中遇到涉及平台使用的任何问题，可登录</w:t>
      </w:r>
      <w:r>
        <w:rPr>
          <w:rFonts w:ascii="宋体" w:hAnsi="宋体"/>
          <w:color w:val="auto"/>
          <w:sz w:val="21"/>
          <w:szCs w:val="21"/>
          <w:highlight w:val="none"/>
        </w:rPr>
        <w:t>广西政府采购云平台（https://www.gcy.zfcg.gxzf.gov.cn/）</w:t>
      </w:r>
      <w:r>
        <w:rPr>
          <w:rStyle w:val="133"/>
          <w:rFonts w:hint="eastAsia" w:ascii="宋体" w:hAnsi="宋体" w:cs="宋体"/>
          <w:color w:val="auto"/>
          <w:sz w:val="21"/>
          <w:szCs w:val="21"/>
          <w:highlight w:val="none"/>
        </w:rPr>
        <w:t>，点击右侧咨询小采，获取采小蜜智能服务管家帮助，或拨打</w:t>
      </w:r>
      <w:r>
        <w:rPr>
          <w:rFonts w:ascii="宋体" w:hAnsi="宋体"/>
          <w:color w:val="auto"/>
          <w:sz w:val="21"/>
          <w:szCs w:val="21"/>
          <w:highlight w:val="none"/>
        </w:rPr>
        <w:t>广西政府采购云平台</w:t>
      </w:r>
      <w:r>
        <w:rPr>
          <w:rStyle w:val="133"/>
          <w:rFonts w:hint="eastAsia" w:ascii="宋体" w:hAnsi="宋体" w:cs="宋体"/>
          <w:color w:val="auto"/>
          <w:sz w:val="21"/>
          <w:szCs w:val="21"/>
          <w:highlight w:val="none"/>
        </w:rPr>
        <w:t>服务热线400-881-7190获取热线服务帮助。</w:t>
      </w:r>
      <w:r>
        <w:rPr>
          <w:rFonts w:hint="eastAsia" w:ascii="宋体" w:hAnsi="宋体"/>
          <w:b/>
          <w:color w:val="auto"/>
          <w:sz w:val="21"/>
          <w:szCs w:val="21"/>
          <w:highlight w:val="none"/>
        </w:rPr>
        <w:t>供应商在广西政府采购云平台提交电子投标文件时，请正确填写参加远程开标活动经办人联系方式。</w:t>
      </w:r>
    </w:p>
    <w:p w14:paraId="307F4645">
      <w:pPr>
        <w:spacing w:line="400" w:lineRule="exact"/>
        <w:rPr>
          <w:rStyle w:val="133"/>
          <w:rFonts w:hint="eastAsia" w:ascii="宋体" w:hAnsi="宋体" w:eastAsia="宋体" w:cs="宋体"/>
          <w:color w:val="auto"/>
          <w:sz w:val="21"/>
          <w:szCs w:val="21"/>
          <w:highlight w:val="none"/>
          <w:lang w:eastAsia="zh-CN"/>
        </w:rPr>
      </w:pPr>
      <w:r>
        <w:rPr>
          <w:rStyle w:val="133"/>
          <w:rFonts w:hint="eastAsia" w:ascii="宋体" w:hAnsi="宋体" w:cs="宋体"/>
          <w:color w:val="auto"/>
          <w:sz w:val="21"/>
          <w:szCs w:val="21"/>
          <w:highlight w:val="none"/>
        </w:rPr>
        <w:t>（2）供应商应及时熟悉掌握电子标系统操作指南（见</w:t>
      </w:r>
      <w:r>
        <w:rPr>
          <w:rFonts w:ascii="宋体" w:hAnsi="宋体"/>
          <w:color w:val="auto"/>
          <w:sz w:val="21"/>
          <w:szCs w:val="21"/>
          <w:highlight w:val="none"/>
        </w:rPr>
        <w:t>广西政府采购云</w:t>
      </w:r>
      <w:r>
        <w:rPr>
          <w:rStyle w:val="133"/>
          <w:rFonts w:hint="eastAsia" w:ascii="宋体" w:hAnsi="宋体" w:cs="宋体"/>
          <w:color w:val="auto"/>
          <w:sz w:val="21"/>
          <w:szCs w:val="21"/>
          <w:highlight w:val="none"/>
        </w:rPr>
        <w:t>电子卖场首页右上角—服务中心—帮助文档—项目采购）：https://service.zcygov.cn/#/knowledges/tree?tag=AG1DtGwBFdiHxlNdhY0r。</w:t>
      </w:r>
    </w:p>
    <w:p w14:paraId="2F708FCA">
      <w:pPr>
        <w:spacing w:line="400" w:lineRule="exact"/>
        <w:rPr>
          <w:rStyle w:val="133"/>
          <w:rFonts w:hint="eastAsia" w:ascii="宋体" w:hAnsi="宋体" w:eastAsia="宋体" w:cs="宋体"/>
          <w:color w:val="auto"/>
          <w:sz w:val="21"/>
          <w:szCs w:val="21"/>
          <w:highlight w:val="none"/>
          <w:lang w:eastAsia="zh-CN"/>
        </w:rPr>
      </w:pPr>
      <w:r>
        <w:rPr>
          <w:rStyle w:val="133"/>
          <w:rFonts w:hint="eastAsia" w:ascii="宋体" w:hAnsi="宋体" w:cs="宋体"/>
          <w:color w:val="auto"/>
          <w:sz w:val="21"/>
          <w:szCs w:val="21"/>
          <w:highlight w:val="none"/>
        </w:rPr>
        <w:t>（3）供应商应及时完成CA申领和绑定（见广西壮族自治区政府采购网—办事服务—下载专区－</w:t>
      </w:r>
      <w:r>
        <w:rPr>
          <w:rStyle w:val="133"/>
          <w:rFonts w:hint="eastAsia" w:ascii="宋体" w:hAnsi="宋体" w:cs="宋体"/>
          <w:color w:val="auto"/>
          <w:sz w:val="21"/>
          <w:szCs w:val="21"/>
          <w:highlight w:val="none"/>
          <w:lang w:eastAsia="zh-CN"/>
        </w:rPr>
        <w:t>广西政府采购云平台</w:t>
      </w:r>
      <w:r>
        <w:rPr>
          <w:rStyle w:val="133"/>
          <w:rFonts w:hint="eastAsia" w:ascii="宋体" w:hAnsi="宋体" w:cs="宋体"/>
          <w:color w:val="auto"/>
          <w:sz w:val="21"/>
          <w:szCs w:val="21"/>
          <w:highlight w:val="none"/>
        </w:rPr>
        <w:t>CA证书办理操作指南）。</w:t>
      </w:r>
    </w:p>
    <w:p w14:paraId="1A88E475">
      <w:pPr>
        <w:spacing w:line="400" w:lineRule="exact"/>
        <w:rPr>
          <w:rStyle w:val="133"/>
          <w:rFonts w:hint="eastAsia" w:ascii="宋体" w:hAnsi="宋体" w:eastAsia="宋体" w:cs="宋体"/>
          <w:color w:val="auto"/>
          <w:sz w:val="21"/>
          <w:szCs w:val="21"/>
          <w:highlight w:val="none"/>
          <w:lang w:eastAsia="zh-CN"/>
        </w:rPr>
      </w:pPr>
      <w:r>
        <w:rPr>
          <w:rStyle w:val="133"/>
          <w:rFonts w:hint="eastAsia" w:ascii="宋体" w:hAnsi="宋体" w:cs="宋体"/>
          <w:color w:val="auto"/>
          <w:sz w:val="21"/>
          <w:szCs w:val="21"/>
          <w:highlight w:val="none"/>
        </w:rPr>
        <w:t>（</w:t>
      </w:r>
      <w:r>
        <w:rPr>
          <w:rStyle w:val="133"/>
          <w:rFonts w:hint="eastAsia" w:ascii="宋体" w:hAnsi="宋体" w:cs="宋体"/>
          <w:color w:val="auto"/>
          <w:sz w:val="21"/>
          <w:szCs w:val="21"/>
          <w:highlight w:val="none"/>
          <w:lang w:val="en-US" w:eastAsia="zh-CN"/>
        </w:rPr>
        <w:t>4</w:t>
      </w:r>
      <w:r>
        <w:rPr>
          <w:rStyle w:val="133"/>
          <w:rFonts w:hint="eastAsia" w:ascii="宋体" w:hAnsi="宋体" w:cs="宋体"/>
          <w:color w:val="auto"/>
          <w:sz w:val="21"/>
          <w:szCs w:val="21"/>
          <w:highlight w:val="none"/>
        </w:rPr>
        <w:t>）因未注册入库、未办理CA数字证书、CA证书故障、操作不当等原因造成无法投标或投标失败等后果由供应商自行承担。</w:t>
      </w:r>
    </w:p>
    <w:p w14:paraId="0679BD7C">
      <w:pPr>
        <w:spacing w:line="400" w:lineRule="exact"/>
        <w:rPr>
          <w:rStyle w:val="133"/>
          <w:rFonts w:ascii="宋体" w:hAnsi="宋体" w:cs="宋体"/>
          <w:color w:val="auto"/>
          <w:sz w:val="21"/>
          <w:szCs w:val="21"/>
          <w:highlight w:val="none"/>
        </w:rPr>
      </w:pPr>
      <w:r>
        <w:rPr>
          <w:rStyle w:val="133"/>
          <w:rFonts w:hint="eastAsia" w:ascii="宋体" w:hAnsi="宋体" w:cs="宋体"/>
          <w:color w:val="auto"/>
          <w:sz w:val="21"/>
          <w:szCs w:val="21"/>
          <w:highlight w:val="none"/>
        </w:rPr>
        <w:t>（</w:t>
      </w:r>
      <w:r>
        <w:rPr>
          <w:rStyle w:val="133"/>
          <w:rFonts w:hint="eastAsia" w:ascii="宋体" w:hAnsi="宋体" w:cs="宋体"/>
          <w:color w:val="auto"/>
          <w:sz w:val="21"/>
          <w:szCs w:val="21"/>
          <w:highlight w:val="none"/>
          <w:lang w:val="en-US" w:eastAsia="zh-CN"/>
        </w:rPr>
        <w:t>5</w:t>
      </w:r>
      <w:r>
        <w:rPr>
          <w:rStyle w:val="133"/>
          <w:rFonts w:hint="eastAsia" w:ascii="宋体" w:hAnsi="宋体" w:cs="宋体"/>
          <w:color w:val="auto"/>
          <w:sz w:val="21"/>
          <w:szCs w:val="21"/>
          <w:highlight w:val="none"/>
        </w:rPr>
        <w:t>）投标文件网上提交截止后，</w:t>
      </w:r>
      <w:r>
        <w:rPr>
          <w:rStyle w:val="133"/>
          <w:rFonts w:hint="eastAsia" w:ascii="宋体" w:hAnsi="宋体" w:cs="宋体"/>
          <w:color w:val="auto"/>
          <w:sz w:val="21"/>
          <w:szCs w:val="21"/>
          <w:highlight w:val="none"/>
          <w:lang w:eastAsia="zh-CN"/>
        </w:rPr>
        <w:t>广西政府采购云平台</w:t>
      </w:r>
      <w:r>
        <w:rPr>
          <w:rStyle w:val="133"/>
          <w:rFonts w:hint="eastAsia" w:ascii="宋体" w:hAnsi="宋体" w:cs="宋体"/>
          <w:color w:val="auto"/>
          <w:sz w:val="21"/>
          <w:szCs w:val="21"/>
          <w:highlight w:val="none"/>
        </w:rPr>
        <w:t>（电子标系统）自动提取所有投标文件，各供应商须在开标开始后30分钟内对上传</w:t>
      </w:r>
      <w:r>
        <w:rPr>
          <w:rStyle w:val="133"/>
          <w:rFonts w:hint="eastAsia" w:ascii="宋体" w:hAnsi="宋体" w:cs="宋体"/>
          <w:color w:val="auto"/>
          <w:sz w:val="21"/>
          <w:szCs w:val="21"/>
          <w:highlight w:val="none"/>
          <w:lang w:eastAsia="zh-CN"/>
        </w:rPr>
        <w:t>广西政府采购云平台</w:t>
      </w:r>
      <w:r>
        <w:rPr>
          <w:rStyle w:val="133"/>
          <w:rFonts w:hint="eastAsia" w:ascii="宋体" w:hAnsi="宋体" w:cs="宋体"/>
          <w:color w:val="auto"/>
          <w:sz w:val="21"/>
          <w:szCs w:val="21"/>
          <w:highlight w:val="none"/>
        </w:rPr>
        <w:t>的投标文件进行解密，所有供应商在规定的解密时限内解密完成或解密时限结束后，采购人或采购代理机构将开启投标文件；供应商超过解密时限的，系统默认自动放弃。</w:t>
      </w:r>
    </w:p>
    <w:p w14:paraId="1BABD0DD">
      <w:pPr>
        <w:spacing w:line="400" w:lineRule="exact"/>
        <w:rPr>
          <w:rStyle w:val="133"/>
          <w:rFonts w:hint="eastAsia" w:ascii="宋体" w:hAnsi="宋体" w:eastAsia="宋体" w:cs="宋体"/>
          <w:color w:val="auto"/>
          <w:sz w:val="21"/>
          <w:szCs w:val="21"/>
          <w:highlight w:val="none"/>
          <w:lang w:val="en-US" w:eastAsia="zh-CN"/>
        </w:rPr>
      </w:pPr>
      <w:r>
        <w:rPr>
          <w:rStyle w:val="133"/>
          <w:rFonts w:hint="eastAsia" w:ascii="宋体" w:hAnsi="宋体" w:eastAsia="宋体" w:cs="宋体"/>
          <w:color w:val="auto"/>
          <w:sz w:val="21"/>
          <w:szCs w:val="21"/>
          <w:highlight w:val="none"/>
          <w:lang w:val="en-US" w:eastAsia="zh-CN"/>
        </w:rPr>
        <w:t>（6）各供应商通过新平台参与政府采购项目投标需下载使用新版客户端，新版客户端下载路径：广西政府采购网（访问地址http：／／zfcg．gxzf．gov．cn／）—办事服务—下载专区。原在</w:t>
      </w:r>
      <w:r>
        <w:rPr>
          <w:rStyle w:val="133"/>
          <w:rFonts w:hint="eastAsia" w:ascii="宋体" w:hAnsi="宋体" w:cs="宋体"/>
          <w:color w:val="auto"/>
          <w:sz w:val="21"/>
          <w:szCs w:val="21"/>
          <w:highlight w:val="none"/>
          <w:lang w:val="en-US" w:eastAsia="zh-CN"/>
        </w:rPr>
        <w:t>广西政府采购云平台</w:t>
      </w:r>
      <w:r>
        <w:rPr>
          <w:rStyle w:val="133"/>
          <w:rFonts w:hint="eastAsia" w:ascii="宋体" w:hAnsi="宋体" w:eastAsia="宋体" w:cs="宋体"/>
          <w:color w:val="auto"/>
          <w:sz w:val="21"/>
          <w:szCs w:val="21"/>
          <w:highlight w:val="none"/>
          <w:lang w:val="en-US" w:eastAsia="zh-CN"/>
        </w:rPr>
        <w:t>注册的临时供应商需在新平台启用后重新注册登记。</w:t>
      </w:r>
    </w:p>
    <w:p w14:paraId="6C5FA65E">
      <w:pPr>
        <w:spacing w:line="400" w:lineRule="exact"/>
        <w:rPr>
          <w:rStyle w:val="133"/>
          <w:rFonts w:hint="eastAsia" w:ascii="宋体" w:hAnsi="宋体" w:eastAsia="宋体" w:cs="宋体"/>
          <w:color w:val="auto"/>
          <w:sz w:val="21"/>
          <w:szCs w:val="21"/>
          <w:highlight w:val="none"/>
        </w:rPr>
      </w:pPr>
      <w:r>
        <w:rPr>
          <w:rStyle w:val="133"/>
          <w:rFonts w:hint="eastAsia" w:ascii="宋体" w:hAnsi="宋体" w:eastAsia="宋体" w:cs="宋体"/>
          <w:color w:val="auto"/>
          <w:sz w:val="21"/>
          <w:szCs w:val="21"/>
          <w:highlight w:val="none"/>
          <w:lang w:val="en-US" w:eastAsia="zh-CN"/>
        </w:rPr>
        <w:t>（7）新平台与</w:t>
      </w:r>
      <w:r>
        <w:rPr>
          <w:rStyle w:val="133"/>
          <w:rFonts w:hint="eastAsia" w:ascii="宋体" w:hAnsi="宋体" w:cs="宋体"/>
          <w:color w:val="auto"/>
          <w:sz w:val="21"/>
          <w:szCs w:val="21"/>
          <w:highlight w:val="none"/>
          <w:lang w:val="en-US" w:eastAsia="zh-CN"/>
        </w:rPr>
        <w:t>广西政府采购云平台</w:t>
      </w:r>
      <w:r>
        <w:rPr>
          <w:rStyle w:val="133"/>
          <w:rFonts w:hint="eastAsia" w:ascii="宋体" w:hAnsi="宋体" w:eastAsia="宋体" w:cs="宋体"/>
          <w:color w:val="auto"/>
          <w:sz w:val="21"/>
          <w:szCs w:val="21"/>
          <w:highlight w:val="none"/>
          <w:lang w:val="en-US" w:eastAsia="zh-CN"/>
        </w:rPr>
        <w:t>平台操作流程一致，首次登录新平台账号密码与</w:t>
      </w:r>
      <w:r>
        <w:rPr>
          <w:rStyle w:val="133"/>
          <w:rFonts w:hint="eastAsia" w:ascii="宋体" w:hAnsi="宋体" w:cs="宋体"/>
          <w:color w:val="auto"/>
          <w:sz w:val="21"/>
          <w:szCs w:val="21"/>
          <w:highlight w:val="none"/>
          <w:lang w:val="en-US" w:eastAsia="zh-CN"/>
        </w:rPr>
        <w:t>广西政府采购云平台</w:t>
      </w:r>
      <w:r>
        <w:rPr>
          <w:rStyle w:val="133"/>
          <w:rFonts w:hint="eastAsia" w:ascii="宋体" w:hAnsi="宋体" w:eastAsia="宋体" w:cs="宋体"/>
          <w:color w:val="auto"/>
          <w:sz w:val="21"/>
          <w:szCs w:val="21"/>
          <w:highlight w:val="none"/>
          <w:lang w:val="en-US" w:eastAsia="zh-CN"/>
        </w:rPr>
        <w:t>账号密码一致，新旧平台数据相互独立，后续修改新平台密码不会影响</w:t>
      </w:r>
      <w:r>
        <w:rPr>
          <w:rStyle w:val="133"/>
          <w:rFonts w:hint="eastAsia" w:ascii="宋体" w:hAnsi="宋体" w:cs="宋体"/>
          <w:color w:val="auto"/>
          <w:sz w:val="21"/>
          <w:szCs w:val="21"/>
          <w:highlight w:val="none"/>
          <w:lang w:val="en-US" w:eastAsia="zh-CN"/>
        </w:rPr>
        <w:t>广西政府采购云平台</w:t>
      </w:r>
      <w:r>
        <w:rPr>
          <w:rStyle w:val="133"/>
          <w:rFonts w:hint="eastAsia" w:ascii="宋体" w:hAnsi="宋体" w:eastAsia="宋体" w:cs="宋体"/>
          <w:color w:val="auto"/>
          <w:sz w:val="21"/>
          <w:szCs w:val="21"/>
          <w:highlight w:val="none"/>
          <w:lang w:val="en-US" w:eastAsia="zh-CN"/>
        </w:rPr>
        <w:t>平台密码。</w:t>
      </w:r>
    </w:p>
    <w:p w14:paraId="3DA85E3B">
      <w:pPr>
        <w:spacing w:line="400" w:lineRule="exact"/>
        <w:rPr>
          <w:rStyle w:val="133"/>
          <w:rFonts w:hint="eastAsia" w:ascii="宋体" w:hAnsi="宋体" w:eastAsia="宋体" w:cs="宋体"/>
          <w:color w:val="auto"/>
          <w:sz w:val="21"/>
          <w:szCs w:val="21"/>
          <w:highlight w:val="none"/>
          <w:lang w:val="en-US" w:eastAsia="zh-CN"/>
        </w:rPr>
      </w:pPr>
      <w:r>
        <w:rPr>
          <w:rStyle w:val="133"/>
          <w:rFonts w:hint="eastAsia" w:ascii="宋体" w:hAnsi="宋体" w:cs="宋体"/>
          <w:color w:val="auto"/>
          <w:sz w:val="21"/>
          <w:szCs w:val="21"/>
          <w:highlight w:val="none"/>
        </w:rPr>
        <w:t>注：为确保网上操作合法、有效和安全，请供应商确保在电子投标过程中能够对相关数据电文进行加密和使用电子签章，妥善保管CA数字证书并使用有效的CA数字证书参与整个招标活动</w:t>
      </w:r>
      <w:r>
        <w:rPr>
          <w:rStyle w:val="133"/>
          <w:rFonts w:hint="eastAsia" w:ascii="宋体" w:hAnsi="宋体" w:eastAsia="宋体" w:cs="宋体"/>
          <w:color w:val="auto"/>
          <w:sz w:val="21"/>
          <w:szCs w:val="21"/>
          <w:highlight w:val="none"/>
          <w:lang w:val="en-US" w:eastAsia="zh-CN"/>
        </w:rPr>
        <w:t>。</w:t>
      </w:r>
    </w:p>
    <w:p w14:paraId="5FA0AFAC">
      <w:pPr>
        <w:spacing w:line="400" w:lineRule="exact"/>
        <w:ind w:firstLine="420" w:firstLineChars="200"/>
        <w:rPr>
          <w:rStyle w:val="133"/>
          <w:rFonts w:hint="eastAsia" w:ascii="宋体" w:hAnsi="宋体" w:eastAsia="宋体" w:cs="宋体"/>
          <w:color w:val="auto"/>
          <w:sz w:val="21"/>
          <w:szCs w:val="21"/>
          <w:highlight w:val="none"/>
          <w:lang w:val="en-US" w:eastAsia="zh-CN"/>
        </w:rPr>
      </w:pPr>
      <w:r>
        <w:rPr>
          <w:rStyle w:val="133"/>
          <w:rFonts w:hint="eastAsia" w:ascii="宋体" w:hAnsi="宋体" w:eastAsia="宋体" w:cs="宋体"/>
          <w:color w:val="auto"/>
          <w:sz w:val="21"/>
          <w:szCs w:val="21"/>
          <w:highlight w:val="none"/>
          <w:lang w:val="en-US" w:eastAsia="zh-CN"/>
        </w:rPr>
        <w:t>9、监督部门：陆川县财政局政府采购监督管理股</w:t>
      </w:r>
      <w:r>
        <w:rPr>
          <w:rStyle w:val="133"/>
          <w:rFonts w:hint="eastAsia" w:ascii="宋体" w:hAnsi="宋体" w:cs="宋体"/>
          <w:color w:val="auto"/>
          <w:sz w:val="21"/>
          <w:szCs w:val="21"/>
          <w:highlight w:val="none"/>
          <w:lang w:val="en-US" w:eastAsia="zh-CN"/>
        </w:rPr>
        <w:t>，</w:t>
      </w:r>
      <w:r>
        <w:rPr>
          <w:rStyle w:val="133"/>
          <w:rFonts w:hint="eastAsia" w:ascii="宋体" w:hAnsi="宋体" w:eastAsia="宋体" w:cs="宋体"/>
          <w:color w:val="auto"/>
          <w:sz w:val="21"/>
          <w:szCs w:val="21"/>
          <w:highlight w:val="none"/>
          <w:lang w:val="en-US" w:eastAsia="zh-CN"/>
        </w:rPr>
        <w:t>联系电话：0775-7235528</w:t>
      </w:r>
    </w:p>
    <w:p w14:paraId="1BF5621A">
      <w:pPr>
        <w:spacing w:line="400" w:lineRule="exact"/>
        <w:rPr>
          <w:rFonts w:hint="default" w:ascii="宋体" w:hAnsi="宋体" w:eastAsia="宋体" w:cs="宋体"/>
          <w:b/>
          <w:bCs/>
          <w:color w:val="auto"/>
          <w:sz w:val="21"/>
          <w:szCs w:val="21"/>
          <w:highlight w:val="yellow"/>
          <w:lang w:val="en-US" w:eastAsia="zh-CN"/>
        </w:rPr>
      </w:pPr>
      <w:r>
        <w:rPr>
          <w:rFonts w:hint="eastAsia" w:ascii="宋体" w:hAnsi="宋体" w:cs="宋体"/>
          <w:b/>
          <w:bCs/>
          <w:color w:val="auto"/>
          <w:sz w:val="21"/>
          <w:szCs w:val="21"/>
          <w:highlight w:val="none"/>
          <w:lang w:val="en-US" w:eastAsia="zh-CN"/>
        </w:rPr>
        <w:t xml:space="preserve">    10、本项目采用远程异地评标，评标主场设在陆川县公共资源交易中心，</w:t>
      </w:r>
      <w:r>
        <w:rPr>
          <w:rFonts w:hint="eastAsia" w:ascii="宋体" w:hAnsi="宋体" w:cs="宋体"/>
          <w:b/>
          <w:bCs/>
          <w:color w:val="auto"/>
          <w:sz w:val="21"/>
          <w:szCs w:val="21"/>
          <w:highlight w:val="yellow"/>
          <w:lang w:val="en-US" w:eastAsia="zh-CN"/>
        </w:rPr>
        <w:t>评标副场设在崇左市公共资源交易中心。</w:t>
      </w:r>
    </w:p>
    <w:p w14:paraId="7DE22DDE">
      <w:pPr>
        <w:spacing w:line="40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七、对本次招标提出询问，请按以下方式联系。</w:t>
      </w:r>
      <w:bookmarkEnd w:id="30"/>
      <w:bookmarkEnd w:id="31"/>
      <w:bookmarkEnd w:id="32"/>
      <w:bookmarkEnd w:id="33"/>
    </w:p>
    <w:p w14:paraId="0ECFBCC9">
      <w:pPr>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sz w:val="21"/>
          <w:szCs w:val="21"/>
          <w:highlight w:val="none"/>
        </w:rPr>
      </w:pPr>
      <w:bookmarkStart w:id="34" w:name="_Toc28359019"/>
      <w:bookmarkStart w:id="35" w:name="_Toc28359096"/>
      <w:bookmarkStart w:id="36" w:name="_Toc32446"/>
      <w:bookmarkStart w:id="37" w:name="_Toc35393637"/>
      <w:bookmarkStart w:id="38" w:name="_Toc35393806"/>
      <w:r>
        <w:rPr>
          <w:rFonts w:hint="eastAsia" w:ascii="宋体" w:hAnsi="宋体" w:cs="宋体"/>
          <w:color w:val="auto"/>
          <w:sz w:val="21"/>
          <w:szCs w:val="21"/>
          <w:highlight w:val="none"/>
        </w:rPr>
        <w:t>1.采购人信息</w:t>
      </w:r>
      <w:bookmarkEnd w:id="34"/>
      <w:bookmarkEnd w:id="35"/>
      <w:bookmarkEnd w:id="36"/>
      <w:bookmarkEnd w:id="37"/>
      <w:bookmarkEnd w:id="38"/>
    </w:p>
    <w:p w14:paraId="3196AD18">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lang w:eastAsia="zh-CN"/>
        </w:rPr>
        <w:t>陆川县教育局</w:t>
      </w:r>
    </w:p>
    <w:p w14:paraId="13E9A822">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地    址：陆川县温泉镇东滨中路</w:t>
      </w:r>
    </w:p>
    <w:p w14:paraId="5DA0D6B1">
      <w:pPr>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项目联系人：</w:t>
      </w:r>
    </w:p>
    <w:p w14:paraId="055DB1A4">
      <w:pPr>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项目联系方式：</w:t>
      </w:r>
      <w:bookmarkStart w:id="39" w:name="_Toc10194"/>
      <w:bookmarkStart w:id="40" w:name="_Toc28359097"/>
      <w:bookmarkStart w:id="41" w:name="_Toc28359020"/>
      <w:bookmarkStart w:id="42" w:name="_Toc35393638"/>
      <w:bookmarkStart w:id="43" w:name="_Toc35393807"/>
    </w:p>
    <w:p w14:paraId="73752E3A">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2.采购代理机构信息</w:t>
      </w:r>
      <w:bookmarkEnd w:id="39"/>
      <w:bookmarkEnd w:id="40"/>
      <w:bookmarkEnd w:id="41"/>
      <w:bookmarkEnd w:id="42"/>
      <w:bookmarkEnd w:id="43"/>
    </w:p>
    <w:p w14:paraId="1D1AF4C3">
      <w:pPr>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lang w:eastAsia="zh-CN"/>
        </w:rPr>
        <w:t>广西建设工程机电设备招标中心有限公司</w:t>
      </w:r>
    </w:p>
    <w:p w14:paraId="291D0BAC">
      <w:pPr>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地　　址：</w:t>
      </w:r>
      <w:r>
        <w:rPr>
          <w:rFonts w:hint="eastAsia" w:asciiTheme="minorEastAsia" w:hAnsiTheme="minorEastAsia" w:eastAsiaTheme="minorEastAsia" w:cstheme="minorEastAsia"/>
          <w:color w:val="auto"/>
          <w:sz w:val="21"/>
          <w:szCs w:val="21"/>
          <w:highlight w:val="none"/>
          <w:lang w:eastAsia="zh-CN"/>
        </w:rPr>
        <w:t>广西南宁市青秀区枫林路18号宏桂大厦裙楼三层</w:t>
      </w:r>
    </w:p>
    <w:p w14:paraId="58FB85EF">
      <w:pPr>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项目联系人：</w:t>
      </w:r>
      <w:r>
        <w:rPr>
          <w:rFonts w:hint="eastAsia" w:ascii="宋体" w:hAnsi="宋体" w:cs="宋体"/>
          <w:color w:val="auto"/>
          <w:sz w:val="21"/>
          <w:szCs w:val="21"/>
          <w:highlight w:val="none"/>
          <w:lang w:val="en-US" w:eastAsia="zh-CN"/>
        </w:rPr>
        <w:t>王剑、黄艳颀</w:t>
      </w:r>
      <w:r>
        <w:rPr>
          <w:rFonts w:hint="eastAsia" w:ascii="宋体" w:hAnsi="宋体" w:cs="宋体"/>
          <w:color w:val="auto"/>
          <w:sz w:val="21"/>
          <w:szCs w:val="21"/>
          <w:highlight w:val="none"/>
        </w:rPr>
        <w:t xml:space="preserve">  </w:t>
      </w:r>
    </w:p>
    <w:p w14:paraId="0A5756C5">
      <w:pPr>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项目联系方式：</w:t>
      </w:r>
      <w:r>
        <w:rPr>
          <w:rFonts w:hint="eastAsia" w:ascii="宋体" w:hAnsi="宋体" w:cs="宋体"/>
          <w:color w:val="auto"/>
          <w:sz w:val="21"/>
          <w:szCs w:val="21"/>
          <w:highlight w:val="none"/>
          <w:lang w:eastAsia="zh-CN"/>
        </w:rPr>
        <w:t>0771-5824250</w:t>
      </w:r>
      <w:r>
        <w:rPr>
          <w:rFonts w:hint="eastAsia" w:ascii="宋体" w:hAnsi="宋体" w:cs="宋体"/>
          <w:color w:val="auto"/>
          <w:sz w:val="21"/>
          <w:szCs w:val="21"/>
          <w:highlight w:val="none"/>
        </w:rPr>
        <w:t xml:space="preserve">  </w:t>
      </w:r>
    </w:p>
    <w:p w14:paraId="2748843E">
      <w:pPr>
        <w:snapToGrid w:val="0"/>
        <w:spacing w:line="440" w:lineRule="exact"/>
        <w:jc w:val="right"/>
        <w:rPr>
          <w:rFonts w:ascii="宋体" w:hAnsi="宋体" w:cs="宋体"/>
          <w:color w:val="auto"/>
          <w:sz w:val="21"/>
          <w:szCs w:val="21"/>
          <w:highlight w:val="none"/>
        </w:rPr>
      </w:pPr>
    </w:p>
    <w:p w14:paraId="0F4270C6">
      <w:pPr>
        <w:snapToGrid w:val="0"/>
        <w:spacing w:line="440" w:lineRule="exact"/>
        <w:jc w:val="righ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采购代理机构：</w:t>
      </w:r>
      <w:r>
        <w:rPr>
          <w:rFonts w:hint="eastAsia" w:ascii="宋体" w:hAnsi="宋体" w:cs="宋体"/>
          <w:color w:val="auto"/>
          <w:sz w:val="21"/>
          <w:szCs w:val="21"/>
          <w:highlight w:val="none"/>
          <w:lang w:eastAsia="zh-CN"/>
        </w:rPr>
        <w:t>广西建设工程机电设备招标中心有限公司</w:t>
      </w:r>
    </w:p>
    <w:p w14:paraId="4EF68DAD">
      <w:pPr>
        <w:spacing w:line="400" w:lineRule="exact"/>
        <w:ind w:firstLine="210" w:firstLineChars="100"/>
        <w:jc w:val="right"/>
        <w:rPr>
          <w:rFonts w:ascii="宋体" w:hAnsi="宋体"/>
          <w:color w:val="auto"/>
          <w:sz w:val="21"/>
          <w:szCs w:val="21"/>
          <w:highlight w:val="none"/>
        </w:rPr>
      </w:pPr>
      <w:r>
        <w:rPr>
          <w:rFonts w:hint="eastAsia" w:ascii="宋体" w:hAnsi="宋体" w:cs="宋体"/>
          <w:color w:val="auto"/>
          <w:sz w:val="21"/>
          <w:szCs w:val="21"/>
          <w:highlight w:val="none"/>
        </w:rPr>
        <w:t xml:space="preserve"> 202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年月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w:t>
      </w:r>
    </w:p>
    <w:p w14:paraId="25B54116">
      <w:pPr>
        <w:snapToGrid w:val="0"/>
        <w:spacing w:line="400" w:lineRule="exact"/>
        <w:ind w:firstLine="420"/>
        <w:rPr>
          <w:rFonts w:ascii="宋体" w:hAnsi="宋体" w:cs="宋体"/>
          <w:color w:val="auto"/>
          <w:sz w:val="21"/>
          <w:szCs w:val="21"/>
          <w:highlight w:val="none"/>
          <w:lang w:val="zh-CN"/>
        </w:rPr>
        <w:sectPr>
          <w:footerReference r:id="rId6" w:type="default"/>
          <w:pgSz w:w="11906" w:h="16838"/>
          <w:pgMar w:top="1134" w:right="1134" w:bottom="1134" w:left="1134" w:header="720" w:footer="720" w:gutter="0"/>
          <w:pgNumType w:fmt="decimal" w:start="1"/>
          <w:cols w:space="720" w:num="1"/>
          <w:docGrid w:type="lines" w:linePitch="331" w:charSpace="0"/>
        </w:sectPr>
      </w:pPr>
    </w:p>
    <w:p w14:paraId="70DA490E">
      <w:pPr>
        <w:pStyle w:val="19"/>
        <w:jc w:val="center"/>
        <w:outlineLvl w:val="0"/>
        <w:rPr>
          <w:rFonts w:ascii="Times New Roman" w:hAnsi="Times New Roman"/>
          <w:b/>
          <w:color w:val="auto"/>
          <w:sz w:val="36"/>
          <w:highlight w:val="none"/>
        </w:rPr>
      </w:pPr>
      <w:bookmarkStart w:id="44" w:name="_Toc532545042"/>
      <w:bookmarkStart w:id="45" w:name="_Toc80092991"/>
      <w:r>
        <w:rPr>
          <w:rFonts w:hint="eastAsia" w:ascii="Times New Roman" w:hAnsi="Times New Roman"/>
          <w:b/>
          <w:color w:val="auto"/>
          <w:sz w:val="36"/>
          <w:highlight w:val="none"/>
        </w:rPr>
        <w:t>第二章</w:t>
      </w:r>
      <w:r>
        <w:rPr>
          <w:rFonts w:ascii="Times New Roman" w:hAnsi="Times New Roman"/>
          <w:b/>
          <w:color w:val="auto"/>
          <w:sz w:val="36"/>
          <w:highlight w:val="none"/>
        </w:rPr>
        <w:t xml:space="preserve">  </w:t>
      </w:r>
      <w:bookmarkEnd w:id="44"/>
      <w:r>
        <w:rPr>
          <w:rFonts w:hint="eastAsia" w:ascii="Times New Roman" w:hAnsi="Times New Roman"/>
          <w:b/>
          <w:color w:val="auto"/>
          <w:sz w:val="36"/>
          <w:highlight w:val="none"/>
        </w:rPr>
        <w:t>采购需求</w:t>
      </w:r>
      <w:bookmarkEnd w:id="45"/>
    </w:p>
    <w:p w14:paraId="3A2EFE5F">
      <w:pPr>
        <w:adjustRightInd w:val="0"/>
        <w:spacing w:line="340" w:lineRule="exact"/>
        <w:rPr>
          <w:rFonts w:ascii="Times New Roman" w:hAnsi="宋体" w:eastAsia="宋体" w:cs="Times New Roman"/>
          <w:b/>
          <w:color w:val="auto"/>
          <w:szCs w:val="21"/>
          <w:highlight w:val="none"/>
        </w:rPr>
      </w:pPr>
      <w:bookmarkStart w:id="46" w:name="_Toc254970631"/>
      <w:bookmarkStart w:id="47" w:name="_Toc254970490"/>
      <w:bookmarkStart w:id="48" w:name="PO_TDCUS_ITEM_PB_REQ_FILE_1_1"/>
      <w:r>
        <w:rPr>
          <w:rFonts w:hint="eastAsia" w:ascii="Times New Roman" w:hAnsi="宋体" w:eastAsia="宋体" w:cs="Times New Roman"/>
          <w:b/>
          <w:color w:val="auto"/>
          <w:szCs w:val="21"/>
          <w:highlight w:val="none"/>
        </w:rPr>
        <w:t>说明：</w:t>
      </w:r>
    </w:p>
    <w:p w14:paraId="74F6311A">
      <w:pPr>
        <w:spacing w:line="360" w:lineRule="auto"/>
        <w:ind w:firstLine="420" w:firstLineChars="200"/>
        <w:jc w:val="left"/>
        <w:rPr>
          <w:rFonts w:hint="eastAsia" w:ascii="宋体" w:hAnsi="宋体" w:eastAsia="宋体" w:cs="宋体"/>
          <w:color w:val="auto"/>
          <w:highlight w:val="none"/>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“实质性要求”是指招标文件中已经指明不满足则投标无效的条款，或者不能负偏离的条款，或者采购需求中带“▲”的条款。</w:t>
      </w:r>
    </w:p>
    <w:p w14:paraId="32CF7F0E">
      <w:pPr>
        <w:spacing w:line="360" w:lineRule="auto"/>
        <w:ind w:firstLine="420" w:firstLineChars="200"/>
        <w:jc w:val="left"/>
        <w:rPr>
          <w:rFonts w:hint="eastAsia" w:ascii="宋体" w:hAnsi="宋体" w:cs="宋体"/>
          <w:color w:val="auto"/>
          <w:highlight w:val="none"/>
          <w:lang w:val="en-US" w:eastAsia="zh-CN"/>
        </w:rPr>
      </w:pPr>
      <w:r>
        <w:rPr>
          <w:rFonts w:hint="eastAsia" w:ascii="宋体" w:hAnsi="宋体" w:cs="宋体"/>
          <w:color w:val="auto"/>
          <w:highlight w:val="none"/>
          <w:lang w:val="en-US" w:eastAsia="zh-CN"/>
        </w:rPr>
        <w:t>2.投标人必须对投标文件中提供的证明材料和资质文件真实性负责，如出现虚假应标情况，投标人除了应接受有关部门的处罚外，还应依据《中华人民共和国民法典》的相关条款来进行赔偿。</w:t>
      </w:r>
    </w:p>
    <w:p w14:paraId="5083B770">
      <w:pPr>
        <w:spacing w:line="360" w:lineRule="auto"/>
        <w:ind w:firstLine="420" w:firstLineChars="200"/>
        <w:jc w:val="left"/>
        <w:rPr>
          <w:rFonts w:hint="eastAsia" w:ascii="宋体" w:hAnsi="宋体" w:cs="宋体"/>
          <w:color w:val="auto"/>
          <w:highlight w:val="none"/>
          <w:lang w:val="en-US" w:eastAsia="zh-CN"/>
        </w:rPr>
      </w:pPr>
      <w:r>
        <w:rPr>
          <w:rFonts w:hint="eastAsia" w:ascii="宋体" w:hAnsi="宋体" w:cs="宋体"/>
          <w:color w:val="auto"/>
          <w:highlight w:val="none"/>
          <w:lang w:val="en-US" w:eastAsia="zh-CN"/>
        </w:rPr>
        <w:t>3.投标人应对投标内容所涉及的专利承担法律责任，并负责保护采购人的利益不受任何损害。一切由于文字、商标、技术和软件专利授权引起的法律裁决、诉讼和赔偿费用均由中标人负责。</w:t>
      </w:r>
    </w:p>
    <w:p w14:paraId="5DD48041">
      <w:pPr>
        <w:spacing w:afterAutospacing="0" w:line="360" w:lineRule="auto"/>
        <w:ind w:firstLine="422" w:firstLineChars="200"/>
        <w:jc w:val="left"/>
        <w:rPr>
          <w:rFonts w:hint="eastAsia" w:ascii="宋体" w:hAnsi="宋体" w:cs="宋体"/>
          <w:b/>
          <w:bCs/>
          <w:color w:val="auto"/>
          <w:highlight w:val="none"/>
          <w:lang w:val="en-US" w:eastAsia="zh-CN"/>
        </w:rPr>
      </w:pPr>
      <w:r>
        <w:rPr>
          <w:rFonts w:hint="eastAsia" w:ascii="宋体" w:hAnsi="宋体" w:cs="宋体"/>
          <w:b/>
          <w:bCs/>
          <w:color w:val="auto"/>
          <w:highlight w:val="none"/>
          <w:lang w:val="en-US" w:eastAsia="zh-CN"/>
        </w:rPr>
        <w:t>4.采购内容所属行业：</w:t>
      </w:r>
      <w:r>
        <w:rPr>
          <w:rFonts w:hint="eastAsia" w:ascii="宋体" w:hAnsi="宋体" w:cs="宋体"/>
          <w:b/>
          <w:bCs/>
          <w:color w:val="auto"/>
          <w:highlight w:val="none"/>
          <w:u w:val="single"/>
          <w:lang w:val="en-US" w:eastAsia="zh-CN"/>
        </w:rPr>
        <w:t xml:space="preserve"> 批发业 </w:t>
      </w:r>
      <w:r>
        <w:rPr>
          <w:rFonts w:hint="eastAsia" w:ascii="宋体" w:hAnsi="宋体" w:cs="宋体"/>
          <w:b/>
          <w:bCs/>
          <w:color w:val="auto"/>
          <w:highlight w:val="none"/>
          <w:lang w:val="en-US" w:eastAsia="zh-CN"/>
        </w:rPr>
        <w:t>。</w:t>
      </w:r>
    </w:p>
    <w:p w14:paraId="3E6F5FA6">
      <w:pPr>
        <w:spacing w:line="360" w:lineRule="auto"/>
        <w:ind w:firstLine="422" w:firstLineChars="200"/>
        <w:jc w:val="left"/>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5.投标人可以对某个或某几个分标同时进行投标报价，但最多只能中标其中的一个分标，投标人在其中一个分标被评标委员会推荐为第一中标候选人的，不再参与后续其它分标的中标候选人推荐。本项目评标、定标顺序为1分标→2分标→3分标。</w:t>
      </w:r>
    </w:p>
    <w:p w14:paraId="4AF05A7B">
      <w:pPr>
        <w:pStyle w:val="3"/>
        <w:pageBreakBefore w:val="0"/>
        <w:widowControl w:val="0"/>
        <w:kinsoku/>
        <w:wordWrap/>
        <w:overflowPunct/>
        <w:topLinePunct w:val="0"/>
        <w:bidi w:val="0"/>
        <w:adjustRightInd/>
        <w:spacing w:before="0" w:beforeLines="0" w:beforeAutospacing="0" w:after="0" w:afterLines="0" w:afterAutospacing="0" w:line="500" w:lineRule="exact"/>
        <w:textAlignment w:val="auto"/>
        <w:rPr>
          <w:rFonts w:hint="eastAsia" w:ascii="宋体" w:hAnsi="宋体" w:eastAsia="宋体" w:cs="宋体"/>
          <w:b/>
          <w:bCs/>
          <w:color w:val="auto"/>
          <w:sz w:val="32"/>
          <w:szCs w:val="40"/>
          <w:highlight w:val="none"/>
          <w:lang w:val="en-US" w:eastAsia="zh-CN"/>
        </w:rPr>
      </w:pPr>
      <w:bookmarkStart w:id="49" w:name="_Toc16050"/>
    </w:p>
    <w:p w14:paraId="3CFB8B79">
      <w:pPr>
        <w:rPr>
          <w:rFonts w:hint="eastAsia" w:ascii="宋体" w:hAnsi="宋体" w:eastAsia="宋体" w:cs="宋体"/>
          <w:b/>
          <w:bCs/>
          <w:color w:val="auto"/>
          <w:sz w:val="32"/>
          <w:szCs w:val="40"/>
          <w:highlight w:val="none"/>
          <w:lang w:val="en-US" w:eastAsia="zh-CN"/>
        </w:rPr>
      </w:pPr>
      <w:r>
        <w:rPr>
          <w:rFonts w:hint="eastAsia" w:ascii="宋体" w:hAnsi="宋体" w:eastAsia="宋体" w:cs="宋体"/>
          <w:b/>
          <w:bCs/>
          <w:color w:val="auto"/>
          <w:sz w:val="32"/>
          <w:szCs w:val="40"/>
          <w:highlight w:val="none"/>
          <w:lang w:val="en-US" w:eastAsia="zh-CN"/>
        </w:rPr>
        <w:br w:type="page"/>
      </w:r>
    </w:p>
    <w:p w14:paraId="2203E26B">
      <w:pPr>
        <w:pStyle w:val="3"/>
        <w:pageBreakBefore w:val="0"/>
        <w:widowControl w:val="0"/>
        <w:kinsoku/>
        <w:wordWrap/>
        <w:overflowPunct/>
        <w:topLinePunct w:val="0"/>
        <w:bidi w:val="0"/>
        <w:adjustRightInd/>
        <w:spacing w:before="0" w:beforeLines="0" w:beforeAutospacing="0" w:after="0" w:afterLines="0" w:afterAutospacing="0" w:line="500" w:lineRule="exact"/>
        <w:jc w:val="center"/>
        <w:textAlignment w:val="auto"/>
        <w:rPr>
          <w:rFonts w:hint="eastAsia" w:ascii="宋体" w:hAnsi="宋体" w:eastAsia="宋体" w:cs="宋体"/>
          <w:b/>
          <w:bCs/>
          <w:color w:val="auto"/>
          <w:sz w:val="32"/>
          <w:szCs w:val="40"/>
          <w:highlight w:val="none"/>
          <w:lang w:val="en-US" w:eastAsia="zh-CN"/>
        </w:rPr>
      </w:pPr>
      <w:r>
        <w:rPr>
          <w:rFonts w:hint="eastAsia" w:ascii="宋体" w:hAnsi="宋体" w:eastAsia="宋体" w:cs="宋体"/>
          <w:b/>
          <w:bCs/>
          <w:color w:val="auto"/>
          <w:sz w:val="32"/>
          <w:szCs w:val="40"/>
          <w:highlight w:val="none"/>
          <w:lang w:val="en-US" w:eastAsia="zh-CN"/>
        </w:rPr>
        <w:t>1分标采购需求</w:t>
      </w:r>
    </w:p>
    <w:p w14:paraId="0C73A983">
      <w:pPr>
        <w:pStyle w:val="3"/>
        <w:pageBreakBefore w:val="0"/>
        <w:widowControl w:val="0"/>
        <w:kinsoku/>
        <w:wordWrap/>
        <w:overflowPunct/>
        <w:topLinePunct w:val="0"/>
        <w:bidi w:val="0"/>
        <w:adjustRightInd/>
        <w:spacing w:before="0" w:beforeLines="0" w:beforeAutospacing="0" w:after="0" w:afterLines="0" w:afterAutospacing="0" w:line="500" w:lineRule="exact"/>
        <w:textAlignment w:val="auto"/>
        <w:rPr>
          <w:rFonts w:hint="eastAsia" w:ascii="宋体" w:hAnsi="宋体" w:eastAsia="宋体" w:cs="宋体"/>
          <w:b/>
          <w:bCs/>
          <w:color w:val="auto"/>
          <w:sz w:val="32"/>
          <w:szCs w:val="40"/>
          <w:highlight w:val="none"/>
          <w:lang w:val="en-US" w:eastAsia="zh-CN"/>
        </w:rPr>
      </w:pPr>
      <w:r>
        <w:rPr>
          <w:rFonts w:hint="eastAsia" w:ascii="宋体" w:hAnsi="宋体" w:eastAsia="宋体" w:cs="宋体"/>
          <w:b/>
          <w:bCs/>
          <w:color w:val="auto"/>
          <w:sz w:val="32"/>
          <w:szCs w:val="40"/>
          <w:highlight w:val="none"/>
          <w:lang w:val="en-US" w:eastAsia="zh-CN"/>
        </w:rPr>
        <w:t>一、</w:t>
      </w:r>
      <w:bookmarkEnd w:id="49"/>
      <w:r>
        <w:rPr>
          <w:rFonts w:hint="eastAsia" w:ascii="宋体" w:hAnsi="宋体" w:eastAsia="宋体" w:cs="宋体"/>
          <w:b/>
          <w:bCs/>
          <w:color w:val="auto"/>
          <w:sz w:val="32"/>
          <w:szCs w:val="40"/>
          <w:highlight w:val="none"/>
          <w:lang w:val="en-US" w:eastAsia="zh-CN"/>
        </w:rPr>
        <w:t>服务要求</w:t>
      </w:r>
    </w:p>
    <w:p w14:paraId="36D5B979">
      <w:pPr>
        <w:pageBreakBefore w:val="0"/>
        <w:widowControl w:val="0"/>
        <w:kinsoku/>
        <w:wordWrap/>
        <w:overflowPunct/>
        <w:topLinePunct w:val="0"/>
        <w:bidi w:val="0"/>
        <w:adjustRightInd/>
        <w:spacing w:beforeAutospacing="0" w:line="5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（一）采购内容（包括但不限于以下品种）：</w:t>
      </w:r>
    </w:p>
    <w:tbl>
      <w:tblPr>
        <w:tblStyle w:val="36"/>
        <w:tblpPr w:leftFromText="180" w:rightFromText="180" w:vertAnchor="text" w:horzAnchor="page" w:tblpX="1290" w:tblpY="410"/>
        <w:tblOverlap w:val="never"/>
        <w:tblW w:w="484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7"/>
        <w:gridCol w:w="2791"/>
        <w:gridCol w:w="2004"/>
        <w:gridCol w:w="2989"/>
        <w:gridCol w:w="1000"/>
      </w:tblGrid>
      <w:tr w14:paraId="3CE73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298" w:type="pct"/>
            <w:vAlign w:val="center"/>
          </w:tcPr>
          <w:p w14:paraId="47EF631E">
            <w:pPr>
              <w:jc w:val="center"/>
              <w:rPr>
                <w:rFonts w:hint="eastAsia"/>
                <w:lang w:val="en-US" w:eastAsia="zh-CN"/>
              </w:rPr>
            </w:pPr>
            <w:r>
              <w:rPr>
                <w:rFonts w:hint="eastAsia"/>
                <w:lang w:val="en-US" w:eastAsia="zh-CN"/>
              </w:rPr>
              <w:t>序号</w:t>
            </w:r>
          </w:p>
        </w:tc>
        <w:tc>
          <w:tcPr>
            <w:tcW w:w="1493" w:type="pct"/>
            <w:vAlign w:val="center"/>
          </w:tcPr>
          <w:p w14:paraId="492D6E58">
            <w:pPr>
              <w:jc w:val="center"/>
              <w:rPr>
                <w:rFonts w:hint="eastAsia"/>
                <w:lang w:val="en-US" w:eastAsia="zh-CN"/>
              </w:rPr>
            </w:pPr>
            <w:r>
              <w:rPr>
                <w:rFonts w:hint="eastAsia"/>
                <w:lang w:val="en-US" w:eastAsia="zh-CN"/>
              </w:rPr>
              <w:t>品类名称</w:t>
            </w:r>
          </w:p>
        </w:tc>
        <w:tc>
          <w:tcPr>
            <w:tcW w:w="1072" w:type="pct"/>
            <w:vAlign w:val="center"/>
          </w:tcPr>
          <w:p w14:paraId="22B5C04A">
            <w:pPr>
              <w:jc w:val="center"/>
              <w:rPr>
                <w:rFonts w:hint="eastAsia"/>
                <w:lang w:val="en-US" w:eastAsia="zh-CN"/>
              </w:rPr>
            </w:pPr>
            <w:r>
              <w:rPr>
                <w:rFonts w:hint="eastAsia"/>
                <w:lang w:val="en-US" w:eastAsia="zh-CN"/>
              </w:rPr>
              <w:t>品目分类编码</w:t>
            </w:r>
          </w:p>
        </w:tc>
        <w:tc>
          <w:tcPr>
            <w:tcW w:w="1599" w:type="pct"/>
            <w:vAlign w:val="center"/>
          </w:tcPr>
          <w:p w14:paraId="54D50273">
            <w:pPr>
              <w:jc w:val="center"/>
              <w:rPr>
                <w:rFonts w:hint="eastAsia"/>
                <w:lang w:val="en-US" w:eastAsia="zh-CN"/>
              </w:rPr>
            </w:pPr>
            <w:r>
              <w:rPr>
                <w:rFonts w:hint="eastAsia"/>
                <w:lang w:val="en-US" w:eastAsia="zh-CN"/>
              </w:rPr>
              <w:t>数量</w:t>
            </w:r>
          </w:p>
        </w:tc>
        <w:tc>
          <w:tcPr>
            <w:tcW w:w="535" w:type="pct"/>
            <w:vAlign w:val="center"/>
          </w:tcPr>
          <w:p w14:paraId="0FEC9D5C">
            <w:pPr>
              <w:jc w:val="center"/>
              <w:rPr>
                <w:rFonts w:hint="default"/>
                <w:lang w:val="en-US" w:eastAsia="zh-CN"/>
              </w:rPr>
            </w:pPr>
            <w:r>
              <w:rPr>
                <w:rFonts w:hint="eastAsia"/>
                <w:lang w:val="en-US" w:eastAsia="zh-CN"/>
              </w:rPr>
              <w:t>是否进口</w:t>
            </w:r>
          </w:p>
        </w:tc>
      </w:tr>
      <w:tr w14:paraId="43F3D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298" w:type="pct"/>
            <w:vAlign w:val="center"/>
          </w:tcPr>
          <w:p w14:paraId="73FA6D4E">
            <w:pPr>
              <w:jc w:val="center"/>
              <w:rPr>
                <w:rFonts w:hint="eastAsia"/>
                <w:lang w:val="en-US" w:eastAsia="zh-CN"/>
              </w:rPr>
            </w:pPr>
            <w:r>
              <w:rPr>
                <w:rFonts w:hint="eastAsia"/>
                <w:lang w:val="en-US" w:eastAsia="zh-CN"/>
              </w:rPr>
              <w:t>1</w:t>
            </w:r>
          </w:p>
        </w:tc>
        <w:tc>
          <w:tcPr>
            <w:tcW w:w="1493" w:type="pct"/>
            <w:vAlign w:val="center"/>
          </w:tcPr>
          <w:p w14:paraId="21D63017">
            <w:pPr>
              <w:jc w:val="center"/>
              <w:rPr>
                <w:rFonts w:hint="eastAsia"/>
                <w:lang w:val="en-US" w:eastAsia="zh-CN"/>
              </w:rPr>
            </w:pPr>
            <w:r>
              <w:rPr>
                <w:rFonts w:hint="eastAsia"/>
                <w:lang w:val="en-US" w:eastAsia="zh-CN"/>
              </w:rPr>
              <w:t>面食类</w:t>
            </w:r>
          </w:p>
        </w:tc>
        <w:tc>
          <w:tcPr>
            <w:tcW w:w="1072" w:type="pct"/>
            <w:vAlign w:val="center"/>
          </w:tcPr>
          <w:p w14:paraId="5222D77F">
            <w:pPr>
              <w:jc w:val="center"/>
              <w:rPr>
                <w:rFonts w:hint="eastAsia"/>
                <w:lang w:val="en-US" w:eastAsia="zh-CN"/>
              </w:rPr>
            </w:pPr>
            <w:r>
              <w:rPr>
                <w:rFonts w:hint="eastAsia"/>
                <w:lang w:val="en-US" w:eastAsia="zh-CN"/>
              </w:rPr>
              <w:t>C23130200</w:t>
            </w:r>
          </w:p>
        </w:tc>
        <w:tc>
          <w:tcPr>
            <w:tcW w:w="1599" w:type="pct"/>
            <w:vAlign w:val="center"/>
          </w:tcPr>
          <w:p w14:paraId="4FA731ED">
            <w:pPr>
              <w:jc w:val="center"/>
              <w:rPr>
                <w:rFonts w:hint="eastAsia"/>
                <w:lang w:val="en-US" w:eastAsia="zh-CN"/>
              </w:rPr>
            </w:pPr>
            <w:r>
              <w:rPr>
                <w:rFonts w:hint="eastAsia"/>
                <w:lang w:val="en-US" w:eastAsia="zh-CN"/>
              </w:rPr>
              <w:t>按实际采购数量结算</w:t>
            </w:r>
          </w:p>
        </w:tc>
        <w:tc>
          <w:tcPr>
            <w:tcW w:w="535" w:type="pct"/>
            <w:vAlign w:val="center"/>
          </w:tcPr>
          <w:p w14:paraId="2EB8F73F">
            <w:pPr>
              <w:jc w:val="center"/>
              <w:rPr>
                <w:rFonts w:hint="eastAsia"/>
                <w:lang w:val="en-US" w:eastAsia="zh-CN"/>
              </w:rPr>
            </w:pPr>
            <w:r>
              <w:rPr>
                <w:rFonts w:hint="eastAsia"/>
                <w:lang w:val="en-US" w:eastAsia="zh-CN"/>
              </w:rPr>
              <w:t>否</w:t>
            </w:r>
          </w:p>
        </w:tc>
      </w:tr>
      <w:tr w14:paraId="5E6A2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298" w:type="pct"/>
            <w:vAlign w:val="center"/>
          </w:tcPr>
          <w:p w14:paraId="560EA51F">
            <w:pPr>
              <w:jc w:val="center"/>
              <w:rPr>
                <w:rFonts w:hint="eastAsia"/>
                <w:lang w:val="en-US" w:eastAsia="zh-CN"/>
              </w:rPr>
            </w:pPr>
            <w:r>
              <w:rPr>
                <w:rFonts w:hint="eastAsia"/>
                <w:lang w:val="en-US" w:eastAsia="zh-CN"/>
              </w:rPr>
              <w:t>2</w:t>
            </w:r>
          </w:p>
        </w:tc>
        <w:tc>
          <w:tcPr>
            <w:tcW w:w="1493" w:type="pct"/>
            <w:vAlign w:val="center"/>
          </w:tcPr>
          <w:p w14:paraId="2A6A8766">
            <w:pPr>
              <w:jc w:val="center"/>
              <w:rPr>
                <w:rFonts w:hint="eastAsia"/>
                <w:lang w:val="en-US" w:eastAsia="zh-CN"/>
              </w:rPr>
            </w:pPr>
            <w:r>
              <w:rPr>
                <w:rFonts w:hint="eastAsia"/>
                <w:lang w:val="en-US" w:eastAsia="zh-CN"/>
              </w:rPr>
              <w:t>纯牛奶</w:t>
            </w:r>
          </w:p>
        </w:tc>
        <w:tc>
          <w:tcPr>
            <w:tcW w:w="1072" w:type="pct"/>
            <w:vAlign w:val="center"/>
          </w:tcPr>
          <w:p w14:paraId="69B2684A">
            <w:pPr>
              <w:jc w:val="center"/>
              <w:rPr>
                <w:rFonts w:hint="eastAsia"/>
                <w:lang w:val="en-US" w:eastAsia="zh-CN"/>
              </w:rPr>
            </w:pPr>
            <w:r>
              <w:rPr>
                <w:rFonts w:hint="eastAsia"/>
                <w:lang w:val="en-US" w:eastAsia="zh-CN"/>
              </w:rPr>
              <w:t>C23130200</w:t>
            </w:r>
          </w:p>
        </w:tc>
        <w:tc>
          <w:tcPr>
            <w:tcW w:w="1599" w:type="pct"/>
            <w:vAlign w:val="center"/>
          </w:tcPr>
          <w:p w14:paraId="5AA43F37">
            <w:pPr>
              <w:jc w:val="center"/>
              <w:rPr>
                <w:rFonts w:hint="eastAsia"/>
                <w:lang w:val="en-US" w:eastAsia="zh-CN"/>
              </w:rPr>
            </w:pPr>
            <w:r>
              <w:rPr>
                <w:rFonts w:hint="eastAsia"/>
                <w:lang w:val="en-US" w:eastAsia="zh-CN"/>
              </w:rPr>
              <w:t>按实际采购数量结算</w:t>
            </w:r>
          </w:p>
        </w:tc>
        <w:tc>
          <w:tcPr>
            <w:tcW w:w="535" w:type="pct"/>
            <w:vAlign w:val="center"/>
          </w:tcPr>
          <w:p w14:paraId="04B3F5B0">
            <w:pPr>
              <w:jc w:val="center"/>
              <w:rPr>
                <w:rFonts w:hint="eastAsia"/>
                <w:lang w:val="en-US" w:eastAsia="zh-CN"/>
              </w:rPr>
            </w:pPr>
            <w:r>
              <w:rPr>
                <w:rFonts w:hint="eastAsia"/>
                <w:lang w:val="en-US" w:eastAsia="zh-CN"/>
              </w:rPr>
              <w:t>否</w:t>
            </w:r>
          </w:p>
        </w:tc>
      </w:tr>
      <w:tr w14:paraId="6B1C7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98" w:type="pct"/>
            <w:vAlign w:val="center"/>
          </w:tcPr>
          <w:p w14:paraId="057499D2">
            <w:pPr>
              <w:jc w:val="center"/>
              <w:rPr>
                <w:rFonts w:hint="eastAsia"/>
                <w:lang w:val="en-US" w:eastAsia="zh-CN"/>
              </w:rPr>
            </w:pPr>
            <w:r>
              <w:rPr>
                <w:rFonts w:hint="eastAsia"/>
                <w:lang w:val="en-US" w:eastAsia="zh-CN"/>
              </w:rPr>
              <w:t>3</w:t>
            </w:r>
          </w:p>
        </w:tc>
        <w:tc>
          <w:tcPr>
            <w:tcW w:w="1493" w:type="pct"/>
            <w:vAlign w:val="center"/>
          </w:tcPr>
          <w:p w14:paraId="150C56EA">
            <w:pPr>
              <w:jc w:val="center"/>
              <w:rPr>
                <w:rFonts w:hint="eastAsia"/>
                <w:lang w:val="en-US" w:eastAsia="zh-CN"/>
              </w:rPr>
            </w:pPr>
            <w:r>
              <w:rPr>
                <w:rFonts w:hint="eastAsia"/>
                <w:lang w:val="en-US" w:eastAsia="zh-CN"/>
              </w:rPr>
              <w:t>水果</w:t>
            </w:r>
          </w:p>
        </w:tc>
        <w:tc>
          <w:tcPr>
            <w:tcW w:w="1072" w:type="pct"/>
            <w:vAlign w:val="center"/>
          </w:tcPr>
          <w:p w14:paraId="012F4576">
            <w:pPr>
              <w:jc w:val="center"/>
              <w:rPr>
                <w:rFonts w:hint="eastAsia"/>
                <w:lang w:val="en-US" w:eastAsia="zh-CN"/>
              </w:rPr>
            </w:pPr>
            <w:r>
              <w:rPr>
                <w:rFonts w:hint="eastAsia"/>
                <w:lang w:val="en-US" w:eastAsia="zh-CN"/>
              </w:rPr>
              <w:t>C23130200</w:t>
            </w:r>
          </w:p>
        </w:tc>
        <w:tc>
          <w:tcPr>
            <w:tcW w:w="1599" w:type="pct"/>
            <w:vAlign w:val="center"/>
          </w:tcPr>
          <w:p w14:paraId="64D2A7C2">
            <w:pPr>
              <w:jc w:val="center"/>
              <w:rPr>
                <w:rFonts w:hint="eastAsia"/>
                <w:lang w:val="en-US" w:eastAsia="zh-CN"/>
              </w:rPr>
            </w:pPr>
            <w:r>
              <w:rPr>
                <w:rFonts w:hint="eastAsia"/>
                <w:lang w:val="en-US" w:eastAsia="zh-CN"/>
              </w:rPr>
              <w:t>按实际采购数量结算</w:t>
            </w:r>
          </w:p>
        </w:tc>
        <w:tc>
          <w:tcPr>
            <w:tcW w:w="535" w:type="pct"/>
            <w:vAlign w:val="center"/>
          </w:tcPr>
          <w:p w14:paraId="20C7FC2A">
            <w:pPr>
              <w:jc w:val="center"/>
              <w:rPr>
                <w:rFonts w:hint="eastAsia"/>
                <w:lang w:val="en-US" w:eastAsia="zh-CN"/>
              </w:rPr>
            </w:pPr>
            <w:r>
              <w:rPr>
                <w:rFonts w:hint="eastAsia"/>
                <w:lang w:val="en-US" w:eastAsia="zh-CN"/>
              </w:rPr>
              <w:t>否</w:t>
            </w:r>
          </w:p>
        </w:tc>
      </w:tr>
      <w:tr w14:paraId="3F64B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98" w:type="pct"/>
            <w:vAlign w:val="center"/>
          </w:tcPr>
          <w:p w14:paraId="2651036A">
            <w:pPr>
              <w:jc w:val="center"/>
              <w:rPr>
                <w:rFonts w:hint="eastAsia"/>
                <w:lang w:val="en-US" w:eastAsia="zh-CN"/>
              </w:rPr>
            </w:pPr>
            <w:r>
              <w:rPr>
                <w:rFonts w:hint="eastAsia"/>
                <w:lang w:val="en-US" w:eastAsia="zh-CN"/>
              </w:rPr>
              <w:t>4</w:t>
            </w:r>
          </w:p>
        </w:tc>
        <w:tc>
          <w:tcPr>
            <w:tcW w:w="1493" w:type="pct"/>
            <w:vAlign w:val="center"/>
          </w:tcPr>
          <w:p w14:paraId="2AB571F8">
            <w:pPr>
              <w:jc w:val="center"/>
              <w:rPr>
                <w:rFonts w:hint="eastAsia"/>
                <w:lang w:val="en-US" w:eastAsia="zh-CN"/>
              </w:rPr>
            </w:pPr>
            <w:r>
              <w:rPr>
                <w:rFonts w:hint="eastAsia"/>
                <w:lang w:val="en-US" w:eastAsia="zh-CN"/>
              </w:rPr>
              <w:t>鸡蛋</w:t>
            </w:r>
          </w:p>
        </w:tc>
        <w:tc>
          <w:tcPr>
            <w:tcW w:w="1072" w:type="pct"/>
            <w:vAlign w:val="center"/>
          </w:tcPr>
          <w:p w14:paraId="6E7B9787">
            <w:pPr>
              <w:jc w:val="center"/>
              <w:rPr>
                <w:rFonts w:hint="eastAsia"/>
                <w:lang w:val="en-US" w:eastAsia="zh-CN"/>
              </w:rPr>
            </w:pPr>
            <w:r>
              <w:rPr>
                <w:rFonts w:hint="eastAsia"/>
                <w:lang w:val="en-US" w:eastAsia="zh-CN"/>
              </w:rPr>
              <w:t>C23130200</w:t>
            </w:r>
          </w:p>
        </w:tc>
        <w:tc>
          <w:tcPr>
            <w:tcW w:w="1599" w:type="pct"/>
            <w:vAlign w:val="center"/>
          </w:tcPr>
          <w:p w14:paraId="58BC8026">
            <w:pPr>
              <w:jc w:val="center"/>
              <w:rPr>
                <w:rFonts w:hint="eastAsia"/>
                <w:lang w:val="en-US" w:eastAsia="zh-CN"/>
              </w:rPr>
            </w:pPr>
            <w:r>
              <w:rPr>
                <w:rFonts w:hint="eastAsia"/>
                <w:lang w:val="en-US" w:eastAsia="zh-CN"/>
              </w:rPr>
              <w:t>按实际采购数量结算</w:t>
            </w:r>
          </w:p>
        </w:tc>
        <w:tc>
          <w:tcPr>
            <w:tcW w:w="535" w:type="pct"/>
            <w:vAlign w:val="center"/>
          </w:tcPr>
          <w:p w14:paraId="459C835D">
            <w:pPr>
              <w:jc w:val="center"/>
              <w:rPr>
                <w:rFonts w:hint="eastAsia"/>
                <w:lang w:val="en-US" w:eastAsia="zh-CN"/>
              </w:rPr>
            </w:pPr>
            <w:r>
              <w:rPr>
                <w:rFonts w:hint="eastAsia"/>
                <w:lang w:val="en-US" w:eastAsia="zh-CN"/>
              </w:rPr>
              <w:t>否</w:t>
            </w:r>
          </w:p>
        </w:tc>
      </w:tr>
      <w:tr w14:paraId="70158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98" w:type="pct"/>
            <w:vAlign w:val="center"/>
          </w:tcPr>
          <w:p w14:paraId="1E393DB6">
            <w:pPr>
              <w:jc w:val="center"/>
              <w:rPr>
                <w:rFonts w:hint="eastAsia"/>
                <w:lang w:val="en-US" w:eastAsia="zh-CN"/>
              </w:rPr>
            </w:pPr>
            <w:r>
              <w:rPr>
                <w:rFonts w:hint="eastAsia"/>
                <w:lang w:val="en-US" w:eastAsia="zh-CN"/>
              </w:rPr>
              <w:t>5</w:t>
            </w:r>
          </w:p>
        </w:tc>
        <w:tc>
          <w:tcPr>
            <w:tcW w:w="1493" w:type="pct"/>
            <w:vAlign w:val="center"/>
          </w:tcPr>
          <w:p w14:paraId="055999DE">
            <w:pPr>
              <w:jc w:val="center"/>
              <w:rPr>
                <w:rFonts w:hint="eastAsia"/>
                <w:lang w:val="en-US" w:eastAsia="zh-CN"/>
              </w:rPr>
            </w:pPr>
            <w:r>
              <w:rPr>
                <w:rFonts w:hint="eastAsia"/>
                <w:lang w:val="en-US" w:eastAsia="zh-CN"/>
              </w:rPr>
              <w:t>猪肉、牛肉等生鲜肉</w:t>
            </w:r>
          </w:p>
        </w:tc>
        <w:tc>
          <w:tcPr>
            <w:tcW w:w="1072" w:type="pct"/>
            <w:vAlign w:val="center"/>
          </w:tcPr>
          <w:p w14:paraId="12F4863E">
            <w:pPr>
              <w:jc w:val="center"/>
              <w:rPr>
                <w:rFonts w:hint="eastAsia"/>
                <w:lang w:val="en-US" w:eastAsia="zh-CN"/>
              </w:rPr>
            </w:pPr>
            <w:r>
              <w:rPr>
                <w:rFonts w:hint="eastAsia"/>
                <w:lang w:val="en-US" w:eastAsia="zh-CN"/>
              </w:rPr>
              <w:t>C23130200</w:t>
            </w:r>
          </w:p>
        </w:tc>
        <w:tc>
          <w:tcPr>
            <w:tcW w:w="1599" w:type="pct"/>
            <w:vAlign w:val="center"/>
          </w:tcPr>
          <w:p w14:paraId="5485BB08">
            <w:pPr>
              <w:jc w:val="center"/>
              <w:rPr>
                <w:rFonts w:hint="eastAsia"/>
                <w:lang w:val="en-US" w:eastAsia="zh-CN"/>
              </w:rPr>
            </w:pPr>
            <w:r>
              <w:rPr>
                <w:rFonts w:hint="eastAsia"/>
                <w:lang w:val="en-US" w:eastAsia="zh-CN"/>
              </w:rPr>
              <w:t>按实际采购数量结算</w:t>
            </w:r>
          </w:p>
        </w:tc>
        <w:tc>
          <w:tcPr>
            <w:tcW w:w="535" w:type="pct"/>
            <w:vAlign w:val="center"/>
          </w:tcPr>
          <w:p w14:paraId="25567467">
            <w:pPr>
              <w:jc w:val="center"/>
              <w:rPr>
                <w:rFonts w:hint="eastAsia"/>
                <w:lang w:val="en-US" w:eastAsia="zh-CN"/>
              </w:rPr>
            </w:pPr>
            <w:r>
              <w:rPr>
                <w:rFonts w:hint="eastAsia"/>
                <w:lang w:val="en-US" w:eastAsia="zh-CN"/>
              </w:rPr>
              <w:t>否</w:t>
            </w:r>
          </w:p>
        </w:tc>
      </w:tr>
      <w:tr w14:paraId="5EB6E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298" w:type="pct"/>
            <w:vAlign w:val="center"/>
          </w:tcPr>
          <w:p w14:paraId="67F1F410">
            <w:pPr>
              <w:jc w:val="center"/>
              <w:rPr>
                <w:rFonts w:hint="eastAsia"/>
                <w:lang w:val="en-US" w:eastAsia="zh-CN"/>
              </w:rPr>
            </w:pPr>
            <w:r>
              <w:rPr>
                <w:rFonts w:hint="eastAsia"/>
                <w:lang w:val="en-US" w:eastAsia="zh-CN"/>
              </w:rPr>
              <w:t>6</w:t>
            </w:r>
          </w:p>
        </w:tc>
        <w:tc>
          <w:tcPr>
            <w:tcW w:w="1493" w:type="pct"/>
            <w:vAlign w:val="center"/>
          </w:tcPr>
          <w:p w14:paraId="28308826">
            <w:pPr>
              <w:jc w:val="center"/>
              <w:rPr>
                <w:rFonts w:hint="eastAsia"/>
                <w:lang w:val="en-US" w:eastAsia="zh-CN"/>
              </w:rPr>
            </w:pPr>
            <w:r>
              <w:rPr>
                <w:rFonts w:hint="eastAsia"/>
                <w:lang w:val="en-US" w:eastAsia="zh-CN"/>
              </w:rPr>
              <w:t>鸡鸭肉等家禽</w:t>
            </w:r>
          </w:p>
        </w:tc>
        <w:tc>
          <w:tcPr>
            <w:tcW w:w="1072" w:type="pct"/>
            <w:vAlign w:val="center"/>
          </w:tcPr>
          <w:p w14:paraId="6A13F777">
            <w:pPr>
              <w:jc w:val="center"/>
              <w:rPr>
                <w:rFonts w:hint="eastAsia"/>
                <w:lang w:val="en-US" w:eastAsia="zh-CN"/>
              </w:rPr>
            </w:pPr>
            <w:r>
              <w:rPr>
                <w:rFonts w:hint="eastAsia"/>
                <w:lang w:val="en-US" w:eastAsia="zh-CN"/>
              </w:rPr>
              <w:t>C23130200</w:t>
            </w:r>
          </w:p>
        </w:tc>
        <w:tc>
          <w:tcPr>
            <w:tcW w:w="1599" w:type="pct"/>
            <w:vAlign w:val="center"/>
          </w:tcPr>
          <w:p w14:paraId="0F5BDF88">
            <w:pPr>
              <w:jc w:val="center"/>
              <w:rPr>
                <w:rFonts w:hint="eastAsia"/>
                <w:lang w:val="en-US" w:eastAsia="zh-CN"/>
              </w:rPr>
            </w:pPr>
            <w:r>
              <w:rPr>
                <w:rFonts w:hint="eastAsia"/>
                <w:lang w:val="en-US" w:eastAsia="zh-CN"/>
              </w:rPr>
              <w:t>按实际采购数量结算</w:t>
            </w:r>
          </w:p>
        </w:tc>
        <w:tc>
          <w:tcPr>
            <w:tcW w:w="535" w:type="pct"/>
            <w:vAlign w:val="center"/>
          </w:tcPr>
          <w:p w14:paraId="67B50863">
            <w:pPr>
              <w:jc w:val="center"/>
              <w:rPr>
                <w:rFonts w:hint="eastAsia"/>
                <w:lang w:val="en-US" w:eastAsia="zh-CN"/>
              </w:rPr>
            </w:pPr>
            <w:r>
              <w:rPr>
                <w:rFonts w:hint="eastAsia"/>
                <w:lang w:val="en-US" w:eastAsia="zh-CN"/>
              </w:rPr>
              <w:t>否</w:t>
            </w:r>
          </w:p>
        </w:tc>
      </w:tr>
      <w:tr w14:paraId="57383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98" w:type="pct"/>
            <w:vAlign w:val="center"/>
          </w:tcPr>
          <w:p w14:paraId="1DDB8EC2">
            <w:pPr>
              <w:jc w:val="center"/>
              <w:rPr>
                <w:rFonts w:hint="eastAsia"/>
                <w:lang w:val="en-US" w:eastAsia="zh-CN"/>
              </w:rPr>
            </w:pPr>
            <w:r>
              <w:rPr>
                <w:rFonts w:hint="eastAsia"/>
                <w:lang w:val="en-US" w:eastAsia="zh-CN"/>
              </w:rPr>
              <w:t>7</w:t>
            </w:r>
          </w:p>
        </w:tc>
        <w:tc>
          <w:tcPr>
            <w:tcW w:w="1493" w:type="pct"/>
            <w:vAlign w:val="center"/>
          </w:tcPr>
          <w:p w14:paraId="04FAA466">
            <w:pPr>
              <w:jc w:val="center"/>
              <w:rPr>
                <w:rFonts w:hint="eastAsia"/>
                <w:lang w:val="en-US" w:eastAsia="zh-CN"/>
              </w:rPr>
            </w:pPr>
            <w:r>
              <w:rPr>
                <w:rFonts w:hint="eastAsia"/>
                <w:lang w:val="en-US" w:eastAsia="zh-CN"/>
              </w:rPr>
              <w:t>水产类</w:t>
            </w:r>
          </w:p>
        </w:tc>
        <w:tc>
          <w:tcPr>
            <w:tcW w:w="1072" w:type="pct"/>
            <w:vAlign w:val="center"/>
          </w:tcPr>
          <w:p w14:paraId="3997080D">
            <w:pPr>
              <w:jc w:val="center"/>
              <w:rPr>
                <w:rFonts w:hint="eastAsia"/>
                <w:lang w:val="en-US" w:eastAsia="zh-CN"/>
              </w:rPr>
            </w:pPr>
            <w:r>
              <w:rPr>
                <w:rFonts w:hint="eastAsia"/>
                <w:lang w:val="en-US" w:eastAsia="zh-CN"/>
              </w:rPr>
              <w:t>C23130200</w:t>
            </w:r>
          </w:p>
        </w:tc>
        <w:tc>
          <w:tcPr>
            <w:tcW w:w="1599" w:type="pct"/>
            <w:vAlign w:val="center"/>
          </w:tcPr>
          <w:p w14:paraId="315AC62F">
            <w:pPr>
              <w:jc w:val="center"/>
              <w:rPr>
                <w:rFonts w:hint="eastAsia"/>
                <w:lang w:val="en-US" w:eastAsia="zh-CN"/>
              </w:rPr>
            </w:pPr>
            <w:r>
              <w:rPr>
                <w:rFonts w:hint="eastAsia"/>
                <w:lang w:val="en-US" w:eastAsia="zh-CN"/>
              </w:rPr>
              <w:t>按实际采购数量结算</w:t>
            </w:r>
          </w:p>
        </w:tc>
        <w:tc>
          <w:tcPr>
            <w:tcW w:w="535" w:type="pct"/>
            <w:vAlign w:val="center"/>
          </w:tcPr>
          <w:p w14:paraId="3B2D4C22">
            <w:pPr>
              <w:jc w:val="center"/>
              <w:rPr>
                <w:rFonts w:hint="eastAsia"/>
                <w:lang w:val="en-US" w:eastAsia="zh-CN"/>
              </w:rPr>
            </w:pPr>
            <w:r>
              <w:rPr>
                <w:rFonts w:hint="eastAsia"/>
                <w:lang w:val="en-US" w:eastAsia="zh-CN"/>
              </w:rPr>
              <w:t>否</w:t>
            </w:r>
          </w:p>
        </w:tc>
      </w:tr>
      <w:tr w14:paraId="69AD4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98" w:type="pct"/>
            <w:vAlign w:val="center"/>
          </w:tcPr>
          <w:p w14:paraId="30B489D4">
            <w:pPr>
              <w:jc w:val="center"/>
              <w:rPr>
                <w:rFonts w:hint="eastAsia"/>
                <w:lang w:val="en-US" w:eastAsia="zh-CN"/>
              </w:rPr>
            </w:pPr>
            <w:r>
              <w:rPr>
                <w:rFonts w:hint="eastAsia"/>
                <w:lang w:val="en-US" w:eastAsia="zh-CN"/>
              </w:rPr>
              <w:t>8</w:t>
            </w:r>
          </w:p>
        </w:tc>
        <w:tc>
          <w:tcPr>
            <w:tcW w:w="1493" w:type="pct"/>
            <w:vAlign w:val="center"/>
          </w:tcPr>
          <w:p w14:paraId="7C35E8B2">
            <w:pPr>
              <w:jc w:val="center"/>
              <w:rPr>
                <w:rFonts w:hint="eastAsia"/>
                <w:lang w:val="en-US" w:eastAsia="zh-CN"/>
              </w:rPr>
            </w:pPr>
            <w:r>
              <w:rPr>
                <w:rFonts w:hint="eastAsia"/>
                <w:lang w:val="en-US" w:eastAsia="zh-CN"/>
              </w:rPr>
              <w:t>大米</w:t>
            </w:r>
          </w:p>
        </w:tc>
        <w:tc>
          <w:tcPr>
            <w:tcW w:w="1072" w:type="pct"/>
            <w:vAlign w:val="center"/>
          </w:tcPr>
          <w:p w14:paraId="02494124">
            <w:pPr>
              <w:jc w:val="center"/>
              <w:rPr>
                <w:rFonts w:hint="eastAsia"/>
                <w:lang w:val="en-US" w:eastAsia="zh-CN"/>
              </w:rPr>
            </w:pPr>
            <w:r>
              <w:rPr>
                <w:rFonts w:hint="eastAsia"/>
                <w:lang w:val="en-US" w:eastAsia="zh-CN"/>
              </w:rPr>
              <w:t>C23130200</w:t>
            </w:r>
          </w:p>
        </w:tc>
        <w:tc>
          <w:tcPr>
            <w:tcW w:w="1599" w:type="pct"/>
            <w:vAlign w:val="center"/>
          </w:tcPr>
          <w:p w14:paraId="4C4F1D95">
            <w:pPr>
              <w:jc w:val="center"/>
              <w:rPr>
                <w:rFonts w:hint="eastAsia"/>
                <w:lang w:val="en-US" w:eastAsia="zh-CN"/>
              </w:rPr>
            </w:pPr>
            <w:r>
              <w:rPr>
                <w:rFonts w:hint="eastAsia"/>
                <w:lang w:val="en-US" w:eastAsia="zh-CN"/>
              </w:rPr>
              <w:t>按实际采购数量结算</w:t>
            </w:r>
          </w:p>
        </w:tc>
        <w:tc>
          <w:tcPr>
            <w:tcW w:w="535" w:type="pct"/>
            <w:vAlign w:val="center"/>
          </w:tcPr>
          <w:p w14:paraId="229728B7">
            <w:pPr>
              <w:jc w:val="center"/>
              <w:rPr>
                <w:rFonts w:hint="eastAsia"/>
                <w:lang w:val="en-US" w:eastAsia="zh-CN"/>
              </w:rPr>
            </w:pPr>
            <w:r>
              <w:rPr>
                <w:rFonts w:hint="eastAsia"/>
                <w:lang w:val="en-US" w:eastAsia="zh-CN"/>
              </w:rPr>
              <w:t>否</w:t>
            </w:r>
          </w:p>
        </w:tc>
      </w:tr>
      <w:tr w14:paraId="4C3C9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298" w:type="pct"/>
            <w:vAlign w:val="center"/>
          </w:tcPr>
          <w:p w14:paraId="594DE491">
            <w:pPr>
              <w:jc w:val="center"/>
              <w:rPr>
                <w:rFonts w:hint="eastAsia"/>
                <w:lang w:val="en-US" w:eastAsia="zh-CN"/>
              </w:rPr>
            </w:pPr>
            <w:r>
              <w:rPr>
                <w:rFonts w:hint="eastAsia"/>
                <w:lang w:val="en-US" w:eastAsia="zh-CN"/>
              </w:rPr>
              <w:t>9</w:t>
            </w:r>
          </w:p>
        </w:tc>
        <w:tc>
          <w:tcPr>
            <w:tcW w:w="1493" w:type="pct"/>
            <w:vAlign w:val="center"/>
          </w:tcPr>
          <w:p w14:paraId="450DFBC4">
            <w:pPr>
              <w:jc w:val="center"/>
              <w:rPr>
                <w:rFonts w:hint="eastAsia"/>
                <w:lang w:val="en-US" w:eastAsia="zh-CN"/>
              </w:rPr>
            </w:pPr>
            <w:r>
              <w:rPr>
                <w:rFonts w:hint="eastAsia"/>
                <w:lang w:val="en-US" w:eastAsia="zh-CN"/>
              </w:rPr>
              <w:t>花生油、调和油</w:t>
            </w:r>
          </w:p>
        </w:tc>
        <w:tc>
          <w:tcPr>
            <w:tcW w:w="1072" w:type="pct"/>
            <w:vAlign w:val="center"/>
          </w:tcPr>
          <w:p w14:paraId="625DE6DC">
            <w:pPr>
              <w:jc w:val="center"/>
              <w:rPr>
                <w:rFonts w:hint="eastAsia"/>
                <w:lang w:val="en-US" w:eastAsia="zh-CN"/>
              </w:rPr>
            </w:pPr>
            <w:r>
              <w:rPr>
                <w:rFonts w:hint="eastAsia"/>
                <w:lang w:val="en-US" w:eastAsia="zh-CN"/>
              </w:rPr>
              <w:t>C23130200</w:t>
            </w:r>
          </w:p>
        </w:tc>
        <w:tc>
          <w:tcPr>
            <w:tcW w:w="1599" w:type="pct"/>
            <w:vAlign w:val="center"/>
          </w:tcPr>
          <w:p w14:paraId="697EADA6">
            <w:pPr>
              <w:jc w:val="center"/>
              <w:rPr>
                <w:rFonts w:hint="eastAsia"/>
                <w:lang w:val="en-US" w:eastAsia="zh-CN"/>
              </w:rPr>
            </w:pPr>
            <w:r>
              <w:rPr>
                <w:rFonts w:hint="eastAsia"/>
                <w:lang w:val="en-US" w:eastAsia="zh-CN"/>
              </w:rPr>
              <w:t>按实际采购数量结算</w:t>
            </w:r>
          </w:p>
        </w:tc>
        <w:tc>
          <w:tcPr>
            <w:tcW w:w="535" w:type="pct"/>
            <w:vAlign w:val="center"/>
          </w:tcPr>
          <w:p w14:paraId="2A1B6FCA">
            <w:pPr>
              <w:jc w:val="center"/>
              <w:rPr>
                <w:rFonts w:hint="eastAsia"/>
                <w:lang w:val="en-US" w:eastAsia="zh-CN"/>
              </w:rPr>
            </w:pPr>
            <w:r>
              <w:rPr>
                <w:rFonts w:hint="eastAsia"/>
                <w:lang w:val="en-US" w:eastAsia="zh-CN"/>
              </w:rPr>
              <w:t>否</w:t>
            </w:r>
          </w:p>
        </w:tc>
      </w:tr>
      <w:tr w14:paraId="51F48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298" w:type="pct"/>
            <w:vAlign w:val="center"/>
          </w:tcPr>
          <w:p w14:paraId="7CF753EF">
            <w:pPr>
              <w:jc w:val="center"/>
              <w:rPr>
                <w:rFonts w:hint="eastAsia"/>
                <w:lang w:val="en-US" w:eastAsia="zh-CN"/>
              </w:rPr>
            </w:pPr>
            <w:r>
              <w:rPr>
                <w:rFonts w:hint="eastAsia"/>
                <w:lang w:val="en-US" w:eastAsia="zh-CN"/>
              </w:rPr>
              <w:t>10</w:t>
            </w:r>
          </w:p>
        </w:tc>
        <w:tc>
          <w:tcPr>
            <w:tcW w:w="1493" w:type="pct"/>
            <w:vAlign w:val="center"/>
          </w:tcPr>
          <w:p w14:paraId="0DF246F0">
            <w:pPr>
              <w:jc w:val="center"/>
              <w:rPr>
                <w:rFonts w:hint="eastAsia"/>
                <w:lang w:val="en-US" w:eastAsia="zh-CN"/>
              </w:rPr>
            </w:pPr>
            <w:r>
              <w:rPr>
                <w:rFonts w:hint="eastAsia"/>
                <w:lang w:val="en-US" w:eastAsia="zh-CN"/>
              </w:rPr>
              <w:t>调味品、干杂货食品等</w:t>
            </w:r>
          </w:p>
        </w:tc>
        <w:tc>
          <w:tcPr>
            <w:tcW w:w="1072" w:type="pct"/>
            <w:vAlign w:val="center"/>
          </w:tcPr>
          <w:p w14:paraId="270DC6C4">
            <w:pPr>
              <w:jc w:val="center"/>
              <w:rPr>
                <w:rFonts w:hint="eastAsia"/>
                <w:lang w:val="en-US" w:eastAsia="zh-CN"/>
              </w:rPr>
            </w:pPr>
            <w:r>
              <w:rPr>
                <w:rFonts w:hint="eastAsia"/>
                <w:lang w:val="en-US" w:eastAsia="zh-CN"/>
              </w:rPr>
              <w:t>C23130200</w:t>
            </w:r>
          </w:p>
        </w:tc>
        <w:tc>
          <w:tcPr>
            <w:tcW w:w="1599" w:type="pct"/>
            <w:vAlign w:val="center"/>
          </w:tcPr>
          <w:p w14:paraId="3ECFE18B">
            <w:pPr>
              <w:jc w:val="center"/>
              <w:rPr>
                <w:rFonts w:hint="eastAsia"/>
                <w:lang w:val="en-US" w:eastAsia="zh-CN"/>
              </w:rPr>
            </w:pPr>
            <w:r>
              <w:rPr>
                <w:rFonts w:hint="eastAsia"/>
                <w:lang w:val="en-US" w:eastAsia="zh-CN"/>
              </w:rPr>
              <w:t>按实际采购数最结算</w:t>
            </w:r>
          </w:p>
        </w:tc>
        <w:tc>
          <w:tcPr>
            <w:tcW w:w="535" w:type="pct"/>
            <w:vAlign w:val="center"/>
          </w:tcPr>
          <w:p w14:paraId="6938A980">
            <w:pPr>
              <w:jc w:val="center"/>
              <w:rPr>
                <w:rFonts w:hint="eastAsia"/>
                <w:lang w:val="en-US" w:eastAsia="zh-CN"/>
              </w:rPr>
            </w:pPr>
            <w:r>
              <w:rPr>
                <w:rFonts w:hint="eastAsia"/>
                <w:lang w:val="en-US" w:eastAsia="zh-CN"/>
              </w:rPr>
              <w:t>否</w:t>
            </w:r>
          </w:p>
        </w:tc>
      </w:tr>
      <w:tr w14:paraId="511D2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298" w:type="pct"/>
            <w:vAlign w:val="center"/>
          </w:tcPr>
          <w:p w14:paraId="7343AF88">
            <w:pPr>
              <w:jc w:val="center"/>
              <w:rPr>
                <w:rFonts w:hint="eastAsia"/>
                <w:lang w:val="en-US" w:eastAsia="zh-CN"/>
              </w:rPr>
            </w:pPr>
            <w:r>
              <w:rPr>
                <w:rFonts w:hint="eastAsia"/>
                <w:lang w:val="en-US" w:eastAsia="zh-CN"/>
              </w:rPr>
              <w:t>11</w:t>
            </w:r>
          </w:p>
        </w:tc>
        <w:tc>
          <w:tcPr>
            <w:tcW w:w="1493" w:type="pct"/>
            <w:vAlign w:val="center"/>
          </w:tcPr>
          <w:p w14:paraId="214BF74D">
            <w:pPr>
              <w:jc w:val="center"/>
              <w:rPr>
                <w:rFonts w:hint="eastAsia"/>
                <w:lang w:val="en-US" w:eastAsia="zh-CN"/>
              </w:rPr>
            </w:pPr>
            <w:r>
              <w:rPr>
                <w:rFonts w:hint="eastAsia"/>
                <w:lang w:val="en-US" w:eastAsia="zh-CN"/>
              </w:rPr>
              <w:t>豆制品</w:t>
            </w:r>
          </w:p>
        </w:tc>
        <w:tc>
          <w:tcPr>
            <w:tcW w:w="1072" w:type="pct"/>
            <w:vAlign w:val="center"/>
          </w:tcPr>
          <w:p w14:paraId="2A86DC8D">
            <w:pPr>
              <w:jc w:val="center"/>
              <w:rPr>
                <w:rFonts w:hint="eastAsia"/>
                <w:lang w:val="en-US" w:eastAsia="zh-CN"/>
              </w:rPr>
            </w:pPr>
            <w:r>
              <w:rPr>
                <w:rFonts w:hint="eastAsia"/>
                <w:lang w:val="en-US" w:eastAsia="zh-CN"/>
              </w:rPr>
              <w:t>C23130200</w:t>
            </w:r>
          </w:p>
        </w:tc>
        <w:tc>
          <w:tcPr>
            <w:tcW w:w="1599" w:type="pct"/>
            <w:vAlign w:val="center"/>
          </w:tcPr>
          <w:p w14:paraId="235419F9">
            <w:pPr>
              <w:jc w:val="center"/>
              <w:rPr>
                <w:rFonts w:hint="eastAsia"/>
                <w:lang w:val="en-US" w:eastAsia="zh-CN"/>
              </w:rPr>
            </w:pPr>
            <w:r>
              <w:rPr>
                <w:rFonts w:hint="eastAsia"/>
                <w:lang w:val="en-US" w:eastAsia="zh-CN"/>
              </w:rPr>
              <w:t>按实际采购数最结算</w:t>
            </w:r>
          </w:p>
        </w:tc>
        <w:tc>
          <w:tcPr>
            <w:tcW w:w="535" w:type="pct"/>
            <w:vAlign w:val="center"/>
          </w:tcPr>
          <w:p w14:paraId="368F17BB">
            <w:pPr>
              <w:jc w:val="center"/>
              <w:rPr>
                <w:rFonts w:hint="eastAsia"/>
                <w:lang w:val="en-US" w:eastAsia="zh-CN"/>
              </w:rPr>
            </w:pPr>
            <w:r>
              <w:rPr>
                <w:rFonts w:hint="eastAsia"/>
                <w:lang w:val="en-US" w:eastAsia="zh-CN"/>
              </w:rPr>
              <w:t>否</w:t>
            </w:r>
          </w:p>
        </w:tc>
      </w:tr>
      <w:tr w14:paraId="74F2A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298" w:type="pct"/>
            <w:vAlign w:val="center"/>
          </w:tcPr>
          <w:p w14:paraId="50C09525">
            <w:pPr>
              <w:jc w:val="center"/>
              <w:rPr>
                <w:rFonts w:hint="eastAsia"/>
                <w:lang w:val="en-US" w:eastAsia="zh-CN"/>
              </w:rPr>
            </w:pPr>
            <w:r>
              <w:rPr>
                <w:rFonts w:hint="eastAsia"/>
                <w:lang w:val="en-US" w:eastAsia="zh-CN"/>
              </w:rPr>
              <w:t>12</w:t>
            </w:r>
          </w:p>
        </w:tc>
        <w:tc>
          <w:tcPr>
            <w:tcW w:w="1493" w:type="pct"/>
            <w:vAlign w:val="center"/>
          </w:tcPr>
          <w:p w14:paraId="47466E2D">
            <w:pPr>
              <w:jc w:val="center"/>
              <w:rPr>
                <w:rFonts w:hint="eastAsia"/>
                <w:lang w:val="en-US" w:eastAsia="zh-CN"/>
              </w:rPr>
            </w:pPr>
            <w:r>
              <w:rPr>
                <w:rFonts w:hint="eastAsia"/>
                <w:lang w:val="en-US" w:eastAsia="zh-CN"/>
              </w:rPr>
              <w:t>蔬菜类</w:t>
            </w:r>
          </w:p>
        </w:tc>
        <w:tc>
          <w:tcPr>
            <w:tcW w:w="1072" w:type="pct"/>
            <w:vAlign w:val="center"/>
          </w:tcPr>
          <w:p w14:paraId="6C5C9956">
            <w:pPr>
              <w:jc w:val="center"/>
              <w:rPr>
                <w:rFonts w:hint="eastAsia"/>
                <w:lang w:val="en-US" w:eastAsia="zh-CN"/>
              </w:rPr>
            </w:pPr>
            <w:r>
              <w:rPr>
                <w:rFonts w:hint="eastAsia"/>
                <w:lang w:val="en-US" w:eastAsia="zh-CN"/>
              </w:rPr>
              <w:t>C23130200</w:t>
            </w:r>
          </w:p>
        </w:tc>
        <w:tc>
          <w:tcPr>
            <w:tcW w:w="1599" w:type="pct"/>
            <w:vAlign w:val="center"/>
          </w:tcPr>
          <w:p w14:paraId="5408C0F4">
            <w:pPr>
              <w:jc w:val="center"/>
              <w:rPr>
                <w:rFonts w:hint="eastAsia"/>
                <w:lang w:val="en-US" w:eastAsia="zh-CN"/>
              </w:rPr>
            </w:pPr>
            <w:r>
              <w:rPr>
                <w:rFonts w:hint="eastAsia"/>
                <w:lang w:val="en-US" w:eastAsia="zh-CN"/>
              </w:rPr>
              <w:t>按实际采购数量结算</w:t>
            </w:r>
          </w:p>
        </w:tc>
        <w:tc>
          <w:tcPr>
            <w:tcW w:w="535" w:type="pct"/>
            <w:vAlign w:val="center"/>
          </w:tcPr>
          <w:p w14:paraId="65DB737D">
            <w:pPr>
              <w:jc w:val="center"/>
              <w:rPr>
                <w:rFonts w:hint="eastAsia"/>
                <w:lang w:val="en-US" w:eastAsia="zh-CN"/>
              </w:rPr>
            </w:pPr>
            <w:r>
              <w:rPr>
                <w:rFonts w:hint="eastAsia"/>
                <w:lang w:val="en-US" w:eastAsia="zh-CN"/>
              </w:rPr>
              <w:t>否</w:t>
            </w:r>
          </w:p>
        </w:tc>
      </w:tr>
      <w:tr w14:paraId="35EF8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298" w:type="pct"/>
            <w:vAlign w:val="center"/>
          </w:tcPr>
          <w:p w14:paraId="1F2D48AC">
            <w:pPr>
              <w:jc w:val="center"/>
              <w:rPr>
                <w:rFonts w:hint="eastAsia"/>
                <w:lang w:val="en-US" w:eastAsia="zh-CN"/>
              </w:rPr>
            </w:pPr>
            <w:r>
              <w:rPr>
                <w:rFonts w:hint="eastAsia"/>
                <w:lang w:val="en-US" w:eastAsia="zh-CN"/>
              </w:rPr>
              <w:t>13</w:t>
            </w:r>
          </w:p>
        </w:tc>
        <w:tc>
          <w:tcPr>
            <w:tcW w:w="1493" w:type="pct"/>
            <w:vAlign w:val="center"/>
          </w:tcPr>
          <w:p w14:paraId="4741249D">
            <w:pPr>
              <w:jc w:val="center"/>
              <w:rPr>
                <w:rFonts w:hint="eastAsia"/>
                <w:lang w:val="en-US" w:eastAsia="zh-CN"/>
              </w:rPr>
            </w:pPr>
            <w:r>
              <w:rPr>
                <w:rFonts w:hint="eastAsia"/>
                <w:lang w:val="en-US" w:eastAsia="zh-CN"/>
              </w:rPr>
              <w:t>糕点类、粉类</w:t>
            </w:r>
          </w:p>
        </w:tc>
        <w:tc>
          <w:tcPr>
            <w:tcW w:w="1072" w:type="pct"/>
            <w:vAlign w:val="center"/>
          </w:tcPr>
          <w:p w14:paraId="5C50D22A">
            <w:pPr>
              <w:jc w:val="center"/>
              <w:rPr>
                <w:rFonts w:hint="eastAsia"/>
                <w:lang w:val="en-US" w:eastAsia="zh-CN"/>
              </w:rPr>
            </w:pPr>
            <w:r>
              <w:rPr>
                <w:rFonts w:hint="eastAsia"/>
                <w:lang w:val="en-US" w:eastAsia="zh-CN"/>
              </w:rPr>
              <w:t>C23130200</w:t>
            </w:r>
          </w:p>
        </w:tc>
        <w:tc>
          <w:tcPr>
            <w:tcW w:w="1599" w:type="pct"/>
            <w:vAlign w:val="center"/>
          </w:tcPr>
          <w:p w14:paraId="664231A4">
            <w:pPr>
              <w:jc w:val="center"/>
              <w:rPr>
                <w:rFonts w:hint="eastAsia"/>
                <w:lang w:val="en-US" w:eastAsia="zh-CN"/>
              </w:rPr>
            </w:pPr>
            <w:r>
              <w:rPr>
                <w:rFonts w:hint="eastAsia"/>
                <w:lang w:val="en-US" w:eastAsia="zh-CN"/>
              </w:rPr>
              <w:t>按实际采购数量结算</w:t>
            </w:r>
          </w:p>
        </w:tc>
        <w:tc>
          <w:tcPr>
            <w:tcW w:w="535" w:type="pct"/>
            <w:vAlign w:val="center"/>
          </w:tcPr>
          <w:p w14:paraId="4C836CB5">
            <w:pPr>
              <w:jc w:val="center"/>
              <w:rPr>
                <w:rFonts w:hint="eastAsia"/>
                <w:lang w:val="en-US" w:eastAsia="zh-CN"/>
              </w:rPr>
            </w:pPr>
            <w:r>
              <w:rPr>
                <w:rFonts w:hint="eastAsia"/>
                <w:lang w:val="en-US" w:eastAsia="zh-CN"/>
              </w:rPr>
              <w:t>否</w:t>
            </w:r>
          </w:p>
        </w:tc>
      </w:tr>
    </w:tbl>
    <w:p w14:paraId="5E9E4BE8">
      <w:pP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br w:type="page"/>
      </w:r>
    </w:p>
    <w:p w14:paraId="7E8E046E">
      <w:pPr>
        <w:pageBreakBefore w:val="0"/>
        <w:widowControl w:val="0"/>
        <w:kinsoku/>
        <w:wordWrap/>
        <w:overflowPunct/>
        <w:topLinePunct w:val="0"/>
        <w:bidi w:val="0"/>
        <w:adjustRightInd/>
        <w:spacing w:beforeAutospacing="0" w:line="500" w:lineRule="exact"/>
        <w:textAlignment w:val="auto"/>
        <w:rPr>
          <w:rFonts w:hint="eastAsia" w:ascii="宋体" w:hAnsi="宋体" w:eastAsia="宋体" w:cs="宋体"/>
          <w:b/>
          <w:bCs/>
          <w:color w:val="auto"/>
          <w:highlight w:val="none"/>
          <w:lang w:val="en-US" w:eastAsia="zh-CN"/>
        </w:rPr>
      </w:pPr>
    </w:p>
    <w:p w14:paraId="427830A8">
      <w:pPr>
        <w:pageBreakBefore w:val="0"/>
        <w:widowControl w:val="0"/>
        <w:kinsoku/>
        <w:wordWrap/>
        <w:overflowPunct/>
        <w:topLinePunct w:val="0"/>
        <w:bidi w:val="0"/>
        <w:adjustRightInd/>
        <w:spacing w:line="5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（二）执行标准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7906"/>
      </w:tblGrid>
      <w:tr w14:paraId="3515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center"/>
          </w:tcPr>
          <w:p w14:paraId="7128437E">
            <w:pPr>
              <w:pageBreakBefore w:val="0"/>
              <w:widowControl w:val="0"/>
              <w:kinsoku/>
              <w:wordWrap/>
              <w:overflowPunct/>
              <w:topLinePunct w:val="0"/>
              <w:bidi w:val="0"/>
              <w:adjustRightInd/>
              <w:spacing w:line="500" w:lineRule="exact"/>
              <w:ind w:right="165"/>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食品名称</w:t>
            </w:r>
          </w:p>
        </w:tc>
        <w:tc>
          <w:tcPr>
            <w:tcW w:w="7906" w:type="dxa"/>
            <w:shd w:val="clear" w:color="auto" w:fill="auto"/>
            <w:noWrap w:val="0"/>
            <w:vAlign w:val="center"/>
          </w:tcPr>
          <w:p w14:paraId="17437E4E">
            <w:pPr>
              <w:pageBreakBefore w:val="0"/>
              <w:widowControl w:val="0"/>
              <w:kinsoku/>
              <w:wordWrap/>
              <w:overflowPunct/>
              <w:topLinePunct w:val="0"/>
              <w:bidi w:val="0"/>
              <w:adjustRightInd/>
              <w:spacing w:line="500" w:lineRule="exact"/>
              <w:ind w:right="165"/>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执行标准</w:t>
            </w:r>
          </w:p>
        </w:tc>
      </w:tr>
      <w:tr w14:paraId="4057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39BD7687">
            <w:pPr>
              <w:spacing w:line="360" w:lineRule="auto"/>
              <w:jc w:val="center"/>
              <w:rPr>
                <w:rFonts w:hint="eastAsia" w:ascii="宋体" w:hAnsi="宋体" w:eastAsia="宋体" w:cs="宋体"/>
                <w:color w:val="auto"/>
                <w:spacing w:val="-3"/>
                <w:sz w:val="22"/>
                <w:szCs w:val="22"/>
              </w:rPr>
            </w:pPr>
          </w:p>
          <w:p w14:paraId="491CFA07">
            <w:pPr>
              <w:spacing w:line="360" w:lineRule="auto"/>
              <w:jc w:val="center"/>
              <w:rPr>
                <w:rFonts w:hint="eastAsia" w:ascii="宋体" w:hAnsi="宋体" w:eastAsia="宋体" w:cs="宋体"/>
                <w:color w:val="auto"/>
                <w:spacing w:val="-3"/>
                <w:sz w:val="22"/>
                <w:szCs w:val="22"/>
              </w:rPr>
            </w:pPr>
          </w:p>
          <w:p w14:paraId="17B107C5">
            <w:pPr>
              <w:spacing w:line="360" w:lineRule="auto"/>
              <w:jc w:val="center"/>
              <w:rPr>
                <w:rFonts w:hint="eastAsia" w:ascii="宋体" w:hAnsi="宋体" w:eastAsia="宋体" w:cs="宋体"/>
                <w:color w:val="auto"/>
                <w:spacing w:val="-3"/>
                <w:sz w:val="22"/>
                <w:szCs w:val="22"/>
              </w:rPr>
            </w:pPr>
          </w:p>
          <w:p w14:paraId="47B75253">
            <w:pPr>
              <w:spacing w:line="360" w:lineRule="auto"/>
              <w:jc w:val="center"/>
              <w:rPr>
                <w:rFonts w:hint="eastAsia" w:ascii="宋体" w:hAnsi="宋体" w:eastAsia="宋体" w:cs="宋体"/>
                <w:color w:val="auto"/>
                <w:spacing w:val="-3"/>
                <w:sz w:val="22"/>
                <w:szCs w:val="22"/>
              </w:rPr>
            </w:pPr>
          </w:p>
          <w:p w14:paraId="23DA88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pacing w:val="-3"/>
                <w:sz w:val="22"/>
                <w:szCs w:val="22"/>
              </w:rPr>
              <w:t>面食类</w:t>
            </w:r>
          </w:p>
        </w:tc>
        <w:tc>
          <w:tcPr>
            <w:tcW w:w="7906" w:type="dxa"/>
            <w:shd w:val="clear" w:color="auto" w:fill="auto"/>
            <w:noWrap w:val="0"/>
            <w:vAlign w:val="top"/>
          </w:tcPr>
          <w:p w14:paraId="1A18403A">
            <w:pPr>
              <w:spacing w:line="360" w:lineRule="auto"/>
              <w:rPr>
                <w:rFonts w:hint="eastAsia"/>
                <w:color w:val="auto"/>
                <w:sz w:val="22"/>
                <w:szCs w:val="22"/>
                <w:vertAlign w:val="baseline"/>
              </w:rPr>
            </w:pPr>
            <w:r>
              <w:rPr>
                <w:rFonts w:hint="eastAsia"/>
                <w:color w:val="auto"/>
                <w:sz w:val="22"/>
                <w:szCs w:val="22"/>
                <w:vertAlign w:val="baseline"/>
              </w:rPr>
              <w:t>1、采购需求</w:t>
            </w:r>
          </w:p>
          <w:p w14:paraId="1ADFE6F7">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514485E1">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112FDFA4">
            <w:pPr>
              <w:spacing w:line="360" w:lineRule="auto"/>
              <w:rPr>
                <w:rFonts w:hint="eastAsia"/>
                <w:color w:val="auto"/>
                <w:sz w:val="22"/>
                <w:szCs w:val="22"/>
                <w:vertAlign w:val="baseline"/>
              </w:rPr>
            </w:pPr>
            <w:r>
              <w:rPr>
                <w:rFonts w:hint="eastAsia"/>
                <w:color w:val="auto"/>
                <w:sz w:val="22"/>
                <w:szCs w:val="22"/>
                <w:vertAlign w:val="baseline"/>
              </w:rPr>
              <w:t>▲2、质量要求</w:t>
            </w:r>
          </w:p>
          <w:p w14:paraId="132E2589">
            <w:pPr>
              <w:spacing w:line="360" w:lineRule="auto"/>
              <w:rPr>
                <w:rFonts w:hint="eastAsia" w:ascii="宋体" w:hAnsi="宋体" w:eastAsia="宋体" w:cs="宋体"/>
                <w:color w:val="auto"/>
                <w:szCs w:val="21"/>
                <w:highlight w:val="none"/>
              </w:rPr>
            </w:pPr>
            <w:r>
              <w:rPr>
                <w:rFonts w:hint="eastAsia"/>
                <w:color w:val="auto"/>
                <w:sz w:val="22"/>
                <w:szCs w:val="22"/>
                <w:vertAlign w:val="baseline"/>
              </w:rPr>
              <w:t>(1)应该色泽均匀，无杂质、结块或发霉现象，</w:t>
            </w:r>
            <w:r>
              <w:rPr>
                <w:rFonts w:hint="eastAsia"/>
                <w:color w:val="auto"/>
                <w:sz w:val="22"/>
                <w:szCs w:val="22"/>
                <w:vertAlign w:val="baseline"/>
                <w:lang w:eastAsia="zh-CN"/>
              </w:rPr>
              <w:t>具有该粮食产品天然的香味</w:t>
            </w:r>
            <w:r>
              <w:rPr>
                <w:rFonts w:hint="eastAsia"/>
                <w:color w:val="auto"/>
                <w:sz w:val="22"/>
                <w:szCs w:val="22"/>
                <w:vertAlign w:val="baseline"/>
              </w:rPr>
              <w:t>，没有异味或发酸的气味；应该由纯正的</w:t>
            </w:r>
            <w:r>
              <w:rPr>
                <w:rFonts w:hint="eastAsia"/>
                <w:color w:val="auto"/>
                <w:sz w:val="22"/>
                <w:szCs w:val="22"/>
                <w:vertAlign w:val="baseline"/>
                <w:lang w:eastAsia="zh-CN"/>
              </w:rPr>
              <w:t>该产品制成</w:t>
            </w:r>
            <w:r>
              <w:rPr>
                <w:rFonts w:hint="eastAsia"/>
                <w:color w:val="auto"/>
                <w:sz w:val="22"/>
                <w:szCs w:val="22"/>
                <w:vertAlign w:val="baseline"/>
              </w:rPr>
              <w:t>，不应该添加其他杂质或添加剂。产品包装要求机械封装，印上产品名称及生产日期和保质期，产品要求为即产即销。</w:t>
            </w:r>
          </w:p>
        </w:tc>
      </w:tr>
      <w:tr w14:paraId="28BA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6B3E4D53">
            <w:pPr>
              <w:spacing w:line="360" w:lineRule="auto"/>
              <w:jc w:val="center"/>
              <w:rPr>
                <w:rFonts w:hint="eastAsia" w:ascii="宋体" w:hAnsi="宋体" w:eastAsia="宋体" w:cs="宋体"/>
                <w:color w:val="auto"/>
                <w:spacing w:val="3"/>
                <w:sz w:val="22"/>
                <w:szCs w:val="22"/>
              </w:rPr>
            </w:pPr>
          </w:p>
          <w:p w14:paraId="6A04A27A">
            <w:pPr>
              <w:spacing w:line="360" w:lineRule="auto"/>
              <w:jc w:val="center"/>
              <w:rPr>
                <w:rFonts w:hint="eastAsia" w:ascii="宋体" w:hAnsi="宋体" w:eastAsia="宋体" w:cs="宋体"/>
                <w:color w:val="auto"/>
                <w:spacing w:val="3"/>
                <w:sz w:val="22"/>
                <w:szCs w:val="22"/>
              </w:rPr>
            </w:pPr>
          </w:p>
          <w:p w14:paraId="640911A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pacing w:val="3"/>
                <w:sz w:val="22"/>
                <w:szCs w:val="22"/>
              </w:rPr>
              <w:t>纯牛奶</w:t>
            </w:r>
          </w:p>
        </w:tc>
        <w:tc>
          <w:tcPr>
            <w:tcW w:w="7906" w:type="dxa"/>
            <w:shd w:val="clear" w:color="auto" w:fill="auto"/>
            <w:noWrap w:val="0"/>
            <w:vAlign w:val="top"/>
          </w:tcPr>
          <w:p w14:paraId="5A902728">
            <w:pPr>
              <w:spacing w:line="360" w:lineRule="auto"/>
              <w:rPr>
                <w:rFonts w:hint="eastAsia"/>
                <w:color w:val="auto"/>
                <w:sz w:val="22"/>
                <w:szCs w:val="22"/>
                <w:vertAlign w:val="baseline"/>
              </w:rPr>
            </w:pPr>
            <w:r>
              <w:rPr>
                <w:rFonts w:hint="eastAsia"/>
                <w:color w:val="auto"/>
                <w:sz w:val="22"/>
                <w:szCs w:val="22"/>
                <w:vertAlign w:val="baseline"/>
              </w:rPr>
              <w:t>1、采购需求</w:t>
            </w:r>
          </w:p>
          <w:p w14:paraId="0021DBD8">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6B34ACCF">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538D71C9">
            <w:pPr>
              <w:spacing w:line="360" w:lineRule="auto"/>
              <w:rPr>
                <w:rFonts w:hint="eastAsia" w:eastAsiaTheme="minorEastAsia"/>
                <w:color w:val="auto"/>
                <w:sz w:val="22"/>
                <w:szCs w:val="22"/>
                <w:vertAlign w:val="baseline"/>
                <w:lang w:eastAsia="zh-CN"/>
              </w:rPr>
            </w:pPr>
            <w:r>
              <w:rPr>
                <w:rFonts w:hint="eastAsia"/>
                <w:color w:val="auto"/>
                <w:sz w:val="22"/>
                <w:szCs w:val="22"/>
                <w:vertAlign w:val="baseline"/>
              </w:rPr>
              <w:t>▲2、</w:t>
            </w:r>
            <w:r>
              <w:rPr>
                <w:rFonts w:hint="eastAsia"/>
                <w:color w:val="auto"/>
                <w:sz w:val="22"/>
                <w:szCs w:val="22"/>
                <w:vertAlign w:val="baseline"/>
                <w:lang w:eastAsia="zh-CN"/>
              </w:rPr>
              <w:t>质量要求</w:t>
            </w:r>
          </w:p>
          <w:p w14:paraId="4938B96B">
            <w:pPr>
              <w:spacing w:line="360" w:lineRule="auto"/>
              <w:rPr>
                <w:rFonts w:hint="eastAsia"/>
                <w:color w:val="auto"/>
                <w:sz w:val="22"/>
                <w:szCs w:val="22"/>
                <w:vertAlign w:val="baseline"/>
              </w:rPr>
            </w:pPr>
            <w:r>
              <w:rPr>
                <w:rFonts w:hint="eastAsia"/>
                <w:color w:val="auto"/>
                <w:sz w:val="22"/>
                <w:szCs w:val="22"/>
                <w:vertAlign w:val="baseline"/>
              </w:rPr>
              <w:t>(1)需符合国家相关标准(如GB25190《食品安全国家标准灭菌乳》等。</w:t>
            </w:r>
          </w:p>
          <w:p w14:paraId="3A28D771">
            <w:pPr>
              <w:spacing w:line="360" w:lineRule="auto"/>
              <w:rPr>
                <w:rFonts w:hint="eastAsia"/>
                <w:color w:val="auto"/>
                <w:sz w:val="22"/>
                <w:szCs w:val="22"/>
                <w:vertAlign w:val="baseline"/>
              </w:rPr>
            </w:pPr>
            <w:r>
              <w:rPr>
                <w:rFonts w:hint="eastAsia"/>
                <w:color w:val="auto"/>
                <w:sz w:val="22"/>
                <w:szCs w:val="22"/>
                <w:vertAlign w:val="baseline"/>
              </w:rPr>
              <w:t>(2)原料奶必须来自健康无病的奶牛，不得使用任何激素、抗生素、残留超</w:t>
            </w:r>
            <w:r>
              <w:rPr>
                <w:rFonts w:hint="eastAsia"/>
                <w:color w:val="auto"/>
                <w:sz w:val="22"/>
                <w:szCs w:val="22"/>
                <w:vertAlign w:val="baseline"/>
                <w:lang w:eastAsia="zh-CN"/>
              </w:rPr>
              <w:t>品类</w:t>
            </w:r>
            <w:r>
              <w:rPr>
                <w:rFonts w:hint="eastAsia"/>
                <w:color w:val="auto"/>
                <w:sz w:val="22"/>
                <w:szCs w:val="22"/>
                <w:vertAlign w:val="baseline"/>
              </w:rPr>
              <w:t>奶源；必须提供纯牛奶。</w:t>
            </w:r>
          </w:p>
          <w:p w14:paraId="0243F895">
            <w:pPr>
              <w:spacing w:line="360" w:lineRule="auto"/>
              <w:rPr>
                <w:rFonts w:hint="eastAsia"/>
                <w:color w:val="auto"/>
                <w:sz w:val="22"/>
                <w:szCs w:val="22"/>
                <w:vertAlign w:val="baseline"/>
              </w:rPr>
            </w:pPr>
            <w:r>
              <w:rPr>
                <w:rFonts w:hint="eastAsia"/>
                <w:color w:val="auto"/>
                <w:sz w:val="22"/>
                <w:szCs w:val="22"/>
                <w:vertAlign w:val="baseline"/>
              </w:rPr>
              <w:t>(3)应采用超高温瞬时灭菌(UHT)或其他经认可的有效杀菌工艺处理，确保产品安全。</w:t>
            </w:r>
          </w:p>
          <w:p w14:paraId="21D8F123">
            <w:pPr>
              <w:spacing w:line="360" w:lineRule="auto"/>
              <w:rPr>
                <w:rFonts w:hint="eastAsia"/>
                <w:color w:val="auto"/>
                <w:sz w:val="22"/>
                <w:szCs w:val="22"/>
                <w:vertAlign w:val="baseline"/>
              </w:rPr>
            </w:pPr>
            <w:r>
              <w:rPr>
                <w:rFonts w:hint="eastAsia"/>
                <w:color w:val="auto"/>
                <w:sz w:val="22"/>
                <w:szCs w:val="22"/>
                <w:vertAlign w:val="baseline"/>
              </w:rPr>
              <w:t>(4)色泽：呈乳白色或微黄色，均匀一致，无沉淀、无凝块、无杂质。</w:t>
            </w:r>
          </w:p>
          <w:p w14:paraId="310138AC">
            <w:pPr>
              <w:spacing w:line="360" w:lineRule="auto"/>
              <w:rPr>
                <w:rFonts w:hint="eastAsia"/>
                <w:color w:val="auto"/>
                <w:sz w:val="22"/>
                <w:szCs w:val="22"/>
                <w:vertAlign w:val="baseline"/>
              </w:rPr>
            </w:pPr>
            <w:r>
              <w:rPr>
                <w:rFonts w:hint="eastAsia"/>
                <w:color w:val="auto"/>
                <w:sz w:val="22"/>
                <w:szCs w:val="22"/>
                <w:vertAlign w:val="baseline"/>
              </w:rPr>
              <w:t>(5)滋味与气味：具有纯牛乳特有的香味，无异味。</w:t>
            </w:r>
          </w:p>
          <w:p w14:paraId="3C0ED21D">
            <w:pPr>
              <w:spacing w:line="360" w:lineRule="auto"/>
              <w:rPr>
                <w:rFonts w:hint="eastAsia"/>
                <w:color w:val="auto"/>
                <w:sz w:val="22"/>
                <w:szCs w:val="22"/>
                <w:vertAlign w:val="baseline"/>
              </w:rPr>
            </w:pPr>
            <w:r>
              <w:rPr>
                <w:rFonts w:hint="eastAsia"/>
                <w:color w:val="auto"/>
                <w:sz w:val="22"/>
                <w:szCs w:val="22"/>
                <w:vertAlign w:val="baseline"/>
              </w:rPr>
              <w:t>(6)组织状态：呈均匀一致的液体，无凝块、无沉淀、无粘稠现象。</w:t>
            </w:r>
          </w:p>
          <w:p w14:paraId="0DDE7C12">
            <w:pPr>
              <w:spacing w:line="360" w:lineRule="auto"/>
              <w:rPr>
                <w:rFonts w:hint="eastAsia"/>
                <w:color w:val="auto"/>
                <w:sz w:val="22"/>
                <w:szCs w:val="22"/>
                <w:vertAlign w:val="baseline"/>
              </w:rPr>
            </w:pPr>
            <w:r>
              <w:rPr>
                <w:rFonts w:hint="eastAsia"/>
                <w:color w:val="auto"/>
                <w:sz w:val="22"/>
                <w:szCs w:val="22"/>
                <w:vertAlign w:val="baseline"/>
              </w:rPr>
              <w:t>(7)蛋白质含量：符合国家或行业规定的最低标准，每100mL不低于(含)3.2g。</w:t>
            </w:r>
          </w:p>
          <w:p w14:paraId="3C94060F">
            <w:pPr>
              <w:spacing w:line="360" w:lineRule="auto"/>
              <w:rPr>
                <w:rFonts w:hint="eastAsia"/>
                <w:color w:val="auto"/>
                <w:sz w:val="22"/>
                <w:szCs w:val="22"/>
                <w:vertAlign w:val="baseline"/>
              </w:rPr>
            </w:pPr>
            <w:r>
              <w:rPr>
                <w:rFonts w:hint="eastAsia"/>
                <w:color w:val="auto"/>
                <w:sz w:val="22"/>
                <w:szCs w:val="22"/>
                <w:vertAlign w:val="baseline"/>
              </w:rPr>
              <w:t>(8)酸度：pH值及滴定酸度应在正常范围内，表明产品新鲜度。</w:t>
            </w:r>
          </w:p>
          <w:p w14:paraId="0274D9B4">
            <w:pPr>
              <w:spacing w:line="360" w:lineRule="auto"/>
              <w:rPr>
                <w:rFonts w:hint="eastAsia"/>
                <w:color w:val="auto"/>
                <w:sz w:val="22"/>
                <w:szCs w:val="22"/>
                <w:vertAlign w:val="baseline"/>
              </w:rPr>
            </w:pPr>
            <w:r>
              <w:rPr>
                <w:rFonts w:hint="eastAsia"/>
                <w:color w:val="auto"/>
                <w:sz w:val="22"/>
                <w:szCs w:val="22"/>
                <w:vertAlign w:val="baseline"/>
              </w:rPr>
              <w:t>(9)杂质度：不得检出肉眼可见的外来杂质。</w:t>
            </w:r>
          </w:p>
          <w:p w14:paraId="1A80A011">
            <w:pPr>
              <w:spacing w:line="360" w:lineRule="auto"/>
              <w:rPr>
                <w:rFonts w:hint="eastAsia"/>
                <w:color w:val="auto"/>
                <w:sz w:val="22"/>
                <w:szCs w:val="22"/>
                <w:vertAlign w:val="baseline"/>
              </w:rPr>
            </w:pPr>
            <w:r>
              <w:rPr>
                <w:rFonts w:hint="eastAsia"/>
                <w:color w:val="auto"/>
                <w:sz w:val="22"/>
                <w:szCs w:val="22"/>
                <w:vertAlign w:val="baseline"/>
              </w:rPr>
              <w:t>(10)微生物指标：</w:t>
            </w:r>
          </w:p>
          <w:p w14:paraId="1A00ACAD">
            <w:pPr>
              <w:spacing w:line="360" w:lineRule="auto"/>
              <w:rPr>
                <w:rFonts w:hint="eastAsia"/>
                <w:color w:val="auto"/>
                <w:sz w:val="22"/>
                <w:szCs w:val="22"/>
                <w:vertAlign w:val="baseline"/>
              </w:rPr>
            </w:pPr>
            <w:r>
              <w:rPr>
                <w:rFonts w:hint="eastAsia"/>
                <w:color w:val="auto"/>
                <w:sz w:val="22"/>
                <w:szCs w:val="22"/>
                <w:vertAlign w:val="baseline"/>
              </w:rPr>
              <w:t>菌落总数：</w:t>
            </w:r>
            <w:r>
              <w:rPr>
                <w:rFonts w:hint="eastAsia"/>
                <w:color w:val="auto"/>
                <w:sz w:val="22"/>
                <w:szCs w:val="22"/>
                <w:vertAlign w:val="baseline"/>
                <w:lang w:eastAsia="zh-CN"/>
              </w:rPr>
              <w:t>《食品安全国家标准灭菌乳》标准规定</w:t>
            </w:r>
            <w:r>
              <w:rPr>
                <w:rFonts w:hint="eastAsia"/>
                <w:color w:val="auto"/>
                <w:sz w:val="22"/>
                <w:szCs w:val="22"/>
                <w:vertAlign w:val="baseline"/>
              </w:rPr>
              <w:t>，以确保产品卫生质量；大肠菌群：不得检出，以预防肠道传染病的发生；致病菌(如沙门氏菌，金黄色葡萄球菌等)不得检出，确保产品安全无害。</w:t>
            </w:r>
          </w:p>
          <w:p w14:paraId="555D7BB2">
            <w:pPr>
              <w:spacing w:line="360" w:lineRule="auto"/>
              <w:rPr>
                <w:rFonts w:hint="eastAsia"/>
                <w:color w:val="auto"/>
                <w:sz w:val="22"/>
                <w:szCs w:val="22"/>
                <w:vertAlign w:val="baseline"/>
              </w:rPr>
            </w:pPr>
            <w:r>
              <w:rPr>
                <w:rFonts w:hint="eastAsia"/>
                <w:color w:val="auto"/>
                <w:sz w:val="22"/>
                <w:szCs w:val="22"/>
                <w:vertAlign w:val="baseline"/>
              </w:rPr>
              <w:t>(11)包装与标识：</w:t>
            </w:r>
          </w:p>
          <w:p w14:paraId="6DA5E67E">
            <w:pPr>
              <w:spacing w:line="360" w:lineRule="auto"/>
              <w:rPr>
                <w:rFonts w:hint="eastAsia" w:ascii="宋体" w:hAnsi="宋体" w:eastAsia="宋体" w:cs="宋体"/>
                <w:color w:val="auto"/>
                <w:szCs w:val="21"/>
                <w:highlight w:val="none"/>
              </w:rPr>
            </w:pPr>
            <w:r>
              <w:rPr>
                <w:rFonts w:hint="eastAsia"/>
                <w:color w:val="auto"/>
                <w:sz w:val="22"/>
                <w:szCs w:val="22"/>
                <w:vertAlign w:val="baseline"/>
              </w:rPr>
              <w:t>包装材料：应符合食品安全要求，无毒、无害、密封性好，防止污染；标识标签：应清晰标注产品名称、规格、生产日期、保质期、生产厂商、营养成分表、贮存条件等信息，符合相关法律法规要求。</w:t>
            </w:r>
          </w:p>
        </w:tc>
      </w:tr>
      <w:tr w14:paraId="403D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7A3D63D0">
            <w:pPr>
              <w:spacing w:line="360" w:lineRule="auto"/>
              <w:jc w:val="center"/>
              <w:rPr>
                <w:rFonts w:hint="eastAsia" w:ascii="宋体" w:hAnsi="宋体" w:eastAsia="宋体" w:cs="宋体"/>
                <w:color w:val="auto"/>
                <w:spacing w:val="6"/>
                <w:sz w:val="22"/>
                <w:szCs w:val="22"/>
              </w:rPr>
            </w:pPr>
          </w:p>
          <w:p w14:paraId="7DEC17D3">
            <w:pPr>
              <w:spacing w:line="360" w:lineRule="auto"/>
              <w:jc w:val="center"/>
              <w:rPr>
                <w:rFonts w:hint="eastAsia" w:ascii="宋体" w:hAnsi="宋体" w:eastAsia="宋体" w:cs="宋体"/>
                <w:color w:val="auto"/>
                <w:spacing w:val="6"/>
                <w:sz w:val="22"/>
                <w:szCs w:val="22"/>
              </w:rPr>
            </w:pPr>
          </w:p>
          <w:p w14:paraId="59B25C74">
            <w:pPr>
              <w:spacing w:line="360" w:lineRule="auto"/>
              <w:jc w:val="center"/>
              <w:rPr>
                <w:rFonts w:hint="eastAsia" w:ascii="宋体" w:hAnsi="宋体" w:eastAsia="宋体" w:cs="宋体"/>
                <w:color w:val="auto"/>
                <w:spacing w:val="6"/>
                <w:sz w:val="22"/>
                <w:szCs w:val="22"/>
              </w:rPr>
            </w:pPr>
          </w:p>
          <w:p w14:paraId="3BDF3B20">
            <w:pPr>
              <w:spacing w:line="360" w:lineRule="auto"/>
              <w:jc w:val="center"/>
              <w:rPr>
                <w:rFonts w:hint="eastAsia" w:ascii="宋体" w:hAnsi="宋体" w:eastAsia="宋体" w:cs="宋体"/>
                <w:color w:val="auto"/>
                <w:spacing w:val="6"/>
                <w:sz w:val="22"/>
                <w:szCs w:val="22"/>
              </w:rPr>
            </w:pPr>
          </w:p>
          <w:p w14:paraId="431CF920">
            <w:pPr>
              <w:spacing w:line="360" w:lineRule="auto"/>
              <w:jc w:val="center"/>
              <w:rPr>
                <w:rFonts w:hint="eastAsia" w:ascii="宋体" w:hAnsi="宋体" w:cs="宋体"/>
                <w:color w:val="auto"/>
                <w:spacing w:val="-3"/>
                <w:kern w:val="2"/>
                <w:sz w:val="21"/>
                <w:szCs w:val="21"/>
                <w:highlight w:val="none"/>
                <w:lang w:val="en-US" w:eastAsia="zh-CN" w:bidi="ar-SA"/>
              </w:rPr>
            </w:pPr>
            <w:r>
              <w:rPr>
                <w:rFonts w:hint="eastAsia" w:ascii="宋体" w:hAnsi="宋体" w:eastAsia="宋体" w:cs="宋体"/>
                <w:color w:val="auto"/>
                <w:spacing w:val="6"/>
                <w:sz w:val="22"/>
                <w:szCs w:val="22"/>
              </w:rPr>
              <w:t>水果</w:t>
            </w:r>
          </w:p>
        </w:tc>
        <w:tc>
          <w:tcPr>
            <w:tcW w:w="7906" w:type="dxa"/>
            <w:shd w:val="clear" w:color="auto" w:fill="auto"/>
            <w:noWrap w:val="0"/>
            <w:vAlign w:val="top"/>
          </w:tcPr>
          <w:p w14:paraId="3DF22711">
            <w:pPr>
              <w:spacing w:line="360" w:lineRule="auto"/>
              <w:rPr>
                <w:rFonts w:hint="eastAsia"/>
                <w:color w:val="auto"/>
                <w:sz w:val="22"/>
                <w:szCs w:val="22"/>
                <w:vertAlign w:val="baseline"/>
              </w:rPr>
            </w:pPr>
            <w:r>
              <w:rPr>
                <w:rFonts w:hint="eastAsia"/>
                <w:color w:val="auto"/>
                <w:sz w:val="22"/>
                <w:szCs w:val="22"/>
                <w:vertAlign w:val="baseline"/>
              </w:rPr>
              <w:t>1、采购需求</w:t>
            </w:r>
          </w:p>
          <w:p w14:paraId="4C864212">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6AB92E0C">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04E768B1">
            <w:pPr>
              <w:spacing w:line="360" w:lineRule="auto"/>
              <w:rPr>
                <w:rFonts w:hint="eastAsia"/>
                <w:color w:val="auto"/>
                <w:sz w:val="22"/>
                <w:szCs w:val="22"/>
                <w:vertAlign w:val="baseline"/>
              </w:rPr>
            </w:pPr>
            <w:r>
              <w:rPr>
                <w:rFonts w:hint="eastAsia"/>
                <w:color w:val="auto"/>
                <w:sz w:val="22"/>
                <w:szCs w:val="22"/>
                <w:vertAlign w:val="baseline"/>
              </w:rPr>
              <w:t>▲2、质量要求</w:t>
            </w:r>
          </w:p>
          <w:p w14:paraId="3F20B4FD">
            <w:pPr>
              <w:spacing w:line="360" w:lineRule="auto"/>
              <w:rPr>
                <w:rFonts w:hint="eastAsia" w:ascii="宋体" w:hAnsi="宋体" w:eastAsia="宋体" w:cs="宋体"/>
                <w:color w:val="auto"/>
                <w:szCs w:val="21"/>
                <w:highlight w:val="none"/>
                <w:lang w:val="en-US" w:eastAsia="zh-CN"/>
              </w:rPr>
            </w:pPr>
            <w:r>
              <w:rPr>
                <w:rFonts w:hint="eastAsia"/>
                <w:color w:val="auto"/>
                <w:sz w:val="22"/>
                <w:szCs w:val="22"/>
                <w:vertAlign w:val="baseline"/>
              </w:rPr>
              <w:t>(1)有外包装的要注明商品名称，生产企业名称，产地，生产日期，保质期，联系电话，重量等内容。水果外表光亮无斑点，新鲜，清洁，形状正常，大小均匀，成熟度适中，无软皮，无腐烂，无污染异味，农药残留不得超过国家安全标准，无病虫损害。</w:t>
            </w:r>
          </w:p>
        </w:tc>
      </w:tr>
      <w:tr w14:paraId="26BF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683534D7">
            <w:pPr>
              <w:spacing w:line="360" w:lineRule="auto"/>
              <w:jc w:val="center"/>
              <w:rPr>
                <w:rFonts w:hint="eastAsia" w:ascii="宋体" w:hAnsi="宋体" w:eastAsia="宋体" w:cs="宋体"/>
                <w:color w:val="auto"/>
                <w:spacing w:val="-4"/>
                <w:sz w:val="22"/>
                <w:szCs w:val="22"/>
              </w:rPr>
            </w:pPr>
          </w:p>
          <w:p w14:paraId="2870B710">
            <w:pPr>
              <w:spacing w:line="360" w:lineRule="auto"/>
              <w:jc w:val="center"/>
              <w:rPr>
                <w:rFonts w:hint="eastAsia" w:ascii="宋体" w:hAnsi="宋体" w:eastAsia="宋体" w:cs="宋体"/>
                <w:color w:val="auto"/>
                <w:spacing w:val="-4"/>
                <w:sz w:val="22"/>
                <w:szCs w:val="22"/>
              </w:rPr>
            </w:pPr>
          </w:p>
          <w:p w14:paraId="4978D051">
            <w:pPr>
              <w:spacing w:line="360" w:lineRule="auto"/>
              <w:jc w:val="center"/>
              <w:rPr>
                <w:rFonts w:hint="eastAsia" w:ascii="宋体" w:hAnsi="宋体" w:eastAsia="宋体" w:cs="宋体"/>
                <w:color w:val="auto"/>
                <w:spacing w:val="-4"/>
                <w:sz w:val="22"/>
                <w:szCs w:val="22"/>
              </w:rPr>
            </w:pPr>
          </w:p>
          <w:p w14:paraId="235BFB10">
            <w:pPr>
              <w:spacing w:line="360" w:lineRule="auto"/>
              <w:jc w:val="center"/>
              <w:rPr>
                <w:rFonts w:hint="eastAsia" w:ascii="宋体" w:hAnsi="宋体" w:eastAsia="宋体" w:cs="宋体"/>
                <w:color w:val="auto"/>
                <w:spacing w:val="-4"/>
                <w:sz w:val="22"/>
                <w:szCs w:val="22"/>
              </w:rPr>
            </w:pPr>
          </w:p>
          <w:p w14:paraId="7DB7B37F">
            <w:pPr>
              <w:spacing w:line="360" w:lineRule="auto"/>
              <w:jc w:val="center"/>
              <w:rPr>
                <w:rFonts w:hint="eastAsia" w:ascii="宋体" w:hAnsi="宋体" w:eastAsia="宋体" w:cs="宋体"/>
                <w:color w:val="auto"/>
                <w:spacing w:val="-4"/>
                <w:sz w:val="22"/>
                <w:szCs w:val="22"/>
              </w:rPr>
            </w:pPr>
          </w:p>
          <w:p w14:paraId="0967E5B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pacing w:val="-4"/>
                <w:sz w:val="22"/>
                <w:szCs w:val="22"/>
              </w:rPr>
              <w:t>鸡蛋</w:t>
            </w:r>
          </w:p>
        </w:tc>
        <w:tc>
          <w:tcPr>
            <w:tcW w:w="7906" w:type="dxa"/>
            <w:shd w:val="clear" w:color="auto" w:fill="auto"/>
            <w:noWrap w:val="0"/>
            <w:vAlign w:val="top"/>
          </w:tcPr>
          <w:p w14:paraId="63ACE84A">
            <w:pPr>
              <w:spacing w:line="360" w:lineRule="auto"/>
              <w:rPr>
                <w:rFonts w:hint="eastAsia"/>
                <w:color w:val="auto"/>
                <w:sz w:val="22"/>
                <w:szCs w:val="22"/>
                <w:vertAlign w:val="baseline"/>
              </w:rPr>
            </w:pPr>
            <w:r>
              <w:rPr>
                <w:rFonts w:hint="eastAsia"/>
                <w:color w:val="auto"/>
                <w:sz w:val="22"/>
                <w:szCs w:val="22"/>
                <w:vertAlign w:val="baseline"/>
              </w:rPr>
              <w:t>1、采购需求</w:t>
            </w:r>
          </w:p>
          <w:p w14:paraId="40BEE462">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4B99513C">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7DC3D5D8">
            <w:pPr>
              <w:spacing w:line="360" w:lineRule="auto"/>
              <w:rPr>
                <w:rFonts w:hint="eastAsia"/>
                <w:color w:val="auto"/>
                <w:sz w:val="22"/>
                <w:szCs w:val="22"/>
                <w:vertAlign w:val="baseline"/>
              </w:rPr>
            </w:pPr>
            <w:r>
              <w:rPr>
                <w:rFonts w:hint="eastAsia"/>
                <w:color w:val="auto"/>
                <w:sz w:val="22"/>
                <w:szCs w:val="22"/>
                <w:vertAlign w:val="baseline"/>
              </w:rPr>
              <w:t>▲2、质量要求</w:t>
            </w:r>
          </w:p>
          <w:p w14:paraId="41A9958A">
            <w:pPr>
              <w:spacing w:line="360" w:lineRule="auto"/>
              <w:rPr>
                <w:rFonts w:hint="eastAsia"/>
                <w:color w:val="auto"/>
                <w:sz w:val="22"/>
                <w:szCs w:val="22"/>
                <w:vertAlign w:val="baseline"/>
              </w:rPr>
            </w:pPr>
            <w:r>
              <w:rPr>
                <w:rFonts w:hint="eastAsia"/>
                <w:color w:val="auto"/>
                <w:sz w:val="22"/>
                <w:szCs w:val="22"/>
                <w:vertAlign w:val="baseline"/>
              </w:rPr>
              <w:t>(1)蛋壳清洁完整，灯光透视时，整个蛋呈桔黄色至橙红色，蛋黄不见或略见阴影。打开后蛋黄凸起，完整，有韧性，蛋白澄清、透明、稀稠分明，无异味。</w:t>
            </w:r>
          </w:p>
          <w:p w14:paraId="18C7CF75">
            <w:pPr>
              <w:spacing w:line="360" w:lineRule="auto"/>
              <w:rPr>
                <w:rFonts w:hint="eastAsia"/>
                <w:color w:val="auto"/>
                <w:sz w:val="22"/>
                <w:szCs w:val="22"/>
                <w:vertAlign w:val="baseline"/>
              </w:rPr>
            </w:pPr>
            <w:r>
              <w:rPr>
                <w:rFonts w:hint="eastAsia"/>
                <w:color w:val="auto"/>
                <w:sz w:val="22"/>
                <w:szCs w:val="22"/>
                <w:vertAlign w:val="baseline"/>
              </w:rPr>
              <w:t>(2)蛋壳内部应为纯白蛋，不能有斑点或污浊，卵白透明，卵黄膜不破裂，卵黄卵白分明，不能有血管形成，不能有腐败等异臭味。</w:t>
            </w:r>
          </w:p>
          <w:p w14:paraId="6CB9D188">
            <w:pPr>
              <w:spacing w:line="360" w:lineRule="auto"/>
              <w:rPr>
                <w:rFonts w:hint="eastAsia" w:ascii="宋体" w:hAnsi="宋体" w:eastAsia="宋体" w:cs="宋体"/>
                <w:color w:val="auto"/>
                <w:szCs w:val="21"/>
                <w:highlight w:val="none"/>
              </w:rPr>
            </w:pPr>
            <w:r>
              <w:rPr>
                <w:rFonts w:hint="eastAsia"/>
                <w:color w:val="auto"/>
                <w:sz w:val="22"/>
                <w:szCs w:val="22"/>
                <w:vertAlign w:val="baseline"/>
              </w:rPr>
              <w:t>(3)将蛋握在手中摇动时，蛋无哑板声，内容物无流动感，无活动声。</w:t>
            </w:r>
          </w:p>
        </w:tc>
      </w:tr>
      <w:tr w14:paraId="542F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0CDEED1F">
            <w:pPr>
              <w:spacing w:line="360" w:lineRule="auto"/>
              <w:jc w:val="center"/>
              <w:rPr>
                <w:rFonts w:hint="eastAsia"/>
                <w:color w:val="auto"/>
                <w:sz w:val="22"/>
                <w:szCs w:val="22"/>
                <w:vertAlign w:val="baseline"/>
              </w:rPr>
            </w:pPr>
          </w:p>
          <w:p w14:paraId="1229F7F3">
            <w:pPr>
              <w:spacing w:line="360" w:lineRule="auto"/>
              <w:jc w:val="center"/>
              <w:rPr>
                <w:rFonts w:hint="eastAsia"/>
                <w:color w:val="auto"/>
                <w:sz w:val="22"/>
                <w:szCs w:val="22"/>
                <w:vertAlign w:val="baseline"/>
              </w:rPr>
            </w:pPr>
          </w:p>
          <w:p w14:paraId="5208BD76">
            <w:pPr>
              <w:spacing w:line="360" w:lineRule="auto"/>
              <w:jc w:val="center"/>
              <w:rPr>
                <w:rFonts w:hint="eastAsia"/>
                <w:color w:val="auto"/>
                <w:sz w:val="22"/>
                <w:szCs w:val="22"/>
                <w:vertAlign w:val="baseline"/>
              </w:rPr>
            </w:pPr>
          </w:p>
          <w:p w14:paraId="7D9D05DB">
            <w:pPr>
              <w:spacing w:line="360" w:lineRule="auto"/>
              <w:jc w:val="center"/>
              <w:rPr>
                <w:rFonts w:hint="eastAsia"/>
                <w:color w:val="auto"/>
                <w:sz w:val="22"/>
                <w:szCs w:val="22"/>
                <w:vertAlign w:val="baseline"/>
              </w:rPr>
            </w:pPr>
          </w:p>
          <w:p w14:paraId="2D2D9CB8">
            <w:pPr>
              <w:spacing w:line="360" w:lineRule="auto"/>
              <w:jc w:val="center"/>
              <w:rPr>
                <w:rFonts w:hint="eastAsia" w:ascii="宋体" w:hAnsi="宋体" w:eastAsia="宋体" w:cs="宋体"/>
                <w:color w:val="auto"/>
                <w:szCs w:val="21"/>
                <w:highlight w:val="none"/>
                <w:lang w:eastAsia="zh-CN"/>
              </w:rPr>
            </w:pPr>
            <w:r>
              <w:rPr>
                <w:rFonts w:hint="eastAsia"/>
                <w:color w:val="auto"/>
                <w:sz w:val="22"/>
                <w:szCs w:val="22"/>
                <w:vertAlign w:val="baseline"/>
              </w:rPr>
              <w:t>猪肉，牛肉等生鲜肉</w:t>
            </w:r>
          </w:p>
        </w:tc>
        <w:tc>
          <w:tcPr>
            <w:tcW w:w="7906" w:type="dxa"/>
            <w:shd w:val="clear" w:color="auto" w:fill="auto"/>
            <w:noWrap w:val="0"/>
            <w:vAlign w:val="top"/>
          </w:tcPr>
          <w:p w14:paraId="3CD58EA2">
            <w:pPr>
              <w:spacing w:line="360" w:lineRule="auto"/>
              <w:rPr>
                <w:rFonts w:hint="eastAsia"/>
                <w:color w:val="auto"/>
                <w:sz w:val="22"/>
                <w:szCs w:val="22"/>
                <w:vertAlign w:val="baseline"/>
              </w:rPr>
            </w:pPr>
            <w:r>
              <w:rPr>
                <w:rFonts w:hint="eastAsia"/>
                <w:color w:val="auto"/>
                <w:sz w:val="22"/>
                <w:szCs w:val="22"/>
                <w:vertAlign w:val="baseline"/>
              </w:rPr>
              <w:t>1、采购需求</w:t>
            </w:r>
          </w:p>
          <w:p w14:paraId="03EB0602">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3FA828B8">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49BFF0AD">
            <w:pPr>
              <w:spacing w:line="360" w:lineRule="auto"/>
              <w:rPr>
                <w:rFonts w:hint="eastAsia"/>
                <w:color w:val="auto"/>
                <w:sz w:val="22"/>
                <w:szCs w:val="22"/>
                <w:vertAlign w:val="baseline"/>
              </w:rPr>
            </w:pPr>
            <w:r>
              <w:rPr>
                <w:rFonts w:hint="eastAsia"/>
                <w:color w:val="auto"/>
                <w:sz w:val="22"/>
                <w:szCs w:val="22"/>
                <w:vertAlign w:val="baseline"/>
              </w:rPr>
              <w:t>▲2、质量要求</w:t>
            </w:r>
          </w:p>
          <w:p w14:paraId="4384C8F5">
            <w:pPr>
              <w:numPr>
                <w:ilvl w:val="0"/>
                <w:numId w:val="2"/>
              </w:numPr>
              <w:spacing w:line="360" w:lineRule="auto"/>
              <w:rPr>
                <w:rFonts w:hint="eastAsia"/>
                <w:color w:val="auto"/>
                <w:sz w:val="22"/>
                <w:szCs w:val="22"/>
                <w:vertAlign w:val="baseline"/>
              </w:rPr>
            </w:pPr>
            <w:r>
              <w:rPr>
                <w:rFonts w:hint="eastAsia"/>
                <w:color w:val="auto"/>
                <w:sz w:val="22"/>
                <w:szCs w:val="22"/>
                <w:vertAlign w:val="baseline"/>
              </w:rPr>
              <w:t>宰杀至交货时间不得超过9小时，肉质新鲜，色泽好，有弹性，无变质无异味、无冰冻，无注水或注入其他物质；无传染病和致人中毒的毒素、无危害人体健康的各种有害激素以及大肠杆菌不超标；严禁病死禽畜肉及瘦肉精等禁用物质。</w:t>
            </w:r>
          </w:p>
          <w:p w14:paraId="53D7D44C">
            <w:pPr>
              <w:numPr>
                <w:ilvl w:val="0"/>
                <w:numId w:val="0"/>
              </w:numPr>
              <w:spacing w:line="360" w:lineRule="auto"/>
              <w:rPr>
                <w:rFonts w:hint="eastAsia"/>
                <w:color w:val="auto"/>
                <w:sz w:val="22"/>
                <w:szCs w:val="22"/>
                <w:vertAlign w:val="baseline"/>
              </w:rPr>
            </w:pPr>
            <w:r>
              <w:rPr>
                <w:rFonts w:hint="eastAsia"/>
                <w:color w:val="auto"/>
                <w:sz w:val="22"/>
                <w:szCs w:val="22"/>
                <w:vertAlign w:val="baseline"/>
              </w:rPr>
              <w:t>(2)产品必须符合食品卫生生产标准和食品卫生安全要求，必须符合《食品安全法》相关的要求。肉类必须经防疫部门检验合格。每次供货必须提供当批次的《动物检疫合格证明》《肉品品质检验合格证》等检验检疫证明。</w:t>
            </w:r>
          </w:p>
          <w:p w14:paraId="617EB449">
            <w:pPr>
              <w:numPr>
                <w:ilvl w:val="0"/>
                <w:numId w:val="0"/>
              </w:numPr>
              <w:spacing w:line="360" w:lineRule="auto"/>
              <w:rPr>
                <w:rFonts w:hint="eastAsia"/>
                <w:color w:val="auto"/>
                <w:sz w:val="22"/>
                <w:szCs w:val="22"/>
                <w:vertAlign w:val="baseline"/>
              </w:rPr>
            </w:pPr>
            <w:r>
              <w:rPr>
                <w:rFonts w:hint="eastAsia"/>
                <w:color w:val="auto"/>
                <w:sz w:val="22"/>
                <w:szCs w:val="22"/>
                <w:vertAlign w:val="baseline"/>
              </w:rPr>
              <w:t>(3)产品必须经过固定合法牲畜屠宰场所屠宰，符合食品卫生生产标准，符合食品卫生安全要求。</w:t>
            </w:r>
          </w:p>
          <w:p w14:paraId="2994058A">
            <w:pPr>
              <w:numPr>
                <w:ilvl w:val="0"/>
                <w:numId w:val="0"/>
              </w:numPr>
              <w:spacing w:line="360" w:lineRule="auto"/>
              <w:ind w:left="0" w:leftChars="0" w:firstLine="0" w:firstLineChars="0"/>
              <w:rPr>
                <w:rFonts w:hint="eastAsia" w:ascii="宋体" w:hAnsi="宋体" w:eastAsia="宋体" w:cs="宋体"/>
                <w:color w:val="auto"/>
                <w:szCs w:val="21"/>
                <w:highlight w:val="none"/>
              </w:rPr>
            </w:pPr>
            <w:r>
              <w:rPr>
                <w:rFonts w:hint="eastAsia"/>
                <w:color w:val="auto"/>
                <w:sz w:val="22"/>
                <w:szCs w:val="22"/>
                <w:vertAlign w:val="baseline"/>
              </w:rPr>
              <w:t>(4)按照学校需要进行响应加工，每日按时配送。</w:t>
            </w:r>
          </w:p>
        </w:tc>
      </w:tr>
      <w:tr w14:paraId="3E62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2D80A5F4">
            <w:pPr>
              <w:spacing w:line="360" w:lineRule="auto"/>
              <w:jc w:val="center"/>
              <w:rPr>
                <w:rFonts w:hint="eastAsia"/>
                <w:color w:val="auto"/>
                <w:sz w:val="22"/>
                <w:szCs w:val="22"/>
                <w:vertAlign w:val="baseline"/>
              </w:rPr>
            </w:pPr>
          </w:p>
          <w:p w14:paraId="781F0A59">
            <w:pPr>
              <w:spacing w:line="360" w:lineRule="auto"/>
              <w:jc w:val="center"/>
              <w:rPr>
                <w:rFonts w:hint="eastAsia"/>
                <w:color w:val="auto"/>
                <w:sz w:val="22"/>
                <w:szCs w:val="22"/>
                <w:vertAlign w:val="baseline"/>
              </w:rPr>
            </w:pPr>
          </w:p>
          <w:p w14:paraId="3C1809DF">
            <w:pPr>
              <w:spacing w:line="360" w:lineRule="auto"/>
              <w:jc w:val="center"/>
              <w:rPr>
                <w:rFonts w:hint="eastAsia"/>
                <w:color w:val="auto"/>
                <w:sz w:val="22"/>
                <w:szCs w:val="22"/>
                <w:vertAlign w:val="baseline"/>
              </w:rPr>
            </w:pPr>
          </w:p>
          <w:p w14:paraId="2B848823">
            <w:pPr>
              <w:spacing w:line="360" w:lineRule="auto"/>
              <w:jc w:val="center"/>
              <w:rPr>
                <w:rFonts w:hint="eastAsia"/>
                <w:color w:val="auto"/>
                <w:sz w:val="22"/>
                <w:szCs w:val="22"/>
                <w:vertAlign w:val="baseline"/>
              </w:rPr>
            </w:pPr>
          </w:p>
          <w:p w14:paraId="3754E184">
            <w:pPr>
              <w:spacing w:line="360" w:lineRule="auto"/>
              <w:jc w:val="center"/>
              <w:rPr>
                <w:rFonts w:hint="eastAsia"/>
                <w:color w:val="auto"/>
                <w:sz w:val="22"/>
                <w:szCs w:val="22"/>
                <w:vertAlign w:val="baseline"/>
              </w:rPr>
            </w:pPr>
          </w:p>
          <w:p w14:paraId="0DF6BA93">
            <w:pPr>
              <w:spacing w:line="360" w:lineRule="auto"/>
              <w:jc w:val="center"/>
              <w:rPr>
                <w:rFonts w:hint="eastAsia" w:ascii="宋体" w:hAnsi="宋体" w:eastAsia="宋体" w:cs="宋体"/>
                <w:color w:val="auto"/>
                <w:szCs w:val="21"/>
                <w:highlight w:val="none"/>
                <w:lang w:eastAsia="zh-CN"/>
              </w:rPr>
            </w:pPr>
            <w:r>
              <w:rPr>
                <w:rFonts w:hint="eastAsia"/>
                <w:color w:val="auto"/>
                <w:sz w:val="22"/>
                <w:szCs w:val="22"/>
                <w:vertAlign w:val="baseline"/>
              </w:rPr>
              <w:t>鸡鸭肉等家禽</w:t>
            </w:r>
          </w:p>
        </w:tc>
        <w:tc>
          <w:tcPr>
            <w:tcW w:w="7906" w:type="dxa"/>
            <w:shd w:val="clear" w:color="auto" w:fill="auto"/>
            <w:noWrap w:val="0"/>
            <w:vAlign w:val="top"/>
          </w:tcPr>
          <w:p w14:paraId="6E032772">
            <w:pPr>
              <w:spacing w:line="360" w:lineRule="auto"/>
              <w:rPr>
                <w:rFonts w:hint="eastAsia"/>
                <w:color w:val="auto"/>
                <w:sz w:val="22"/>
                <w:szCs w:val="22"/>
                <w:vertAlign w:val="baseline"/>
              </w:rPr>
            </w:pPr>
            <w:r>
              <w:rPr>
                <w:rFonts w:hint="eastAsia"/>
                <w:color w:val="auto"/>
                <w:sz w:val="22"/>
                <w:szCs w:val="22"/>
                <w:vertAlign w:val="baseline"/>
              </w:rPr>
              <w:t>1、采购需求</w:t>
            </w:r>
          </w:p>
          <w:p w14:paraId="2FA38F86">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79C404D6">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51E47C99">
            <w:pPr>
              <w:spacing w:line="360" w:lineRule="auto"/>
              <w:rPr>
                <w:rFonts w:hint="eastAsia"/>
                <w:color w:val="auto"/>
                <w:sz w:val="22"/>
                <w:szCs w:val="22"/>
                <w:vertAlign w:val="baseline"/>
              </w:rPr>
            </w:pPr>
            <w:r>
              <w:rPr>
                <w:rFonts w:hint="eastAsia"/>
                <w:color w:val="auto"/>
                <w:sz w:val="22"/>
                <w:szCs w:val="22"/>
                <w:vertAlign w:val="baseline"/>
              </w:rPr>
              <w:t>▲2、质量要求</w:t>
            </w:r>
          </w:p>
          <w:p w14:paraId="6266D3A9">
            <w:pPr>
              <w:spacing w:line="360" w:lineRule="auto"/>
              <w:rPr>
                <w:rFonts w:hint="eastAsia"/>
                <w:color w:val="auto"/>
                <w:sz w:val="22"/>
                <w:szCs w:val="22"/>
                <w:vertAlign w:val="baseline"/>
              </w:rPr>
            </w:pPr>
            <w:r>
              <w:rPr>
                <w:rFonts w:hint="eastAsia"/>
                <w:color w:val="auto"/>
                <w:sz w:val="22"/>
                <w:szCs w:val="22"/>
                <w:vertAlign w:val="baseline"/>
              </w:rPr>
              <w:t>(1)新鲜鸡鸭类：宰杀至交货时间不得超过9小时，肉质新鲜，色泽好，有弹性，无变质无异味、无冰冻，无注水或注入其他物质；无传染病和致人中毒的毒素、无危害人体健康的各种有害激素等禁用物质；严禁病死禽畜肉等。</w:t>
            </w:r>
          </w:p>
          <w:p w14:paraId="38D9C526">
            <w:pPr>
              <w:spacing w:line="360" w:lineRule="auto"/>
              <w:rPr>
                <w:rFonts w:hint="eastAsia"/>
                <w:color w:val="auto"/>
                <w:sz w:val="22"/>
                <w:szCs w:val="22"/>
                <w:vertAlign w:val="baseline"/>
              </w:rPr>
            </w:pPr>
            <w:r>
              <w:rPr>
                <w:rFonts w:hint="eastAsia"/>
                <w:color w:val="auto"/>
                <w:sz w:val="22"/>
                <w:szCs w:val="22"/>
                <w:vertAlign w:val="baseline"/>
              </w:rPr>
              <w:t>(2)产品必须符合食品卫生生产标准和食品卫生安全要求，必须符合《食品安全法》相关的要求。肉类必须经防疫部门检验合格。每次供货必须提供《动物检疫合格证明》等检验检疫证明。</w:t>
            </w:r>
          </w:p>
          <w:p w14:paraId="3DF1D005">
            <w:pPr>
              <w:spacing w:line="360" w:lineRule="auto"/>
              <w:rPr>
                <w:rFonts w:hint="eastAsia" w:ascii="宋体" w:hAnsi="宋体" w:eastAsia="宋体" w:cs="宋体"/>
                <w:color w:val="auto"/>
                <w:szCs w:val="21"/>
                <w:highlight w:val="none"/>
              </w:rPr>
            </w:pPr>
            <w:r>
              <w:rPr>
                <w:rFonts w:hint="eastAsia"/>
                <w:color w:val="auto"/>
                <w:sz w:val="22"/>
                <w:szCs w:val="22"/>
                <w:vertAlign w:val="baseline"/>
              </w:rPr>
              <w:t>(3)按照学校需要进行响应加工，每日按时配送。</w:t>
            </w:r>
          </w:p>
        </w:tc>
      </w:tr>
      <w:tr w14:paraId="4EC5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11D0EB4E">
            <w:pPr>
              <w:spacing w:line="360" w:lineRule="auto"/>
              <w:jc w:val="center"/>
              <w:rPr>
                <w:rFonts w:hint="eastAsia" w:ascii="宋体" w:hAnsi="宋体" w:eastAsia="宋体" w:cs="宋体"/>
                <w:color w:val="auto"/>
                <w:spacing w:val="3"/>
                <w:sz w:val="22"/>
                <w:szCs w:val="22"/>
              </w:rPr>
            </w:pPr>
          </w:p>
          <w:p w14:paraId="71A5D8F6">
            <w:pPr>
              <w:spacing w:line="360" w:lineRule="auto"/>
              <w:jc w:val="center"/>
              <w:rPr>
                <w:rFonts w:hint="eastAsia" w:ascii="宋体" w:hAnsi="宋体" w:eastAsia="宋体" w:cs="宋体"/>
                <w:color w:val="auto"/>
                <w:spacing w:val="3"/>
                <w:sz w:val="22"/>
                <w:szCs w:val="22"/>
              </w:rPr>
            </w:pPr>
          </w:p>
          <w:p w14:paraId="5589A579">
            <w:pPr>
              <w:spacing w:line="360" w:lineRule="auto"/>
              <w:jc w:val="center"/>
              <w:rPr>
                <w:rFonts w:hint="eastAsia" w:ascii="宋体" w:hAnsi="宋体" w:eastAsia="宋体" w:cs="宋体"/>
                <w:color w:val="auto"/>
                <w:spacing w:val="3"/>
                <w:sz w:val="22"/>
                <w:szCs w:val="22"/>
              </w:rPr>
            </w:pPr>
          </w:p>
          <w:p w14:paraId="558DEFFB">
            <w:pPr>
              <w:spacing w:line="360" w:lineRule="auto"/>
              <w:jc w:val="center"/>
              <w:rPr>
                <w:rFonts w:hint="eastAsia" w:ascii="宋体" w:hAnsi="宋体" w:eastAsia="宋体" w:cs="宋体"/>
                <w:color w:val="auto"/>
                <w:spacing w:val="3"/>
                <w:sz w:val="22"/>
                <w:szCs w:val="22"/>
              </w:rPr>
            </w:pPr>
          </w:p>
          <w:p w14:paraId="13CCE723">
            <w:pPr>
              <w:spacing w:line="360" w:lineRule="auto"/>
              <w:jc w:val="center"/>
              <w:rPr>
                <w:rFonts w:hint="eastAsia" w:ascii="宋体" w:hAnsi="宋体" w:eastAsia="宋体" w:cs="宋体"/>
                <w:color w:val="auto"/>
                <w:spacing w:val="3"/>
                <w:sz w:val="22"/>
                <w:szCs w:val="22"/>
              </w:rPr>
            </w:pPr>
          </w:p>
          <w:p w14:paraId="15BB81A9">
            <w:pPr>
              <w:spacing w:line="360" w:lineRule="auto"/>
              <w:jc w:val="center"/>
              <w:rPr>
                <w:rFonts w:hint="eastAsia" w:ascii="宋体" w:hAnsi="宋体" w:eastAsia="宋体" w:cs="宋体"/>
                <w:color w:val="auto"/>
                <w:spacing w:val="3"/>
                <w:sz w:val="22"/>
                <w:szCs w:val="22"/>
              </w:rPr>
            </w:pPr>
          </w:p>
          <w:p w14:paraId="4A05F75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pacing w:val="3"/>
                <w:sz w:val="22"/>
                <w:szCs w:val="22"/>
              </w:rPr>
              <w:t>水产类</w:t>
            </w:r>
          </w:p>
        </w:tc>
        <w:tc>
          <w:tcPr>
            <w:tcW w:w="7906" w:type="dxa"/>
            <w:shd w:val="clear" w:color="auto" w:fill="auto"/>
            <w:noWrap w:val="0"/>
            <w:vAlign w:val="top"/>
          </w:tcPr>
          <w:p w14:paraId="7F8BE5E7">
            <w:pPr>
              <w:spacing w:line="360" w:lineRule="auto"/>
              <w:rPr>
                <w:rFonts w:hint="eastAsia"/>
                <w:color w:val="auto"/>
                <w:sz w:val="22"/>
                <w:szCs w:val="22"/>
                <w:vertAlign w:val="baseline"/>
              </w:rPr>
            </w:pPr>
            <w:r>
              <w:rPr>
                <w:rFonts w:hint="eastAsia"/>
                <w:color w:val="auto"/>
                <w:sz w:val="22"/>
                <w:szCs w:val="22"/>
                <w:vertAlign w:val="baseline"/>
              </w:rPr>
              <w:t>1、采购需求</w:t>
            </w:r>
          </w:p>
          <w:p w14:paraId="3FAAD851">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23FB5D77">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7CBEAA05">
            <w:pPr>
              <w:spacing w:line="360" w:lineRule="auto"/>
              <w:rPr>
                <w:rFonts w:hint="eastAsia"/>
                <w:color w:val="auto"/>
                <w:sz w:val="22"/>
                <w:szCs w:val="22"/>
                <w:vertAlign w:val="baseline"/>
              </w:rPr>
            </w:pPr>
            <w:r>
              <w:rPr>
                <w:rFonts w:hint="eastAsia"/>
                <w:color w:val="auto"/>
                <w:sz w:val="22"/>
                <w:szCs w:val="22"/>
                <w:vertAlign w:val="baseline"/>
              </w:rPr>
              <w:t>▲2、质量要求</w:t>
            </w:r>
          </w:p>
          <w:p w14:paraId="5EE00FD8">
            <w:pPr>
              <w:spacing w:line="360" w:lineRule="auto"/>
              <w:rPr>
                <w:rFonts w:hint="eastAsia"/>
                <w:color w:val="auto"/>
                <w:sz w:val="22"/>
                <w:szCs w:val="22"/>
                <w:vertAlign w:val="baseline"/>
              </w:rPr>
            </w:pPr>
            <w:r>
              <w:rPr>
                <w:rFonts w:hint="eastAsia"/>
                <w:color w:val="auto"/>
                <w:sz w:val="22"/>
                <w:szCs w:val="22"/>
                <w:vertAlign w:val="baseline"/>
              </w:rPr>
              <w:t>(1)外形：水产品应外形完整，无断裂、变形、残缺和破损等缺陷。例如，鱼类应皮鳞完整，贝类、虾类应坚实圆润，蟹类应爪足齐全。</w:t>
            </w:r>
          </w:p>
          <w:p w14:paraId="7E6FF3C7">
            <w:pPr>
              <w:spacing w:line="360" w:lineRule="auto"/>
              <w:rPr>
                <w:rFonts w:hint="eastAsia"/>
                <w:color w:val="auto"/>
                <w:sz w:val="22"/>
                <w:szCs w:val="22"/>
                <w:vertAlign w:val="baseline"/>
              </w:rPr>
            </w:pPr>
            <w:r>
              <w:rPr>
                <w:rFonts w:hint="eastAsia"/>
                <w:color w:val="auto"/>
                <w:sz w:val="22"/>
                <w:szCs w:val="22"/>
                <w:vertAlign w:val="baseline"/>
              </w:rPr>
              <w:t>(2)气味</w:t>
            </w:r>
            <w:r>
              <w:rPr>
                <w:rFonts w:hint="eastAsia"/>
                <w:color w:val="auto"/>
                <w:sz w:val="22"/>
                <w:szCs w:val="22"/>
                <w:vertAlign w:val="baseline"/>
                <w:lang w:eastAsia="zh-CN"/>
              </w:rPr>
              <w:t>：</w:t>
            </w:r>
            <w:r>
              <w:rPr>
                <w:rFonts w:hint="eastAsia"/>
                <w:color w:val="auto"/>
                <w:sz w:val="22"/>
                <w:szCs w:val="22"/>
                <w:vertAlign w:val="baseline"/>
              </w:rPr>
              <w:t>水产品应具有天然的海洋或淡水气味，不应有异味或臭味。</w:t>
            </w:r>
          </w:p>
          <w:p w14:paraId="2A1A0F60">
            <w:pPr>
              <w:spacing w:line="360" w:lineRule="auto"/>
              <w:rPr>
                <w:rFonts w:hint="eastAsia"/>
                <w:color w:val="auto"/>
                <w:sz w:val="22"/>
                <w:szCs w:val="22"/>
                <w:vertAlign w:val="baseline"/>
              </w:rPr>
            </w:pPr>
            <w:r>
              <w:rPr>
                <w:rFonts w:hint="eastAsia"/>
                <w:color w:val="auto"/>
                <w:sz w:val="22"/>
                <w:szCs w:val="22"/>
                <w:vertAlign w:val="baseline"/>
              </w:rPr>
              <w:t>(3)色泽：水产品应具有光亮透明的色泽</w:t>
            </w:r>
            <w:r>
              <w:rPr>
                <w:rFonts w:hint="eastAsia"/>
                <w:color w:val="auto"/>
                <w:sz w:val="22"/>
                <w:szCs w:val="22"/>
                <w:vertAlign w:val="baseline"/>
                <w:lang w:eastAsia="zh-CN"/>
              </w:rPr>
              <w:t>，</w:t>
            </w:r>
            <w:r>
              <w:rPr>
                <w:rFonts w:hint="eastAsia"/>
                <w:color w:val="auto"/>
                <w:sz w:val="22"/>
                <w:szCs w:val="22"/>
                <w:vertAlign w:val="baseline"/>
              </w:rPr>
              <w:t>鲜鱼应有金红色、白肉色或红肉色。</w:t>
            </w:r>
          </w:p>
          <w:p w14:paraId="42EE53CA">
            <w:pPr>
              <w:spacing w:line="360" w:lineRule="auto"/>
              <w:rPr>
                <w:rFonts w:hint="eastAsia"/>
                <w:color w:val="auto"/>
                <w:sz w:val="22"/>
                <w:szCs w:val="22"/>
                <w:vertAlign w:val="baseline"/>
              </w:rPr>
            </w:pPr>
            <w:r>
              <w:rPr>
                <w:rFonts w:hint="eastAsia"/>
                <w:color w:val="auto"/>
                <w:sz w:val="22"/>
                <w:szCs w:val="22"/>
                <w:vertAlign w:val="baseline"/>
              </w:rPr>
              <w:t>(4)口感：水产品应具有鲜嫩、弹性和带有香味的口感，没有腥膻等异味</w:t>
            </w:r>
          </w:p>
          <w:p w14:paraId="6D006765">
            <w:pPr>
              <w:spacing w:line="360" w:lineRule="auto"/>
              <w:rPr>
                <w:rFonts w:hint="eastAsia" w:ascii="宋体" w:hAnsi="宋体" w:eastAsia="宋体" w:cs="宋体"/>
                <w:color w:val="auto"/>
                <w:szCs w:val="21"/>
                <w:highlight w:val="none"/>
              </w:rPr>
            </w:pPr>
            <w:r>
              <w:rPr>
                <w:rFonts w:hint="eastAsia"/>
                <w:color w:val="auto"/>
                <w:sz w:val="22"/>
                <w:szCs w:val="22"/>
                <w:vertAlign w:val="baseline"/>
              </w:rPr>
              <w:t>(5)水产品应符合国家卫生标准规定的限量标准，不得含有有肃物质或超过安全限量的重金属，如汞、铅等。</w:t>
            </w:r>
          </w:p>
        </w:tc>
      </w:tr>
      <w:tr w14:paraId="727D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48947EFF">
            <w:pPr>
              <w:spacing w:line="360" w:lineRule="auto"/>
              <w:jc w:val="both"/>
              <w:rPr>
                <w:rFonts w:hint="eastAsia" w:ascii="宋体" w:hAnsi="宋体" w:eastAsia="宋体" w:cs="宋体"/>
                <w:b/>
                <w:bCs/>
                <w:color w:val="auto"/>
                <w:spacing w:val="-5"/>
                <w:sz w:val="22"/>
                <w:szCs w:val="22"/>
              </w:rPr>
            </w:pPr>
          </w:p>
          <w:p w14:paraId="04201F7D">
            <w:pPr>
              <w:spacing w:line="360" w:lineRule="auto"/>
              <w:jc w:val="both"/>
              <w:rPr>
                <w:rFonts w:hint="eastAsia" w:ascii="宋体" w:hAnsi="宋体" w:eastAsia="宋体" w:cs="宋体"/>
                <w:b/>
                <w:bCs/>
                <w:color w:val="auto"/>
                <w:spacing w:val="-5"/>
                <w:sz w:val="22"/>
                <w:szCs w:val="22"/>
              </w:rPr>
            </w:pPr>
          </w:p>
          <w:p w14:paraId="72027D57">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pacing w:val="-5"/>
                <w:sz w:val="22"/>
                <w:szCs w:val="22"/>
              </w:rPr>
              <w:t>大米</w:t>
            </w:r>
          </w:p>
        </w:tc>
        <w:tc>
          <w:tcPr>
            <w:tcW w:w="7906" w:type="dxa"/>
            <w:shd w:val="clear" w:color="auto" w:fill="auto"/>
            <w:noWrap w:val="0"/>
            <w:vAlign w:val="top"/>
          </w:tcPr>
          <w:p w14:paraId="563BB274">
            <w:pPr>
              <w:spacing w:line="360" w:lineRule="auto"/>
              <w:rPr>
                <w:rFonts w:hint="eastAsia"/>
                <w:color w:val="auto"/>
                <w:sz w:val="22"/>
                <w:szCs w:val="22"/>
                <w:vertAlign w:val="baseline"/>
              </w:rPr>
            </w:pPr>
            <w:r>
              <w:rPr>
                <w:rFonts w:hint="eastAsia"/>
                <w:color w:val="auto"/>
                <w:sz w:val="22"/>
                <w:szCs w:val="22"/>
                <w:vertAlign w:val="baseline"/>
              </w:rPr>
              <w:t>1、采购需求</w:t>
            </w:r>
          </w:p>
          <w:p w14:paraId="189B8774">
            <w:pPr>
              <w:spacing w:line="360" w:lineRule="auto"/>
              <w:rPr>
                <w:rFonts w:hint="eastAsia"/>
                <w:color w:val="auto"/>
                <w:sz w:val="22"/>
                <w:szCs w:val="22"/>
                <w:vertAlign w:val="baseline"/>
              </w:rPr>
            </w:pPr>
            <w:r>
              <w:rPr>
                <w:rFonts w:hint="eastAsia"/>
                <w:color w:val="auto"/>
                <w:sz w:val="22"/>
                <w:szCs w:val="22"/>
                <w:vertAlign w:val="baseline"/>
              </w:rPr>
              <w:t>(1)实行每批次采购，供应商应按采购单位的货物请购清单提供相应数量的货物。</w:t>
            </w:r>
          </w:p>
          <w:p w14:paraId="530E1B47">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28839B0F">
            <w:pPr>
              <w:spacing w:line="360" w:lineRule="auto"/>
              <w:rPr>
                <w:rFonts w:hint="eastAsia"/>
                <w:color w:val="auto"/>
                <w:sz w:val="22"/>
                <w:szCs w:val="22"/>
                <w:vertAlign w:val="baseline"/>
              </w:rPr>
            </w:pPr>
            <w:r>
              <w:rPr>
                <w:rFonts w:hint="eastAsia"/>
                <w:color w:val="auto"/>
                <w:sz w:val="22"/>
                <w:szCs w:val="22"/>
                <w:vertAlign w:val="baseline"/>
              </w:rPr>
              <w:t>▲2、质量要求</w:t>
            </w:r>
          </w:p>
          <w:p w14:paraId="0FE0160D">
            <w:pPr>
              <w:spacing w:line="360" w:lineRule="auto"/>
              <w:rPr>
                <w:rFonts w:hint="eastAsia"/>
                <w:color w:val="auto"/>
                <w:sz w:val="22"/>
                <w:szCs w:val="22"/>
                <w:vertAlign w:val="baseline"/>
              </w:rPr>
            </w:pPr>
            <w:r>
              <w:rPr>
                <w:rFonts w:hint="eastAsia"/>
                <w:color w:val="auto"/>
                <w:sz w:val="22"/>
                <w:szCs w:val="22"/>
                <w:vertAlign w:val="baseline"/>
              </w:rPr>
              <w:t>(1)每批次产品交货时必须提供地级市以上(含地级市)检验报告。</w:t>
            </w:r>
          </w:p>
          <w:p w14:paraId="3C49054D">
            <w:pPr>
              <w:spacing w:line="360" w:lineRule="auto"/>
              <w:rPr>
                <w:rFonts w:hint="eastAsia"/>
                <w:color w:val="auto"/>
                <w:sz w:val="22"/>
                <w:szCs w:val="22"/>
                <w:vertAlign w:val="baseline"/>
              </w:rPr>
            </w:pPr>
            <w:r>
              <w:rPr>
                <w:rFonts w:hint="eastAsia"/>
                <w:color w:val="auto"/>
                <w:sz w:val="22"/>
                <w:szCs w:val="22"/>
                <w:vertAlign w:val="baseline"/>
              </w:rPr>
              <w:t>(2)质量指标：必须符合GB/T1354-2018标准，产品等级要求是一级或二级米，呈清白色或精白色，具有光泽呈半透明状，大小均匀，颗粒饱满，表面光滑、完整，无虫，不含杂物(如沙石、色素等异物)。</w:t>
            </w:r>
          </w:p>
          <w:p w14:paraId="2562414C">
            <w:pPr>
              <w:spacing w:line="360" w:lineRule="auto"/>
              <w:rPr>
                <w:rFonts w:hint="eastAsia"/>
                <w:color w:val="auto"/>
                <w:sz w:val="22"/>
                <w:szCs w:val="22"/>
                <w:vertAlign w:val="baseline"/>
              </w:rPr>
            </w:pPr>
            <w:r>
              <w:rPr>
                <w:rFonts w:hint="eastAsia"/>
                <w:color w:val="auto"/>
                <w:sz w:val="22"/>
                <w:szCs w:val="22"/>
                <w:vertAlign w:val="baseline"/>
              </w:rPr>
              <w:t>(3)包装：包装、运输和储存必须符合保质、保量、运输安全和分类、分等储存的要求，严防污染；标明产品名称、净含量、生产者名称和地址、生产日期、保质期、产品标准号、质量等级、生产许可证号、产品批号等内容，外包装必须符合《食品安全法》的相关规定，提供营业执照、食品生产许可证、食品经营许可证。</w:t>
            </w:r>
          </w:p>
          <w:p w14:paraId="33B534F4">
            <w:pPr>
              <w:spacing w:line="360" w:lineRule="auto"/>
              <w:rPr>
                <w:rFonts w:hint="eastAsia" w:ascii="宋体" w:hAnsi="宋体" w:eastAsia="宋体" w:cs="宋体"/>
                <w:color w:val="auto"/>
                <w:szCs w:val="21"/>
                <w:highlight w:val="none"/>
              </w:rPr>
            </w:pPr>
            <w:r>
              <w:rPr>
                <w:rFonts w:hint="eastAsia"/>
                <w:color w:val="auto"/>
                <w:sz w:val="22"/>
                <w:szCs w:val="22"/>
                <w:vertAlign w:val="baseline"/>
              </w:rPr>
              <w:t>(4)保质期：达到国家规定要求，剩余保存期时间不得少于保质期的四分之三。保证生产日期新鲜且符合食品安全国家标准和食品安全法要求。</w:t>
            </w:r>
          </w:p>
        </w:tc>
      </w:tr>
      <w:tr w14:paraId="1715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02577747">
            <w:pPr>
              <w:spacing w:line="360" w:lineRule="auto"/>
              <w:jc w:val="center"/>
              <w:rPr>
                <w:rFonts w:hint="eastAsia" w:ascii="宋体" w:hAnsi="宋体" w:eastAsia="宋体" w:cs="宋体"/>
                <w:color w:val="auto"/>
                <w:spacing w:val="3"/>
                <w:sz w:val="22"/>
                <w:szCs w:val="22"/>
              </w:rPr>
            </w:pPr>
          </w:p>
          <w:p w14:paraId="68C55800">
            <w:pPr>
              <w:spacing w:line="360" w:lineRule="auto"/>
              <w:jc w:val="center"/>
              <w:rPr>
                <w:rFonts w:hint="eastAsia" w:ascii="宋体" w:hAnsi="宋体" w:eastAsia="宋体" w:cs="宋体"/>
                <w:color w:val="auto"/>
                <w:spacing w:val="3"/>
                <w:sz w:val="22"/>
                <w:szCs w:val="22"/>
              </w:rPr>
            </w:pPr>
          </w:p>
          <w:p w14:paraId="40CA12C2">
            <w:pPr>
              <w:spacing w:line="360" w:lineRule="auto"/>
              <w:jc w:val="center"/>
              <w:rPr>
                <w:rFonts w:hint="eastAsia" w:ascii="宋体" w:hAnsi="宋体" w:eastAsia="宋体" w:cs="宋体"/>
                <w:color w:val="auto"/>
                <w:spacing w:val="3"/>
                <w:sz w:val="22"/>
                <w:szCs w:val="22"/>
              </w:rPr>
            </w:pPr>
          </w:p>
          <w:p w14:paraId="752FE0B5">
            <w:pPr>
              <w:spacing w:line="360" w:lineRule="auto"/>
              <w:jc w:val="center"/>
              <w:rPr>
                <w:rFonts w:hint="eastAsia" w:ascii="宋体" w:hAnsi="宋体" w:eastAsia="宋体" w:cs="宋体"/>
                <w:color w:val="auto"/>
                <w:spacing w:val="3"/>
                <w:sz w:val="22"/>
                <w:szCs w:val="22"/>
              </w:rPr>
            </w:pPr>
          </w:p>
          <w:p w14:paraId="59F6378D">
            <w:pPr>
              <w:spacing w:line="360" w:lineRule="auto"/>
              <w:jc w:val="center"/>
              <w:rPr>
                <w:rFonts w:hint="eastAsia" w:ascii="宋体" w:hAnsi="宋体" w:eastAsia="宋体" w:cs="宋体"/>
                <w:color w:val="auto"/>
                <w:spacing w:val="3"/>
                <w:sz w:val="22"/>
                <w:szCs w:val="22"/>
              </w:rPr>
            </w:pPr>
          </w:p>
          <w:p w14:paraId="62256D40">
            <w:pPr>
              <w:spacing w:line="360" w:lineRule="auto"/>
              <w:jc w:val="center"/>
              <w:rPr>
                <w:rFonts w:hint="eastAsia" w:ascii="宋体" w:hAnsi="宋体" w:eastAsia="宋体" w:cs="宋体"/>
                <w:color w:val="auto"/>
                <w:spacing w:val="3"/>
                <w:sz w:val="22"/>
                <w:szCs w:val="22"/>
              </w:rPr>
            </w:pPr>
          </w:p>
          <w:p w14:paraId="29543429">
            <w:pPr>
              <w:spacing w:line="360" w:lineRule="auto"/>
              <w:jc w:val="center"/>
              <w:rPr>
                <w:rFonts w:hint="eastAsia" w:ascii="宋体" w:hAnsi="宋体" w:eastAsia="宋体" w:cs="宋体"/>
                <w:color w:val="auto"/>
                <w:spacing w:val="3"/>
                <w:sz w:val="22"/>
                <w:szCs w:val="22"/>
              </w:rPr>
            </w:pPr>
          </w:p>
          <w:p w14:paraId="467930A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pacing w:val="3"/>
                <w:sz w:val="22"/>
                <w:szCs w:val="22"/>
              </w:rPr>
              <w:t>花生油、调</w:t>
            </w:r>
            <w:r>
              <w:rPr>
                <w:rFonts w:hint="eastAsia" w:ascii="宋体" w:hAnsi="宋体" w:eastAsia="宋体" w:cs="宋体"/>
                <w:color w:val="auto"/>
                <w:spacing w:val="11"/>
                <w:sz w:val="22"/>
                <w:szCs w:val="22"/>
              </w:rPr>
              <w:t>和油</w:t>
            </w:r>
          </w:p>
        </w:tc>
        <w:tc>
          <w:tcPr>
            <w:tcW w:w="7906" w:type="dxa"/>
            <w:shd w:val="clear" w:color="auto" w:fill="auto"/>
            <w:noWrap w:val="0"/>
            <w:vAlign w:val="top"/>
          </w:tcPr>
          <w:p w14:paraId="421E8082">
            <w:pPr>
              <w:numPr>
                <w:ilvl w:val="0"/>
                <w:numId w:val="3"/>
              </w:numPr>
              <w:spacing w:line="360" w:lineRule="auto"/>
              <w:rPr>
                <w:rFonts w:hint="eastAsia"/>
                <w:color w:val="auto"/>
                <w:sz w:val="22"/>
                <w:szCs w:val="22"/>
                <w:vertAlign w:val="baseline"/>
              </w:rPr>
            </w:pPr>
            <w:r>
              <w:rPr>
                <w:rFonts w:hint="eastAsia"/>
                <w:color w:val="auto"/>
                <w:sz w:val="22"/>
                <w:szCs w:val="22"/>
                <w:vertAlign w:val="baseline"/>
              </w:rPr>
              <w:t>采购需求</w:t>
            </w:r>
          </w:p>
          <w:p w14:paraId="744E78CE">
            <w:pPr>
              <w:numPr>
                <w:ilvl w:val="0"/>
                <w:numId w:val="0"/>
              </w:numPr>
              <w:spacing w:line="360" w:lineRule="auto"/>
              <w:rPr>
                <w:rFonts w:hint="eastAsia"/>
                <w:color w:val="auto"/>
                <w:sz w:val="22"/>
                <w:szCs w:val="22"/>
                <w:vertAlign w:val="baseline"/>
              </w:rPr>
            </w:pPr>
            <w:r>
              <w:rPr>
                <w:rFonts w:hint="eastAsia"/>
                <w:color w:val="auto"/>
                <w:sz w:val="22"/>
                <w:szCs w:val="22"/>
                <w:vertAlign w:val="baseline"/>
              </w:rPr>
              <w:t>(1)实行每批次采购，供应商应按采购单位的货物请购清单提供相应数量的货物。</w:t>
            </w:r>
          </w:p>
          <w:p w14:paraId="23EAEFCD">
            <w:pPr>
              <w:numPr>
                <w:ilvl w:val="0"/>
                <w:numId w:val="0"/>
              </w:num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7AA5D8F9">
            <w:pPr>
              <w:numPr>
                <w:ilvl w:val="0"/>
                <w:numId w:val="0"/>
              </w:numPr>
              <w:spacing w:line="360" w:lineRule="auto"/>
              <w:rPr>
                <w:rFonts w:hint="eastAsia"/>
                <w:color w:val="auto"/>
                <w:sz w:val="22"/>
                <w:szCs w:val="22"/>
                <w:vertAlign w:val="baseline"/>
              </w:rPr>
            </w:pPr>
            <w:r>
              <w:rPr>
                <w:rFonts w:hint="eastAsia"/>
                <w:color w:val="auto"/>
                <w:sz w:val="22"/>
                <w:szCs w:val="22"/>
                <w:vertAlign w:val="baseline"/>
              </w:rPr>
              <w:t>▲2、质量要求</w:t>
            </w:r>
          </w:p>
          <w:p w14:paraId="78EC5586">
            <w:pPr>
              <w:numPr>
                <w:ilvl w:val="0"/>
                <w:numId w:val="0"/>
              </w:numPr>
              <w:spacing w:line="360" w:lineRule="auto"/>
              <w:rPr>
                <w:rFonts w:hint="eastAsia"/>
                <w:color w:val="auto"/>
                <w:sz w:val="22"/>
                <w:szCs w:val="22"/>
                <w:vertAlign w:val="baseline"/>
              </w:rPr>
            </w:pPr>
            <w:r>
              <w:rPr>
                <w:rFonts w:hint="eastAsia"/>
                <w:color w:val="auto"/>
                <w:sz w:val="22"/>
                <w:szCs w:val="22"/>
                <w:vertAlign w:val="baseline"/>
              </w:rPr>
              <w:t>(1)每批次产品交货时必须提供地级市以上(含地级市)检验报告。</w:t>
            </w:r>
          </w:p>
          <w:p w14:paraId="602544DB">
            <w:pPr>
              <w:numPr>
                <w:ilvl w:val="0"/>
                <w:numId w:val="0"/>
              </w:numPr>
              <w:spacing w:line="360" w:lineRule="auto"/>
              <w:rPr>
                <w:rFonts w:hint="eastAsia"/>
                <w:color w:val="auto"/>
                <w:sz w:val="22"/>
                <w:szCs w:val="22"/>
                <w:vertAlign w:val="baseline"/>
              </w:rPr>
            </w:pPr>
            <w:r>
              <w:rPr>
                <w:rFonts w:hint="eastAsia"/>
                <w:color w:val="auto"/>
                <w:sz w:val="22"/>
                <w:szCs w:val="22"/>
                <w:vertAlign w:val="baseline"/>
              </w:rPr>
              <w:t>(2)食用油必须取得食品生产许可证和产品合格证、外包装标明保质期及生产日期。产品原料必须为非转基因原料。</w:t>
            </w:r>
          </w:p>
          <w:p w14:paraId="0F86A137">
            <w:pPr>
              <w:numPr>
                <w:ilvl w:val="0"/>
                <w:numId w:val="0"/>
              </w:numPr>
              <w:spacing w:line="360" w:lineRule="auto"/>
              <w:rPr>
                <w:rFonts w:hint="eastAsia"/>
                <w:color w:val="auto"/>
                <w:sz w:val="22"/>
                <w:szCs w:val="22"/>
                <w:vertAlign w:val="baseline"/>
              </w:rPr>
            </w:pPr>
            <w:r>
              <w:rPr>
                <w:rFonts w:hint="eastAsia"/>
                <w:color w:val="auto"/>
                <w:sz w:val="22"/>
                <w:szCs w:val="22"/>
                <w:vertAlign w:val="baseline"/>
              </w:rPr>
              <w:t>(3)有"SC"食品生产许可证标志，符合(GB/T1354-2018)标准要求。</w:t>
            </w:r>
          </w:p>
          <w:p w14:paraId="402573DB">
            <w:pPr>
              <w:numPr>
                <w:ilvl w:val="0"/>
                <w:numId w:val="0"/>
              </w:numPr>
              <w:spacing w:line="360" w:lineRule="auto"/>
              <w:rPr>
                <w:rFonts w:hint="eastAsia"/>
                <w:color w:val="auto"/>
                <w:sz w:val="22"/>
                <w:szCs w:val="22"/>
                <w:vertAlign w:val="baseline"/>
              </w:rPr>
            </w:pPr>
            <w:r>
              <w:rPr>
                <w:rFonts w:hint="eastAsia"/>
                <w:color w:val="auto"/>
                <w:sz w:val="22"/>
                <w:szCs w:val="22"/>
                <w:vertAlign w:val="baseline"/>
              </w:rPr>
              <w:t>(4)食用油必须符合GB/T1534-2017标准，为花生油或调和油，压榨花生油产品等级要求是一级，产品包装要求机械封装，外包装必须符合《食品安全法》的相关规定。</w:t>
            </w:r>
          </w:p>
          <w:p w14:paraId="0D76C360">
            <w:pPr>
              <w:numPr>
                <w:ilvl w:val="0"/>
                <w:numId w:val="0"/>
              </w:numPr>
              <w:spacing w:line="360" w:lineRule="auto"/>
              <w:rPr>
                <w:rFonts w:hint="eastAsia"/>
                <w:color w:val="auto"/>
                <w:sz w:val="22"/>
                <w:szCs w:val="22"/>
                <w:vertAlign w:val="baseline"/>
              </w:rPr>
            </w:pPr>
            <w:r>
              <w:rPr>
                <w:rFonts w:hint="eastAsia"/>
                <w:color w:val="auto"/>
                <w:sz w:val="22"/>
                <w:szCs w:val="22"/>
                <w:vertAlign w:val="baseline"/>
              </w:rPr>
              <w:t>食用油须同时满足以下要求：具有固有的气味和滋味，无异味；不得混有其他食用油或非食用油；加热试验(280℃)油色不得变深，无析出物；卫生标准和动植物检疫项目，按照国家有关规定执行。</w:t>
            </w:r>
          </w:p>
          <w:p w14:paraId="25E68BBB">
            <w:pPr>
              <w:numPr>
                <w:ilvl w:val="0"/>
                <w:numId w:val="0"/>
              </w:numPr>
              <w:spacing w:line="360" w:lineRule="auto"/>
              <w:ind w:left="0" w:leftChars="0" w:firstLine="0" w:firstLineChars="0"/>
              <w:rPr>
                <w:rFonts w:hint="eastAsia" w:ascii="宋体" w:hAnsi="宋体" w:eastAsia="宋体" w:cs="宋体"/>
                <w:color w:val="auto"/>
                <w:szCs w:val="21"/>
                <w:highlight w:val="none"/>
              </w:rPr>
            </w:pPr>
            <w:r>
              <w:rPr>
                <w:rFonts w:hint="eastAsia"/>
                <w:color w:val="auto"/>
                <w:sz w:val="22"/>
                <w:szCs w:val="22"/>
                <w:vertAlign w:val="baseline"/>
              </w:rPr>
              <w:t>(5)保质期：达到国家规定要求，剩余保存期时间不得少于保质期的四分之三。保证生产日期新鲜且符合食品安全国家标准和食品安全法要求。</w:t>
            </w:r>
          </w:p>
        </w:tc>
      </w:tr>
      <w:tr w14:paraId="760B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2F1DFE1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pacing w:val="-3"/>
                <w:sz w:val="22"/>
                <w:szCs w:val="22"/>
              </w:rPr>
              <w:t>调味品、干</w:t>
            </w:r>
            <w:r>
              <w:rPr>
                <w:rFonts w:hint="eastAsia" w:ascii="宋体" w:hAnsi="宋体" w:eastAsia="宋体" w:cs="宋体"/>
                <w:color w:val="auto"/>
                <w:spacing w:val="2"/>
                <w:sz w:val="22"/>
                <w:szCs w:val="22"/>
              </w:rPr>
              <w:t>杂货食品等</w:t>
            </w:r>
          </w:p>
        </w:tc>
        <w:tc>
          <w:tcPr>
            <w:tcW w:w="7906" w:type="dxa"/>
            <w:shd w:val="clear" w:color="auto" w:fill="auto"/>
            <w:noWrap w:val="0"/>
            <w:vAlign w:val="top"/>
          </w:tcPr>
          <w:p w14:paraId="12B5E6F4">
            <w:pPr>
              <w:spacing w:line="360" w:lineRule="auto"/>
              <w:rPr>
                <w:rFonts w:hint="eastAsia"/>
                <w:color w:val="auto"/>
                <w:sz w:val="22"/>
                <w:szCs w:val="22"/>
                <w:vertAlign w:val="baseline"/>
              </w:rPr>
            </w:pPr>
            <w:r>
              <w:rPr>
                <w:rFonts w:hint="eastAsia"/>
                <w:color w:val="auto"/>
                <w:sz w:val="22"/>
                <w:szCs w:val="22"/>
                <w:vertAlign w:val="baseline"/>
              </w:rPr>
              <w:t>1、采购需求</w:t>
            </w:r>
          </w:p>
          <w:p w14:paraId="0AED5EA9">
            <w:pPr>
              <w:spacing w:line="360" w:lineRule="auto"/>
              <w:rPr>
                <w:rFonts w:hint="eastAsia"/>
                <w:color w:val="auto"/>
                <w:sz w:val="22"/>
                <w:szCs w:val="22"/>
                <w:vertAlign w:val="baseline"/>
              </w:rPr>
            </w:pPr>
            <w:r>
              <w:rPr>
                <w:rFonts w:hint="eastAsia"/>
                <w:color w:val="auto"/>
                <w:sz w:val="22"/>
                <w:szCs w:val="22"/>
                <w:vertAlign w:val="baseline"/>
              </w:rPr>
              <w:t>(1)实行每批次采购，供应商应按采购单位的货物请购清单提供相应数量的货物。</w:t>
            </w:r>
          </w:p>
          <w:p w14:paraId="1F119712">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530DFDBB">
            <w:pPr>
              <w:spacing w:line="360" w:lineRule="auto"/>
              <w:rPr>
                <w:rFonts w:hint="eastAsia"/>
                <w:color w:val="auto"/>
                <w:sz w:val="22"/>
                <w:szCs w:val="22"/>
                <w:vertAlign w:val="baseline"/>
              </w:rPr>
            </w:pPr>
            <w:r>
              <w:rPr>
                <w:rFonts w:hint="eastAsia"/>
                <w:color w:val="auto"/>
                <w:sz w:val="22"/>
                <w:szCs w:val="22"/>
                <w:vertAlign w:val="baseline"/>
              </w:rPr>
              <w:t>▲2、质量要求</w:t>
            </w:r>
          </w:p>
          <w:p w14:paraId="02605247">
            <w:pPr>
              <w:spacing w:line="360" w:lineRule="auto"/>
              <w:rPr>
                <w:rFonts w:hint="eastAsia"/>
                <w:color w:val="auto"/>
                <w:sz w:val="22"/>
                <w:szCs w:val="22"/>
                <w:vertAlign w:val="baseline"/>
              </w:rPr>
            </w:pPr>
            <w:r>
              <w:rPr>
                <w:rFonts w:hint="eastAsia"/>
                <w:color w:val="auto"/>
                <w:sz w:val="22"/>
                <w:szCs w:val="22"/>
                <w:vertAlign w:val="baseline"/>
              </w:rPr>
              <w:t>(1)必须是在市场上流通的，且具有“QS”食品质量认证标志。</w:t>
            </w:r>
          </w:p>
          <w:p w14:paraId="5B98F288">
            <w:pPr>
              <w:spacing w:line="360" w:lineRule="auto"/>
              <w:rPr>
                <w:rFonts w:hint="eastAsia"/>
                <w:color w:val="auto"/>
                <w:sz w:val="22"/>
                <w:szCs w:val="22"/>
                <w:vertAlign w:val="baseline"/>
              </w:rPr>
            </w:pPr>
            <w:r>
              <w:rPr>
                <w:rFonts w:hint="eastAsia"/>
                <w:color w:val="auto"/>
                <w:sz w:val="22"/>
                <w:szCs w:val="22"/>
                <w:vertAlign w:val="baseline"/>
              </w:rPr>
              <w:t>(2)产品必须是合格厂家制作，定型包装、有明显的标签、生产日期、生产厂家、保质期、产品合格证、贮存条件、执行产品标准号等，每次供货必须提供相应的检验合格证明。</w:t>
            </w:r>
          </w:p>
          <w:p w14:paraId="3DE07DCE">
            <w:pPr>
              <w:spacing w:line="360" w:lineRule="auto"/>
              <w:rPr>
                <w:rFonts w:hint="eastAsia" w:ascii="宋体" w:hAnsi="宋体" w:eastAsia="宋体" w:cs="宋体"/>
                <w:color w:val="auto"/>
                <w:szCs w:val="21"/>
                <w:highlight w:val="none"/>
              </w:rPr>
            </w:pPr>
            <w:r>
              <w:rPr>
                <w:rFonts w:hint="eastAsia"/>
                <w:color w:val="auto"/>
                <w:sz w:val="22"/>
                <w:szCs w:val="22"/>
                <w:vertAlign w:val="baseline"/>
              </w:rPr>
              <w:t>(3)保质期：达到国家规定要求，剩余保存期时间不得少于保质期的四分之三。保证生产日期新鲜且符合食品安全国家标准食品安全法要求。严禁供应假冒伪劣过期产品。严禁供应假冒伪劣过潮产品。</w:t>
            </w:r>
          </w:p>
        </w:tc>
      </w:tr>
      <w:tr w14:paraId="434B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6221D3F9">
            <w:pPr>
              <w:spacing w:line="360" w:lineRule="auto"/>
              <w:jc w:val="center"/>
              <w:rPr>
                <w:rFonts w:hint="eastAsia" w:ascii="宋体" w:hAnsi="宋体" w:eastAsia="宋体" w:cs="宋体"/>
                <w:color w:val="auto"/>
                <w:spacing w:val="6"/>
                <w:sz w:val="22"/>
                <w:szCs w:val="22"/>
              </w:rPr>
            </w:pPr>
          </w:p>
          <w:p w14:paraId="1BA6707E">
            <w:pPr>
              <w:spacing w:line="360" w:lineRule="auto"/>
              <w:jc w:val="center"/>
              <w:rPr>
                <w:rFonts w:hint="eastAsia" w:ascii="宋体" w:hAnsi="宋体" w:eastAsia="宋体" w:cs="宋体"/>
                <w:color w:val="auto"/>
                <w:spacing w:val="6"/>
                <w:sz w:val="22"/>
                <w:szCs w:val="22"/>
              </w:rPr>
            </w:pPr>
          </w:p>
          <w:p w14:paraId="0A239444">
            <w:pPr>
              <w:spacing w:line="360" w:lineRule="auto"/>
              <w:jc w:val="center"/>
              <w:rPr>
                <w:rFonts w:hint="eastAsia" w:ascii="宋体" w:hAnsi="宋体" w:eastAsia="宋体" w:cs="宋体"/>
                <w:color w:val="auto"/>
                <w:spacing w:val="6"/>
                <w:sz w:val="22"/>
                <w:szCs w:val="22"/>
              </w:rPr>
            </w:pPr>
          </w:p>
          <w:p w14:paraId="5E2522FF">
            <w:pPr>
              <w:spacing w:line="360" w:lineRule="auto"/>
              <w:jc w:val="center"/>
              <w:rPr>
                <w:rFonts w:hint="eastAsia" w:ascii="宋体" w:hAnsi="宋体" w:eastAsia="宋体" w:cs="宋体"/>
                <w:color w:val="auto"/>
                <w:spacing w:val="6"/>
                <w:sz w:val="22"/>
                <w:szCs w:val="22"/>
              </w:rPr>
            </w:pPr>
          </w:p>
          <w:p w14:paraId="689F235F">
            <w:pPr>
              <w:spacing w:line="360" w:lineRule="auto"/>
              <w:jc w:val="both"/>
              <w:rPr>
                <w:rFonts w:hint="eastAsia" w:ascii="宋体" w:hAnsi="宋体" w:eastAsia="宋体" w:cs="宋体"/>
                <w:color w:val="auto"/>
                <w:spacing w:val="6"/>
                <w:sz w:val="22"/>
                <w:szCs w:val="22"/>
              </w:rPr>
            </w:pPr>
          </w:p>
          <w:p w14:paraId="4E796B3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pacing w:val="6"/>
                <w:sz w:val="22"/>
                <w:szCs w:val="22"/>
              </w:rPr>
              <w:t>豆制品</w:t>
            </w:r>
          </w:p>
        </w:tc>
        <w:tc>
          <w:tcPr>
            <w:tcW w:w="7906" w:type="dxa"/>
            <w:shd w:val="clear" w:color="auto" w:fill="auto"/>
            <w:noWrap w:val="0"/>
            <w:vAlign w:val="top"/>
          </w:tcPr>
          <w:p w14:paraId="02CE8513">
            <w:pPr>
              <w:spacing w:line="360" w:lineRule="auto"/>
              <w:rPr>
                <w:rFonts w:hint="eastAsia"/>
                <w:color w:val="auto"/>
                <w:sz w:val="22"/>
                <w:szCs w:val="22"/>
                <w:vertAlign w:val="baseline"/>
              </w:rPr>
            </w:pPr>
            <w:r>
              <w:rPr>
                <w:rFonts w:hint="eastAsia"/>
                <w:color w:val="auto"/>
                <w:sz w:val="22"/>
                <w:szCs w:val="22"/>
                <w:vertAlign w:val="baseline"/>
              </w:rPr>
              <w:t>1、采购需求</w:t>
            </w:r>
          </w:p>
          <w:p w14:paraId="2845401D">
            <w:pPr>
              <w:spacing w:line="360" w:lineRule="auto"/>
              <w:rPr>
                <w:rFonts w:hint="eastAsia"/>
                <w:color w:val="auto"/>
                <w:sz w:val="22"/>
                <w:szCs w:val="22"/>
                <w:vertAlign w:val="baseline"/>
              </w:rPr>
            </w:pPr>
            <w:r>
              <w:rPr>
                <w:rFonts w:hint="eastAsia"/>
                <w:color w:val="auto"/>
                <w:sz w:val="22"/>
                <w:szCs w:val="22"/>
                <w:vertAlign w:val="baseline"/>
              </w:rPr>
              <w:t>(1)实行每日采购，供应商应按采购单位的货物请购清单提供相应数量的货物。</w:t>
            </w:r>
          </w:p>
          <w:p w14:paraId="679792E5">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66656FC7">
            <w:pPr>
              <w:spacing w:line="360" w:lineRule="auto"/>
              <w:rPr>
                <w:rFonts w:hint="eastAsia"/>
                <w:color w:val="auto"/>
                <w:sz w:val="22"/>
                <w:szCs w:val="22"/>
                <w:vertAlign w:val="baseline"/>
              </w:rPr>
            </w:pPr>
            <w:r>
              <w:rPr>
                <w:rFonts w:hint="eastAsia"/>
                <w:color w:val="auto"/>
                <w:sz w:val="22"/>
                <w:szCs w:val="22"/>
                <w:vertAlign w:val="baseline"/>
              </w:rPr>
              <w:t>▲2、质量要求</w:t>
            </w:r>
          </w:p>
          <w:p w14:paraId="1FFAE00F">
            <w:pPr>
              <w:spacing w:line="360" w:lineRule="auto"/>
              <w:rPr>
                <w:rFonts w:hint="eastAsia"/>
                <w:color w:val="auto"/>
                <w:sz w:val="22"/>
                <w:szCs w:val="22"/>
                <w:vertAlign w:val="baseline"/>
              </w:rPr>
            </w:pPr>
            <w:r>
              <w:rPr>
                <w:rFonts w:hint="eastAsia"/>
                <w:color w:val="auto"/>
                <w:sz w:val="22"/>
                <w:szCs w:val="22"/>
                <w:vertAlign w:val="baseline"/>
              </w:rPr>
              <w:t>(1)豆制品必须符合《食品安全法》要求，必须是</w:t>
            </w:r>
            <w:r>
              <w:rPr>
                <w:rFonts w:hint="eastAsia"/>
                <w:color w:val="auto"/>
                <w:sz w:val="22"/>
                <w:szCs w:val="22"/>
                <w:vertAlign w:val="baseline"/>
                <w:lang w:eastAsia="zh-CN"/>
              </w:rPr>
              <w:t>市场</w:t>
            </w:r>
            <w:r>
              <w:rPr>
                <w:rFonts w:hint="eastAsia"/>
                <w:color w:val="auto"/>
                <w:sz w:val="22"/>
                <w:szCs w:val="22"/>
                <w:vertAlign w:val="baseline"/>
              </w:rPr>
              <w:t>上正在流通的产品。提供食品生产许可证、批次检验合格证。</w:t>
            </w:r>
          </w:p>
          <w:p w14:paraId="3801F5B8">
            <w:pPr>
              <w:spacing w:line="360" w:lineRule="auto"/>
              <w:rPr>
                <w:rFonts w:hint="eastAsia"/>
                <w:color w:val="auto"/>
                <w:sz w:val="22"/>
                <w:szCs w:val="22"/>
                <w:vertAlign w:val="baseline"/>
              </w:rPr>
            </w:pPr>
            <w:r>
              <w:rPr>
                <w:rFonts w:hint="eastAsia"/>
                <w:color w:val="auto"/>
                <w:sz w:val="22"/>
                <w:szCs w:val="22"/>
                <w:vertAlign w:val="baseline"/>
              </w:rPr>
              <w:t>(2)豆腐呈均匀的乳白色或淡黄色，稍有光泽，块形完整，饮硬适度，富有一定的弹性，质地细嫩，结构均匀，无杂质，具有豆腐特有的香味，取样品品尝时口感细腻鲜嫩，味道纯正清香。</w:t>
            </w:r>
          </w:p>
          <w:p w14:paraId="462D76CA">
            <w:pPr>
              <w:spacing w:line="360" w:lineRule="auto"/>
              <w:rPr>
                <w:rFonts w:hint="eastAsia" w:ascii="宋体" w:hAnsi="宋体" w:eastAsia="宋体" w:cs="宋体"/>
                <w:color w:val="auto"/>
                <w:szCs w:val="21"/>
                <w:highlight w:val="none"/>
              </w:rPr>
            </w:pPr>
            <w:r>
              <w:rPr>
                <w:rFonts w:hint="eastAsia"/>
                <w:color w:val="auto"/>
                <w:sz w:val="22"/>
                <w:szCs w:val="22"/>
                <w:vertAlign w:val="baseline"/>
              </w:rPr>
              <w:t>(3)保质期：达到国家规定要求，剩余保存期时间不得少于保质期的四分之</w:t>
            </w:r>
            <w:r>
              <w:rPr>
                <w:rFonts w:hint="eastAsia"/>
                <w:color w:val="auto"/>
                <w:sz w:val="22"/>
                <w:szCs w:val="22"/>
                <w:vertAlign w:val="baseline"/>
                <w:lang w:val="en-US" w:eastAsia="zh-CN"/>
              </w:rPr>
              <w:t>三。</w:t>
            </w:r>
          </w:p>
        </w:tc>
      </w:tr>
      <w:tr w14:paraId="1DF0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4FCB1BD4">
            <w:pPr>
              <w:spacing w:line="360" w:lineRule="auto"/>
              <w:jc w:val="center"/>
              <w:rPr>
                <w:rFonts w:hint="eastAsia" w:ascii="宋体" w:hAnsi="宋体" w:eastAsia="宋体" w:cs="宋体"/>
                <w:b w:val="0"/>
                <w:bCs w:val="0"/>
                <w:color w:val="auto"/>
                <w:spacing w:val="-6"/>
                <w:sz w:val="22"/>
                <w:szCs w:val="22"/>
              </w:rPr>
            </w:pPr>
          </w:p>
          <w:p w14:paraId="33CF2C50">
            <w:pPr>
              <w:spacing w:line="360" w:lineRule="auto"/>
              <w:jc w:val="center"/>
              <w:rPr>
                <w:rFonts w:hint="eastAsia" w:ascii="宋体" w:hAnsi="宋体" w:eastAsia="宋体" w:cs="宋体"/>
                <w:b w:val="0"/>
                <w:bCs w:val="0"/>
                <w:color w:val="auto"/>
                <w:spacing w:val="-6"/>
                <w:sz w:val="22"/>
                <w:szCs w:val="22"/>
              </w:rPr>
            </w:pPr>
          </w:p>
          <w:p w14:paraId="14A2A1A7">
            <w:pPr>
              <w:spacing w:line="360" w:lineRule="auto"/>
              <w:jc w:val="center"/>
              <w:rPr>
                <w:rFonts w:hint="eastAsia" w:ascii="宋体" w:hAnsi="宋体" w:eastAsia="宋体" w:cs="宋体"/>
                <w:b w:val="0"/>
                <w:bCs w:val="0"/>
                <w:color w:val="auto"/>
                <w:spacing w:val="-6"/>
                <w:sz w:val="22"/>
                <w:szCs w:val="22"/>
              </w:rPr>
            </w:pPr>
          </w:p>
          <w:p w14:paraId="1AF96E57">
            <w:pPr>
              <w:spacing w:line="360" w:lineRule="auto"/>
              <w:jc w:val="center"/>
              <w:rPr>
                <w:rFonts w:hint="eastAsia" w:ascii="宋体" w:hAnsi="宋体" w:eastAsia="宋体" w:cs="宋体"/>
                <w:b w:val="0"/>
                <w:bCs w:val="0"/>
                <w:color w:val="auto"/>
                <w:spacing w:val="-6"/>
                <w:sz w:val="22"/>
                <w:szCs w:val="22"/>
              </w:rPr>
            </w:pPr>
          </w:p>
          <w:p w14:paraId="3BB481D1">
            <w:pPr>
              <w:spacing w:line="360" w:lineRule="auto"/>
              <w:jc w:val="center"/>
              <w:rPr>
                <w:rFonts w:hint="eastAsia" w:ascii="宋体" w:hAnsi="宋体" w:eastAsia="宋体" w:cs="宋体"/>
                <w:color w:val="auto"/>
                <w:spacing w:val="-3"/>
                <w:kern w:val="2"/>
                <w:sz w:val="21"/>
                <w:szCs w:val="21"/>
                <w:highlight w:val="none"/>
                <w:lang w:val="en-US" w:eastAsia="zh-CN" w:bidi="ar-SA"/>
              </w:rPr>
            </w:pPr>
            <w:r>
              <w:rPr>
                <w:rFonts w:hint="eastAsia" w:ascii="宋体" w:hAnsi="宋体" w:eastAsia="宋体" w:cs="宋体"/>
                <w:b w:val="0"/>
                <w:bCs w:val="0"/>
                <w:color w:val="auto"/>
                <w:spacing w:val="-6"/>
                <w:sz w:val="22"/>
                <w:szCs w:val="22"/>
              </w:rPr>
              <w:t>蔬菜类</w:t>
            </w:r>
          </w:p>
        </w:tc>
        <w:tc>
          <w:tcPr>
            <w:tcW w:w="7906" w:type="dxa"/>
            <w:shd w:val="clear" w:color="auto" w:fill="auto"/>
            <w:noWrap w:val="0"/>
            <w:vAlign w:val="top"/>
          </w:tcPr>
          <w:p w14:paraId="438890A5">
            <w:pPr>
              <w:spacing w:line="360" w:lineRule="auto"/>
              <w:rPr>
                <w:rFonts w:hint="eastAsia"/>
                <w:color w:val="auto"/>
                <w:sz w:val="22"/>
                <w:szCs w:val="22"/>
                <w:vertAlign w:val="baseline"/>
              </w:rPr>
            </w:pPr>
            <w:r>
              <w:rPr>
                <w:rFonts w:hint="eastAsia"/>
                <w:color w:val="auto"/>
                <w:sz w:val="22"/>
                <w:szCs w:val="22"/>
                <w:vertAlign w:val="baseline"/>
              </w:rPr>
              <w:t>1、采购需求</w:t>
            </w:r>
          </w:p>
          <w:p w14:paraId="4FADA219">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0A295005">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744A26EF">
            <w:pPr>
              <w:spacing w:line="360" w:lineRule="auto"/>
              <w:rPr>
                <w:rFonts w:hint="eastAsia"/>
                <w:color w:val="auto"/>
                <w:sz w:val="22"/>
                <w:szCs w:val="22"/>
                <w:vertAlign w:val="baseline"/>
              </w:rPr>
            </w:pPr>
            <w:r>
              <w:rPr>
                <w:rFonts w:hint="eastAsia"/>
                <w:color w:val="auto"/>
                <w:sz w:val="22"/>
                <w:szCs w:val="22"/>
                <w:vertAlign w:val="baseline"/>
              </w:rPr>
              <w:t>▲2、质量要求</w:t>
            </w:r>
          </w:p>
          <w:p w14:paraId="5C166619">
            <w:pPr>
              <w:spacing w:line="360" w:lineRule="auto"/>
              <w:rPr>
                <w:rFonts w:hint="eastAsia"/>
                <w:color w:val="auto"/>
                <w:sz w:val="22"/>
                <w:szCs w:val="22"/>
                <w:vertAlign w:val="baseline"/>
              </w:rPr>
            </w:pPr>
            <w:r>
              <w:rPr>
                <w:rFonts w:hint="eastAsia"/>
                <w:color w:val="auto"/>
                <w:sz w:val="22"/>
                <w:szCs w:val="22"/>
                <w:vertAlign w:val="baseline"/>
              </w:rPr>
              <w:t>(1)必须符合国家食品安全卫生标准。符合《食品安全法》要求，尽量采用当地时令新鲜蔬菜。蔬菜可食用率必须达95%以上。</w:t>
            </w:r>
          </w:p>
          <w:p w14:paraId="568B5259">
            <w:pPr>
              <w:spacing w:line="360" w:lineRule="auto"/>
              <w:rPr>
                <w:rFonts w:hint="eastAsia"/>
                <w:color w:val="auto"/>
                <w:sz w:val="22"/>
                <w:szCs w:val="22"/>
                <w:vertAlign w:val="baseline"/>
              </w:rPr>
            </w:pPr>
            <w:r>
              <w:rPr>
                <w:rFonts w:hint="eastAsia"/>
                <w:color w:val="auto"/>
                <w:sz w:val="22"/>
                <w:szCs w:val="22"/>
                <w:vertAlign w:val="baseline"/>
              </w:rPr>
              <w:t>(2)瓜、果、蔬菜必须保证新鲜，绿色环保。无公害、无污染、无农药残留；蔬菜残留农药检测合格，</w:t>
            </w:r>
            <w:r>
              <w:rPr>
                <w:rFonts w:hint="eastAsia"/>
                <w:color w:val="auto"/>
                <w:sz w:val="22"/>
                <w:szCs w:val="22"/>
                <w:vertAlign w:val="baseline"/>
                <w:lang w:eastAsia="zh-CN"/>
              </w:rPr>
              <w:t>供货企业必须提供残留农药快速检测合格证明</w:t>
            </w:r>
            <w:r>
              <w:rPr>
                <w:rFonts w:hint="eastAsia"/>
                <w:color w:val="auto"/>
                <w:sz w:val="22"/>
                <w:szCs w:val="22"/>
                <w:vertAlign w:val="baseline"/>
              </w:rPr>
              <w:t>、质量符合《农产品安全质量无公害蔬菜安全要求》(GB18406.1-200L)的要求，每批次有专人负责每天检测并记录。</w:t>
            </w:r>
            <w:r>
              <w:rPr>
                <w:rFonts w:hint="eastAsia"/>
                <w:color w:val="auto"/>
                <w:sz w:val="22"/>
                <w:szCs w:val="22"/>
                <w:vertAlign w:val="baseline"/>
                <w:lang w:eastAsia="zh-CN"/>
              </w:rPr>
              <w:t>每天对</w:t>
            </w:r>
            <w:r>
              <w:rPr>
                <w:rFonts w:hint="eastAsia"/>
                <w:color w:val="auto"/>
                <w:sz w:val="22"/>
                <w:szCs w:val="22"/>
                <w:vertAlign w:val="baseline"/>
              </w:rPr>
              <w:t>每批次蔬菜进行农药残留检测，如含量超标将要求中标人无条件退货或换货。</w:t>
            </w:r>
          </w:p>
          <w:p w14:paraId="06EE0BE2">
            <w:pPr>
              <w:spacing w:line="360" w:lineRule="auto"/>
              <w:rPr>
                <w:rFonts w:hint="eastAsia" w:ascii="宋体" w:hAnsi="宋体" w:eastAsia="宋体" w:cs="宋体"/>
                <w:color w:val="auto"/>
                <w:szCs w:val="21"/>
                <w:highlight w:val="none"/>
                <w:lang w:val="en-US" w:eastAsia="zh-CN"/>
              </w:rPr>
            </w:pPr>
            <w:r>
              <w:rPr>
                <w:rFonts w:hint="eastAsia"/>
                <w:color w:val="auto"/>
                <w:sz w:val="22"/>
                <w:szCs w:val="22"/>
                <w:vertAlign w:val="baseline"/>
              </w:rPr>
              <w:t>(3)有相对固定的供货渠道、有完善的货物来源记录。</w:t>
            </w:r>
          </w:p>
        </w:tc>
      </w:tr>
      <w:tr w14:paraId="388E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43F5152D">
            <w:pPr>
              <w:spacing w:line="360" w:lineRule="auto"/>
              <w:jc w:val="center"/>
              <w:rPr>
                <w:rFonts w:hint="eastAsia" w:ascii="宋体" w:hAnsi="宋体" w:eastAsia="宋体" w:cs="宋体"/>
                <w:color w:val="auto"/>
                <w:spacing w:val="-2"/>
                <w:sz w:val="22"/>
                <w:szCs w:val="22"/>
              </w:rPr>
            </w:pPr>
          </w:p>
          <w:p w14:paraId="3E6C2CEE">
            <w:pPr>
              <w:spacing w:line="360" w:lineRule="auto"/>
              <w:jc w:val="center"/>
              <w:rPr>
                <w:rFonts w:hint="eastAsia" w:ascii="宋体" w:hAnsi="宋体" w:eastAsia="宋体" w:cs="宋体"/>
                <w:color w:val="auto"/>
                <w:spacing w:val="-2"/>
                <w:sz w:val="22"/>
                <w:szCs w:val="22"/>
              </w:rPr>
            </w:pPr>
          </w:p>
          <w:p w14:paraId="7DA524F2">
            <w:pPr>
              <w:spacing w:line="360" w:lineRule="auto"/>
              <w:jc w:val="center"/>
              <w:rPr>
                <w:rFonts w:hint="eastAsia" w:ascii="宋体" w:hAnsi="宋体" w:eastAsia="宋体" w:cs="宋体"/>
                <w:color w:val="auto"/>
                <w:spacing w:val="-2"/>
                <w:sz w:val="22"/>
                <w:szCs w:val="22"/>
              </w:rPr>
            </w:pPr>
          </w:p>
          <w:p w14:paraId="26B5023F">
            <w:pPr>
              <w:spacing w:line="360" w:lineRule="auto"/>
              <w:jc w:val="center"/>
              <w:rPr>
                <w:rFonts w:hint="eastAsia" w:ascii="宋体" w:hAnsi="宋体" w:eastAsia="宋体" w:cs="宋体"/>
                <w:color w:val="auto"/>
                <w:spacing w:val="-2"/>
                <w:sz w:val="22"/>
                <w:szCs w:val="22"/>
              </w:rPr>
            </w:pPr>
          </w:p>
          <w:p w14:paraId="725AB22B">
            <w:pPr>
              <w:spacing w:line="360" w:lineRule="auto"/>
              <w:jc w:val="center"/>
              <w:rPr>
                <w:rFonts w:hint="eastAsia" w:ascii="宋体" w:hAnsi="宋体" w:eastAsia="宋体" w:cs="宋体"/>
                <w:color w:val="auto"/>
                <w:spacing w:val="-2"/>
                <w:sz w:val="22"/>
                <w:szCs w:val="22"/>
              </w:rPr>
            </w:pPr>
          </w:p>
          <w:p w14:paraId="024A08F0">
            <w:pPr>
              <w:spacing w:line="360" w:lineRule="auto"/>
              <w:jc w:val="center"/>
              <w:rPr>
                <w:rFonts w:hint="eastAsia" w:ascii="宋体" w:hAnsi="宋体" w:eastAsia="宋体" w:cs="宋体"/>
                <w:color w:val="auto"/>
                <w:spacing w:val="-2"/>
                <w:sz w:val="22"/>
                <w:szCs w:val="22"/>
              </w:rPr>
            </w:pPr>
          </w:p>
          <w:p w14:paraId="37F9AFB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pacing w:val="-2"/>
                <w:sz w:val="22"/>
                <w:szCs w:val="22"/>
              </w:rPr>
              <w:t>糕点类、粉</w:t>
            </w:r>
            <w:r>
              <w:rPr>
                <w:rFonts w:hint="eastAsia" w:ascii="宋体" w:hAnsi="宋体" w:eastAsia="宋体" w:cs="宋体"/>
                <w:color w:val="auto"/>
                <w:sz w:val="22"/>
                <w:szCs w:val="22"/>
              </w:rPr>
              <w:t>类</w:t>
            </w:r>
          </w:p>
        </w:tc>
        <w:tc>
          <w:tcPr>
            <w:tcW w:w="7906" w:type="dxa"/>
            <w:shd w:val="clear" w:color="auto" w:fill="auto"/>
            <w:noWrap w:val="0"/>
            <w:vAlign w:val="top"/>
          </w:tcPr>
          <w:p w14:paraId="31422B6E">
            <w:pPr>
              <w:spacing w:line="360" w:lineRule="auto"/>
              <w:rPr>
                <w:rFonts w:hint="eastAsia"/>
                <w:color w:val="auto"/>
                <w:sz w:val="22"/>
                <w:szCs w:val="22"/>
                <w:vertAlign w:val="baseline"/>
              </w:rPr>
            </w:pPr>
            <w:r>
              <w:rPr>
                <w:rFonts w:hint="eastAsia"/>
                <w:color w:val="auto"/>
                <w:sz w:val="22"/>
                <w:szCs w:val="22"/>
                <w:vertAlign w:val="baseline"/>
              </w:rPr>
              <w:t>1、采购需求</w:t>
            </w:r>
          </w:p>
          <w:p w14:paraId="03A3E337">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(1)实行每日采购，供应商每日应按采购单位的货物请购清单提供相应数最的货物。</w:t>
            </w:r>
          </w:p>
          <w:p w14:paraId="612C065F">
            <w:pPr>
              <w:spacing w:line="360" w:lineRule="auto"/>
              <w:rPr>
                <w:rFonts w:hint="eastAsia" w:eastAsiaTheme="minorEastAsia"/>
                <w:color w:val="auto"/>
                <w:sz w:val="22"/>
                <w:szCs w:val="22"/>
                <w:vertAlign w:val="baseline"/>
                <w:lang w:eastAsia="zh-CN"/>
              </w:rPr>
            </w:pPr>
            <w:r>
              <w:rPr>
                <w:rFonts w:hint="eastAsia"/>
                <w:color w:val="auto"/>
                <w:sz w:val="22"/>
                <w:szCs w:val="22"/>
                <w:vertAlign w:val="baseline"/>
              </w:rPr>
              <w:t>(2)结算时按实际采购数量结算。</w:t>
            </w:r>
          </w:p>
          <w:p w14:paraId="1826E092">
            <w:pPr>
              <w:spacing w:line="360" w:lineRule="auto"/>
              <w:rPr>
                <w:rFonts w:hint="eastAsia"/>
                <w:color w:val="auto"/>
                <w:sz w:val="22"/>
                <w:szCs w:val="22"/>
                <w:vertAlign w:val="baseline"/>
              </w:rPr>
            </w:pPr>
            <w:r>
              <w:rPr>
                <w:rFonts w:hint="eastAsia"/>
                <w:color w:val="auto"/>
                <w:sz w:val="22"/>
                <w:szCs w:val="22"/>
                <w:vertAlign w:val="baseline"/>
              </w:rPr>
              <w:t>▲2、质量要求</w:t>
            </w:r>
          </w:p>
          <w:p w14:paraId="45707026">
            <w:pPr>
              <w:spacing w:line="360" w:lineRule="auto"/>
              <w:rPr>
                <w:rFonts w:hint="eastAsia"/>
                <w:color w:val="auto"/>
                <w:sz w:val="22"/>
                <w:szCs w:val="22"/>
                <w:vertAlign w:val="baseline"/>
              </w:rPr>
            </w:pPr>
            <w:r>
              <w:rPr>
                <w:rFonts w:hint="eastAsia"/>
                <w:color w:val="auto"/>
                <w:sz w:val="22"/>
                <w:szCs w:val="22"/>
                <w:vertAlign w:val="baseline"/>
              </w:rPr>
              <w:t>(1)保证生产日期新鲜且符合食品安全国家标准和《食品安全法》要求，具有生产许可证编号或具有“SC”食品生产许可认证。</w:t>
            </w:r>
          </w:p>
          <w:p w14:paraId="68DA3C56">
            <w:pPr>
              <w:spacing w:line="360" w:lineRule="auto"/>
              <w:rPr>
                <w:rFonts w:hint="eastAsia"/>
                <w:color w:val="auto"/>
                <w:sz w:val="22"/>
                <w:szCs w:val="22"/>
                <w:vertAlign w:val="baseline"/>
              </w:rPr>
            </w:pPr>
            <w:r>
              <w:rPr>
                <w:rFonts w:hint="eastAsia"/>
                <w:color w:val="auto"/>
                <w:sz w:val="22"/>
                <w:szCs w:val="22"/>
                <w:vertAlign w:val="baseline"/>
              </w:rPr>
              <w:t>(2)包装用机械封装、无毒、无害塑料袋(直接接触食品的包装必须为食品级),包装的正面需印有产品名称及生产日期和保质期，外包装必须符合《食品安全法》的相关规定，产品要求为即产即销。</w:t>
            </w:r>
          </w:p>
          <w:p w14:paraId="6D957DC2">
            <w:pPr>
              <w:spacing w:line="360" w:lineRule="auto"/>
              <w:rPr>
                <w:rFonts w:hint="eastAsia" w:ascii="宋体" w:hAnsi="宋体" w:eastAsia="宋体" w:cs="宋体"/>
                <w:color w:val="auto"/>
                <w:szCs w:val="21"/>
                <w:highlight w:val="none"/>
              </w:rPr>
            </w:pPr>
            <w:r>
              <w:rPr>
                <w:rFonts w:hint="eastAsia"/>
                <w:color w:val="auto"/>
                <w:sz w:val="22"/>
                <w:szCs w:val="22"/>
                <w:vertAlign w:val="baseline"/>
              </w:rPr>
              <w:t>(3)保质期：达到国家规定要求，供货时的剩余保存期时间不得少于保质期的四分之三。</w:t>
            </w:r>
          </w:p>
        </w:tc>
      </w:tr>
      <w:tr w14:paraId="5A75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shd w:val="clear" w:color="auto" w:fill="auto"/>
            <w:noWrap w:val="0"/>
            <w:vAlign w:val="top"/>
          </w:tcPr>
          <w:p w14:paraId="43C4859D">
            <w:pPr>
              <w:spacing w:line="360" w:lineRule="auto"/>
              <w:jc w:val="center"/>
              <w:rPr>
                <w:rFonts w:hint="eastAsia" w:ascii="宋体" w:hAnsi="宋体" w:eastAsia="宋体" w:cs="宋体"/>
                <w:color w:val="auto"/>
                <w:spacing w:val="-3"/>
                <w:sz w:val="22"/>
                <w:szCs w:val="22"/>
              </w:rPr>
            </w:pPr>
          </w:p>
          <w:p w14:paraId="1B7352A3">
            <w:pPr>
              <w:spacing w:line="360" w:lineRule="auto"/>
              <w:jc w:val="center"/>
              <w:rPr>
                <w:rFonts w:hint="eastAsia" w:ascii="宋体" w:hAnsi="宋体" w:eastAsia="宋体" w:cs="宋体"/>
                <w:color w:val="auto"/>
                <w:spacing w:val="-3"/>
                <w:sz w:val="22"/>
                <w:szCs w:val="22"/>
              </w:rPr>
            </w:pPr>
          </w:p>
          <w:p w14:paraId="5BC73418">
            <w:pPr>
              <w:spacing w:line="360" w:lineRule="auto"/>
              <w:jc w:val="center"/>
              <w:rPr>
                <w:rFonts w:hint="eastAsia" w:ascii="宋体" w:hAnsi="宋体" w:eastAsia="宋体" w:cs="宋体"/>
                <w:color w:val="auto"/>
                <w:spacing w:val="-3"/>
                <w:sz w:val="22"/>
                <w:szCs w:val="22"/>
              </w:rPr>
            </w:pPr>
          </w:p>
          <w:p w14:paraId="2EBDEDEA">
            <w:pPr>
              <w:spacing w:line="360" w:lineRule="auto"/>
              <w:jc w:val="center"/>
              <w:rPr>
                <w:rFonts w:hint="eastAsia" w:ascii="宋体" w:hAnsi="宋体" w:eastAsia="宋体" w:cs="宋体"/>
                <w:color w:val="auto"/>
                <w:spacing w:val="-3"/>
                <w:sz w:val="22"/>
                <w:szCs w:val="22"/>
              </w:rPr>
            </w:pPr>
          </w:p>
          <w:p w14:paraId="53D37DCC">
            <w:pPr>
              <w:spacing w:line="360" w:lineRule="auto"/>
              <w:jc w:val="center"/>
              <w:rPr>
                <w:rFonts w:hint="eastAsia" w:ascii="宋体" w:hAnsi="宋体" w:eastAsia="宋体" w:cs="宋体"/>
                <w:color w:val="auto"/>
                <w:spacing w:val="-3"/>
                <w:kern w:val="2"/>
                <w:sz w:val="21"/>
                <w:szCs w:val="21"/>
                <w:highlight w:val="none"/>
                <w:lang w:val="en-US" w:eastAsia="zh-CN" w:bidi="ar-SA"/>
              </w:rPr>
            </w:pPr>
            <w:r>
              <w:rPr>
                <w:rFonts w:hint="eastAsia" w:ascii="宋体" w:hAnsi="宋体" w:eastAsia="宋体" w:cs="宋体"/>
                <w:color w:val="auto"/>
                <w:spacing w:val="-3"/>
                <w:sz w:val="22"/>
                <w:szCs w:val="22"/>
              </w:rPr>
              <w:t>面食类</w:t>
            </w:r>
          </w:p>
        </w:tc>
        <w:tc>
          <w:tcPr>
            <w:tcW w:w="7906" w:type="dxa"/>
            <w:shd w:val="clear" w:color="auto" w:fill="auto"/>
            <w:noWrap w:val="0"/>
            <w:vAlign w:val="top"/>
          </w:tcPr>
          <w:p w14:paraId="4918C17C">
            <w:pPr>
              <w:spacing w:line="360" w:lineRule="auto"/>
              <w:rPr>
                <w:rFonts w:hint="eastAsia"/>
                <w:color w:val="auto"/>
                <w:sz w:val="22"/>
                <w:szCs w:val="22"/>
                <w:vertAlign w:val="baseline"/>
              </w:rPr>
            </w:pPr>
            <w:r>
              <w:rPr>
                <w:rFonts w:hint="eastAsia"/>
                <w:color w:val="auto"/>
                <w:sz w:val="22"/>
                <w:szCs w:val="22"/>
                <w:vertAlign w:val="baseline"/>
              </w:rPr>
              <w:t>1、采购需求</w:t>
            </w:r>
          </w:p>
          <w:p w14:paraId="0D687108">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00633362">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084E5BEC">
            <w:pPr>
              <w:spacing w:line="360" w:lineRule="auto"/>
              <w:rPr>
                <w:rFonts w:hint="eastAsia"/>
                <w:color w:val="auto"/>
                <w:sz w:val="22"/>
                <w:szCs w:val="22"/>
                <w:vertAlign w:val="baseline"/>
              </w:rPr>
            </w:pPr>
            <w:r>
              <w:rPr>
                <w:rFonts w:hint="eastAsia"/>
                <w:color w:val="auto"/>
                <w:sz w:val="22"/>
                <w:szCs w:val="22"/>
                <w:vertAlign w:val="baseline"/>
              </w:rPr>
              <w:t>▲2、质量要求</w:t>
            </w:r>
          </w:p>
          <w:p w14:paraId="33B3C210">
            <w:pPr>
              <w:spacing w:line="360" w:lineRule="auto"/>
              <w:rPr>
                <w:rFonts w:hint="eastAsia" w:ascii="宋体" w:hAnsi="宋体" w:eastAsia="宋体" w:cs="宋体"/>
                <w:color w:val="auto"/>
                <w:szCs w:val="21"/>
                <w:highlight w:val="none"/>
                <w:lang w:val="en-US" w:eastAsia="zh-CN"/>
              </w:rPr>
            </w:pPr>
            <w:r>
              <w:rPr>
                <w:rFonts w:hint="eastAsia"/>
                <w:color w:val="auto"/>
                <w:sz w:val="22"/>
                <w:szCs w:val="22"/>
                <w:vertAlign w:val="baseline"/>
              </w:rPr>
              <w:t>(1)应该色泽均匀，无杂质、结块或发霉现象，</w:t>
            </w:r>
            <w:r>
              <w:rPr>
                <w:rFonts w:hint="eastAsia"/>
                <w:color w:val="auto"/>
                <w:sz w:val="22"/>
                <w:szCs w:val="22"/>
                <w:vertAlign w:val="baseline"/>
                <w:lang w:eastAsia="zh-CN"/>
              </w:rPr>
              <w:t>具有该粮食产品天然的香味</w:t>
            </w:r>
            <w:r>
              <w:rPr>
                <w:rFonts w:hint="eastAsia"/>
                <w:color w:val="auto"/>
                <w:sz w:val="22"/>
                <w:szCs w:val="22"/>
                <w:vertAlign w:val="baseline"/>
              </w:rPr>
              <w:t>，没有异味或发酸的气味；应该由纯正的</w:t>
            </w:r>
            <w:r>
              <w:rPr>
                <w:rFonts w:hint="eastAsia"/>
                <w:color w:val="auto"/>
                <w:sz w:val="22"/>
                <w:szCs w:val="22"/>
                <w:vertAlign w:val="baseline"/>
                <w:lang w:eastAsia="zh-CN"/>
              </w:rPr>
              <w:t>该产品制成</w:t>
            </w:r>
            <w:r>
              <w:rPr>
                <w:rFonts w:hint="eastAsia"/>
                <w:color w:val="auto"/>
                <w:sz w:val="22"/>
                <w:szCs w:val="22"/>
                <w:vertAlign w:val="baseline"/>
              </w:rPr>
              <w:t>，不应该添加其他杂质或添加剂。产品包装要求机械封装，印上产品名称及生产日期和保质期，产品要求为即产即销。</w:t>
            </w:r>
          </w:p>
        </w:tc>
      </w:tr>
    </w:tbl>
    <w:p w14:paraId="7CF8E190">
      <w:pPr>
        <w:pageBreakBefore w:val="0"/>
        <w:widowControl w:val="0"/>
        <w:kinsoku/>
        <w:wordWrap/>
        <w:overflowPunct/>
        <w:topLinePunct w:val="0"/>
        <w:bidi w:val="0"/>
        <w:adjustRightInd/>
        <w:spacing w:afterAutospacing="0" w:line="500" w:lineRule="exact"/>
        <w:textAlignment w:val="auto"/>
        <w:rPr>
          <w:rFonts w:hint="eastAsia" w:ascii="宋体" w:hAnsi="宋体" w:eastAsia="宋体" w:cs="宋体"/>
          <w:color w:val="auto"/>
          <w:highlight w:val="none"/>
          <w:lang w:val="en-US" w:eastAsia="zh-CN"/>
        </w:rPr>
      </w:pPr>
    </w:p>
    <w:p w14:paraId="35BA57EC">
      <w:pPr>
        <w:pStyle w:val="3"/>
        <w:pageBreakBefore w:val="0"/>
        <w:widowControl w:val="0"/>
        <w:kinsoku/>
        <w:wordWrap/>
        <w:overflowPunct/>
        <w:topLinePunct w:val="0"/>
        <w:bidi w:val="0"/>
        <w:adjustRightInd/>
        <w:spacing w:before="0" w:beforeLines="0" w:beforeAutospacing="0" w:after="0" w:afterLines="0" w:afterAutospacing="0" w:line="500" w:lineRule="exact"/>
        <w:textAlignment w:val="auto"/>
        <w:outlineLvl w:val="1"/>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32"/>
          <w:szCs w:val="40"/>
          <w:highlight w:val="none"/>
          <w:lang w:val="en-US" w:eastAsia="zh-CN"/>
        </w:rPr>
        <w:t>二、商务条款</w:t>
      </w:r>
    </w:p>
    <w:tbl>
      <w:tblPr>
        <w:tblStyle w:val="37"/>
        <w:tblpPr w:leftFromText="180" w:rightFromText="180" w:vertAnchor="text" w:horzAnchor="page" w:tblpX="1800" w:tblpY="2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7354"/>
      </w:tblGrid>
      <w:tr w14:paraId="57A6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4D03860C">
            <w:pPr>
              <w:numPr>
                <w:ilvl w:val="0"/>
                <w:numId w:val="0"/>
              </w:numPr>
              <w:spacing w:line="360" w:lineRule="auto"/>
              <w:rPr>
                <w:rFonts w:hint="eastAsia" w:ascii="宋体" w:hAnsi="宋体" w:eastAsia="宋体" w:cs="宋体"/>
                <w:sz w:val="22"/>
                <w:szCs w:val="22"/>
                <w:vertAlign w:val="baseline"/>
                <w:lang w:eastAsia="zh-CN"/>
              </w:rPr>
            </w:pPr>
          </w:p>
          <w:p w14:paraId="3F56545D">
            <w:pPr>
              <w:numPr>
                <w:ilvl w:val="0"/>
                <w:numId w:val="0"/>
              </w:numPr>
              <w:spacing w:line="360" w:lineRule="auto"/>
              <w:rPr>
                <w:rFonts w:hint="eastAsia" w:ascii="宋体" w:hAnsi="宋体" w:eastAsia="宋体" w:cs="宋体"/>
                <w:sz w:val="22"/>
                <w:szCs w:val="22"/>
                <w:vertAlign w:val="baseline"/>
                <w:lang w:eastAsia="zh-CN"/>
              </w:rPr>
            </w:pPr>
          </w:p>
          <w:p w14:paraId="0206650A">
            <w:pPr>
              <w:numPr>
                <w:ilvl w:val="0"/>
                <w:numId w:val="0"/>
              </w:numPr>
              <w:spacing w:line="360" w:lineRule="auto"/>
              <w:rPr>
                <w:rFonts w:hint="eastAsia" w:ascii="宋体" w:hAnsi="宋体" w:eastAsia="宋体" w:cs="宋体"/>
                <w:sz w:val="22"/>
                <w:szCs w:val="22"/>
                <w:vertAlign w:val="baseline"/>
                <w:lang w:eastAsia="zh-CN"/>
              </w:rPr>
            </w:pPr>
          </w:p>
          <w:p w14:paraId="13ED93AA">
            <w:pPr>
              <w:numPr>
                <w:ilvl w:val="0"/>
                <w:numId w:val="0"/>
              </w:numPr>
              <w:spacing w:line="360" w:lineRule="auto"/>
              <w:rPr>
                <w:rFonts w:hint="eastAsia" w:ascii="宋体" w:hAnsi="宋体" w:eastAsia="宋体" w:cs="宋体"/>
                <w:sz w:val="22"/>
                <w:szCs w:val="22"/>
                <w:vertAlign w:val="baseline"/>
                <w:lang w:eastAsia="zh-CN"/>
              </w:rPr>
            </w:pPr>
          </w:p>
          <w:p w14:paraId="4F34AFEA">
            <w:pPr>
              <w:numPr>
                <w:ilvl w:val="0"/>
                <w:numId w:val="0"/>
              </w:numPr>
              <w:spacing w:line="360" w:lineRule="auto"/>
              <w:rPr>
                <w:rFonts w:hint="eastAsia" w:ascii="宋体" w:hAnsi="宋体" w:eastAsia="宋体" w:cs="宋体"/>
                <w:sz w:val="22"/>
                <w:szCs w:val="22"/>
                <w:vertAlign w:val="baseline"/>
                <w:lang w:eastAsia="zh-CN"/>
              </w:rPr>
            </w:pPr>
          </w:p>
          <w:p w14:paraId="657450A5">
            <w:pPr>
              <w:numPr>
                <w:ilvl w:val="0"/>
                <w:numId w:val="0"/>
              </w:numPr>
              <w:spacing w:line="360" w:lineRule="auto"/>
              <w:rPr>
                <w:rFonts w:hint="eastAsia" w:ascii="宋体" w:hAnsi="宋体" w:eastAsia="宋体" w:cs="宋体"/>
                <w:sz w:val="22"/>
                <w:szCs w:val="22"/>
                <w:vertAlign w:val="baseline"/>
                <w:lang w:eastAsia="zh-CN"/>
              </w:rPr>
            </w:pPr>
          </w:p>
          <w:p w14:paraId="499BDE25">
            <w:pPr>
              <w:numPr>
                <w:ilvl w:val="0"/>
                <w:numId w:val="0"/>
              </w:numPr>
              <w:spacing w:line="360" w:lineRule="auto"/>
              <w:rPr>
                <w:rFonts w:hint="eastAsia" w:ascii="宋体" w:hAnsi="宋体" w:eastAsia="宋体" w:cs="宋体"/>
                <w:sz w:val="22"/>
                <w:szCs w:val="22"/>
                <w:vertAlign w:val="baseline"/>
                <w:lang w:eastAsia="zh-CN"/>
              </w:rPr>
            </w:pPr>
          </w:p>
          <w:p w14:paraId="257F444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（一）服务总体要求</w:t>
            </w:r>
          </w:p>
        </w:tc>
        <w:tc>
          <w:tcPr>
            <w:tcW w:w="7354" w:type="dxa"/>
          </w:tcPr>
          <w:p w14:paraId="62DCF4C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1、供货服务对象：</w:t>
            </w:r>
            <w:r>
              <w:rPr>
                <w:rFonts w:hint="eastAsia" w:ascii="宋体" w:hAnsi="宋体" w:eastAsia="宋体" w:cs="宋体"/>
                <w:sz w:val="22"/>
                <w:szCs w:val="22"/>
                <w:vertAlign w:val="baseline"/>
                <w:lang w:val="en-US" w:eastAsia="zh-CN"/>
              </w:rPr>
              <w:t>分标1</w:t>
            </w:r>
            <w:r>
              <w:rPr>
                <w:rFonts w:hint="eastAsia" w:ascii="宋体" w:hAnsi="宋体" w:eastAsia="宋体" w:cs="宋体"/>
                <w:sz w:val="22"/>
                <w:szCs w:val="22"/>
                <w:vertAlign w:val="baseline"/>
                <w:lang w:eastAsia="zh-CN"/>
              </w:rPr>
              <w:t>县北片区</w:t>
            </w:r>
            <w:r>
              <w:rPr>
                <w:rFonts w:hint="eastAsia" w:ascii="宋体" w:hAnsi="宋体" w:eastAsia="宋体" w:cs="宋体"/>
                <w:color w:val="000000" w:themeColor="text1"/>
                <w:sz w:val="22"/>
                <w:szCs w:val="22"/>
                <w:vertAlign w:val="baseline"/>
                <w:lang w:eastAsia="zh-CN"/>
                <w14:textFill>
                  <w14:solidFill>
                    <w14:schemeClr w14:val="tx1"/>
                  </w14:solidFill>
                </w14:textFill>
              </w:rPr>
              <w:t>(珊罗镇、平乐镇、马坡镇、米场镇、沙湖镇）</w:t>
            </w:r>
            <w:r>
              <w:rPr>
                <w:rFonts w:hint="eastAsia" w:ascii="宋体" w:hAnsi="宋体" w:eastAsia="宋体" w:cs="宋体"/>
                <w:sz w:val="22"/>
                <w:szCs w:val="22"/>
                <w:vertAlign w:val="baseline"/>
                <w:lang w:eastAsia="zh-CN"/>
              </w:rPr>
              <w:t>的学校共计约38233人</w:t>
            </w:r>
            <w:r>
              <w:rPr>
                <w:rFonts w:hint="eastAsia" w:ascii="宋体" w:hAnsi="宋体" w:eastAsia="宋体" w:cs="宋体"/>
                <w:color w:val="000000" w:themeColor="text1"/>
                <w:sz w:val="22"/>
                <w:szCs w:val="22"/>
                <w:vertAlign w:val="baseline"/>
                <w:lang w:eastAsia="zh-CN"/>
                <w14:textFill>
                  <w14:solidFill>
                    <w14:schemeClr w14:val="tx1"/>
                  </w14:solidFill>
                </w14:textFill>
              </w:rPr>
              <w:t>（以实际受益学生数为准）</w:t>
            </w:r>
            <w:r>
              <w:rPr>
                <w:rFonts w:hint="eastAsia" w:ascii="宋体" w:hAnsi="宋体" w:eastAsia="宋体" w:cs="宋体"/>
                <w:sz w:val="22"/>
                <w:szCs w:val="22"/>
                <w:vertAlign w:val="baseline"/>
                <w:lang w:eastAsia="zh-CN"/>
              </w:rPr>
              <w:t>。</w:t>
            </w:r>
          </w:p>
          <w:p w14:paraId="0878EA7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严禁配送预制菜，中标企业建设统一配送中心和全链条可溯源信息化监管系统。</w:t>
            </w:r>
          </w:p>
          <w:p w14:paraId="4AAA7C27">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2、采购量：实际数量以采购单位根据实际需要为准，结算时按实际采购数量结算。中标供应商不得因实际供应量与中标数量不一致提出异议。</w:t>
            </w:r>
          </w:p>
          <w:p w14:paraId="5F06885C">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3、中标人不得将中标货物转包或分包给第三方，采购单位发现的有权单方终止合同。由此产生的一切经济损失由中标人自行承担。</w:t>
            </w:r>
          </w:p>
          <w:p w14:paraId="0D14ACD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4、中标人在合同履行期间保证对采购单位的货物供应，中标后不得拒绝采购单位分配的任务。中标人在服务期内没能达到投标文件承诺的服务要求的，中标人未按要求履行协议义务的或中标人的资质在服务期内发生变化不再符合要求的，采购单位均有权单方终止合同，由此产生的一切经济损失由中标人自行承担。</w:t>
            </w:r>
          </w:p>
          <w:p w14:paraId="591EE97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val="en-US" w:eastAsia="zh-CN"/>
              </w:rPr>
              <w:t>5</w:t>
            </w:r>
            <w:r>
              <w:rPr>
                <w:rFonts w:hint="eastAsia" w:ascii="宋体" w:hAnsi="宋体" w:eastAsia="宋体" w:cs="宋体"/>
                <w:sz w:val="22"/>
                <w:szCs w:val="22"/>
                <w:vertAlign w:val="baseline"/>
                <w:lang w:eastAsia="zh-CN"/>
              </w:rPr>
              <w:t>、中标人必须遵守国家的法律法规及采购单位的规章制度。中标人(包括送货人员)必须服从采购单位的监督、管理。进入校园出现与学生私自接触、捎带物品和利益交易等违规行为的，直接终止合同，并追究供应商相关责任。</w:t>
            </w:r>
          </w:p>
          <w:p w14:paraId="7D3CF5A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6、中标人应保证所提供的产品必须是合格安全的产品，供应的货物因产品质量问题造成食品安全事故的，直接取消供应商的供货资格，由供应商承担全部经济赔偿责任及其他法律责任。</w:t>
            </w:r>
          </w:p>
          <w:p w14:paraId="6396961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7、中标人提供符合市场监管部门要求的有效证明材料。如有效的营业执照、产品合格证、食品原材料采购供应渠道等。建立完备的冷藏、分割、包装、检测、留样、监控系统。</w:t>
            </w:r>
          </w:p>
          <w:p w14:paraId="4209ABE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8、中标人配送的食品应严格遵循健康原则，确保所有产品避免“三高”:即高油脂、高盐分、高糖分的成分添加；不得使用深加工食品，以提供更为健康、均衡的饮食选择。</w:t>
            </w:r>
          </w:p>
          <w:p w14:paraId="35225DE6">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9、由于项目资金发生不可预见的调整，存在可能引发项目被迫中止的风险，鉴于此情况，所有因此而产生的风险、损失及后果，将由中标人一方独立承担。</w:t>
            </w:r>
          </w:p>
          <w:p w14:paraId="447DB294">
            <w:pPr>
              <w:pageBreakBefore w:val="0"/>
              <w:widowControl w:val="0"/>
              <w:kinsoku/>
              <w:wordWrap/>
              <w:overflowPunct/>
              <w:topLinePunct w:val="0"/>
              <w:bidi w:val="0"/>
              <w:adjustRightInd/>
              <w:spacing w:line="500" w:lineRule="exact"/>
              <w:jc w:val="both"/>
              <w:textAlignment w:val="auto"/>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10、</w:t>
            </w:r>
            <w:r>
              <w:rPr>
                <w:rFonts w:hint="eastAsia"/>
                <w:highlight w:val="yellow"/>
              </w:rPr>
              <w:t>投标人拟投入专用食品储存冷库</w:t>
            </w:r>
            <w:r>
              <w:rPr>
                <w:rFonts w:hint="eastAsia"/>
                <w:highlight w:val="yellow"/>
                <w:lang w:val="en-US" w:eastAsia="zh-CN"/>
              </w:rPr>
              <w:t>或仓库</w:t>
            </w:r>
            <w:r>
              <w:rPr>
                <w:rFonts w:hint="eastAsia"/>
                <w:highlight w:val="yellow"/>
              </w:rPr>
              <w:t>，提供冷库</w:t>
            </w:r>
            <w:r>
              <w:rPr>
                <w:rFonts w:hint="eastAsia"/>
                <w:highlight w:val="yellow"/>
                <w:lang w:val="en-US" w:eastAsia="zh-CN"/>
              </w:rPr>
              <w:t>或仓库自有或租赁合同</w:t>
            </w:r>
            <w:r>
              <w:rPr>
                <w:rFonts w:hint="eastAsia"/>
                <w:highlight w:val="yellow"/>
              </w:rPr>
              <w:t>等证明材料</w:t>
            </w:r>
            <w:r>
              <w:rPr>
                <w:rFonts w:hint="eastAsia"/>
                <w:highlight w:val="yellow"/>
                <w:lang w:eastAsia="zh-CN"/>
              </w:rPr>
              <w:t>，</w:t>
            </w:r>
            <w:r>
              <w:rPr>
                <w:rFonts w:hint="eastAsia"/>
                <w:highlight w:val="yellow"/>
              </w:rPr>
              <w:t>或承诺中标后租赁</w:t>
            </w:r>
            <w:r>
              <w:rPr>
                <w:rFonts w:hint="eastAsia"/>
                <w:highlight w:val="yellow"/>
                <w:lang w:val="en-US" w:eastAsia="zh-CN"/>
              </w:rPr>
              <w:t>仓库或冷库的</w:t>
            </w:r>
            <w:r>
              <w:rPr>
                <w:rFonts w:hint="eastAsia"/>
                <w:highlight w:val="yellow"/>
              </w:rPr>
              <w:t>须提供承诺函（格式自拟）</w:t>
            </w:r>
            <w:r>
              <w:rPr>
                <w:rFonts w:hint="eastAsia"/>
                <w:highlight w:val="yellow"/>
                <w:lang w:val="en-US" w:eastAsia="zh-CN"/>
              </w:rPr>
              <w:t>并在签订合同时提供相关证明材料</w:t>
            </w:r>
            <w:r>
              <w:rPr>
                <w:rFonts w:hint="eastAsia"/>
                <w:highlight w:val="yellow"/>
                <w:lang w:eastAsia="zh-CN"/>
              </w:rPr>
              <w:t>。</w:t>
            </w:r>
          </w:p>
        </w:tc>
      </w:tr>
      <w:tr w14:paraId="0495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511D19D8">
            <w:pPr>
              <w:numPr>
                <w:ilvl w:val="0"/>
                <w:numId w:val="0"/>
              </w:numPr>
              <w:spacing w:line="360" w:lineRule="auto"/>
              <w:rPr>
                <w:rFonts w:hint="eastAsia" w:ascii="宋体" w:hAnsi="宋体" w:eastAsia="宋体" w:cs="宋体"/>
                <w:sz w:val="22"/>
                <w:szCs w:val="22"/>
                <w:vertAlign w:val="baseline"/>
                <w:lang w:eastAsia="zh-CN"/>
              </w:rPr>
            </w:pPr>
          </w:p>
          <w:p w14:paraId="747FAFED">
            <w:pPr>
              <w:numPr>
                <w:ilvl w:val="0"/>
                <w:numId w:val="0"/>
              </w:numPr>
              <w:spacing w:line="360" w:lineRule="auto"/>
              <w:rPr>
                <w:rFonts w:hint="eastAsia" w:ascii="宋体" w:hAnsi="宋体" w:eastAsia="宋体" w:cs="宋体"/>
                <w:sz w:val="22"/>
                <w:szCs w:val="22"/>
                <w:vertAlign w:val="baseline"/>
                <w:lang w:eastAsia="zh-CN"/>
              </w:rPr>
            </w:pPr>
          </w:p>
          <w:p w14:paraId="5D55AC34">
            <w:pPr>
              <w:numPr>
                <w:ilvl w:val="0"/>
                <w:numId w:val="0"/>
              </w:numPr>
              <w:spacing w:line="360" w:lineRule="auto"/>
              <w:rPr>
                <w:rFonts w:hint="eastAsia" w:ascii="宋体" w:hAnsi="宋体" w:eastAsia="宋体" w:cs="宋体"/>
                <w:sz w:val="22"/>
                <w:szCs w:val="22"/>
                <w:vertAlign w:val="baseline"/>
                <w:lang w:eastAsia="zh-CN"/>
              </w:rPr>
            </w:pPr>
          </w:p>
          <w:p w14:paraId="76F93EDB">
            <w:pPr>
              <w:numPr>
                <w:ilvl w:val="0"/>
                <w:numId w:val="0"/>
              </w:numPr>
              <w:spacing w:line="360" w:lineRule="auto"/>
              <w:rPr>
                <w:rFonts w:hint="eastAsia" w:ascii="宋体" w:hAnsi="宋体" w:eastAsia="宋体" w:cs="宋体"/>
                <w:sz w:val="22"/>
                <w:szCs w:val="22"/>
                <w:vertAlign w:val="baseline"/>
                <w:lang w:eastAsia="zh-CN"/>
              </w:rPr>
            </w:pPr>
          </w:p>
          <w:p w14:paraId="31DC9138">
            <w:pPr>
              <w:numPr>
                <w:ilvl w:val="0"/>
                <w:numId w:val="0"/>
              </w:numPr>
              <w:spacing w:line="360" w:lineRule="auto"/>
              <w:rPr>
                <w:rFonts w:hint="eastAsia" w:ascii="宋体" w:hAnsi="宋体" w:eastAsia="宋体" w:cs="宋体"/>
                <w:sz w:val="22"/>
                <w:szCs w:val="22"/>
                <w:vertAlign w:val="baseline"/>
                <w:lang w:eastAsia="zh-CN"/>
              </w:rPr>
            </w:pPr>
          </w:p>
          <w:p w14:paraId="2AA06177">
            <w:pPr>
              <w:numPr>
                <w:ilvl w:val="0"/>
                <w:numId w:val="0"/>
              </w:numPr>
              <w:spacing w:line="360" w:lineRule="auto"/>
              <w:rPr>
                <w:rFonts w:hint="eastAsia" w:ascii="宋体" w:hAnsi="宋体" w:eastAsia="宋体" w:cs="宋体"/>
                <w:sz w:val="22"/>
                <w:szCs w:val="22"/>
                <w:vertAlign w:val="baseline"/>
                <w:lang w:eastAsia="zh-CN"/>
              </w:rPr>
            </w:pPr>
          </w:p>
          <w:p w14:paraId="451CBC86">
            <w:pPr>
              <w:numPr>
                <w:ilvl w:val="0"/>
                <w:numId w:val="0"/>
              </w:numPr>
              <w:spacing w:line="360" w:lineRule="auto"/>
              <w:rPr>
                <w:rFonts w:hint="eastAsia" w:ascii="宋体" w:hAnsi="宋体" w:eastAsia="宋体" w:cs="宋体"/>
                <w:sz w:val="22"/>
                <w:szCs w:val="22"/>
                <w:vertAlign w:val="baseline"/>
                <w:lang w:eastAsia="zh-CN"/>
              </w:rPr>
            </w:pPr>
          </w:p>
          <w:p w14:paraId="359A1DB8">
            <w:pPr>
              <w:numPr>
                <w:ilvl w:val="0"/>
                <w:numId w:val="0"/>
              </w:numPr>
              <w:spacing w:line="360" w:lineRule="auto"/>
              <w:rPr>
                <w:rFonts w:hint="eastAsia" w:ascii="宋体" w:hAnsi="宋体" w:eastAsia="宋体" w:cs="宋体"/>
                <w:sz w:val="22"/>
                <w:szCs w:val="22"/>
                <w:vertAlign w:val="baseline"/>
                <w:lang w:eastAsia="zh-CN"/>
              </w:rPr>
            </w:pPr>
          </w:p>
          <w:p w14:paraId="18443FCB">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（二）供应价格要求</w:t>
            </w:r>
          </w:p>
        </w:tc>
        <w:tc>
          <w:tcPr>
            <w:tcW w:w="7354" w:type="dxa"/>
          </w:tcPr>
          <w:p w14:paraId="2B3AEBC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投标报价是履行合同的最终价格，必须包含满足本次疫标全部采购需求所应提供的服务，以及伴随的货物的价格：包含投标服务、货物成本、运输(含保险)装卸、搬运、检验、保险、利润、税费、质保期售后服务、雇员费、合同实施过程中的应顾见和或不可预见等费用总和。所产生的费用由中标人负责。</w:t>
            </w:r>
          </w:p>
          <w:p w14:paraId="6B5890A7">
            <w:pPr>
              <w:numPr>
                <w:ilvl w:val="0"/>
                <w:numId w:val="0"/>
              </w:numPr>
              <w:spacing w:line="360" w:lineRule="auto"/>
              <w:rPr>
                <w:rFonts w:hint="eastAsia" w:ascii="宋体" w:hAnsi="宋体" w:eastAsia="宋体" w:cs="宋体"/>
                <w:b/>
                <w:bCs/>
                <w:sz w:val="22"/>
                <w:szCs w:val="22"/>
                <w:vertAlign w:val="baseline"/>
                <w:lang w:eastAsia="zh-CN"/>
              </w:rPr>
            </w:pPr>
            <w:r>
              <w:rPr>
                <w:rFonts w:hint="eastAsia" w:ascii="宋体" w:hAnsi="宋体" w:eastAsia="宋体" w:cs="宋体"/>
                <w:b/>
                <w:bCs/>
                <w:sz w:val="22"/>
                <w:szCs w:val="22"/>
                <w:vertAlign w:val="baseline"/>
                <w:lang w:eastAsia="zh-CN"/>
              </w:rPr>
              <w:t>2、供应商投标报价采用折扣率报价(以%表示，折扣率报价精确到个位数)。投标报价范围：≤100%(如：供货产品打八折即投标折扣率为80%,以此类推),否则，作无效报价处理。</w:t>
            </w:r>
          </w:p>
          <w:p w14:paraId="27429A28">
            <w:pPr>
              <w:pStyle w:val="141"/>
              <w:spacing w:before="28" w:line="360" w:lineRule="auto"/>
              <w:rPr>
                <w:rFonts w:hint="eastAsia" w:ascii="宋体" w:hAnsi="宋体" w:eastAsia="宋体" w:cs="宋体"/>
                <w:sz w:val="22"/>
                <w:szCs w:val="22"/>
                <w:vertAlign w:val="baseline"/>
                <w:lang w:eastAsia="zh-CN"/>
              </w:rPr>
            </w:pPr>
            <w:r>
              <w:rPr>
                <w:spacing w:val="-3"/>
                <w:sz w:val="22"/>
                <w:szCs w:val="22"/>
              </w:rPr>
              <w:t>3、投标折扣率将作为食材或货物实际结算的合同折扣率，结算时</w:t>
            </w:r>
            <w:r>
              <w:rPr>
                <w:spacing w:val="-1"/>
                <w:sz w:val="22"/>
                <w:szCs w:val="22"/>
              </w:rPr>
              <w:t>以学校实际采购量进行结算。采购单位根据各食材或货物的市场</w:t>
            </w:r>
            <w:r>
              <w:rPr>
                <w:sz w:val="22"/>
                <w:szCs w:val="22"/>
              </w:rPr>
              <w:t>价格情况，肉禽鱼类产品定价周期为15日，果蔬类定价周期为7</w:t>
            </w:r>
            <w:r>
              <w:rPr>
                <w:spacing w:val="1"/>
                <w:sz w:val="22"/>
                <w:szCs w:val="22"/>
              </w:rPr>
              <w:t>日，早餐类和干杂类定价周期为1个月，所有食品原材料价格由</w:t>
            </w:r>
            <w:r>
              <w:rPr>
                <w:rFonts w:hint="eastAsia"/>
                <w:spacing w:val="1"/>
                <w:sz w:val="22"/>
                <w:szCs w:val="22"/>
                <w:lang w:eastAsia="zh-CN"/>
              </w:rPr>
              <w:t>县</w:t>
            </w:r>
            <w:r>
              <w:rPr>
                <w:spacing w:val="-3"/>
                <w:sz w:val="22"/>
                <w:szCs w:val="22"/>
              </w:rPr>
              <w:t>教育局组织供应商和部分学校采购代表协商确定。先由供应商</w:t>
            </w:r>
            <w:r>
              <w:rPr>
                <w:spacing w:val="-5"/>
                <w:sz w:val="22"/>
                <w:szCs w:val="22"/>
              </w:rPr>
              <w:t>报价，学校采购代表到</w:t>
            </w:r>
            <w:r>
              <w:rPr>
                <w:rFonts w:hint="eastAsia"/>
                <w:spacing w:val="-5"/>
                <w:sz w:val="22"/>
                <w:szCs w:val="22"/>
                <w:lang w:eastAsia="zh-CN"/>
              </w:rPr>
              <w:t>九洲市场、友爱市场、河坝村市场、万丈市场、家家福</w:t>
            </w:r>
            <w:r>
              <w:rPr>
                <w:spacing w:val="-4"/>
                <w:sz w:val="22"/>
                <w:szCs w:val="22"/>
              </w:rPr>
              <w:t>超市、百汇超市</w:t>
            </w:r>
            <w:r>
              <w:rPr>
                <w:rFonts w:hint="eastAsia"/>
                <w:spacing w:val="-4"/>
                <w:sz w:val="22"/>
                <w:szCs w:val="22"/>
                <w:lang w:eastAsia="zh-CN"/>
              </w:rPr>
              <w:t>、天天超市</w:t>
            </w:r>
            <w:r>
              <w:rPr>
                <w:spacing w:val="-4"/>
                <w:sz w:val="22"/>
                <w:szCs w:val="22"/>
              </w:rPr>
              <w:t>等市场询价，</w:t>
            </w:r>
            <w:r>
              <w:rPr>
                <w:rFonts w:hint="eastAsia"/>
                <w:spacing w:val="-4"/>
                <w:sz w:val="22"/>
                <w:szCs w:val="22"/>
                <w:lang w:eastAsia="zh-CN"/>
              </w:rPr>
              <w:t>由</w:t>
            </w:r>
            <w:r>
              <w:rPr>
                <w:spacing w:val="-4"/>
                <w:sz w:val="22"/>
                <w:szCs w:val="22"/>
              </w:rPr>
              <w:t>教育局</w:t>
            </w:r>
            <w:r>
              <w:rPr>
                <w:rFonts w:hint="eastAsia"/>
                <w:spacing w:val="-4"/>
                <w:sz w:val="22"/>
                <w:szCs w:val="22"/>
                <w:lang w:eastAsia="zh-CN"/>
              </w:rPr>
              <w:t>代表、学校代表、学生家长代表采取轮流随机抽取组成询价小组</w:t>
            </w:r>
            <w:r>
              <w:rPr>
                <w:spacing w:val="-4"/>
                <w:sz w:val="22"/>
                <w:szCs w:val="22"/>
              </w:rPr>
              <w:t>和供应商进行议价</w:t>
            </w:r>
            <w:r>
              <w:rPr>
                <w:rFonts w:hint="eastAsia"/>
                <w:spacing w:val="-4"/>
                <w:sz w:val="22"/>
                <w:szCs w:val="22"/>
                <w:lang w:eastAsia="zh-CN"/>
              </w:rPr>
              <w:t>，或根据当期发改部门发布的食材价格信息价作为基准单价计算，确定价格基准价(标准单价),价格基准价(标准单价)不能高于市场上的最高价，</w:t>
            </w:r>
            <w:r>
              <w:rPr>
                <w:spacing w:val="-1"/>
                <w:sz w:val="22"/>
                <w:szCs w:val="22"/>
              </w:rPr>
              <w:t>如果价格不能协商确定的，供应商暂停供应该食材，由采购单位</w:t>
            </w:r>
            <w:r>
              <w:rPr>
                <w:sz w:val="22"/>
                <w:szCs w:val="22"/>
              </w:rPr>
              <w:t>启动应急采购预案，从其他中标商或具有食品安全保证的供应商</w:t>
            </w:r>
            <w:r>
              <w:rPr>
                <w:rFonts w:hint="eastAsia"/>
                <w:sz w:val="22"/>
                <w:szCs w:val="22"/>
                <w:lang w:eastAsia="zh-CN"/>
              </w:rPr>
              <w:t>采购。</w:t>
            </w:r>
            <w:r>
              <w:rPr>
                <w:b/>
                <w:bCs/>
                <w:spacing w:val="-3"/>
                <w:sz w:val="22"/>
                <w:szCs w:val="22"/>
              </w:rPr>
              <w:t>既当期某食材或货物结算价=标准单价X合同折扣率×该食材或货物实际采购量(例如：标准单价=100元/斤，合同折扣率</w:t>
            </w:r>
            <w:r>
              <w:rPr>
                <w:b/>
                <w:bCs/>
                <w:spacing w:val="-2"/>
                <w:sz w:val="22"/>
                <w:szCs w:val="22"/>
              </w:rPr>
              <w:t>=97%,该食材或货物实际采购量=10斤，当期某食材或货物结</w:t>
            </w:r>
            <w:r>
              <w:rPr>
                <w:b/>
                <w:bCs/>
                <w:spacing w:val="-3"/>
                <w:sz w:val="22"/>
                <w:szCs w:val="22"/>
              </w:rPr>
              <w:t>算价=100×0.97×10=970元)。</w:t>
            </w:r>
          </w:p>
        </w:tc>
      </w:tr>
      <w:tr w14:paraId="2CB1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trPr>
        <w:tc>
          <w:tcPr>
            <w:tcW w:w="1168" w:type="dxa"/>
          </w:tcPr>
          <w:p w14:paraId="489C5ECC">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（三）</w:t>
            </w:r>
          </w:p>
          <w:p w14:paraId="13D63A5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货款结算及付款方式</w:t>
            </w:r>
          </w:p>
        </w:tc>
        <w:tc>
          <w:tcPr>
            <w:tcW w:w="7354" w:type="dxa"/>
          </w:tcPr>
          <w:p w14:paraId="0B90A048">
            <w:pPr>
              <w:numPr>
                <w:ilvl w:val="0"/>
                <w:numId w:val="0"/>
              </w:numPr>
              <w:spacing w:line="360" w:lineRule="auto"/>
              <w:rPr>
                <w:rFonts w:hint="eastAsia" w:ascii="宋体" w:hAnsi="宋体" w:eastAsia="宋体" w:cs="宋体"/>
                <w:sz w:val="22"/>
                <w:szCs w:val="22"/>
                <w:vertAlign w:val="baseline"/>
                <w:lang w:eastAsia="zh-CN"/>
              </w:rPr>
            </w:pPr>
            <w:r>
              <w:rPr>
                <w:highlight w:val="yellow"/>
              </w:rPr>
              <w:t>双方签订合同后，</w:t>
            </w:r>
            <w:r>
              <w:rPr>
                <w:rFonts w:hint="eastAsia"/>
                <w:highlight w:val="yellow"/>
                <w:lang w:val="en-US" w:eastAsia="zh-CN"/>
              </w:rPr>
              <w:t>中标</w:t>
            </w:r>
            <w:r>
              <w:rPr>
                <w:highlight w:val="yellow"/>
              </w:rPr>
              <w:t>供应商须向采购人提供合同总金额</w:t>
            </w:r>
            <w:r>
              <w:rPr>
                <w:rFonts w:hint="eastAsia"/>
                <w:highlight w:val="yellow"/>
                <w:lang w:val="en-US" w:eastAsia="zh-CN"/>
              </w:rPr>
              <w:t>2</w:t>
            </w:r>
            <w:r>
              <w:rPr>
                <w:highlight w:val="yellow"/>
              </w:rPr>
              <w:t>%的预付款保函（</w:t>
            </w:r>
            <w:r>
              <w:rPr>
                <w:rFonts w:hint="eastAsia"/>
                <w:highlight w:val="yellow"/>
              </w:rPr>
              <w:t>每份保函的有效期应为提交下一份保函生效之日止</w:t>
            </w:r>
            <w:r>
              <w:rPr>
                <w:highlight w:val="yellow"/>
              </w:rPr>
              <w:t>）及等额发票</w:t>
            </w:r>
            <w:r>
              <w:rPr>
                <w:rFonts w:hint="eastAsia"/>
                <w:highlight w:val="yellow"/>
                <w:lang w:eastAsia="zh-CN"/>
              </w:rPr>
              <w:t>。</w:t>
            </w:r>
            <w:r>
              <w:rPr>
                <w:sz w:val="22"/>
                <w:szCs w:val="22"/>
              </w:rPr>
              <w:t>一般情况下采购单位按月进行结算，采购资金由采购单位财务</w:t>
            </w:r>
            <w:r>
              <w:rPr>
                <w:b w:val="0"/>
                <w:bCs w:val="0"/>
                <w:spacing w:val="-5"/>
                <w:sz w:val="22"/>
                <w:szCs w:val="22"/>
              </w:rPr>
              <w:t>户转入中标供应商账</w:t>
            </w:r>
            <w:r>
              <w:rPr>
                <w:rFonts w:hint="eastAsia"/>
                <w:b w:val="0"/>
                <w:bCs w:val="0"/>
                <w:spacing w:val="-5"/>
                <w:sz w:val="22"/>
                <w:szCs w:val="22"/>
                <w:lang w:eastAsia="zh-CN"/>
              </w:rPr>
              <w:t>户</w:t>
            </w:r>
            <w:r>
              <w:rPr>
                <w:b w:val="0"/>
                <w:bCs w:val="0"/>
                <w:spacing w:val="-5"/>
                <w:sz w:val="22"/>
                <w:szCs w:val="22"/>
              </w:rPr>
              <w:t>。每月25日前，中标供应商向采购单位库</w:t>
            </w:r>
            <w:r>
              <w:rPr>
                <w:rFonts w:hint="eastAsia"/>
                <w:b w:val="0"/>
                <w:bCs w:val="0"/>
                <w:spacing w:val="-5"/>
                <w:sz w:val="22"/>
                <w:szCs w:val="22"/>
                <w:lang w:eastAsia="zh-CN"/>
              </w:rPr>
              <w:t>出</w:t>
            </w:r>
            <w:r>
              <w:rPr>
                <w:b w:val="0"/>
                <w:bCs w:val="0"/>
                <w:spacing w:val="-3"/>
                <w:sz w:val="22"/>
                <w:szCs w:val="22"/>
              </w:rPr>
              <w:t>具上一月度供货相应数额的发票(农副产品免税的除外),采购</w:t>
            </w:r>
            <w:r>
              <w:rPr>
                <w:b w:val="0"/>
                <w:bCs w:val="0"/>
                <w:spacing w:val="-5"/>
                <w:sz w:val="22"/>
                <w:szCs w:val="22"/>
              </w:rPr>
              <w:t>单位收到发票后10个工作日内支付。特殊情况，需临时改变</w:t>
            </w:r>
            <w:r>
              <w:rPr>
                <w:b w:val="0"/>
                <w:bCs w:val="0"/>
                <w:spacing w:val="-6"/>
                <w:sz w:val="22"/>
                <w:szCs w:val="22"/>
              </w:rPr>
              <w:t>结算</w:t>
            </w:r>
            <w:r>
              <w:rPr>
                <w:b w:val="0"/>
                <w:bCs w:val="0"/>
                <w:spacing w:val="-3"/>
                <w:sz w:val="22"/>
                <w:szCs w:val="22"/>
              </w:rPr>
              <w:t>方式，双方可通过协商解决。</w:t>
            </w:r>
          </w:p>
        </w:tc>
      </w:tr>
    </w:tbl>
    <w:tbl>
      <w:tblPr>
        <w:tblStyle w:val="37"/>
        <w:tblpPr w:leftFromText="180" w:rightFromText="180" w:vertAnchor="text" w:horzAnchor="page" w:tblpX="1800"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7354"/>
      </w:tblGrid>
      <w:tr w14:paraId="08B2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8" w:type="dxa"/>
          </w:tcPr>
          <w:p w14:paraId="6315AB21">
            <w:p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br w:type="page"/>
            </w:r>
            <w:r>
              <w:rPr>
                <w:rFonts w:hint="eastAsia" w:ascii="宋体" w:hAnsi="宋体" w:eastAsia="宋体" w:cs="宋体"/>
                <w:sz w:val="22"/>
                <w:szCs w:val="22"/>
                <w:vertAlign w:val="baseline"/>
                <w:lang w:eastAsia="zh-CN"/>
              </w:rPr>
              <w:t>（四）交货地点</w:t>
            </w:r>
          </w:p>
        </w:tc>
        <w:tc>
          <w:tcPr>
            <w:tcW w:w="7354" w:type="dxa"/>
          </w:tcPr>
          <w:p w14:paraId="5AC2F492">
            <w:pPr>
              <w:numPr>
                <w:ilvl w:val="0"/>
                <w:numId w:val="0"/>
              </w:numPr>
              <w:spacing w:line="360" w:lineRule="auto"/>
              <w:rPr>
                <w:rFonts w:hint="eastAsia" w:ascii="宋体" w:hAnsi="宋体" w:eastAsia="宋体" w:cs="宋体"/>
                <w:color w:val="000000" w:themeColor="text1"/>
                <w:sz w:val="22"/>
                <w:szCs w:val="22"/>
                <w:vertAlign w:val="baseline"/>
                <w:lang w:eastAsia="zh-CN"/>
                <w14:textFill>
                  <w14:solidFill>
                    <w14:schemeClr w14:val="tx1"/>
                  </w14:solidFill>
                </w14:textFill>
              </w:rPr>
            </w:pPr>
            <w:r>
              <w:rPr>
                <w:rFonts w:hint="eastAsia" w:ascii="宋体" w:hAnsi="宋体" w:eastAsia="宋体" w:cs="宋体"/>
                <w:color w:val="000000" w:themeColor="text1"/>
                <w:sz w:val="22"/>
                <w:szCs w:val="22"/>
                <w:vertAlign w:val="baseline"/>
                <w:lang w:eastAsia="zh-CN"/>
                <w14:textFill>
                  <w14:solidFill>
                    <w14:schemeClr w14:val="tx1"/>
                  </w14:solidFill>
                </w14:textFill>
              </w:rPr>
              <w:t>县北片区(珊罗镇、平乐镇、马坡镇、米场镇、沙湖镇各辖区相关学校)</w:t>
            </w:r>
          </w:p>
        </w:tc>
      </w:tr>
      <w:tr w14:paraId="6BF6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5BCC1256">
            <w:pPr>
              <w:numPr>
                <w:ilvl w:val="0"/>
                <w:numId w:val="0"/>
              </w:numPr>
              <w:spacing w:line="360" w:lineRule="auto"/>
              <w:rPr>
                <w:rFonts w:hint="eastAsia" w:ascii="宋体" w:hAnsi="宋体" w:eastAsia="宋体" w:cs="宋体"/>
                <w:sz w:val="22"/>
                <w:szCs w:val="22"/>
                <w:vertAlign w:val="baseline"/>
                <w:lang w:eastAsia="zh-CN"/>
              </w:rPr>
            </w:pPr>
          </w:p>
          <w:p w14:paraId="6D645517">
            <w:pPr>
              <w:numPr>
                <w:ilvl w:val="0"/>
                <w:numId w:val="0"/>
              </w:numPr>
              <w:spacing w:line="360" w:lineRule="auto"/>
              <w:rPr>
                <w:rFonts w:hint="eastAsia" w:ascii="宋体" w:hAnsi="宋体" w:eastAsia="宋体" w:cs="宋体"/>
                <w:sz w:val="22"/>
                <w:szCs w:val="22"/>
                <w:vertAlign w:val="baseline"/>
                <w:lang w:eastAsia="zh-CN"/>
              </w:rPr>
            </w:pPr>
          </w:p>
          <w:p w14:paraId="0A937A1B">
            <w:pPr>
              <w:numPr>
                <w:ilvl w:val="0"/>
                <w:numId w:val="0"/>
              </w:numPr>
              <w:spacing w:line="360" w:lineRule="auto"/>
              <w:rPr>
                <w:rFonts w:hint="eastAsia" w:ascii="宋体" w:hAnsi="宋体" w:eastAsia="宋体" w:cs="宋体"/>
                <w:sz w:val="22"/>
                <w:szCs w:val="22"/>
                <w:vertAlign w:val="baseline"/>
                <w:lang w:eastAsia="zh-CN"/>
              </w:rPr>
            </w:pPr>
          </w:p>
          <w:p w14:paraId="1083D32B">
            <w:pPr>
              <w:numPr>
                <w:ilvl w:val="0"/>
                <w:numId w:val="0"/>
              </w:numPr>
              <w:spacing w:line="360" w:lineRule="auto"/>
              <w:rPr>
                <w:rFonts w:hint="eastAsia" w:ascii="宋体" w:hAnsi="宋体" w:eastAsia="宋体" w:cs="宋体"/>
                <w:sz w:val="22"/>
                <w:szCs w:val="22"/>
                <w:vertAlign w:val="baseline"/>
                <w:lang w:eastAsia="zh-CN"/>
              </w:rPr>
            </w:pPr>
          </w:p>
          <w:p w14:paraId="49025730">
            <w:pPr>
              <w:numPr>
                <w:ilvl w:val="0"/>
                <w:numId w:val="0"/>
              </w:numPr>
              <w:spacing w:line="360" w:lineRule="auto"/>
              <w:rPr>
                <w:rFonts w:hint="eastAsia" w:ascii="宋体" w:hAnsi="宋体" w:eastAsia="宋体" w:cs="宋体"/>
                <w:sz w:val="22"/>
                <w:szCs w:val="22"/>
                <w:vertAlign w:val="baseline"/>
                <w:lang w:eastAsia="zh-CN"/>
              </w:rPr>
            </w:pPr>
          </w:p>
          <w:p w14:paraId="3079E2A4">
            <w:pPr>
              <w:numPr>
                <w:ilvl w:val="0"/>
                <w:numId w:val="0"/>
              </w:numPr>
              <w:spacing w:line="360" w:lineRule="auto"/>
              <w:rPr>
                <w:rFonts w:hint="eastAsia" w:ascii="宋体" w:hAnsi="宋体" w:eastAsia="宋体" w:cs="宋体"/>
                <w:sz w:val="22"/>
                <w:szCs w:val="22"/>
                <w:vertAlign w:val="baseline"/>
                <w:lang w:eastAsia="zh-CN"/>
              </w:rPr>
            </w:pPr>
          </w:p>
          <w:p w14:paraId="0952E594">
            <w:pPr>
              <w:numPr>
                <w:ilvl w:val="0"/>
                <w:numId w:val="0"/>
              </w:numPr>
              <w:spacing w:line="360" w:lineRule="auto"/>
              <w:rPr>
                <w:rFonts w:hint="eastAsia" w:ascii="宋体" w:hAnsi="宋体" w:eastAsia="宋体" w:cs="宋体"/>
                <w:sz w:val="22"/>
                <w:szCs w:val="22"/>
                <w:vertAlign w:val="baseline"/>
                <w:lang w:eastAsia="zh-CN"/>
              </w:rPr>
            </w:pPr>
          </w:p>
          <w:p w14:paraId="3AF2FB3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（五）</w:t>
            </w:r>
          </w:p>
          <w:p w14:paraId="4DA371C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配送服务要求</w:t>
            </w:r>
          </w:p>
        </w:tc>
        <w:tc>
          <w:tcPr>
            <w:tcW w:w="7354" w:type="dxa"/>
          </w:tcPr>
          <w:p w14:paraId="1124E8E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▲1、通过公开招标，打造“全程透明配送供应链”,围绕“质保、价惠、安全”的目标，把学校食堂服务管理工作建成“透明工程、安全工程、示范工程”。</w:t>
            </w:r>
          </w:p>
          <w:p w14:paraId="09912A78">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(1)物资来源透明。所有采购物资优先在陆川有符合相关资质要求的固定种植或养殖基地、加工基地或批发代理。</w:t>
            </w:r>
          </w:p>
          <w:p w14:paraId="2744016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(2)配送车间透明。所有供应商必须建设固定配送车间，建立完备的冷藏、分割、包装、检测、留样、监控系统。</w:t>
            </w:r>
          </w:p>
          <w:p w14:paraId="6FBF82C1">
            <w:pPr>
              <w:pStyle w:val="141"/>
              <w:spacing w:before="21" w:line="422" w:lineRule="auto"/>
              <w:rPr>
                <w:rFonts w:hint="eastAsia" w:ascii="宋体" w:hAnsi="宋体" w:eastAsia="宋体" w:cs="宋体"/>
                <w:sz w:val="22"/>
                <w:szCs w:val="22"/>
                <w:vertAlign w:val="baseline"/>
                <w:lang w:eastAsia="zh-CN"/>
              </w:rPr>
            </w:pPr>
            <w:r>
              <w:rPr>
                <w:spacing w:val="-2"/>
                <w:sz w:val="22"/>
                <w:szCs w:val="22"/>
              </w:rPr>
              <w:t>(3)配送过程透明。有统一标识专用厢式冷藏配送车辆、专用司</w:t>
            </w:r>
            <w:r>
              <w:rPr>
                <w:spacing w:val="-1"/>
                <w:sz w:val="22"/>
                <w:szCs w:val="22"/>
              </w:rPr>
              <w:t>机，采取点对点、固定路线、全程定位配送。</w:t>
            </w:r>
          </w:p>
          <w:p w14:paraId="75111CD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▲2、对配送供应商供应能力要求</w:t>
            </w:r>
          </w:p>
          <w:p w14:paraId="629E40C8">
            <w:pPr>
              <w:pStyle w:val="141"/>
              <w:spacing w:before="260" w:line="416" w:lineRule="auto"/>
              <w:rPr>
                <w:sz w:val="22"/>
                <w:szCs w:val="22"/>
              </w:rPr>
            </w:pPr>
            <w:r>
              <w:rPr>
                <w:spacing w:val="-2"/>
                <w:sz w:val="22"/>
                <w:szCs w:val="22"/>
              </w:rPr>
              <w:t>(1)配送供应商中标后在</w:t>
            </w:r>
            <w:r>
              <w:rPr>
                <w:rFonts w:hint="eastAsia"/>
                <w:spacing w:val="-2"/>
                <w:sz w:val="22"/>
                <w:szCs w:val="22"/>
                <w:lang w:eastAsia="zh-CN"/>
              </w:rPr>
              <w:t>陆川</w:t>
            </w:r>
            <w:r>
              <w:rPr>
                <w:spacing w:val="-2"/>
                <w:sz w:val="22"/>
                <w:szCs w:val="22"/>
              </w:rPr>
              <w:t>市范围内有能满足本项目服</w:t>
            </w:r>
            <w:r>
              <w:rPr>
                <w:spacing w:val="-3"/>
                <w:sz w:val="22"/>
                <w:szCs w:val="22"/>
              </w:rPr>
              <w:t>务所需</w:t>
            </w:r>
            <w:r>
              <w:rPr>
                <w:sz w:val="22"/>
                <w:szCs w:val="22"/>
              </w:rPr>
              <w:t>的统一配送中心，配送中心至少包括食品仓库、检测室、冷库和其他办公用房等，同时拥有能满足配送要求的设施设备、检测仪</w:t>
            </w:r>
            <w:r>
              <w:rPr>
                <w:spacing w:val="-1"/>
                <w:sz w:val="22"/>
                <w:szCs w:val="22"/>
              </w:rPr>
              <w:t>器。</w:t>
            </w:r>
          </w:p>
          <w:p w14:paraId="7DDCED8E">
            <w:pPr>
              <w:pStyle w:val="141"/>
              <w:spacing w:before="67" w:line="415" w:lineRule="auto"/>
              <w:jc w:val="both"/>
              <w:rPr>
                <w:sz w:val="22"/>
                <w:szCs w:val="22"/>
              </w:rPr>
            </w:pPr>
            <w:r>
              <w:rPr>
                <w:spacing w:val="-2"/>
                <w:sz w:val="22"/>
                <w:szCs w:val="22"/>
              </w:rPr>
              <w:t>(2)食品仓库达到食品安全存放要求，进出口区域、食品加工区域、食品储存区域等功能区必须安装监控设备。食品仓库必须全</w:t>
            </w:r>
            <w:r>
              <w:rPr>
                <w:spacing w:val="-1"/>
                <w:sz w:val="22"/>
                <w:szCs w:val="22"/>
              </w:rPr>
              <w:t>封闭无污染配有专门消毒通道和监管人员。</w:t>
            </w:r>
          </w:p>
          <w:p w14:paraId="7EE9436B">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(3)配送供应商须具备较强的基地生产或食品原材料采购供应渠道，可追溯体系和监管体系要求。</w:t>
            </w:r>
            <w:r>
              <w:rPr>
                <w:spacing w:val="-2"/>
                <w:sz w:val="22"/>
                <w:szCs w:val="22"/>
              </w:rPr>
              <w:t>配送供应商能够对生产和销售的食品材料追溯种植源头</w:t>
            </w:r>
            <w:r>
              <w:rPr>
                <w:rFonts w:hint="eastAsia" w:ascii="宋体" w:hAnsi="宋体" w:eastAsia="宋体" w:cs="宋体"/>
                <w:sz w:val="22"/>
                <w:szCs w:val="22"/>
                <w:vertAlign w:val="baseline"/>
                <w:lang w:eastAsia="zh-CN"/>
              </w:rPr>
              <w:t>，原材料从生产到加工每个环节实行实时监督。实行商品质量责任制，有严格的质量管理、质量监督、质量保证体系，有稳定的进货渠道。销售商品在保质期内。商品质量、卫生检测合格，符合国家标准、行业标准。</w:t>
            </w:r>
          </w:p>
          <w:p w14:paraId="0511C7DB">
            <w:pPr>
              <w:numPr>
                <w:ilvl w:val="0"/>
                <w:numId w:val="0"/>
              </w:numPr>
              <w:spacing w:line="360" w:lineRule="auto"/>
              <w:rPr>
                <w:rFonts w:hint="eastAsia" w:ascii="宋体" w:hAnsi="宋体" w:eastAsia="宋体" w:cs="宋体"/>
                <w:sz w:val="22"/>
                <w:szCs w:val="22"/>
                <w:highlight w:val="none"/>
                <w:vertAlign w:val="baseline"/>
                <w:lang w:eastAsia="zh-CN"/>
              </w:rPr>
            </w:pPr>
            <w:r>
              <w:rPr>
                <w:rFonts w:hint="eastAsia" w:ascii="宋体" w:hAnsi="宋体" w:eastAsia="宋体" w:cs="宋体"/>
                <w:sz w:val="22"/>
                <w:szCs w:val="22"/>
                <w:vertAlign w:val="baseline"/>
                <w:lang w:eastAsia="zh-CN"/>
              </w:rPr>
              <w:t>(4)要求每天配送一次，要配</w:t>
            </w:r>
            <w:r>
              <w:rPr>
                <w:rFonts w:hint="eastAsia" w:ascii="宋体" w:hAnsi="宋体" w:eastAsia="宋体" w:cs="宋体"/>
                <w:sz w:val="22"/>
                <w:szCs w:val="22"/>
                <w:highlight w:val="none"/>
                <w:vertAlign w:val="baseline"/>
                <w:lang w:eastAsia="zh-CN"/>
              </w:rPr>
              <w:t>备至少</w:t>
            </w:r>
            <w:r>
              <w:rPr>
                <w:rFonts w:hint="eastAsia" w:ascii="宋体" w:hAnsi="宋体" w:eastAsia="宋体" w:cs="宋体"/>
                <w:sz w:val="22"/>
                <w:szCs w:val="22"/>
                <w:highlight w:val="none"/>
                <w:vertAlign w:val="baseline"/>
                <w:lang w:val="en-US" w:eastAsia="zh-CN"/>
              </w:rPr>
              <w:t>1</w:t>
            </w:r>
            <w:r>
              <w:rPr>
                <w:rFonts w:hint="eastAsia" w:ascii="宋体" w:hAnsi="宋体" w:eastAsia="宋体" w:cs="宋体"/>
                <w:sz w:val="22"/>
                <w:szCs w:val="22"/>
                <w:highlight w:val="none"/>
                <w:vertAlign w:val="baseline"/>
                <w:lang w:eastAsia="zh-CN"/>
              </w:rPr>
              <w:t>辆具有符合安全卫生标准且有统一标识(在车身醒目处张贴该公司标志：</w:t>
            </w:r>
            <w:r>
              <w:rPr>
                <w:rFonts w:hint="eastAsia" w:ascii="宋体" w:hAnsi="宋体" w:eastAsia="宋体" w:cs="宋体"/>
                <w:color w:val="0000FF"/>
                <w:sz w:val="22"/>
                <w:szCs w:val="22"/>
                <w:highlight w:val="none"/>
                <w:vertAlign w:val="baseline"/>
                <w:lang w:eastAsia="zh-CN"/>
              </w:rPr>
              <w:t>****公司</w:t>
            </w:r>
            <w:r>
              <w:rPr>
                <w:rFonts w:hint="eastAsia" w:ascii="宋体" w:hAnsi="宋体" w:eastAsia="宋体" w:cs="宋体"/>
                <w:sz w:val="22"/>
                <w:szCs w:val="22"/>
                <w:highlight w:val="none"/>
                <w:vertAlign w:val="baseline"/>
                <w:lang w:eastAsia="zh-CN"/>
              </w:rPr>
              <w:t>配送专车)专用的封闭厢式冷藏保鲜的配送车辆及符合食品运输要求的固定司机1人。司机相关证照、健康证等报主管部门备案。</w:t>
            </w:r>
          </w:p>
          <w:p w14:paraId="0FCD9AEE">
            <w:pPr>
              <w:numPr>
                <w:ilvl w:val="0"/>
                <w:numId w:val="0"/>
              </w:numPr>
              <w:spacing w:line="360" w:lineRule="auto"/>
              <w:rPr>
                <w:rFonts w:hint="eastAsia" w:ascii="宋体" w:hAnsi="宋体" w:eastAsia="宋体" w:cs="宋体"/>
                <w:sz w:val="22"/>
                <w:szCs w:val="22"/>
                <w:highlight w:val="none"/>
                <w:vertAlign w:val="baseline"/>
                <w:lang w:eastAsia="zh-CN"/>
              </w:rPr>
            </w:pPr>
            <w:r>
              <w:rPr>
                <w:rFonts w:hint="eastAsia" w:ascii="宋体" w:hAnsi="宋体" w:eastAsia="宋体" w:cs="宋体"/>
                <w:sz w:val="22"/>
                <w:szCs w:val="22"/>
                <w:highlight w:val="none"/>
                <w:vertAlign w:val="baseline"/>
                <w:lang w:eastAsia="zh-CN"/>
              </w:rPr>
              <w:t>(5)供应商应针对本项目至少配备4名(含4名)项目实施人员，项</w:t>
            </w:r>
          </w:p>
          <w:p w14:paraId="1A5DBDC8">
            <w:pPr>
              <w:numPr>
                <w:ilvl w:val="0"/>
                <w:numId w:val="0"/>
              </w:numPr>
              <w:spacing w:line="360" w:lineRule="auto"/>
              <w:rPr>
                <w:rFonts w:hint="eastAsia" w:ascii="宋体" w:hAnsi="宋体" w:eastAsia="宋体" w:cs="宋体"/>
                <w:sz w:val="22"/>
                <w:szCs w:val="22"/>
                <w:highlight w:val="none"/>
                <w:vertAlign w:val="baseline"/>
                <w:lang w:eastAsia="zh-CN"/>
              </w:rPr>
            </w:pPr>
            <w:r>
              <w:rPr>
                <w:rFonts w:hint="eastAsia" w:ascii="宋体" w:hAnsi="宋体" w:eastAsia="宋体" w:cs="宋体"/>
                <w:sz w:val="22"/>
                <w:szCs w:val="22"/>
                <w:highlight w:val="none"/>
                <w:vertAlign w:val="baseline"/>
                <w:lang w:eastAsia="zh-CN"/>
              </w:rPr>
              <w:t>目实施人员包括但不限于：项目总负责人、配送负责人、检测负责人、司机等，中标后未经采购单位书面同意不得擅自更换，否则视为违约。</w:t>
            </w:r>
          </w:p>
          <w:p w14:paraId="2E5D15B6">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3、中标人应当根据采购单位实际情况，按照与采购单位的约定，在规定的时间内将预定的货物保质保量送到指定地点。</w:t>
            </w:r>
          </w:p>
          <w:p w14:paraId="3E8F3AB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val="en-US" w:eastAsia="zh-CN"/>
              </w:rPr>
              <w:t>4、</w:t>
            </w:r>
            <w:r>
              <w:rPr>
                <w:rFonts w:hint="eastAsia" w:ascii="宋体" w:hAnsi="宋体" w:eastAsia="宋体" w:cs="宋体"/>
                <w:sz w:val="22"/>
                <w:szCs w:val="22"/>
                <w:vertAlign w:val="baseline"/>
                <w:lang w:eastAsia="zh-CN"/>
              </w:rPr>
              <w:t>一般供货要求：采购方根据实际需要，列出一份第二天需要补充采购的货物请购清单，在收到采购方发出供货通知后，供方最迟在次日上午9:00前提供当次现场供货。紧急供货要求：在收到采购方发出紧急供货通知后，供方最迟2小时内完成当次现场供货。</w:t>
            </w:r>
          </w:p>
          <w:p w14:paraId="224D734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5、中标人必须按照采购方通知的时间、数量、品种、品质要求及协定的价格准时送货，经验收合格后签字确认，不能以任何理由推托，一旦影响到采购方食堂的正常运转，中标人应承担相应的经济赔偿。</w:t>
            </w:r>
          </w:p>
          <w:p w14:paraId="59434DD0">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6、中标人不能满足供货要求时，应提前1个月通知采购方，采购方同意后方可中止合同。</w:t>
            </w:r>
          </w:p>
          <w:p w14:paraId="33107A58">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7、在采购单位签收之前，货物的所有权和风险属于中标人，货物的数量、质量、遗失、损坏由中标人负责。</w:t>
            </w:r>
          </w:p>
          <w:p w14:paraId="65EBEE1B">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sz w:val="22"/>
                <w:szCs w:val="22"/>
                <w:vertAlign w:val="baseline"/>
                <w:lang w:eastAsia="zh-CN"/>
              </w:rPr>
              <w:t>8、中标人必须严格按照采购单位的指令配送货物的数量，不得随</w:t>
            </w:r>
            <w:r>
              <w:rPr>
                <w:rFonts w:hint="eastAsia" w:ascii="宋体" w:hAnsi="宋体" w:eastAsia="宋体" w:cs="宋体"/>
                <w:color w:val="auto"/>
                <w:sz w:val="22"/>
                <w:szCs w:val="22"/>
                <w:highlight w:val="none"/>
                <w:vertAlign w:val="baseline"/>
                <w:lang w:eastAsia="zh-CN"/>
              </w:rPr>
              <w:t>意增减，否则，采购单位有权拒收。</w:t>
            </w:r>
          </w:p>
          <w:p w14:paraId="5CF91CE3">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9、除客观不可抗力外，中标人不得更改送货内容。如因市场流通问题确实需要变更供货内容的，中标人应书面告知采购单位，并经来购单位同意后方可改变。经发现中标人有私自更改菜单中货品时以违约论处，由此产生的一切损失和费用由中标人承担。</w:t>
            </w:r>
          </w:p>
          <w:p w14:paraId="414DF9C2">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10、采购单位对验收不合格的货物，中标人必须无条件退货。中标人未能履行招标文件和合同所定事项，或供应不合格的、假冒虚伪、以次充好的货物，采购单位退货后记录在案，并对中标人予以处罚，除要承担因此产生的一切损失和费用外，情节严重的可取消供应资格。</w:t>
            </w:r>
          </w:p>
          <w:p w14:paraId="1EE0DCA9">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11、中标人不能按核定的供货价交付的某些货物、不能提供与其承诺相符的服务或中标人存在违反招标文件和合同的行为，并且不予纠正的，将取消其中标资格。此项违约责任包括但不限于下列各项：</w:t>
            </w:r>
          </w:p>
          <w:p w14:paraId="1B84017D">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(1)中标人在收到采购单位订货要求后，在承诺的供货时间内不能供货的。</w:t>
            </w:r>
          </w:p>
          <w:p w14:paraId="276362DB">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(2)中标人未能提供承诺服务的。</w:t>
            </w:r>
          </w:p>
          <w:p w14:paraId="37BC1885">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(3)中标货物在保质期出现损坏的，中标人应承诺替换服务，因替换货物产生的费用由中标人负责。</w:t>
            </w:r>
          </w:p>
          <w:p w14:paraId="29D31846">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(4)中标人的送货单必须详细注明货物的名称、品种、单价、数量，不得涂改。标记不清的，采购单位将拒绝签字。结算期末中标人还应提供送货单供采购单位结算。</w:t>
            </w:r>
          </w:p>
          <w:p w14:paraId="14DCB2D5">
            <w:pPr>
              <w:numPr>
                <w:ilvl w:val="0"/>
                <w:numId w:val="4"/>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中标人必须由投标文件中拟投入的实施专员配送，并持有健康证。送货专员在采购单位活动必须穿着便于辨认的工衣和佩戴出入证。并严格遵守采购单位的各项规章制度，否则采购单位有权终止合同。</w:t>
            </w:r>
          </w:p>
          <w:p w14:paraId="352071BE">
            <w:pPr>
              <w:numPr>
                <w:ilvl w:val="0"/>
                <w:numId w:val="4"/>
              </w:numPr>
              <w:spacing w:line="360" w:lineRule="auto"/>
              <w:ind w:left="0" w:leftChars="0" w:firstLine="0" w:firstLine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中标人不得泄露采购单位的秘密。泄密造成采购单位损失的中标人将承担由此产生的一切损失和法律责任。</w:t>
            </w:r>
          </w:p>
          <w:p w14:paraId="6E1DC489">
            <w:pPr>
              <w:numPr>
                <w:ilvl w:val="0"/>
                <w:numId w:val="0"/>
              </w:numPr>
              <w:spacing w:line="360" w:lineRule="auto"/>
              <w:rPr>
                <w:rFonts w:hint="eastAsia" w:ascii="宋体" w:hAnsi="宋体" w:eastAsia="宋体" w:cs="宋体"/>
                <w:color w:val="0000FF"/>
                <w:sz w:val="22"/>
                <w:szCs w:val="22"/>
                <w:highlight w:val="yellow"/>
                <w:vertAlign w:val="baseline"/>
                <w:lang w:eastAsia="zh-CN"/>
              </w:rPr>
            </w:pPr>
            <w:r>
              <w:rPr>
                <w:rFonts w:hint="eastAsia" w:ascii="宋体" w:hAnsi="宋体" w:eastAsia="宋体" w:cs="宋体"/>
                <w:color w:val="auto"/>
                <w:sz w:val="22"/>
                <w:szCs w:val="22"/>
                <w:highlight w:val="none"/>
                <w:vertAlign w:val="baseline"/>
                <w:lang w:eastAsia="zh-CN"/>
              </w:rPr>
              <w:t>12、在合同有效期内，因自然灾害或不可航力事件无法履行合同的行为不作为违约情形，双方均无责任。</w:t>
            </w:r>
          </w:p>
        </w:tc>
      </w:tr>
      <w:tr w14:paraId="5C9A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7071F633">
            <w:pPr>
              <w:numPr>
                <w:ilvl w:val="0"/>
                <w:numId w:val="0"/>
              </w:numPr>
              <w:spacing w:line="360" w:lineRule="auto"/>
              <w:rPr>
                <w:rFonts w:hint="eastAsia" w:ascii="宋体" w:hAnsi="宋体" w:eastAsia="宋体" w:cs="宋体"/>
                <w:sz w:val="22"/>
                <w:szCs w:val="22"/>
                <w:vertAlign w:val="baseline"/>
                <w:lang w:eastAsia="zh-CN"/>
              </w:rPr>
            </w:pPr>
          </w:p>
          <w:p w14:paraId="577A9162">
            <w:pPr>
              <w:numPr>
                <w:ilvl w:val="0"/>
                <w:numId w:val="0"/>
              </w:numPr>
              <w:spacing w:line="360" w:lineRule="auto"/>
              <w:rPr>
                <w:rFonts w:hint="eastAsia" w:ascii="宋体" w:hAnsi="宋体" w:eastAsia="宋体" w:cs="宋体"/>
                <w:sz w:val="22"/>
                <w:szCs w:val="22"/>
                <w:vertAlign w:val="baseline"/>
                <w:lang w:eastAsia="zh-CN"/>
              </w:rPr>
            </w:pPr>
          </w:p>
          <w:p w14:paraId="509DC3E9">
            <w:pPr>
              <w:numPr>
                <w:ilvl w:val="0"/>
                <w:numId w:val="0"/>
              </w:numPr>
              <w:spacing w:line="360" w:lineRule="auto"/>
              <w:rPr>
                <w:rFonts w:hint="eastAsia" w:ascii="宋体" w:hAnsi="宋体" w:eastAsia="宋体" w:cs="宋体"/>
                <w:sz w:val="22"/>
                <w:szCs w:val="22"/>
                <w:vertAlign w:val="baseline"/>
                <w:lang w:eastAsia="zh-CN"/>
              </w:rPr>
            </w:pPr>
          </w:p>
          <w:p w14:paraId="1DB4FA52">
            <w:pPr>
              <w:numPr>
                <w:ilvl w:val="0"/>
                <w:numId w:val="0"/>
              </w:numPr>
              <w:spacing w:line="360" w:lineRule="auto"/>
              <w:rPr>
                <w:rFonts w:hint="eastAsia" w:ascii="宋体" w:hAnsi="宋体" w:eastAsia="宋体" w:cs="宋体"/>
                <w:sz w:val="22"/>
                <w:szCs w:val="22"/>
                <w:vertAlign w:val="baseline"/>
                <w:lang w:eastAsia="zh-CN"/>
              </w:rPr>
            </w:pPr>
          </w:p>
          <w:p w14:paraId="0A8EE038">
            <w:pPr>
              <w:numPr>
                <w:ilvl w:val="0"/>
                <w:numId w:val="0"/>
              </w:numPr>
              <w:spacing w:line="360" w:lineRule="auto"/>
              <w:rPr>
                <w:rFonts w:hint="eastAsia" w:ascii="宋体" w:hAnsi="宋体" w:eastAsia="宋体" w:cs="宋体"/>
                <w:sz w:val="22"/>
                <w:szCs w:val="22"/>
                <w:vertAlign w:val="baseline"/>
                <w:lang w:eastAsia="zh-CN"/>
              </w:rPr>
            </w:pPr>
          </w:p>
          <w:p w14:paraId="251E24F5">
            <w:pPr>
              <w:numPr>
                <w:ilvl w:val="0"/>
                <w:numId w:val="0"/>
              </w:numPr>
              <w:spacing w:line="360" w:lineRule="auto"/>
              <w:rPr>
                <w:rFonts w:hint="eastAsia" w:ascii="宋体" w:hAnsi="宋体" w:eastAsia="宋体" w:cs="宋体"/>
                <w:sz w:val="22"/>
                <w:szCs w:val="22"/>
                <w:vertAlign w:val="baseline"/>
                <w:lang w:eastAsia="zh-CN"/>
              </w:rPr>
            </w:pPr>
          </w:p>
          <w:p w14:paraId="2A9987B7">
            <w:pPr>
              <w:numPr>
                <w:ilvl w:val="0"/>
                <w:numId w:val="0"/>
              </w:numPr>
              <w:spacing w:line="360" w:lineRule="auto"/>
              <w:rPr>
                <w:rFonts w:hint="eastAsia" w:ascii="宋体" w:hAnsi="宋体" w:eastAsia="宋体" w:cs="宋体"/>
                <w:sz w:val="22"/>
                <w:szCs w:val="22"/>
                <w:vertAlign w:val="baseline"/>
                <w:lang w:eastAsia="zh-CN"/>
              </w:rPr>
            </w:pPr>
          </w:p>
          <w:p w14:paraId="78CD59F6">
            <w:pPr>
              <w:numPr>
                <w:ilvl w:val="0"/>
                <w:numId w:val="0"/>
              </w:numPr>
              <w:spacing w:line="360" w:lineRule="auto"/>
              <w:rPr>
                <w:rFonts w:hint="eastAsia" w:ascii="宋体" w:hAnsi="宋体" w:eastAsia="宋体" w:cs="宋体"/>
                <w:sz w:val="22"/>
                <w:szCs w:val="22"/>
                <w:vertAlign w:val="baseline"/>
                <w:lang w:eastAsia="zh-CN"/>
              </w:rPr>
            </w:pPr>
          </w:p>
          <w:p w14:paraId="4B2622C4">
            <w:pPr>
              <w:numPr>
                <w:ilvl w:val="0"/>
                <w:numId w:val="0"/>
              </w:numPr>
              <w:spacing w:line="360" w:lineRule="auto"/>
              <w:rPr>
                <w:rFonts w:hint="eastAsia" w:ascii="宋体" w:hAnsi="宋体" w:eastAsia="宋体" w:cs="宋体"/>
                <w:sz w:val="22"/>
                <w:szCs w:val="22"/>
                <w:vertAlign w:val="baseline"/>
                <w:lang w:eastAsia="zh-CN"/>
              </w:rPr>
            </w:pPr>
          </w:p>
          <w:p w14:paraId="2D0FC54C">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（六）</w:t>
            </w:r>
          </w:p>
          <w:p w14:paraId="4E17178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安全质量要求</w:t>
            </w:r>
          </w:p>
        </w:tc>
        <w:tc>
          <w:tcPr>
            <w:tcW w:w="7354" w:type="dxa"/>
          </w:tcPr>
          <w:p w14:paraId="2D57E7DB">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1、中标人应充分理解并认真遵循本招标文件的要求。所提供的货物必须满足招标文件采购要求，并可追溯，检验合格、无毒、无害、无辐射、无侵权，符合国家有关卫生、质量、包装和保质标准。</w:t>
            </w:r>
          </w:p>
          <w:p w14:paraId="7EDFF37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中标人提供的蔬菜必须保证每日新鲜，且取得无公害认证优先选择，并符合食品卫生安全法要求。每天对每批次蔬菜进行农药残留检测，如含量超标将要求中标人无条件退货或换货。出现1次含量超标情况的，对该批次货物结算款由当月供货结算款中扣除。合同期内出现3次以上含量超标情况的，采购单位有权终止合同。</w:t>
            </w:r>
          </w:p>
          <w:p w14:paraId="3827564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依据产品质量监督检验所提供的质量标准，供应商提供的产品必须是经过质量监督管理部门检验并取得合格证明的产品，每批次货物提供时应交存货物质量合格证明、产品质量检测合格报告或检疫报告复印件。鲜猪肉、鲜鸡鸭等禽畜产品必须具有动物检验检疫证明。</w:t>
            </w:r>
          </w:p>
          <w:p w14:paraId="49E2CD8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4、中标人应严格遵守《食品安全法》和《动物检疫法》等相关规定，所提供的产品是合格安全的产品，一经发现供应以下食品，采购方除全部退货外，将取消中标人的供货资格，中标人并承担由此造成的经济责任和法律责任。</w:t>
            </w:r>
          </w:p>
          <w:p w14:paraId="6B3C39A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(1)腐败变质、油脂酸败、霉变、生虫、污秽不洁、混有异物或者其他感官性状异常，对人体健康有害的；</w:t>
            </w:r>
          </w:p>
          <w:p w14:paraId="6B5BD010">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(2)含有毒、有害物质或者被有害物质污染，对人体健康有害的；</w:t>
            </w:r>
          </w:p>
          <w:p w14:paraId="0041DD5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(3)含有致病性寄生虫、微生物或者微生物含超过同家限定标准的；</w:t>
            </w:r>
          </w:p>
          <w:p w14:paraId="1AEDEBB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(4)未经动物检疫部门检疫、检验或者检疫、检验不合格的肉类其制品；</w:t>
            </w:r>
          </w:p>
          <w:p w14:paraId="78F9E14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(5)病死、毒死或者死因不明的禽、水产动物等及其制品；</w:t>
            </w:r>
          </w:p>
          <w:p w14:paraId="2025C8F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(6)掺假、掺杂、伪造，影响营养、卫生的；</w:t>
            </w:r>
          </w:p>
          <w:p w14:paraId="1B44548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(7)用非食品原料加工的，加入非食品用化学物质或者将非食品当作食品的；</w:t>
            </w:r>
          </w:p>
          <w:p w14:paraId="2C0E154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(8)超过保质期限的。</w:t>
            </w:r>
          </w:p>
          <w:p w14:paraId="0615E5B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5、中标人在签订合同后一个月内必须到相关的保险公司进行投保，投保险种为食品安全责任保险，否则采购单位有权终止合同。</w:t>
            </w:r>
          </w:p>
          <w:p w14:paraId="25652CC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6、安全监管要求：(1)建立健全并严格执行各项食品卫生安全管理制度。严格执行原材料进货查验制度、购销登记制度、索证索票制度、商品质量承诺制度、检测检验制度以及其他按照行业管理规定必须健全的各项管理制度。(2)如因供应商的食材质量问题，导致学校发生食品安全事故，因此造成的损失和责任由供应商全部承担；造成重大食品安全事故的，采购单位可以单方解除合同，供应商要赔偿因此造成的全部损失和并依法承担有关责任。</w:t>
            </w:r>
          </w:p>
        </w:tc>
      </w:tr>
      <w:tr w14:paraId="3B68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4545D7FC">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（七）</w:t>
            </w:r>
          </w:p>
          <w:p w14:paraId="237A9CC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物料的验收</w:t>
            </w:r>
          </w:p>
        </w:tc>
        <w:tc>
          <w:tcPr>
            <w:tcW w:w="7354" w:type="dxa"/>
          </w:tcPr>
          <w:p w14:paraId="444A9C9B">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凡是《食品安全法》禁止经营的食品一律不得采购和使用，严禁配送“三无”食品、有毒、有害、过期、变质、假冒伪劣等不合格食品。禁止提供冷荤熟食制品，禁止提供野生蘑菇、发芽马铃薯、四季豆等高风险食材给单位加工食用。</w:t>
            </w:r>
          </w:p>
          <w:p w14:paraId="6B3F3FD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食材的验收工作由采购方和供应商共同进行。供应商提供的产品须经过食堂验收人员的感官检验、外观检验和试用检验并详细记录，若产品外观、包装、形式不符合要求、感官检验不能达到食品卫生要求，当即拒收；供应商不能满足食品的质、量及售后服务要求时，采购方有权终止合同。</w:t>
            </w:r>
          </w:p>
          <w:p w14:paraId="5C7CE728">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验收工作的一般程序为：根据食品请购清单的具体要求，对所购物料进行清点、外观检查以及对食材的各项指标和性能进行实测，并逐项记录。检测结束后，验收人员在验收单上签字。对未能通过验收的，一律退货、更换直至验收合格。</w:t>
            </w:r>
          </w:p>
        </w:tc>
      </w:tr>
      <w:tr w14:paraId="1788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44F675B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（八）</w:t>
            </w:r>
          </w:p>
          <w:p w14:paraId="424BC9E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合同签订</w:t>
            </w:r>
          </w:p>
          <w:p w14:paraId="666520B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期、合同履行期限</w:t>
            </w:r>
          </w:p>
        </w:tc>
        <w:tc>
          <w:tcPr>
            <w:tcW w:w="7354" w:type="dxa"/>
          </w:tcPr>
          <w:p w14:paraId="1D50713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合同签订期：自中标通知书发出之日起20个自然日内。</w:t>
            </w:r>
          </w:p>
          <w:p w14:paraId="14EF2E68">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合同履行期限：自合同签订之日起</w:t>
            </w:r>
            <w:r>
              <w:rPr>
                <w:rFonts w:hint="eastAsia" w:ascii="宋体" w:hAnsi="宋体" w:eastAsia="宋体" w:cs="宋体"/>
                <w:sz w:val="22"/>
                <w:szCs w:val="22"/>
                <w:vertAlign w:val="baseline"/>
                <w:lang w:val="en-US" w:eastAsia="zh-CN"/>
              </w:rPr>
              <w:t>3</w:t>
            </w:r>
            <w:r>
              <w:rPr>
                <w:rFonts w:hint="eastAsia" w:ascii="宋体" w:hAnsi="宋体" w:eastAsia="宋体" w:cs="宋体"/>
                <w:sz w:val="22"/>
                <w:szCs w:val="22"/>
                <w:vertAlign w:val="baseline"/>
                <w:lang w:eastAsia="zh-CN"/>
              </w:rPr>
              <w:t>年(具体起止时间以签订合同为准)。</w:t>
            </w:r>
          </w:p>
        </w:tc>
      </w:tr>
      <w:tr w14:paraId="3572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73C90737">
            <w:pPr>
              <w:numPr>
                <w:ilvl w:val="0"/>
                <w:numId w:val="0"/>
              </w:numPr>
              <w:spacing w:line="360" w:lineRule="auto"/>
              <w:rPr>
                <w:rFonts w:hint="eastAsia" w:ascii="宋体" w:hAnsi="宋体" w:eastAsia="宋体" w:cs="宋体"/>
                <w:sz w:val="22"/>
                <w:szCs w:val="22"/>
                <w:vertAlign w:val="baseline"/>
                <w:lang w:eastAsia="zh-CN"/>
              </w:rPr>
            </w:pPr>
          </w:p>
          <w:p w14:paraId="055CB905">
            <w:pPr>
              <w:numPr>
                <w:ilvl w:val="0"/>
                <w:numId w:val="0"/>
              </w:numPr>
              <w:spacing w:line="360" w:lineRule="auto"/>
              <w:rPr>
                <w:rFonts w:hint="eastAsia" w:ascii="宋体" w:hAnsi="宋体" w:eastAsia="宋体" w:cs="宋体"/>
                <w:sz w:val="22"/>
                <w:szCs w:val="22"/>
                <w:vertAlign w:val="baseline"/>
                <w:lang w:eastAsia="zh-CN"/>
              </w:rPr>
            </w:pPr>
          </w:p>
          <w:p w14:paraId="5B4D73C0">
            <w:pPr>
              <w:numPr>
                <w:ilvl w:val="0"/>
                <w:numId w:val="0"/>
              </w:numPr>
              <w:spacing w:line="360" w:lineRule="auto"/>
              <w:rPr>
                <w:rFonts w:hint="eastAsia" w:ascii="宋体" w:hAnsi="宋体" w:eastAsia="宋体" w:cs="宋体"/>
                <w:sz w:val="22"/>
                <w:szCs w:val="22"/>
                <w:vertAlign w:val="baseline"/>
                <w:lang w:eastAsia="zh-CN"/>
              </w:rPr>
            </w:pPr>
          </w:p>
          <w:p w14:paraId="655379B3">
            <w:pPr>
              <w:numPr>
                <w:ilvl w:val="0"/>
                <w:numId w:val="0"/>
              </w:numPr>
              <w:spacing w:line="360" w:lineRule="auto"/>
              <w:rPr>
                <w:rFonts w:hint="eastAsia" w:ascii="宋体" w:hAnsi="宋体" w:eastAsia="宋体" w:cs="宋体"/>
                <w:sz w:val="22"/>
                <w:szCs w:val="22"/>
                <w:vertAlign w:val="baseline"/>
                <w:lang w:eastAsia="zh-CN"/>
              </w:rPr>
            </w:pPr>
          </w:p>
          <w:p w14:paraId="18E329E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（九）</w:t>
            </w:r>
          </w:p>
          <w:p w14:paraId="02DE266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考察、监督办法与退出机制</w:t>
            </w:r>
          </w:p>
        </w:tc>
        <w:tc>
          <w:tcPr>
            <w:tcW w:w="7354" w:type="dxa"/>
          </w:tcPr>
          <w:p w14:paraId="5CC0A30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考察：为保证项目质量，签订合同前，预中标供应商须随时接受学校代表到其经营或相关场所及准入条件等相关招标采购文件要求进行现场考察。若该供应商在投标文件中提供的上述材料与实际情况不符的，采购单位有权认为该供应商虚假应标，并上报采购监督管理部门。</w:t>
            </w:r>
          </w:p>
          <w:p w14:paraId="2005946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监督办法：定期进行供应商供货测评，每月由陆川县教育局和学校代表对供应商的服务态度及价格等因素进行测评，对合格率低于90%的供应商进行约谈整改，合格率低于70%的供应商暂停供货一个月，停供期间，由另一分标中标方提供，该产品的地域差价费用由后供应商承担。合格率低于60%的供应商终止其供货合同。</w:t>
            </w:r>
          </w:p>
          <w:p w14:paraId="6B57C4C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退出机制：中标企业有下列情况之一的，县教育局核实，取消该企业配送资格，并由学校启动应急预案。情节严重的，没收质保金，同时拉黑名单，5年内不能参与我县学校食品类经营活动，造成责任事故的将追究其法律责任。</w:t>
            </w:r>
          </w:p>
          <w:p w14:paraId="71CD6739">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(1)中标企业不同意食品价格基准价(标准单价)或结算价的；</w:t>
            </w:r>
          </w:p>
          <w:p w14:paraId="62DCF008">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(2)中标企业有转包现象的；</w:t>
            </w:r>
          </w:p>
          <w:p w14:paraId="5DE94F1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(3)中标企业配送的食材不经县教育局同意就上架向学校销售，或不服从县教育局、县市监局等相关部门常规管理，影响学校食堂开餐的，每个学期发生二次(含二次)以上的；</w:t>
            </w:r>
          </w:p>
          <w:p w14:paraId="6A423158">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(4)</w:t>
            </w:r>
            <w:r>
              <w:rPr>
                <w:rFonts w:hint="eastAsia" w:ascii="宋体" w:hAnsi="宋体" w:eastAsia="宋体" w:cs="宋体"/>
                <w:sz w:val="22"/>
                <w:szCs w:val="22"/>
                <w:vertAlign w:val="baseline"/>
                <w:lang w:eastAsia="zh-CN"/>
              </w:rPr>
              <w:t>中标企业发生配送食品质量不合格引发重大食品安全事故的；</w:t>
            </w:r>
          </w:p>
          <w:p w14:paraId="0F4F817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(5)</w:t>
            </w:r>
            <w:r>
              <w:rPr>
                <w:rFonts w:hint="eastAsia" w:ascii="宋体" w:hAnsi="宋体" w:eastAsia="宋体" w:cs="宋体"/>
                <w:sz w:val="22"/>
                <w:szCs w:val="22"/>
                <w:vertAlign w:val="baseline"/>
                <w:lang w:eastAsia="zh-CN"/>
              </w:rPr>
              <w:t>中标企业配送超过保质期、腐败变质、不经检验检疫的食品；</w:t>
            </w:r>
          </w:p>
          <w:p w14:paraId="49B360E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(6)</w:t>
            </w:r>
            <w:r>
              <w:rPr>
                <w:rFonts w:hint="eastAsia" w:ascii="宋体" w:hAnsi="宋体" w:eastAsia="宋体" w:cs="宋体"/>
                <w:sz w:val="22"/>
                <w:szCs w:val="22"/>
                <w:vertAlign w:val="baseline"/>
                <w:lang w:eastAsia="zh-CN"/>
              </w:rPr>
              <w:t>中标企业被管理部门吊销或注销食品经营许可证的，或者有转标分标行为的；</w:t>
            </w:r>
          </w:p>
          <w:p w14:paraId="0842AB19">
            <w:pPr>
              <w:pStyle w:val="141"/>
              <w:numPr>
                <w:ilvl w:val="0"/>
                <w:numId w:val="0"/>
              </w:numPr>
              <w:spacing w:line="445" w:lineRule="auto"/>
              <w:ind w:left="0" w:leftChars="0" w:firstLine="0" w:firstLineChars="0"/>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(7)</w:t>
            </w:r>
            <w:r>
              <w:rPr>
                <w:spacing w:val="-4"/>
                <w:sz w:val="22"/>
                <w:szCs w:val="22"/>
              </w:rPr>
              <w:t>中标企业存在严重食品安全隐患，被相关管理部门责令整改，</w:t>
            </w:r>
            <w:r>
              <w:rPr>
                <w:spacing w:val="-2"/>
                <w:sz w:val="22"/>
                <w:szCs w:val="22"/>
              </w:rPr>
              <w:t>整改二次都不达</w:t>
            </w:r>
            <w:r>
              <w:rPr>
                <w:rFonts w:hint="eastAsia"/>
                <w:spacing w:val="-2"/>
                <w:sz w:val="22"/>
                <w:szCs w:val="22"/>
                <w:lang w:eastAsia="zh-CN"/>
              </w:rPr>
              <w:t>品类</w:t>
            </w:r>
            <w:r>
              <w:rPr>
                <w:spacing w:val="-2"/>
                <w:sz w:val="22"/>
                <w:szCs w:val="22"/>
              </w:rPr>
              <w:t>：</w:t>
            </w:r>
          </w:p>
          <w:p w14:paraId="4D989361">
            <w:pPr>
              <w:pStyle w:val="141"/>
              <w:numPr>
                <w:ilvl w:val="0"/>
                <w:numId w:val="0"/>
              </w:numPr>
              <w:spacing w:line="445" w:lineRule="auto"/>
              <w:ind w:left="0" w:leftChars="0" w:firstLine="0" w:firstLineChars="0"/>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(8)</w:t>
            </w:r>
            <w:r>
              <w:rPr>
                <w:sz w:val="22"/>
                <w:szCs w:val="22"/>
              </w:rPr>
              <w:t>中标企业不按时按质按量配送或拒绝配送，以次充好，</w:t>
            </w:r>
            <w:r>
              <w:rPr>
                <w:rFonts w:hint="eastAsia"/>
                <w:sz w:val="22"/>
                <w:szCs w:val="22"/>
                <w:lang w:eastAsia="zh-CN"/>
              </w:rPr>
              <w:t>短斤少两</w:t>
            </w:r>
            <w:r>
              <w:rPr>
                <w:spacing w:val="3"/>
                <w:sz w:val="22"/>
                <w:szCs w:val="22"/>
              </w:rPr>
              <w:t>，服务态度恶劣，每个学期发生二次(含二次)以上的；</w:t>
            </w:r>
          </w:p>
          <w:p w14:paraId="07058540">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(9)</w:t>
            </w:r>
            <w:r>
              <w:rPr>
                <w:rFonts w:hint="eastAsia" w:ascii="宋体" w:hAnsi="宋体" w:eastAsia="宋体" w:cs="宋体"/>
                <w:sz w:val="22"/>
                <w:szCs w:val="22"/>
                <w:vertAlign w:val="baseline"/>
                <w:lang w:eastAsia="zh-CN"/>
              </w:rPr>
              <w:t>中标企业不经学校同意，擅自改变学校采购清单的种类、品牌、质量和数量，每个学期发生二次(含二次)以上的；</w:t>
            </w:r>
          </w:p>
          <w:p w14:paraId="51E2C0E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w:t>
            </w:r>
            <w:r>
              <w:rPr>
                <w:rFonts w:hint="eastAsia" w:ascii="宋体" w:hAnsi="宋体" w:eastAsia="宋体" w:cs="宋体"/>
                <w:sz w:val="22"/>
                <w:szCs w:val="22"/>
                <w:vertAlign w:val="baseline"/>
                <w:lang w:val="en-US" w:eastAsia="zh-CN"/>
              </w:rPr>
              <w:t>10）</w:t>
            </w:r>
            <w:r>
              <w:rPr>
                <w:rFonts w:hint="eastAsia" w:ascii="宋体" w:hAnsi="宋体" w:eastAsia="宋体" w:cs="宋体"/>
                <w:sz w:val="22"/>
                <w:szCs w:val="22"/>
                <w:vertAlign w:val="baseline"/>
                <w:lang w:eastAsia="zh-CN"/>
              </w:rPr>
              <w:t>中标企业利用不正当手段拉拢学校管理人员、采购单位人员或验收人员的，取消配送资格。</w:t>
            </w:r>
          </w:p>
        </w:tc>
      </w:tr>
    </w:tbl>
    <w:p w14:paraId="3BC99379">
      <w:pPr>
        <w:rPr>
          <w:rFonts w:ascii="宋体" w:hAnsi="宋体" w:cs="宋体"/>
          <w:b/>
          <w:color w:val="auto"/>
          <w:szCs w:val="21"/>
          <w:highlight w:val="none"/>
        </w:rPr>
      </w:pPr>
      <w:r>
        <w:rPr>
          <w:rFonts w:hint="eastAsia" w:ascii="宋体" w:hAnsi="宋体" w:cs="宋体"/>
          <w:b/>
          <w:color w:val="auto"/>
          <w:szCs w:val="21"/>
          <w:highlight w:val="none"/>
        </w:rPr>
        <w:br w:type="page"/>
      </w:r>
    </w:p>
    <w:p w14:paraId="59ABBB71">
      <w:pPr>
        <w:pStyle w:val="3"/>
        <w:pageBreakBefore w:val="0"/>
        <w:widowControl w:val="0"/>
        <w:kinsoku/>
        <w:wordWrap/>
        <w:overflowPunct/>
        <w:topLinePunct w:val="0"/>
        <w:bidi w:val="0"/>
        <w:adjustRightInd/>
        <w:spacing w:before="0" w:beforeLines="0" w:beforeAutospacing="0" w:after="0" w:afterLines="0" w:afterAutospacing="0" w:line="500" w:lineRule="exact"/>
        <w:jc w:val="center"/>
        <w:textAlignment w:val="auto"/>
        <w:rPr>
          <w:rFonts w:hint="eastAsia" w:ascii="宋体" w:hAnsi="宋体" w:eastAsia="宋体" w:cs="宋体"/>
          <w:b/>
          <w:bCs/>
          <w:color w:val="auto"/>
          <w:sz w:val="32"/>
          <w:szCs w:val="40"/>
          <w:highlight w:val="none"/>
          <w:lang w:val="en-US" w:eastAsia="zh-CN"/>
        </w:rPr>
      </w:pPr>
      <w:r>
        <w:rPr>
          <w:rFonts w:hint="eastAsia" w:ascii="宋体" w:hAnsi="宋体" w:eastAsia="宋体" w:cs="宋体"/>
          <w:b/>
          <w:bCs/>
          <w:color w:val="auto"/>
          <w:sz w:val="32"/>
          <w:szCs w:val="40"/>
          <w:highlight w:val="none"/>
          <w:lang w:val="en-US" w:eastAsia="zh-CN"/>
        </w:rPr>
        <w:t>2分标采购需求</w:t>
      </w:r>
    </w:p>
    <w:p w14:paraId="54006896">
      <w:pPr>
        <w:pStyle w:val="3"/>
        <w:pageBreakBefore w:val="0"/>
        <w:widowControl w:val="0"/>
        <w:kinsoku/>
        <w:wordWrap/>
        <w:overflowPunct/>
        <w:topLinePunct w:val="0"/>
        <w:bidi w:val="0"/>
        <w:adjustRightInd/>
        <w:spacing w:before="0" w:beforeLines="0" w:beforeAutospacing="0" w:after="0" w:afterLines="0" w:afterAutospacing="0" w:line="500" w:lineRule="exact"/>
        <w:textAlignment w:val="auto"/>
        <w:rPr>
          <w:rFonts w:hint="eastAsia" w:ascii="宋体" w:hAnsi="宋体" w:eastAsia="宋体" w:cs="宋体"/>
          <w:b/>
          <w:bCs/>
          <w:color w:val="auto"/>
          <w:sz w:val="32"/>
          <w:szCs w:val="40"/>
          <w:highlight w:val="none"/>
          <w:lang w:val="en-US" w:eastAsia="zh-CN"/>
        </w:rPr>
      </w:pPr>
      <w:r>
        <w:rPr>
          <w:rFonts w:hint="eastAsia" w:ascii="宋体" w:hAnsi="宋体" w:eastAsia="宋体" w:cs="宋体"/>
          <w:b/>
          <w:bCs/>
          <w:color w:val="auto"/>
          <w:sz w:val="32"/>
          <w:szCs w:val="40"/>
          <w:highlight w:val="none"/>
          <w:lang w:val="en-US" w:eastAsia="zh-CN"/>
        </w:rPr>
        <w:t>一、服务要求</w:t>
      </w:r>
    </w:p>
    <w:p w14:paraId="27D717EF">
      <w:pPr>
        <w:pageBreakBefore w:val="0"/>
        <w:widowControl w:val="0"/>
        <w:kinsoku/>
        <w:wordWrap/>
        <w:overflowPunct/>
        <w:topLinePunct w:val="0"/>
        <w:bidi w:val="0"/>
        <w:adjustRightInd/>
        <w:spacing w:beforeAutospacing="0" w:line="500" w:lineRule="exact"/>
        <w:textAlignment w:val="auto"/>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lang w:val="en-US" w:eastAsia="zh-CN"/>
        </w:rPr>
        <w:t>（一）采购内容（包括但不限于以下品种）：</w:t>
      </w:r>
    </w:p>
    <w:tbl>
      <w:tblPr>
        <w:tblStyle w:val="142"/>
        <w:tblW w:w="44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8"/>
        <w:gridCol w:w="2721"/>
        <w:gridCol w:w="1889"/>
        <w:gridCol w:w="2653"/>
        <w:gridCol w:w="439"/>
      </w:tblGrid>
      <w:tr w14:paraId="3DA2F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501" w:type="pct"/>
            <w:vAlign w:val="center"/>
          </w:tcPr>
          <w:p w14:paraId="1244000A">
            <w:pPr>
              <w:jc w:val="center"/>
            </w:pPr>
            <w:r>
              <w:t>序号</w:t>
            </w:r>
          </w:p>
        </w:tc>
        <w:tc>
          <w:tcPr>
            <w:tcW w:w="1589" w:type="pct"/>
            <w:vAlign w:val="center"/>
          </w:tcPr>
          <w:p w14:paraId="1F8AB38E">
            <w:pPr>
              <w:jc w:val="center"/>
            </w:pPr>
            <w:r>
              <w:rPr>
                <w:rFonts w:hint="eastAsia"/>
                <w:lang w:eastAsia="zh-CN"/>
              </w:rPr>
              <w:t>品类</w:t>
            </w:r>
            <w:r>
              <w:t>名称</w:t>
            </w:r>
          </w:p>
        </w:tc>
        <w:tc>
          <w:tcPr>
            <w:tcW w:w="1103" w:type="pct"/>
            <w:vAlign w:val="center"/>
          </w:tcPr>
          <w:p w14:paraId="6148C784">
            <w:pPr>
              <w:jc w:val="center"/>
            </w:pPr>
            <w:r>
              <w:t>品目分类编码</w:t>
            </w:r>
          </w:p>
        </w:tc>
        <w:tc>
          <w:tcPr>
            <w:tcW w:w="1549" w:type="pct"/>
            <w:vAlign w:val="center"/>
          </w:tcPr>
          <w:p w14:paraId="7D778845">
            <w:pPr>
              <w:jc w:val="center"/>
            </w:pPr>
            <w:r>
              <w:t>数量</w:t>
            </w:r>
          </w:p>
        </w:tc>
        <w:tc>
          <w:tcPr>
            <w:tcW w:w="256" w:type="pct"/>
            <w:vAlign w:val="center"/>
          </w:tcPr>
          <w:p w14:paraId="674A190D">
            <w:pPr>
              <w:jc w:val="center"/>
            </w:pPr>
            <w:r>
              <w:t>是否进口</w:t>
            </w:r>
          </w:p>
        </w:tc>
      </w:tr>
      <w:tr w14:paraId="191A4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501" w:type="pct"/>
            <w:vAlign w:val="center"/>
          </w:tcPr>
          <w:p w14:paraId="5C2D2A3F">
            <w:pPr>
              <w:jc w:val="center"/>
            </w:pPr>
            <w:r>
              <w:t>1</w:t>
            </w:r>
          </w:p>
        </w:tc>
        <w:tc>
          <w:tcPr>
            <w:tcW w:w="1589" w:type="pct"/>
            <w:vAlign w:val="center"/>
          </w:tcPr>
          <w:p w14:paraId="094A9521">
            <w:pPr>
              <w:jc w:val="center"/>
            </w:pPr>
            <w:r>
              <w:t>面食类</w:t>
            </w:r>
          </w:p>
        </w:tc>
        <w:tc>
          <w:tcPr>
            <w:tcW w:w="1103" w:type="pct"/>
            <w:vAlign w:val="center"/>
          </w:tcPr>
          <w:p w14:paraId="4EE2B600">
            <w:pPr>
              <w:jc w:val="center"/>
            </w:pPr>
            <w:r>
              <w:t>C23130200</w:t>
            </w:r>
          </w:p>
        </w:tc>
        <w:tc>
          <w:tcPr>
            <w:tcW w:w="1549" w:type="pct"/>
            <w:vAlign w:val="center"/>
          </w:tcPr>
          <w:p w14:paraId="0025EF71">
            <w:pPr>
              <w:jc w:val="center"/>
            </w:pPr>
            <w:r>
              <w:t>按实际采购数量结算</w:t>
            </w:r>
          </w:p>
        </w:tc>
        <w:tc>
          <w:tcPr>
            <w:tcW w:w="256" w:type="pct"/>
            <w:vAlign w:val="center"/>
          </w:tcPr>
          <w:p w14:paraId="5F121F9C">
            <w:pPr>
              <w:jc w:val="center"/>
            </w:pPr>
            <w:r>
              <w:t>否</w:t>
            </w:r>
          </w:p>
        </w:tc>
      </w:tr>
      <w:tr w14:paraId="2D987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501" w:type="pct"/>
            <w:vAlign w:val="center"/>
          </w:tcPr>
          <w:p w14:paraId="504B86C5">
            <w:pPr>
              <w:jc w:val="center"/>
            </w:pPr>
            <w:r>
              <w:t>2</w:t>
            </w:r>
          </w:p>
        </w:tc>
        <w:tc>
          <w:tcPr>
            <w:tcW w:w="1589" w:type="pct"/>
            <w:vAlign w:val="center"/>
          </w:tcPr>
          <w:p w14:paraId="7AC6A3FC">
            <w:pPr>
              <w:jc w:val="center"/>
            </w:pPr>
            <w:r>
              <w:t>纯牛奶</w:t>
            </w:r>
          </w:p>
        </w:tc>
        <w:tc>
          <w:tcPr>
            <w:tcW w:w="1103" w:type="pct"/>
            <w:vAlign w:val="center"/>
          </w:tcPr>
          <w:p w14:paraId="46A83DAF">
            <w:pPr>
              <w:jc w:val="center"/>
            </w:pPr>
            <w:r>
              <w:t>C23130200</w:t>
            </w:r>
          </w:p>
        </w:tc>
        <w:tc>
          <w:tcPr>
            <w:tcW w:w="1549" w:type="pct"/>
            <w:vAlign w:val="center"/>
          </w:tcPr>
          <w:p w14:paraId="657A02AF">
            <w:pPr>
              <w:jc w:val="center"/>
            </w:pPr>
            <w:r>
              <w:t>按实际采购数量结算</w:t>
            </w:r>
          </w:p>
        </w:tc>
        <w:tc>
          <w:tcPr>
            <w:tcW w:w="256" w:type="pct"/>
            <w:vAlign w:val="center"/>
          </w:tcPr>
          <w:p w14:paraId="6C704EF3">
            <w:pPr>
              <w:jc w:val="center"/>
            </w:pPr>
            <w:r>
              <w:t>否</w:t>
            </w:r>
          </w:p>
        </w:tc>
      </w:tr>
      <w:tr w14:paraId="0E44F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501" w:type="pct"/>
            <w:vAlign w:val="center"/>
          </w:tcPr>
          <w:p w14:paraId="57822038">
            <w:pPr>
              <w:jc w:val="center"/>
            </w:pPr>
            <w:r>
              <w:t>3</w:t>
            </w:r>
          </w:p>
        </w:tc>
        <w:tc>
          <w:tcPr>
            <w:tcW w:w="1589" w:type="pct"/>
            <w:vAlign w:val="center"/>
          </w:tcPr>
          <w:p w14:paraId="1D4335D9">
            <w:pPr>
              <w:jc w:val="center"/>
            </w:pPr>
            <w:r>
              <w:t>水果</w:t>
            </w:r>
          </w:p>
        </w:tc>
        <w:tc>
          <w:tcPr>
            <w:tcW w:w="1103" w:type="pct"/>
            <w:vAlign w:val="center"/>
          </w:tcPr>
          <w:p w14:paraId="72B14789">
            <w:pPr>
              <w:jc w:val="center"/>
            </w:pPr>
            <w:r>
              <w:t>C23130200</w:t>
            </w:r>
          </w:p>
        </w:tc>
        <w:tc>
          <w:tcPr>
            <w:tcW w:w="1549" w:type="pct"/>
            <w:vAlign w:val="center"/>
          </w:tcPr>
          <w:p w14:paraId="4512335A">
            <w:pPr>
              <w:jc w:val="center"/>
            </w:pPr>
            <w:r>
              <w:t>按实际采购数量结算</w:t>
            </w:r>
          </w:p>
        </w:tc>
        <w:tc>
          <w:tcPr>
            <w:tcW w:w="256" w:type="pct"/>
            <w:vAlign w:val="center"/>
          </w:tcPr>
          <w:p w14:paraId="1E66288E">
            <w:pPr>
              <w:jc w:val="center"/>
            </w:pPr>
            <w:r>
              <w:t>否</w:t>
            </w:r>
          </w:p>
        </w:tc>
      </w:tr>
      <w:tr w14:paraId="061B8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501" w:type="pct"/>
            <w:vAlign w:val="center"/>
          </w:tcPr>
          <w:p w14:paraId="38028D99">
            <w:pPr>
              <w:jc w:val="center"/>
            </w:pPr>
            <w:r>
              <w:t>4</w:t>
            </w:r>
          </w:p>
        </w:tc>
        <w:tc>
          <w:tcPr>
            <w:tcW w:w="1589" w:type="pct"/>
            <w:vAlign w:val="center"/>
          </w:tcPr>
          <w:p w14:paraId="5A5EA649">
            <w:pPr>
              <w:jc w:val="center"/>
            </w:pPr>
            <w:r>
              <w:t>鸡蛋</w:t>
            </w:r>
          </w:p>
        </w:tc>
        <w:tc>
          <w:tcPr>
            <w:tcW w:w="1103" w:type="pct"/>
            <w:vAlign w:val="center"/>
          </w:tcPr>
          <w:p w14:paraId="1AC1A1A9">
            <w:pPr>
              <w:jc w:val="center"/>
            </w:pPr>
            <w:r>
              <w:t>C23130200</w:t>
            </w:r>
          </w:p>
        </w:tc>
        <w:tc>
          <w:tcPr>
            <w:tcW w:w="1549" w:type="pct"/>
            <w:vAlign w:val="center"/>
          </w:tcPr>
          <w:p w14:paraId="75773F31">
            <w:pPr>
              <w:jc w:val="center"/>
            </w:pPr>
            <w:r>
              <w:t>按实际采购数量结算</w:t>
            </w:r>
          </w:p>
        </w:tc>
        <w:tc>
          <w:tcPr>
            <w:tcW w:w="256" w:type="pct"/>
            <w:vAlign w:val="center"/>
          </w:tcPr>
          <w:p w14:paraId="7E04100F">
            <w:pPr>
              <w:jc w:val="center"/>
            </w:pPr>
            <w:r>
              <w:t>否</w:t>
            </w:r>
          </w:p>
        </w:tc>
      </w:tr>
      <w:tr w14:paraId="13F50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501" w:type="pct"/>
            <w:vAlign w:val="center"/>
          </w:tcPr>
          <w:p w14:paraId="3306D4D8">
            <w:pPr>
              <w:jc w:val="center"/>
            </w:pPr>
            <w:r>
              <w:t>5</w:t>
            </w:r>
          </w:p>
        </w:tc>
        <w:tc>
          <w:tcPr>
            <w:tcW w:w="1589" w:type="pct"/>
            <w:vAlign w:val="center"/>
          </w:tcPr>
          <w:p w14:paraId="3964126A">
            <w:pPr>
              <w:jc w:val="center"/>
            </w:pPr>
            <w:r>
              <w:t>猪肉、牛肉等生鲜肉</w:t>
            </w:r>
          </w:p>
        </w:tc>
        <w:tc>
          <w:tcPr>
            <w:tcW w:w="1103" w:type="pct"/>
            <w:vAlign w:val="center"/>
          </w:tcPr>
          <w:p w14:paraId="4C2D3D3A">
            <w:pPr>
              <w:jc w:val="center"/>
            </w:pPr>
            <w:r>
              <w:t>C23130200</w:t>
            </w:r>
          </w:p>
        </w:tc>
        <w:tc>
          <w:tcPr>
            <w:tcW w:w="1549" w:type="pct"/>
            <w:vAlign w:val="center"/>
          </w:tcPr>
          <w:p w14:paraId="5B855331">
            <w:pPr>
              <w:jc w:val="center"/>
            </w:pPr>
            <w:r>
              <w:t>按实际采购数量结算</w:t>
            </w:r>
          </w:p>
        </w:tc>
        <w:tc>
          <w:tcPr>
            <w:tcW w:w="256" w:type="pct"/>
            <w:vAlign w:val="center"/>
          </w:tcPr>
          <w:p w14:paraId="61935920">
            <w:pPr>
              <w:jc w:val="center"/>
            </w:pPr>
            <w:r>
              <w:t>否</w:t>
            </w:r>
          </w:p>
        </w:tc>
      </w:tr>
      <w:tr w14:paraId="3CB8F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01" w:type="pct"/>
            <w:vAlign w:val="center"/>
          </w:tcPr>
          <w:p w14:paraId="15001E4F">
            <w:pPr>
              <w:jc w:val="center"/>
            </w:pPr>
            <w:r>
              <w:t>6</w:t>
            </w:r>
          </w:p>
        </w:tc>
        <w:tc>
          <w:tcPr>
            <w:tcW w:w="1589" w:type="pct"/>
            <w:vAlign w:val="center"/>
          </w:tcPr>
          <w:p w14:paraId="0877E88D">
            <w:pPr>
              <w:jc w:val="center"/>
            </w:pPr>
            <w:r>
              <w:t>鸡鸭肉等家禽</w:t>
            </w:r>
          </w:p>
        </w:tc>
        <w:tc>
          <w:tcPr>
            <w:tcW w:w="1103" w:type="pct"/>
            <w:vAlign w:val="center"/>
          </w:tcPr>
          <w:p w14:paraId="6F25723E">
            <w:pPr>
              <w:jc w:val="center"/>
            </w:pPr>
            <w:r>
              <w:t>C23130200</w:t>
            </w:r>
          </w:p>
        </w:tc>
        <w:tc>
          <w:tcPr>
            <w:tcW w:w="1549" w:type="pct"/>
            <w:vAlign w:val="center"/>
          </w:tcPr>
          <w:p w14:paraId="1D1B0EAC">
            <w:pPr>
              <w:jc w:val="center"/>
            </w:pPr>
            <w:r>
              <w:t>按实际采购数量结算</w:t>
            </w:r>
          </w:p>
        </w:tc>
        <w:tc>
          <w:tcPr>
            <w:tcW w:w="256" w:type="pct"/>
            <w:vAlign w:val="center"/>
          </w:tcPr>
          <w:p w14:paraId="074EA4DD">
            <w:pPr>
              <w:jc w:val="center"/>
            </w:pPr>
            <w:r>
              <w:t>否</w:t>
            </w:r>
          </w:p>
        </w:tc>
      </w:tr>
      <w:tr w14:paraId="1526B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01" w:type="pct"/>
            <w:vAlign w:val="center"/>
          </w:tcPr>
          <w:p w14:paraId="7C89AA1F">
            <w:pPr>
              <w:jc w:val="center"/>
            </w:pPr>
            <w:r>
              <w:t>7</w:t>
            </w:r>
          </w:p>
        </w:tc>
        <w:tc>
          <w:tcPr>
            <w:tcW w:w="1589" w:type="pct"/>
            <w:vAlign w:val="center"/>
          </w:tcPr>
          <w:p w14:paraId="09CCD514">
            <w:pPr>
              <w:jc w:val="center"/>
            </w:pPr>
            <w:r>
              <w:t>水产类</w:t>
            </w:r>
          </w:p>
        </w:tc>
        <w:tc>
          <w:tcPr>
            <w:tcW w:w="1103" w:type="pct"/>
            <w:vAlign w:val="center"/>
          </w:tcPr>
          <w:p w14:paraId="722860D8">
            <w:pPr>
              <w:jc w:val="center"/>
            </w:pPr>
            <w:r>
              <w:t>C23130200</w:t>
            </w:r>
          </w:p>
        </w:tc>
        <w:tc>
          <w:tcPr>
            <w:tcW w:w="1549" w:type="pct"/>
            <w:vAlign w:val="center"/>
          </w:tcPr>
          <w:p w14:paraId="7E0D1C18">
            <w:pPr>
              <w:jc w:val="center"/>
            </w:pPr>
            <w:r>
              <w:t>按实际采购数量结算</w:t>
            </w:r>
          </w:p>
        </w:tc>
        <w:tc>
          <w:tcPr>
            <w:tcW w:w="256" w:type="pct"/>
            <w:vAlign w:val="center"/>
          </w:tcPr>
          <w:p w14:paraId="65223C4B">
            <w:pPr>
              <w:jc w:val="center"/>
            </w:pPr>
            <w:r>
              <w:t>否</w:t>
            </w:r>
          </w:p>
        </w:tc>
      </w:tr>
      <w:tr w14:paraId="66C89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501" w:type="pct"/>
            <w:vAlign w:val="center"/>
          </w:tcPr>
          <w:p w14:paraId="12B34471">
            <w:pPr>
              <w:jc w:val="center"/>
            </w:pPr>
            <w:r>
              <w:t>8</w:t>
            </w:r>
          </w:p>
        </w:tc>
        <w:tc>
          <w:tcPr>
            <w:tcW w:w="1589" w:type="pct"/>
            <w:vAlign w:val="center"/>
          </w:tcPr>
          <w:p w14:paraId="184F1AAA">
            <w:pPr>
              <w:jc w:val="center"/>
            </w:pPr>
            <w:r>
              <w:t>大米</w:t>
            </w:r>
          </w:p>
        </w:tc>
        <w:tc>
          <w:tcPr>
            <w:tcW w:w="1103" w:type="pct"/>
            <w:vAlign w:val="center"/>
          </w:tcPr>
          <w:p w14:paraId="52DC1484">
            <w:pPr>
              <w:jc w:val="center"/>
            </w:pPr>
            <w:r>
              <w:t>C23130200</w:t>
            </w:r>
          </w:p>
        </w:tc>
        <w:tc>
          <w:tcPr>
            <w:tcW w:w="1549" w:type="pct"/>
            <w:vAlign w:val="center"/>
          </w:tcPr>
          <w:p w14:paraId="776583AA">
            <w:pPr>
              <w:jc w:val="center"/>
            </w:pPr>
            <w:r>
              <w:t>按实际采购数量结算</w:t>
            </w:r>
          </w:p>
        </w:tc>
        <w:tc>
          <w:tcPr>
            <w:tcW w:w="256" w:type="pct"/>
            <w:vAlign w:val="center"/>
          </w:tcPr>
          <w:p w14:paraId="2CE8BDF8">
            <w:pPr>
              <w:jc w:val="center"/>
            </w:pPr>
            <w:r>
              <w:t>否</w:t>
            </w:r>
          </w:p>
        </w:tc>
      </w:tr>
      <w:tr w14:paraId="33015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01" w:type="pct"/>
            <w:vAlign w:val="center"/>
          </w:tcPr>
          <w:p w14:paraId="5356C164">
            <w:pPr>
              <w:jc w:val="center"/>
            </w:pPr>
            <w:r>
              <w:t>9</w:t>
            </w:r>
          </w:p>
        </w:tc>
        <w:tc>
          <w:tcPr>
            <w:tcW w:w="1589" w:type="pct"/>
            <w:vAlign w:val="center"/>
          </w:tcPr>
          <w:p w14:paraId="675A57F6">
            <w:pPr>
              <w:jc w:val="center"/>
            </w:pPr>
            <w:r>
              <w:t>花生油、调和油</w:t>
            </w:r>
          </w:p>
        </w:tc>
        <w:tc>
          <w:tcPr>
            <w:tcW w:w="1103" w:type="pct"/>
            <w:vAlign w:val="center"/>
          </w:tcPr>
          <w:p w14:paraId="1868A348">
            <w:pPr>
              <w:jc w:val="center"/>
            </w:pPr>
            <w:r>
              <w:t>C23130200</w:t>
            </w:r>
          </w:p>
        </w:tc>
        <w:tc>
          <w:tcPr>
            <w:tcW w:w="1549" w:type="pct"/>
            <w:vAlign w:val="center"/>
          </w:tcPr>
          <w:p w14:paraId="63648BC9">
            <w:pPr>
              <w:jc w:val="center"/>
            </w:pPr>
            <w:r>
              <w:t>按实际采购数量结算</w:t>
            </w:r>
          </w:p>
        </w:tc>
        <w:tc>
          <w:tcPr>
            <w:tcW w:w="256" w:type="pct"/>
            <w:vAlign w:val="center"/>
          </w:tcPr>
          <w:p w14:paraId="6EB92731">
            <w:pPr>
              <w:jc w:val="center"/>
            </w:pPr>
            <w:r>
              <w:t>否</w:t>
            </w:r>
          </w:p>
        </w:tc>
      </w:tr>
      <w:tr w14:paraId="1127F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501" w:type="pct"/>
            <w:vAlign w:val="center"/>
          </w:tcPr>
          <w:p w14:paraId="2AE8B4E6">
            <w:pPr>
              <w:jc w:val="center"/>
            </w:pPr>
            <w:r>
              <w:t>10</w:t>
            </w:r>
          </w:p>
        </w:tc>
        <w:tc>
          <w:tcPr>
            <w:tcW w:w="1589" w:type="pct"/>
            <w:vAlign w:val="center"/>
          </w:tcPr>
          <w:p w14:paraId="3F0CFF79">
            <w:pPr>
              <w:jc w:val="center"/>
            </w:pPr>
            <w:r>
              <w:t>调味品、干杂货食品等</w:t>
            </w:r>
          </w:p>
        </w:tc>
        <w:tc>
          <w:tcPr>
            <w:tcW w:w="1103" w:type="pct"/>
            <w:vAlign w:val="center"/>
          </w:tcPr>
          <w:p w14:paraId="519E2DA8">
            <w:pPr>
              <w:jc w:val="center"/>
            </w:pPr>
            <w:r>
              <w:t>C23130200</w:t>
            </w:r>
          </w:p>
        </w:tc>
        <w:tc>
          <w:tcPr>
            <w:tcW w:w="1549" w:type="pct"/>
            <w:vAlign w:val="center"/>
          </w:tcPr>
          <w:p w14:paraId="24159160">
            <w:pPr>
              <w:jc w:val="center"/>
            </w:pPr>
            <w:r>
              <w:t>按实际采购数量结算</w:t>
            </w:r>
          </w:p>
        </w:tc>
        <w:tc>
          <w:tcPr>
            <w:tcW w:w="256" w:type="pct"/>
            <w:vAlign w:val="center"/>
          </w:tcPr>
          <w:p w14:paraId="4A0485CB">
            <w:pPr>
              <w:jc w:val="center"/>
            </w:pPr>
            <w:r>
              <w:t>否</w:t>
            </w:r>
          </w:p>
        </w:tc>
      </w:tr>
      <w:tr w14:paraId="0014A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01" w:type="pct"/>
            <w:vAlign w:val="center"/>
          </w:tcPr>
          <w:p w14:paraId="6D302EDD">
            <w:pPr>
              <w:jc w:val="center"/>
            </w:pPr>
            <w:r>
              <w:t>11</w:t>
            </w:r>
          </w:p>
        </w:tc>
        <w:tc>
          <w:tcPr>
            <w:tcW w:w="1589" w:type="pct"/>
            <w:vAlign w:val="center"/>
          </w:tcPr>
          <w:p w14:paraId="3E85CDFA">
            <w:pPr>
              <w:jc w:val="center"/>
            </w:pPr>
            <w:r>
              <w:t>豆制品</w:t>
            </w:r>
          </w:p>
        </w:tc>
        <w:tc>
          <w:tcPr>
            <w:tcW w:w="1103" w:type="pct"/>
            <w:vAlign w:val="center"/>
          </w:tcPr>
          <w:p w14:paraId="424ABA3B">
            <w:pPr>
              <w:jc w:val="center"/>
            </w:pPr>
            <w:r>
              <w:t>C23130200</w:t>
            </w:r>
          </w:p>
        </w:tc>
        <w:tc>
          <w:tcPr>
            <w:tcW w:w="1549" w:type="pct"/>
            <w:vAlign w:val="center"/>
          </w:tcPr>
          <w:p w14:paraId="56A80144">
            <w:pPr>
              <w:jc w:val="center"/>
            </w:pPr>
            <w:r>
              <w:t>按实际采购数量结算</w:t>
            </w:r>
          </w:p>
        </w:tc>
        <w:tc>
          <w:tcPr>
            <w:tcW w:w="256" w:type="pct"/>
            <w:vAlign w:val="center"/>
          </w:tcPr>
          <w:p w14:paraId="42DB6DB5">
            <w:pPr>
              <w:jc w:val="center"/>
            </w:pPr>
            <w:r>
              <w:t>否</w:t>
            </w:r>
          </w:p>
        </w:tc>
      </w:tr>
      <w:tr w14:paraId="37AC1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501" w:type="pct"/>
            <w:vAlign w:val="center"/>
          </w:tcPr>
          <w:p w14:paraId="1F2B7234">
            <w:pPr>
              <w:jc w:val="center"/>
            </w:pPr>
            <w:r>
              <w:t>12</w:t>
            </w:r>
          </w:p>
        </w:tc>
        <w:tc>
          <w:tcPr>
            <w:tcW w:w="1589" w:type="pct"/>
            <w:vAlign w:val="center"/>
          </w:tcPr>
          <w:p w14:paraId="41A3C7D0">
            <w:pPr>
              <w:jc w:val="center"/>
            </w:pPr>
            <w:r>
              <w:t>蔬菜类</w:t>
            </w:r>
          </w:p>
        </w:tc>
        <w:tc>
          <w:tcPr>
            <w:tcW w:w="1103" w:type="pct"/>
            <w:vAlign w:val="center"/>
          </w:tcPr>
          <w:p w14:paraId="165F6FA8">
            <w:pPr>
              <w:jc w:val="center"/>
            </w:pPr>
            <w:r>
              <w:t>C23130200</w:t>
            </w:r>
          </w:p>
        </w:tc>
        <w:tc>
          <w:tcPr>
            <w:tcW w:w="1549" w:type="pct"/>
            <w:vAlign w:val="center"/>
          </w:tcPr>
          <w:p w14:paraId="45C00116">
            <w:pPr>
              <w:jc w:val="center"/>
            </w:pPr>
            <w:r>
              <w:t>按实际采购数量结算</w:t>
            </w:r>
          </w:p>
        </w:tc>
        <w:tc>
          <w:tcPr>
            <w:tcW w:w="256" w:type="pct"/>
            <w:vAlign w:val="center"/>
          </w:tcPr>
          <w:p w14:paraId="65C89A76">
            <w:pPr>
              <w:jc w:val="center"/>
            </w:pPr>
            <w:r>
              <w:t>否</w:t>
            </w:r>
          </w:p>
        </w:tc>
      </w:tr>
      <w:tr w14:paraId="256CE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jc w:val="center"/>
        </w:trPr>
        <w:tc>
          <w:tcPr>
            <w:tcW w:w="501" w:type="pct"/>
            <w:vAlign w:val="center"/>
          </w:tcPr>
          <w:p w14:paraId="0706591E">
            <w:pPr>
              <w:jc w:val="center"/>
            </w:pPr>
            <w:r>
              <w:t>13</w:t>
            </w:r>
          </w:p>
        </w:tc>
        <w:tc>
          <w:tcPr>
            <w:tcW w:w="1589" w:type="pct"/>
            <w:vAlign w:val="center"/>
          </w:tcPr>
          <w:p w14:paraId="34F8C97B">
            <w:pPr>
              <w:jc w:val="center"/>
            </w:pPr>
            <w:r>
              <w:t>糕点类、粉类</w:t>
            </w:r>
          </w:p>
        </w:tc>
        <w:tc>
          <w:tcPr>
            <w:tcW w:w="1103" w:type="pct"/>
            <w:vAlign w:val="center"/>
          </w:tcPr>
          <w:p w14:paraId="7C4FBA00">
            <w:pPr>
              <w:jc w:val="center"/>
            </w:pPr>
            <w:r>
              <w:t>C23130200</w:t>
            </w:r>
          </w:p>
        </w:tc>
        <w:tc>
          <w:tcPr>
            <w:tcW w:w="1549" w:type="pct"/>
            <w:vAlign w:val="center"/>
          </w:tcPr>
          <w:p w14:paraId="4FB914B6">
            <w:pPr>
              <w:jc w:val="center"/>
            </w:pPr>
            <w:r>
              <w:t>按实际采购数量结算</w:t>
            </w:r>
          </w:p>
        </w:tc>
        <w:tc>
          <w:tcPr>
            <w:tcW w:w="256" w:type="pct"/>
            <w:vAlign w:val="center"/>
          </w:tcPr>
          <w:p w14:paraId="628E0DFD">
            <w:pPr>
              <w:jc w:val="center"/>
            </w:pPr>
            <w:r>
              <w:t>否</w:t>
            </w:r>
          </w:p>
        </w:tc>
      </w:tr>
    </w:tbl>
    <w:p w14:paraId="4627D9DC">
      <w:pPr>
        <w:pageBreakBefore w:val="0"/>
        <w:widowControl w:val="0"/>
        <w:kinsoku/>
        <w:wordWrap/>
        <w:overflowPunct/>
        <w:topLinePunct w:val="0"/>
        <w:bidi w:val="0"/>
        <w:adjustRightInd/>
        <w:spacing w:line="5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（二）执行标准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7267"/>
      </w:tblGrid>
      <w:tr w14:paraId="0999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78D2B939">
            <w:pPr>
              <w:spacing w:line="360" w:lineRule="auto"/>
              <w:jc w:val="center"/>
              <w:rPr>
                <w:rFonts w:hint="eastAsia"/>
                <w:sz w:val="22"/>
                <w:szCs w:val="22"/>
                <w:vertAlign w:val="baseline"/>
              </w:rPr>
            </w:pPr>
            <w:r>
              <w:rPr>
                <w:rFonts w:hint="eastAsia" w:ascii="宋体" w:hAnsi="宋体" w:eastAsia="宋体" w:cs="宋体"/>
                <w:spacing w:val="-2"/>
                <w:sz w:val="22"/>
                <w:szCs w:val="22"/>
              </w:rPr>
              <w:t>食品名称</w:t>
            </w:r>
          </w:p>
        </w:tc>
        <w:tc>
          <w:tcPr>
            <w:tcW w:w="7267" w:type="dxa"/>
          </w:tcPr>
          <w:p w14:paraId="4F6C5560">
            <w:pPr>
              <w:spacing w:line="360" w:lineRule="auto"/>
              <w:jc w:val="center"/>
              <w:rPr>
                <w:rFonts w:hint="eastAsia"/>
                <w:sz w:val="22"/>
                <w:szCs w:val="22"/>
                <w:vertAlign w:val="baseline"/>
              </w:rPr>
            </w:pPr>
            <w:r>
              <w:rPr>
                <w:rFonts w:hint="eastAsia" w:ascii="宋体" w:hAnsi="宋体" w:eastAsia="宋体" w:cs="宋体"/>
                <w:spacing w:val="-2"/>
                <w:sz w:val="22"/>
                <w:szCs w:val="22"/>
              </w:rPr>
              <w:t>执行标准</w:t>
            </w:r>
          </w:p>
        </w:tc>
      </w:tr>
      <w:tr w14:paraId="0609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5" w:type="dxa"/>
          </w:tcPr>
          <w:p w14:paraId="26C15CBA">
            <w:pPr>
              <w:spacing w:line="360" w:lineRule="auto"/>
              <w:jc w:val="center"/>
              <w:rPr>
                <w:rFonts w:hint="eastAsia" w:ascii="宋体" w:hAnsi="宋体" w:eastAsia="宋体" w:cs="宋体"/>
                <w:spacing w:val="-3"/>
                <w:sz w:val="22"/>
                <w:szCs w:val="22"/>
              </w:rPr>
            </w:pPr>
          </w:p>
          <w:p w14:paraId="288F206B">
            <w:pPr>
              <w:spacing w:line="360" w:lineRule="auto"/>
              <w:jc w:val="center"/>
              <w:rPr>
                <w:rFonts w:hint="eastAsia" w:ascii="宋体" w:hAnsi="宋体" w:eastAsia="宋体" w:cs="宋体"/>
                <w:spacing w:val="-3"/>
                <w:sz w:val="22"/>
                <w:szCs w:val="22"/>
              </w:rPr>
            </w:pPr>
          </w:p>
          <w:p w14:paraId="664566CE">
            <w:pPr>
              <w:spacing w:line="360" w:lineRule="auto"/>
              <w:jc w:val="center"/>
              <w:rPr>
                <w:rFonts w:hint="eastAsia" w:ascii="宋体" w:hAnsi="宋体" w:eastAsia="宋体" w:cs="宋体"/>
                <w:spacing w:val="-3"/>
                <w:sz w:val="22"/>
                <w:szCs w:val="22"/>
              </w:rPr>
            </w:pPr>
          </w:p>
          <w:p w14:paraId="2C04E241">
            <w:pPr>
              <w:spacing w:line="360" w:lineRule="auto"/>
              <w:jc w:val="center"/>
              <w:rPr>
                <w:rFonts w:hint="eastAsia" w:ascii="宋体" w:hAnsi="宋体" w:eastAsia="宋体" w:cs="宋体"/>
                <w:spacing w:val="-3"/>
                <w:sz w:val="22"/>
                <w:szCs w:val="22"/>
              </w:rPr>
            </w:pPr>
          </w:p>
          <w:p w14:paraId="6485B4D5">
            <w:pPr>
              <w:spacing w:line="360" w:lineRule="auto"/>
              <w:jc w:val="center"/>
              <w:rPr>
                <w:rFonts w:hint="eastAsia"/>
                <w:sz w:val="22"/>
                <w:szCs w:val="22"/>
                <w:vertAlign w:val="baseline"/>
              </w:rPr>
            </w:pPr>
            <w:r>
              <w:rPr>
                <w:rFonts w:hint="eastAsia" w:ascii="宋体" w:hAnsi="宋体" w:eastAsia="宋体" w:cs="宋体"/>
                <w:spacing w:val="-3"/>
                <w:sz w:val="22"/>
                <w:szCs w:val="22"/>
              </w:rPr>
              <w:t>面食类</w:t>
            </w:r>
          </w:p>
        </w:tc>
        <w:tc>
          <w:tcPr>
            <w:tcW w:w="7267" w:type="dxa"/>
          </w:tcPr>
          <w:p w14:paraId="6A0AB596">
            <w:pPr>
              <w:spacing w:line="360" w:lineRule="auto"/>
              <w:rPr>
                <w:rFonts w:hint="eastAsia"/>
                <w:color w:val="auto"/>
                <w:sz w:val="22"/>
                <w:szCs w:val="22"/>
                <w:vertAlign w:val="baseline"/>
              </w:rPr>
            </w:pPr>
            <w:r>
              <w:rPr>
                <w:rFonts w:hint="eastAsia"/>
                <w:color w:val="auto"/>
                <w:sz w:val="22"/>
                <w:szCs w:val="22"/>
                <w:vertAlign w:val="baseline"/>
              </w:rPr>
              <w:t>1、采购需求</w:t>
            </w:r>
          </w:p>
          <w:p w14:paraId="2EA8BBCC">
            <w:pPr>
              <w:spacing w:line="360" w:lineRule="auto"/>
              <w:rPr>
                <w:rFonts w:hint="eastAsia"/>
                <w:color w:val="auto"/>
                <w:sz w:val="22"/>
                <w:szCs w:val="22"/>
                <w:vertAlign w:val="baseline"/>
              </w:rPr>
            </w:pPr>
            <w:r>
              <w:rPr>
                <w:rFonts w:hint="eastAsia"/>
                <w:color w:val="auto"/>
                <w:sz w:val="22"/>
                <w:szCs w:val="22"/>
                <w:vertAlign w:val="baseline"/>
              </w:rPr>
              <w:t>(1)实行每日采购，供应商每日应按采购单位的货物请购清单提供相应数量的货物。</w:t>
            </w:r>
          </w:p>
          <w:p w14:paraId="3CCC82F7">
            <w:pPr>
              <w:spacing w:line="360" w:lineRule="auto"/>
              <w:rPr>
                <w:rFonts w:hint="eastAsia"/>
                <w:color w:val="auto"/>
                <w:sz w:val="22"/>
                <w:szCs w:val="22"/>
                <w:vertAlign w:val="baseline"/>
              </w:rPr>
            </w:pPr>
            <w:r>
              <w:rPr>
                <w:rFonts w:hint="eastAsia"/>
                <w:color w:val="auto"/>
                <w:sz w:val="22"/>
                <w:szCs w:val="22"/>
                <w:vertAlign w:val="baseline"/>
              </w:rPr>
              <w:t>(2)结算时按实际采购数量结算</w:t>
            </w:r>
          </w:p>
          <w:p w14:paraId="6A40993F">
            <w:pPr>
              <w:spacing w:line="360" w:lineRule="auto"/>
              <w:rPr>
                <w:rFonts w:hint="eastAsia"/>
                <w:color w:val="auto"/>
                <w:sz w:val="22"/>
                <w:szCs w:val="22"/>
                <w:vertAlign w:val="baseline"/>
              </w:rPr>
            </w:pPr>
            <w:r>
              <w:rPr>
                <w:rFonts w:hint="eastAsia"/>
                <w:color w:val="auto"/>
                <w:sz w:val="22"/>
                <w:szCs w:val="22"/>
                <w:vertAlign w:val="baseline"/>
              </w:rPr>
              <w:t>▲2、质量要求</w:t>
            </w:r>
          </w:p>
          <w:p w14:paraId="50BF80CD">
            <w:pPr>
              <w:spacing w:line="360" w:lineRule="auto"/>
              <w:rPr>
                <w:rFonts w:hint="eastAsia"/>
                <w:color w:val="auto"/>
                <w:sz w:val="22"/>
                <w:szCs w:val="22"/>
                <w:vertAlign w:val="baseline"/>
              </w:rPr>
            </w:pPr>
            <w:r>
              <w:rPr>
                <w:rFonts w:hint="eastAsia"/>
                <w:color w:val="auto"/>
                <w:sz w:val="22"/>
                <w:szCs w:val="22"/>
                <w:vertAlign w:val="baseline"/>
              </w:rPr>
              <w:t>(1)应该色泽均匀，无杂质、结块或发霉现象，</w:t>
            </w:r>
            <w:r>
              <w:rPr>
                <w:rFonts w:hint="eastAsia"/>
                <w:color w:val="auto"/>
                <w:sz w:val="22"/>
                <w:szCs w:val="22"/>
                <w:vertAlign w:val="baseline"/>
                <w:lang w:eastAsia="zh-CN"/>
              </w:rPr>
              <w:t>具有该粮食产品天然的香味</w:t>
            </w:r>
            <w:r>
              <w:rPr>
                <w:rFonts w:hint="eastAsia"/>
                <w:color w:val="auto"/>
                <w:sz w:val="22"/>
                <w:szCs w:val="22"/>
                <w:vertAlign w:val="baseline"/>
              </w:rPr>
              <w:t>，没有异味或发酸的气味；应该由纯正的</w:t>
            </w:r>
            <w:r>
              <w:rPr>
                <w:rFonts w:hint="eastAsia"/>
                <w:color w:val="auto"/>
                <w:sz w:val="22"/>
                <w:szCs w:val="22"/>
                <w:vertAlign w:val="baseline"/>
                <w:lang w:eastAsia="zh-CN"/>
              </w:rPr>
              <w:t>该产品制成</w:t>
            </w:r>
            <w:r>
              <w:rPr>
                <w:rFonts w:hint="eastAsia"/>
                <w:color w:val="auto"/>
                <w:sz w:val="22"/>
                <w:szCs w:val="22"/>
                <w:vertAlign w:val="baseline"/>
              </w:rPr>
              <w:t>，不应该添加其他杂质或添加剂。产品包装要求机械封装，印上产品名称及生产日期和保质期，产品要求为即产即销。</w:t>
            </w:r>
          </w:p>
        </w:tc>
      </w:tr>
      <w:tr w14:paraId="3D9B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0477616F">
            <w:pPr>
              <w:spacing w:line="360" w:lineRule="auto"/>
              <w:jc w:val="center"/>
              <w:rPr>
                <w:rFonts w:hint="eastAsia" w:ascii="宋体" w:hAnsi="宋体" w:eastAsia="宋体" w:cs="宋体"/>
                <w:spacing w:val="3"/>
                <w:sz w:val="22"/>
                <w:szCs w:val="22"/>
              </w:rPr>
            </w:pPr>
          </w:p>
          <w:p w14:paraId="65689007">
            <w:pPr>
              <w:spacing w:line="360" w:lineRule="auto"/>
              <w:jc w:val="center"/>
              <w:rPr>
                <w:rFonts w:hint="eastAsia" w:ascii="宋体" w:hAnsi="宋体" w:eastAsia="宋体" w:cs="宋体"/>
                <w:spacing w:val="3"/>
                <w:sz w:val="22"/>
                <w:szCs w:val="22"/>
              </w:rPr>
            </w:pPr>
          </w:p>
          <w:p w14:paraId="78BB0E23">
            <w:pPr>
              <w:spacing w:line="360" w:lineRule="auto"/>
              <w:jc w:val="center"/>
              <w:rPr>
                <w:rFonts w:hint="eastAsia"/>
                <w:sz w:val="22"/>
                <w:szCs w:val="22"/>
                <w:vertAlign w:val="baseline"/>
              </w:rPr>
            </w:pPr>
            <w:r>
              <w:rPr>
                <w:rFonts w:hint="eastAsia" w:ascii="宋体" w:hAnsi="宋体" w:eastAsia="宋体" w:cs="宋体"/>
                <w:spacing w:val="3"/>
                <w:sz w:val="22"/>
                <w:szCs w:val="22"/>
              </w:rPr>
              <w:t>纯牛奶</w:t>
            </w:r>
          </w:p>
        </w:tc>
        <w:tc>
          <w:tcPr>
            <w:tcW w:w="7267" w:type="dxa"/>
          </w:tcPr>
          <w:p w14:paraId="1EDE160E">
            <w:pPr>
              <w:spacing w:line="360" w:lineRule="auto"/>
              <w:rPr>
                <w:rFonts w:hint="eastAsia"/>
                <w:sz w:val="22"/>
                <w:szCs w:val="22"/>
                <w:vertAlign w:val="baseline"/>
              </w:rPr>
            </w:pPr>
            <w:r>
              <w:rPr>
                <w:rFonts w:hint="eastAsia"/>
                <w:sz w:val="22"/>
                <w:szCs w:val="22"/>
                <w:vertAlign w:val="baseline"/>
              </w:rPr>
              <w:t>1、采购需求</w:t>
            </w:r>
          </w:p>
          <w:p w14:paraId="29BC9127">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746B9DBB">
            <w:pPr>
              <w:spacing w:line="360" w:lineRule="auto"/>
              <w:rPr>
                <w:rFonts w:hint="eastAsia"/>
                <w:sz w:val="22"/>
                <w:szCs w:val="22"/>
                <w:vertAlign w:val="baseline"/>
              </w:rPr>
            </w:pPr>
            <w:r>
              <w:rPr>
                <w:rFonts w:hint="eastAsia"/>
                <w:sz w:val="22"/>
                <w:szCs w:val="22"/>
                <w:vertAlign w:val="baseline"/>
              </w:rPr>
              <w:t>(2)结算时按实际采购数量结算。</w:t>
            </w:r>
          </w:p>
          <w:p w14:paraId="7BE9EA1B">
            <w:pPr>
              <w:spacing w:line="360" w:lineRule="auto"/>
              <w:rPr>
                <w:rFonts w:hint="eastAsia" w:eastAsiaTheme="minorEastAsia"/>
                <w:sz w:val="22"/>
                <w:szCs w:val="22"/>
                <w:vertAlign w:val="baseline"/>
                <w:lang w:eastAsia="zh-CN"/>
              </w:rPr>
            </w:pPr>
            <w:r>
              <w:rPr>
                <w:rFonts w:hint="eastAsia"/>
                <w:sz w:val="22"/>
                <w:szCs w:val="22"/>
                <w:vertAlign w:val="baseline"/>
              </w:rPr>
              <w:t>▲2、</w:t>
            </w:r>
            <w:r>
              <w:rPr>
                <w:rFonts w:hint="eastAsia"/>
                <w:sz w:val="22"/>
                <w:szCs w:val="22"/>
                <w:vertAlign w:val="baseline"/>
                <w:lang w:eastAsia="zh-CN"/>
              </w:rPr>
              <w:t>质量要求</w:t>
            </w:r>
          </w:p>
          <w:p w14:paraId="5DB89DF1">
            <w:pPr>
              <w:spacing w:line="360" w:lineRule="auto"/>
              <w:rPr>
                <w:rFonts w:hint="eastAsia"/>
                <w:sz w:val="22"/>
                <w:szCs w:val="22"/>
                <w:vertAlign w:val="baseline"/>
              </w:rPr>
            </w:pPr>
            <w:r>
              <w:rPr>
                <w:rFonts w:hint="eastAsia"/>
                <w:sz w:val="22"/>
                <w:szCs w:val="22"/>
                <w:vertAlign w:val="baseline"/>
              </w:rPr>
              <w:t>(1)需符合国家相关标准(如GB25190《食品安全国家标准灭菌乳》等)。</w:t>
            </w:r>
          </w:p>
          <w:p w14:paraId="0427F5C0">
            <w:pPr>
              <w:spacing w:line="360" w:lineRule="auto"/>
              <w:rPr>
                <w:rFonts w:hint="eastAsia"/>
                <w:sz w:val="22"/>
                <w:szCs w:val="22"/>
                <w:vertAlign w:val="baseline"/>
              </w:rPr>
            </w:pPr>
            <w:r>
              <w:rPr>
                <w:rFonts w:hint="eastAsia"/>
                <w:sz w:val="22"/>
                <w:szCs w:val="22"/>
                <w:vertAlign w:val="baseline"/>
              </w:rPr>
              <w:t>(2)原料奶必须来自健康无病的奶牛，不得使用任何激素、抗生素、残留超</w:t>
            </w:r>
            <w:r>
              <w:rPr>
                <w:rFonts w:hint="eastAsia"/>
                <w:sz w:val="22"/>
                <w:szCs w:val="22"/>
                <w:vertAlign w:val="baseline"/>
                <w:lang w:eastAsia="zh-CN"/>
              </w:rPr>
              <w:t>品类</w:t>
            </w:r>
            <w:r>
              <w:rPr>
                <w:rFonts w:hint="eastAsia"/>
                <w:sz w:val="22"/>
                <w:szCs w:val="22"/>
                <w:vertAlign w:val="baseline"/>
              </w:rPr>
              <w:t>奶源；必须提供纯牛奶。</w:t>
            </w:r>
          </w:p>
          <w:p w14:paraId="3C903E88">
            <w:pPr>
              <w:spacing w:line="360" w:lineRule="auto"/>
              <w:rPr>
                <w:rFonts w:hint="eastAsia"/>
                <w:sz w:val="22"/>
                <w:szCs w:val="22"/>
                <w:vertAlign w:val="baseline"/>
              </w:rPr>
            </w:pPr>
            <w:r>
              <w:rPr>
                <w:rFonts w:hint="eastAsia"/>
                <w:sz w:val="22"/>
                <w:szCs w:val="22"/>
                <w:vertAlign w:val="baseline"/>
              </w:rPr>
              <w:t>(3)应采用超高温瞬时灭菌(UHT)或其他经认可的有效杀菌工艺处理，确保产品安全。</w:t>
            </w:r>
          </w:p>
          <w:p w14:paraId="5BF61EAA">
            <w:pPr>
              <w:spacing w:line="360" w:lineRule="auto"/>
              <w:rPr>
                <w:rFonts w:hint="eastAsia"/>
                <w:sz w:val="22"/>
                <w:szCs w:val="22"/>
                <w:vertAlign w:val="baseline"/>
              </w:rPr>
            </w:pPr>
            <w:r>
              <w:rPr>
                <w:rFonts w:hint="eastAsia"/>
                <w:sz w:val="22"/>
                <w:szCs w:val="22"/>
                <w:vertAlign w:val="baseline"/>
              </w:rPr>
              <w:t>(4)色泽：呈乳白色或微黄色，均匀一致，无沉淀、无凝块、无杂质。</w:t>
            </w:r>
          </w:p>
          <w:p w14:paraId="2BD9556F">
            <w:pPr>
              <w:spacing w:line="360" w:lineRule="auto"/>
              <w:rPr>
                <w:rFonts w:hint="eastAsia"/>
                <w:sz w:val="22"/>
                <w:szCs w:val="22"/>
                <w:vertAlign w:val="baseline"/>
              </w:rPr>
            </w:pPr>
            <w:r>
              <w:rPr>
                <w:rFonts w:hint="eastAsia"/>
                <w:sz w:val="22"/>
                <w:szCs w:val="22"/>
                <w:vertAlign w:val="baseline"/>
              </w:rPr>
              <w:t>(5)滋味与气味：具有纯牛乳特有的香味，无异味。</w:t>
            </w:r>
          </w:p>
          <w:p w14:paraId="5BCFB512">
            <w:pPr>
              <w:spacing w:line="360" w:lineRule="auto"/>
              <w:rPr>
                <w:rFonts w:hint="eastAsia"/>
                <w:sz w:val="22"/>
                <w:szCs w:val="22"/>
                <w:vertAlign w:val="baseline"/>
              </w:rPr>
            </w:pPr>
            <w:r>
              <w:rPr>
                <w:rFonts w:hint="eastAsia"/>
                <w:sz w:val="22"/>
                <w:szCs w:val="22"/>
                <w:vertAlign w:val="baseline"/>
              </w:rPr>
              <w:t>(6)组织状态：呈均匀一致的液体，无凝块、无沉淀、无粘稠现象。</w:t>
            </w:r>
          </w:p>
          <w:p w14:paraId="64127CB0">
            <w:pPr>
              <w:spacing w:line="360" w:lineRule="auto"/>
              <w:rPr>
                <w:rFonts w:hint="eastAsia"/>
                <w:sz w:val="22"/>
                <w:szCs w:val="22"/>
                <w:vertAlign w:val="baseline"/>
              </w:rPr>
            </w:pPr>
            <w:r>
              <w:rPr>
                <w:rFonts w:hint="eastAsia"/>
                <w:sz w:val="22"/>
                <w:szCs w:val="22"/>
                <w:vertAlign w:val="baseline"/>
              </w:rPr>
              <w:t>(7)蛋白质含量：符合国家或行业规定的最低标准，每100mL不低于(含)3.2g。</w:t>
            </w:r>
          </w:p>
          <w:p w14:paraId="0CA42494">
            <w:pPr>
              <w:spacing w:line="360" w:lineRule="auto"/>
              <w:rPr>
                <w:rFonts w:hint="eastAsia"/>
                <w:sz w:val="22"/>
                <w:szCs w:val="22"/>
                <w:vertAlign w:val="baseline"/>
              </w:rPr>
            </w:pPr>
            <w:r>
              <w:rPr>
                <w:rFonts w:hint="eastAsia"/>
                <w:sz w:val="22"/>
                <w:szCs w:val="22"/>
                <w:vertAlign w:val="baseline"/>
              </w:rPr>
              <w:t>(8)酸度：pH值及滴定酸度应在正常范围内，表明产品新鲜度。</w:t>
            </w:r>
          </w:p>
          <w:p w14:paraId="0A62E990">
            <w:pPr>
              <w:spacing w:line="360" w:lineRule="auto"/>
              <w:rPr>
                <w:rFonts w:hint="eastAsia"/>
                <w:sz w:val="22"/>
                <w:szCs w:val="22"/>
                <w:vertAlign w:val="baseline"/>
              </w:rPr>
            </w:pPr>
            <w:r>
              <w:rPr>
                <w:rFonts w:hint="eastAsia"/>
                <w:sz w:val="22"/>
                <w:szCs w:val="22"/>
                <w:vertAlign w:val="baseline"/>
              </w:rPr>
              <w:t>(9)杂质度：不得检出肉眼可见的外来杂质。</w:t>
            </w:r>
          </w:p>
          <w:p w14:paraId="01BF9B8A">
            <w:pPr>
              <w:spacing w:line="360" w:lineRule="auto"/>
              <w:rPr>
                <w:rFonts w:hint="eastAsia"/>
                <w:sz w:val="22"/>
                <w:szCs w:val="22"/>
                <w:vertAlign w:val="baseline"/>
              </w:rPr>
            </w:pPr>
            <w:r>
              <w:rPr>
                <w:rFonts w:hint="eastAsia"/>
                <w:sz w:val="22"/>
                <w:szCs w:val="22"/>
                <w:vertAlign w:val="baseline"/>
              </w:rPr>
              <w:t>(10)微生物指标：</w:t>
            </w:r>
          </w:p>
          <w:p w14:paraId="2CC874D0">
            <w:pPr>
              <w:spacing w:line="360" w:lineRule="auto"/>
              <w:rPr>
                <w:rFonts w:hint="eastAsia"/>
                <w:sz w:val="22"/>
                <w:szCs w:val="22"/>
                <w:vertAlign w:val="baseline"/>
              </w:rPr>
            </w:pPr>
            <w:r>
              <w:rPr>
                <w:rFonts w:hint="eastAsia"/>
                <w:sz w:val="22"/>
                <w:szCs w:val="22"/>
                <w:vertAlign w:val="baseline"/>
              </w:rPr>
              <w:t>菌落总数：</w:t>
            </w:r>
            <w:r>
              <w:rPr>
                <w:rFonts w:hint="eastAsia"/>
                <w:sz w:val="22"/>
                <w:szCs w:val="22"/>
                <w:vertAlign w:val="baseline"/>
                <w:lang w:eastAsia="zh-CN"/>
              </w:rPr>
              <w:t>《食品安全国家标准灭菌乳》标准规定</w:t>
            </w:r>
            <w:r>
              <w:rPr>
                <w:rFonts w:hint="eastAsia"/>
                <w:sz w:val="22"/>
                <w:szCs w:val="22"/>
                <w:vertAlign w:val="baseline"/>
              </w:rPr>
              <w:t>，以确保产品卫生质量；大肠菌群：不得检出，以预防肠道传染病的发生；致病菌(如沙门氏菌，金黄色葡萄球菌等)不得检出，确保产品安全无害。</w:t>
            </w:r>
          </w:p>
          <w:p w14:paraId="68D68F74">
            <w:pPr>
              <w:spacing w:line="360" w:lineRule="auto"/>
              <w:rPr>
                <w:rFonts w:hint="eastAsia"/>
                <w:sz w:val="22"/>
                <w:szCs w:val="22"/>
                <w:vertAlign w:val="baseline"/>
              </w:rPr>
            </w:pPr>
            <w:r>
              <w:rPr>
                <w:rFonts w:hint="eastAsia"/>
                <w:sz w:val="22"/>
                <w:szCs w:val="22"/>
                <w:vertAlign w:val="baseline"/>
              </w:rPr>
              <w:t>(11)包装与标识：</w:t>
            </w:r>
          </w:p>
          <w:p w14:paraId="0340F958">
            <w:pPr>
              <w:spacing w:line="360" w:lineRule="auto"/>
              <w:rPr>
                <w:rFonts w:hint="eastAsia"/>
                <w:sz w:val="22"/>
                <w:szCs w:val="22"/>
                <w:vertAlign w:val="baseline"/>
              </w:rPr>
            </w:pPr>
            <w:r>
              <w:rPr>
                <w:rFonts w:hint="eastAsia"/>
                <w:sz w:val="22"/>
                <w:szCs w:val="22"/>
                <w:vertAlign w:val="baseline"/>
              </w:rPr>
              <w:t>包装材料：应符合食品安全要求，无毒、无害、密封性好，防止污染；标识标签：应清晰标注产品名称、规格、生产日期、保质期、生产厂商、营养成分表、贮存条件等信息，符合相关法律法规要求。</w:t>
            </w:r>
          </w:p>
        </w:tc>
      </w:tr>
      <w:tr w14:paraId="0193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497AF9FD">
            <w:pPr>
              <w:spacing w:line="360" w:lineRule="auto"/>
              <w:jc w:val="center"/>
              <w:rPr>
                <w:rFonts w:hint="eastAsia" w:ascii="宋体" w:hAnsi="宋体" w:eastAsia="宋体" w:cs="宋体"/>
                <w:spacing w:val="6"/>
                <w:sz w:val="22"/>
                <w:szCs w:val="22"/>
              </w:rPr>
            </w:pPr>
          </w:p>
          <w:p w14:paraId="1CAEC09E">
            <w:pPr>
              <w:spacing w:line="360" w:lineRule="auto"/>
              <w:jc w:val="center"/>
              <w:rPr>
                <w:rFonts w:hint="eastAsia" w:ascii="宋体" w:hAnsi="宋体" w:eastAsia="宋体" w:cs="宋体"/>
                <w:spacing w:val="6"/>
                <w:sz w:val="22"/>
                <w:szCs w:val="22"/>
              </w:rPr>
            </w:pPr>
          </w:p>
          <w:p w14:paraId="05C31567">
            <w:pPr>
              <w:spacing w:line="360" w:lineRule="auto"/>
              <w:jc w:val="center"/>
              <w:rPr>
                <w:rFonts w:hint="eastAsia" w:ascii="宋体" w:hAnsi="宋体" w:eastAsia="宋体" w:cs="宋体"/>
                <w:spacing w:val="6"/>
                <w:sz w:val="22"/>
                <w:szCs w:val="22"/>
              </w:rPr>
            </w:pPr>
          </w:p>
          <w:p w14:paraId="2B25194B">
            <w:pPr>
              <w:spacing w:line="360" w:lineRule="auto"/>
              <w:jc w:val="center"/>
              <w:rPr>
                <w:rFonts w:hint="eastAsia" w:ascii="宋体" w:hAnsi="宋体" w:eastAsia="宋体" w:cs="宋体"/>
                <w:spacing w:val="6"/>
                <w:sz w:val="22"/>
                <w:szCs w:val="22"/>
              </w:rPr>
            </w:pPr>
          </w:p>
          <w:p w14:paraId="5AE644F1">
            <w:pPr>
              <w:spacing w:line="360" w:lineRule="auto"/>
              <w:jc w:val="center"/>
              <w:rPr>
                <w:rFonts w:hint="eastAsia"/>
                <w:sz w:val="22"/>
                <w:szCs w:val="22"/>
                <w:vertAlign w:val="baseline"/>
              </w:rPr>
            </w:pPr>
            <w:r>
              <w:rPr>
                <w:rFonts w:hint="eastAsia" w:ascii="宋体" w:hAnsi="宋体" w:eastAsia="宋体" w:cs="宋体"/>
                <w:spacing w:val="6"/>
                <w:sz w:val="22"/>
                <w:szCs w:val="22"/>
              </w:rPr>
              <w:t>水果</w:t>
            </w:r>
          </w:p>
        </w:tc>
        <w:tc>
          <w:tcPr>
            <w:tcW w:w="7267" w:type="dxa"/>
          </w:tcPr>
          <w:p w14:paraId="143B7948">
            <w:pPr>
              <w:spacing w:line="360" w:lineRule="auto"/>
              <w:rPr>
                <w:rFonts w:hint="eastAsia"/>
                <w:sz w:val="22"/>
                <w:szCs w:val="22"/>
                <w:vertAlign w:val="baseline"/>
              </w:rPr>
            </w:pPr>
            <w:r>
              <w:rPr>
                <w:rFonts w:hint="eastAsia"/>
                <w:sz w:val="22"/>
                <w:szCs w:val="22"/>
                <w:vertAlign w:val="baseline"/>
              </w:rPr>
              <w:t>1、采购需求</w:t>
            </w:r>
          </w:p>
          <w:p w14:paraId="1D25BF26">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5391B587">
            <w:pPr>
              <w:spacing w:line="360" w:lineRule="auto"/>
              <w:rPr>
                <w:rFonts w:hint="eastAsia"/>
                <w:sz w:val="22"/>
                <w:szCs w:val="22"/>
                <w:vertAlign w:val="baseline"/>
              </w:rPr>
            </w:pPr>
            <w:r>
              <w:rPr>
                <w:rFonts w:hint="eastAsia"/>
                <w:sz w:val="22"/>
                <w:szCs w:val="22"/>
                <w:vertAlign w:val="baseline"/>
              </w:rPr>
              <w:t>（2）结算时按实际采购数量结算。</w:t>
            </w:r>
          </w:p>
          <w:p w14:paraId="78A00DA9">
            <w:pPr>
              <w:spacing w:line="360" w:lineRule="auto"/>
              <w:rPr>
                <w:rFonts w:hint="eastAsia"/>
                <w:sz w:val="22"/>
                <w:szCs w:val="22"/>
                <w:vertAlign w:val="baseline"/>
              </w:rPr>
            </w:pPr>
            <w:r>
              <w:rPr>
                <w:rFonts w:hint="eastAsia"/>
                <w:sz w:val="22"/>
                <w:szCs w:val="22"/>
                <w:vertAlign w:val="baseline"/>
              </w:rPr>
              <w:t>▲2、质量要求</w:t>
            </w:r>
          </w:p>
          <w:p w14:paraId="37343A6F">
            <w:pPr>
              <w:spacing w:line="360" w:lineRule="auto"/>
              <w:rPr>
                <w:rFonts w:hint="eastAsia"/>
                <w:sz w:val="22"/>
                <w:szCs w:val="22"/>
                <w:vertAlign w:val="baseline"/>
              </w:rPr>
            </w:pPr>
            <w:r>
              <w:rPr>
                <w:rFonts w:hint="eastAsia"/>
                <w:sz w:val="22"/>
                <w:szCs w:val="22"/>
                <w:vertAlign w:val="baseline"/>
              </w:rPr>
              <w:t>(1)有外包装的要注明商品名称，生产企业名称，产地，生产日期，保质期，联系电话，重量等内容。水果外表光亮无斑点，新鲜，清洁，形状正常，大小均匀，成熟度适中，无软皮，无腐烂，无污染异味，农药残留不得超过国家安全标准，无病虫损害。</w:t>
            </w:r>
          </w:p>
        </w:tc>
      </w:tr>
      <w:tr w14:paraId="6289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53D8708C">
            <w:pPr>
              <w:spacing w:line="360" w:lineRule="auto"/>
              <w:jc w:val="center"/>
              <w:rPr>
                <w:rFonts w:hint="eastAsia" w:ascii="宋体" w:hAnsi="宋体" w:eastAsia="宋体" w:cs="宋体"/>
                <w:spacing w:val="-4"/>
                <w:sz w:val="22"/>
                <w:szCs w:val="22"/>
              </w:rPr>
            </w:pPr>
          </w:p>
          <w:p w14:paraId="3D86E7B3">
            <w:pPr>
              <w:spacing w:line="360" w:lineRule="auto"/>
              <w:jc w:val="center"/>
              <w:rPr>
                <w:rFonts w:hint="eastAsia" w:ascii="宋体" w:hAnsi="宋体" w:eastAsia="宋体" w:cs="宋体"/>
                <w:spacing w:val="-4"/>
                <w:sz w:val="22"/>
                <w:szCs w:val="22"/>
              </w:rPr>
            </w:pPr>
          </w:p>
          <w:p w14:paraId="603CBC3B">
            <w:pPr>
              <w:spacing w:line="360" w:lineRule="auto"/>
              <w:jc w:val="center"/>
              <w:rPr>
                <w:rFonts w:hint="eastAsia" w:ascii="宋体" w:hAnsi="宋体" w:eastAsia="宋体" w:cs="宋体"/>
                <w:spacing w:val="-4"/>
                <w:sz w:val="22"/>
                <w:szCs w:val="22"/>
              </w:rPr>
            </w:pPr>
          </w:p>
          <w:p w14:paraId="3EF2D233">
            <w:pPr>
              <w:spacing w:line="360" w:lineRule="auto"/>
              <w:jc w:val="center"/>
              <w:rPr>
                <w:rFonts w:hint="eastAsia" w:ascii="宋体" w:hAnsi="宋体" w:eastAsia="宋体" w:cs="宋体"/>
                <w:spacing w:val="-4"/>
                <w:sz w:val="22"/>
                <w:szCs w:val="22"/>
              </w:rPr>
            </w:pPr>
          </w:p>
          <w:p w14:paraId="331AD2B0">
            <w:pPr>
              <w:spacing w:line="360" w:lineRule="auto"/>
              <w:jc w:val="center"/>
              <w:rPr>
                <w:rFonts w:hint="eastAsia" w:ascii="宋体" w:hAnsi="宋体" w:eastAsia="宋体" w:cs="宋体"/>
                <w:spacing w:val="-4"/>
                <w:sz w:val="22"/>
                <w:szCs w:val="22"/>
              </w:rPr>
            </w:pPr>
          </w:p>
          <w:p w14:paraId="55BB6A6C">
            <w:pPr>
              <w:spacing w:line="360" w:lineRule="auto"/>
              <w:jc w:val="center"/>
              <w:rPr>
                <w:rFonts w:hint="eastAsia"/>
                <w:sz w:val="22"/>
                <w:szCs w:val="22"/>
                <w:vertAlign w:val="baseline"/>
              </w:rPr>
            </w:pPr>
            <w:r>
              <w:rPr>
                <w:rFonts w:hint="eastAsia" w:ascii="宋体" w:hAnsi="宋体" w:eastAsia="宋体" w:cs="宋体"/>
                <w:spacing w:val="-4"/>
                <w:sz w:val="22"/>
                <w:szCs w:val="22"/>
              </w:rPr>
              <w:t>鸡蛋</w:t>
            </w:r>
          </w:p>
        </w:tc>
        <w:tc>
          <w:tcPr>
            <w:tcW w:w="7267" w:type="dxa"/>
          </w:tcPr>
          <w:p w14:paraId="784BAF83">
            <w:pPr>
              <w:spacing w:line="360" w:lineRule="auto"/>
              <w:rPr>
                <w:rFonts w:hint="eastAsia"/>
                <w:sz w:val="22"/>
                <w:szCs w:val="22"/>
                <w:vertAlign w:val="baseline"/>
              </w:rPr>
            </w:pPr>
            <w:r>
              <w:rPr>
                <w:rFonts w:hint="eastAsia"/>
                <w:sz w:val="22"/>
                <w:szCs w:val="22"/>
                <w:vertAlign w:val="baseline"/>
              </w:rPr>
              <w:t>1、采购需求</w:t>
            </w:r>
          </w:p>
          <w:p w14:paraId="06149485">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4312EA13">
            <w:pPr>
              <w:spacing w:line="360" w:lineRule="auto"/>
              <w:rPr>
                <w:rFonts w:hint="eastAsia"/>
                <w:sz w:val="22"/>
                <w:szCs w:val="22"/>
                <w:vertAlign w:val="baseline"/>
              </w:rPr>
            </w:pPr>
            <w:r>
              <w:rPr>
                <w:rFonts w:hint="eastAsia"/>
                <w:sz w:val="22"/>
                <w:szCs w:val="22"/>
                <w:vertAlign w:val="baseline"/>
              </w:rPr>
              <w:t>(2)结算时按实际采购数量结算。</w:t>
            </w:r>
          </w:p>
          <w:p w14:paraId="6D2F7314">
            <w:pPr>
              <w:spacing w:line="360" w:lineRule="auto"/>
              <w:rPr>
                <w:rFonts w:hint="eastAsia"/>
                <w:sz w:val="22"/>
                <w:szCs w:val="22"/>
                <w:vertAlign w:val="baseline"/>
              </w:rPr>
            </w:pPr>
            <w:r>
              <w:rPr>
                <w:rFonts w:hint="eastAsia"/>
                <w:sz w:val="22"/>
                <w:szCs w:val="22"/>
                <w:vertAlign w:val="baseline"/>
              </w:rPr>
              <w:t>▲2、质量要求</w:t>
            </w:r>
          </w:p>
          <w:p w14:paraId="6E1548AD">
            <w:pPr>
              <w:spacing w:line="360" w:lineRule="auto"/>
              <w:rPr>
                <w:rFonts w:hint="eastAsia"/>
                <w:sz w:val="22"/>
                <w:szCs w:val="22"/>
                <w:vertAlign w:val="baseline"/>
              </w:rPr>
            </w:pPr>
            <w:r>
              <w:rPr>
                <w:rFonts w:hint="eastAsia"/>
                <w:sz w:val="22"/>
                <w:szCs w:val="22"/>
                <w:vertAlign w:val="baseline"/>
              </w:rPr>
              <w:t>(1)蛋壳清洁完整，灯光透视时，整个蛋呈桔黄色至橙红色，蛋黄不见或略见阴影。打开后蛋黄凸起，完整，有韧性，蛋白澄清、透明、稀稠分明，无异味。</w:t>
            </w:r>
          </w:p>
          <w:p w14:paraId="3C7C4751">
            <w:pPr>
              <w:spacing w:line="360" w:lineRule="auto"/>
              <w:rPr>
                <w:rFonts w:hint="eastAsia"/>
                <w:sz w:val="22"/>
                <w:szCs w:val="22"/>
                <w:vertAlign w:val="baseline"/>
              </w:rPr>
            </w:pPr>
            <w:r>
              <w:rPr>
                <w:rFonts w:hint="eastAsia"/>
                <w:sz w:val="22"/>
                <w:szCs w:val="22"/>
                <w:vertAlign w:val="baseline"/>
              </w:rPr>
              <w:t>(2)蛋壳内部应为纯白蛋，不能有斑点或污浊，卵白透明，卵黄膜不破裂，卵黄卵白分明，不能有血管形成，不能有腐败等异臭味。</w:t>
            </w:r>
          </w:p>
          <w:p w14:paraId="0D68B7C5">
            <w:pPr>
              <w:spacing w:line="360" w:lineRule="auto"/>
              <w:rPr>
                <w:rFonts w:hint="eastAsia"/>
                <w:sz w:val="22"/>
                <w:szCs w:val="22"/>
                <w:vertAlign w:val="baseline"/>
              </w:rPr>
            </w:pPr>
            <w:r>
              <w:rPr>
                <w:rFonts w:hint="eastAsia"/>
                <w:sz w:val="22"/>
                <w:szCs w:val="22"/>
                <w:vertAlign w:val="baseline"/>
              </w:rPr>
              <w:t>(3)将蛋握在手中摇动时，蛋无哑板声，内容物无流动感，无活动声。</w:t>
            </w:r>
          </w:p>
        </w:tc>
      </w:tr>
      <w:tr w14:paraId="005C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5B998D83">
            <w:pPr>
              <w:spacing w:line="360" w:lineRule="auto"/>
              <w:jc w:val="center"/>
              <w:rPr>
                <w:rFonts w:hint="eastAsia"/>
                <w:sz w:val="22"/>
                <w:szCs w:val="22"/>
                <w:vertAlign w:val="baseline"/>
              </w:rPr>
            </w:pPr>
          </w:p>
          <w:p w14:paraId="3570D0E2">
            <w:pPr>
              <w:spacing w:line="360" w:lineRule="auto"/>
              <w:jc w:val="center"/>
              <w:rPr>
                <w:rFonts w:hint="eastAsia"/>
                <w:sz w:val="22"/>
                <w:szCs w:val="22"/>
                <w:vertAlign w:val="baseline"/>
              </w:rPr>
            </w:pPr>
          </w:p>
          <w:p w14:paraId="0321A294">
            <w:pPr>
              <w:spacing w:line="360" w:lineRule="auto"/>
              <w:jc w:val="center"/>
              <w:rPr>
                <w:rFonts w:hint="eastAsia"/>
                <w:sz w:val="22"/>
                <w:szCs w:val="22"/>
                <w:vertAlign w:val="baseline"/>
              </w:rPr>
            </w:pPr>
          </w:p>
          <w:p w14:paraId="7D18CF33">
            <w:pPr>
              <w:spacing w:line="360" w:lineRule="auto"/>
              <w:jc w:val="center"/>
              <w:rPr>
                <w:rFonts w:hint="eastAsia"/>
                <w:sz w:val="22"/>
                <w:szCs w:val="22"/>
                <w:vertAlign w:val="baseline"/>
              </w:rPr>
            </w:pPr>
          </w:p>
          <w:p w14:paraId="5D34051B">
            <w:pPr>
              <w:spacing w:line="360" w:lineRule="auto"/>
              <w:jc w:val="center"/>
              <w:rPr>
                <w:rFonts w:hint="eastAsia"/>
                <w:sz w:val="22"/>
                <w:szCs w:val="22"/>
                <w:vertAlign w:val="baseline"/>
              </w:rPr>
            </w:pPr>
            <w:r>
              <w:rPr>
                <w:rFonts w:hint="eastAsia"/>
                <w:sz w:val="22"/>
                <w:szCs w:val="22"/>
                <w:vertAlign w:val="baseline"/>
              </w:rPr>
              <w:t>猪肉，牛肉等生鲜肉</w:t>
            </w:r>
          </w:p>
        </w:tc>
        <w:tc>
          <w:tcPr>
            <w:tcW w:w="7267" w:type="dxa"/>
          </w:tcPr>
          <w:p w14:paraId="4D70723E">
            <w:pPr>
              <w:spacing w:line="360" w:lineRule="auto"/>
              <w:rPr>
                <w:rFonts w:hint="eastAsia"/>
                <w:sz w:val="22"/>
                <w:szCs w:val="22"/>
                <w:vertAlign w:val="baseline"/>
              </w:rPr>
            </w:pPr>
            <w:r>
              <w:rPr>
                <w:rFonts w:hint="eastAsia"/>
                <w:sz w:val="22"/>
                <w:szCs w:val="22"/>
                <w:vertAlign w:val="baseline"/>
              </w:rPr>
              <w:t>1、采购需求</w:t>
            </w:r>
          </w:p>
          <w:p w14:paraId="1E3EFA8C">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34FD43BA">
            <w:pPr>
              <w:spacing w:line="360" w:lineRule="auto"/>
              <w:rPr>
                <w:rFonts w:hint="eastAsia"/>
                <w:sz w:val="22"/>
                <w:szCs w:val="22"/>
                <w:vertAlign w:val="baseline"/>
              </w:rPr>
            </w:pPr>
            <w:r>
              <w:rPr>
                <w:rFonts w:hint="eastAsia"/>
                <w:sz w:val="22"/>
                <w:szCs w:val="22"/>
                <w:vertAlign w:val="baseline"/>
              </w:rPr>
              <w:t>(2)结算时按实际采购数量结算。</w:t>
            </w:r>
          </w:p>
          <w:p w14:paraId="75538EB6">
            <w:pPr>
              <w:spacing w:line="360" w:lineRule="auto"/>
              <w:rPr>
                <w:rFonts w:hint="eastAsia"/>
                <w:sz w:val="22"/>
                <w:szCs w:val="22"/>
                <w:vertAlign w:val="baseline"/>
              </w:rPr>
            </w:pPr>
            <w:r>
              <w:rPr>
                <w:rFonts w:hint="eastAsia"/>
                <w:sz w:val="22"/>
                <w:szCs w:val="22"/>
                <w:vertAlign w:val="baseline"/>
              </w:rPr>
              <w:t>▲2、质量要求</w:t>
            </w:r>
          </w:p>
          <w:p w14:paraId="1707E21D">
            <w:pPr>
              <w:numPr>
                <w:ilvl w:val="0"/>
                <w:numId w:val="2"/>
              </w:numPr>
              <w:spacing w:line="360" w:lineRule="auto"/>
              <w:rPr>
                <w:rFonts w:hint="eastAsia"/>
                <w:sz w:val="22"/>
                <w:szCs w:val="22"/>
                <w:vertAlign w:val="baseline"/>
              </w:rPr>
            </w:pPr>
            <w:r>
              <w:rPr>
                <w:rFonts w:hint="eastAsia"/>
                <w:sz w:val="22"/>
                <w:szCs w:val="22"/>
                <w:vertAlign w:val="baseline"/>
              </w:rPr>
              <w:t>宰杀至交货时间不得超过9小时，肉质新鲜，色泽好，有弹性，无变质无异味、无冰冻，无注水或注入其他物质；无传染病和致人中毒的毒素、无危害人体健康的各种有害激素以及大肠杆菌不超标；严禁病死禽畜肉及瘦肉精等禁用物质。</w:t>
            </w:r>
          </w:p>
          <w:p w14:paraId="5B25D9F0">
            <w:pPr>
              <w:numPr>
                <w:ilvl w:val="0"/>
                <w:numId w:val="0"/>
              </w:numPr>
              <w:spacing w:line="360" w:lineRule="auto"/>
              <w:rPr>
                <w:rFonts w:hint="eastAsia"/>
                <w:sz w:val="22"/>
                <w:szCs w:val="22"/>
                <w:vertAlign w:val="baseline"/>
              </w:rPr>
            </w:pPr>
            <w:r>
              <w:rPr>
                <w:rFonts w:hint="eastAsia"/>
                <w:sz w:val="22"/>
                <w:szCs w:val="22"/>
                <w:vertAlign w:val="baseline"/>
              </w:rPr>
              <w:t>(2)产品必须符合食品卫生生产标准和食品卫生安全要求，必须符合《食品安全法》相关的要求。肉类必须经防疫部门检验合格。每次供货必须提供当批次的《动物检疫合格证明》《肉品品质检验合格证》等检验检疫证明。</w:t>
            </w:r>
          </w:p>
          <w:p w14:paraId="08C29C02">
            <w:pPr>
              <w:numPr>
                <w:ilvl w:val="0"/>
                <w:numId w:val="0"/>
              </w:numPr>
              <w:spacing w:line="360" w:lineRule="auto"/>
              <w:rPr>
                <w:rFonts w:hint="eastAsia"/>
                <w:sz w:val="22"/>
                <w:szCs w:val="22"/>
                <w:vertAlign w:val="baseline"/>
              </w:rPr>
            </w:pPr>
            <w:r>
              <w:rPr>
                <w:rFonts w:hint="eastAsia"/>
                <w:sz w:val="22"/>
                <w:szCs w:val="22"/>
                <w:vertAlign w:val="baseline"/>
              </w:rPr>
              <w:t>(3)产品必须经过固定合法牲畜屠宰场所屠宰，符合食品卫生生产标准，符合食品卫生安全要求。</w:t>
            </w:r>
          </w:p>
          <w:p w14:paraId="1056C027">
            <w:pPr>
              <w:numPr>
                <w:ilvl w:val="0"/>
                <w:numId w:val="0"/>
              </w:numPr>
              <w:spacing w:line="360" w:lineRule="auto"/>
              <w:rPr>
                <w:rFonts w:hint="eastAsia"/>
                <w:sz w:val="22"/>
                <w:szCs w:val="22"/>
                <w:vertAlign w:val="baseline"/>
              </w:rPr>
            </w:pPr>
            <w:r>
              <w:rPr>
                <w:rFonts w:hint="eastAsia"/>
                <w:sz w:val="22"/>
                <w:szCs w:val="22"/>
                <w:vertAlign w:val="baseline"/>
              </w:rPr>
              <w:t>(4)按照学校需要进行响应加工，每日按时配送。</w:t>
            </w:r>
          </w:p>
        </w:tc>
      </w:tr>
      <w:tr w14:paraId="167A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2F5E0B3E">
            <w:pPr>
              <w:spacing w:line="360" w:lineRule="auto"/>
              <w:jc w:val="center"/>
              <w:rPr>
                <w:rFonts w:hint="eastAsia"/>
                <w:sz w:val="22"/>
                <w:szCs w:val="22"/>
                <w:vertAlign w:val="baseline"/>
              </w:rPr>
            </w:pPr>
          </w:p>
          <w:p w14:paraId="7CD62599">
            <w:pPr>
              <w:spacing w:line="360" w:lineRule="auto"/>
              <w:jc w:val="center"/>
              <w:rPr>
                <w:rFonts w:hint="eastAsia"/>
                <w:sz w:val="22"/>
                <w:szCs w:val="22"/>
                <w:vertAlign w:val="baseline"/>
              </w:rPr>
            </w:pPr>
          </w:p>
          <w:p w14:paraId="01D3DA77">
            <w:pPr>
              <w:spacing w:line="360" w:lineRule="auto"/>
              <w:jc w:val="center"/>
              <w:rPr>
                <w:rFonts w:hint="eastAsia"/>
                <w:sz w:val="22"/>
                <w:szCs w:val="22"/>
                <w:vertAlign w:val="baseline"/>
              </w:rPr>
            </w:pPr>
          </w:p>
          <w:p w14:paraId="1365D597">
            <w:pPr>
              <w:spacing w:line="360" w:lineRule="auto"/>
              <w:jc w:val="center"/>
              <w:rPr>
                <w:rFonts w:hint="eastAsia"/>
                <w:sz w:val="22"/>
                <w:szCs w:val="22"/>
                <w:vertAlign w:val="baseline"/>
              </w:rPr>
            </w:pPr>
          </w:p>
          <w:p w14:paraId="7D3A414F">
            <w:pPr>
              <w:spacing w:line="360" w:lineRule="auto"/>
              <w:jc w:val="center"/>
              <w:rPr>
                <w:rFonts w:hint="eastAsia"/>
                <w:sz w:val="22"/>
                <w:szCs w:val="22"/>
                <w:vertAlign w:val="baseline"/>
              </w:rPr>
            </w:pPr>
          </w:p>
          <w:p w14:paraId="46E232E8">
            <w:pPr>
              <w:spacing w:line="360" w:lineRule="auto"/>
              <w:jc w:val="center"/>
              <w:rPr>
                <w:rFonts w:hint="eastAsia"/>
                <w:sz w:val="22"/>
                <w:szCs w:val="22"/>
                <w:vertAlign w:val="baseline"/>
              </w:rPr>
            </w:pPr>
            <w:r>
              <w:rPr>
                <w:rFonts w:hint="eastAsia"/>
                <w:sz w:val="22"/>
                <w:szCs w:val="22"/>
                <w:vertAlign w:val="baseline"/>
              </w:rPr>
              <w:t>鸡鸭肉等家禽</w:t>
            </w:r>
          </w:p>
        </w:tc>
        <w:tc>
          <w:tcPr>
            <w:tcW w:w="7267" w:type="dxa"/>
          </w:tcPr>
          <w:p w14:paraId="4090A102">
            <w:pPr>
              <w:spacing w:line="360" w:lineRule="auto"/>
              <w:rPr>
                <w:rFonts w:hint="eastAsia"/>
                <w:sz w:val="22"/>
                <w:szCs w:val="22"/>
                <w:vertAlign w:val="baseline"/>
              </w:rPr>
            </w:pPr>
            <w:r>
              <w:rPr>
                <w:rFonts w:hint="eastAsia"/>
                <w:sz w:val="22"/>
                <w:szCs w:val="22"/>
                <w:vertAlign w:val="baseline"/>
              </w:rPr>
              <w:t>1、采购需求</w:t>
            </w:r>
          </w:p>
          <w:p w14:paraId="29867AA1">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5A15E21F">
            <w:pPr>
              <w:spacing w:line="360" w:lineRule="auto"/>
              <w:rPr>
                <w:rFonts w:hint="eastAsia"/>
                <w:sz w:val="22"/>
                <w:szCs w:val="22"/>
                <w:vertAlign w:val="baseline"/>
              </w:rPr>
            </w:pPr>
            <w:r>
              <w:rPr>
                <w:rFonts w:hint="eastAsia"/>
                <w:sz w:val="22"/>
                <w:szCs w:val="22"/>
                <w:vertAlign w:val="baseline"/>
              </w:rPr>
              <w:t>(2)结算时按实际采购数量结算。▲2、质量要求</w:t>
            </w:r>
          </w:p>
          <w:p w14:paraId="1BBB41FF">
            <w:pPr>
              <w:spacing w:line="360" w:lineRule="auto"/>
              <w:rPr>
                <w:rFonts w:hint="eastAsia"/>
                <w:sz w:val="22"/>
                <w:szCs w:val="22"/>
                <w:vertAlign w:val="baseline"/>
              </w:rPr>
            </w:pPr>
            <w:r>
              <w:rPr>
                <w:rFonts w:hint="eastAsia"/>
                <w:sz w:val="22"/>
                <w:szCs w:val="22"/>
                <w:vertAlign w:val="baseline"/>
              </w:rPr>
              <w:t>(1)新鲜鸡鸭类：宰杀至交货时间不得超过9小时，肉质新鲜，色泽好，有弹性，无变质无异味、无冰冻，无注水或注入其他物质；无传染病和致人中毒的毒素、无危害人体健康的各种有害激素等禁用物质；严禁病死禽畜肉等。</w:t>
            </w:r>
          </w:p>
          <w:p w14:paraId="6C2AED6D">
            <w:pPr>
              <w:spacing w:line="360" w:lineRule="auto"/>
              <w:rPr>
                <w:rFonts w:hint="eastAsia"/>
                <w:sz w:val="22"/>
                <w:szCs w:val="22"/>
                <w:vertAlign w:val="baseline"/>
              </w:rPr>
            </w:pPr>
            <w:r>
              <w:rPr>
                <w:rFonts w:hint="eastAsia"/>
                <w:sz w:val="22"/>
                <w:szCs w:val="22"/>
                <w:vertAlign w:val="baseline"/>
              </w:rPr>
              <w:t>(2)产品必须符合食品卫生生产标准和食品卫生安全要求，必须符合《食品安全法》相关的要求。肉类必须经防疫部门检验合格。每次供货必须提供《动物检疫合格证明》等检验检疫证明。</w:t>
            </w:r>
          </w:p>
          <w:p w14:paraId="56ACB678">
            <w:pPr>
              <w:spacing w:line="360" w:lineRule="auto"/>
              <w:rPr>
                <w:rFonts w:hint="eastAsia"/>
                <w:sz w:val="22"/>
                <w:szCs w:val="22"/>
                <w:vertAlign w:val="baseline"/>
              </w:rPr>
            </w:pPr>
            <w:r>
              <w:rPr>
                <w:rFonts w:hint="eastAsia"/>
                <w:sz w:val="22"/>
                <w:szCs w:val="22"/>
                <w:vertAlign w:val="baseline"/>
              </w:rPr>
              <w:t>(3)按照学校需要进行响应加工，每日按时配送。</w:t>
            </w:r>
          </w:p>
        </w:tc>
      </w:tr>
      <w:tr w14:paraId="165E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3C1F71B4">
            <w:pPr>
              <w:spacing w:line="360" w:lineRule="auto"/>
              <w:jc w:val="center"/>
              <w:rPr>
                <w:rFonts w:hint="eastAsia" w:ascii="宋体" w:hAnsi="宋体" w:eastAsia="宋体" w:cs="宋体"/>
                <w:spacing w:val="3"/>
                <w:sz w:val="22"/>
                <w:szCs w:val="22"/>
              </w:rPr>
            </w:pPr>
          </w:p>
          <w:p w14:paraId="4010ADF6">
            <w:pPr>
              <w:spacing w:line="360" w:lineRule="auto"/>
              <w:jc w:val="center"/>
              <w:rPr>
                <w:rFonts w:hint="eastAsia" w:ascii="宋体" w:hAnsi="宋体" w:eastAsia="宋体" w:cs="宋体"/>
                <w:spacing w:val="3"/>
                <w:sz w:val="22"/>
                <w:szCs w:val="22"/>
              </w:rPr>
            </w:pPr>
          </w:p>
          <w:p w14:paraId="53812550">
            <w:pPr>
              <w:spacing w:line="360" w:lineRule="auto"/>
              <w:jc w:val="center"/>
              <w:rPr>
                <w:rFonts w:hint="eastAsia" w:ascii="宋体" w:hAnsi="宋体" w:eastAsia="宋体" w:cs="宋体"/>
                <w:spacing w:val="3"/>
                <w:sz w:val="22"/>
                <w:szCs w:val="22"/>
              </w:rPr>
            </w:pPr>
          </w:p>
          <w:p w14:paraId="1C09FCD1">
            <w:pPr>
              <w:spacing w:line="360" w:lineRule="auto"/>
              <w:jc w:val="center"/>
              <w:rPr>
                <w:rFonts w:hint="eastAsia" w:ascii="宋体" w:hAnsi="宋体" w:eastAsia="宋体" w:cs="宋体"/>
                <w:spacing w:val="3"/>
                <w:sz w:val="22"/>
                <w:szCs w:val="22"/>
              </w:rPr>
            </w:pPr>
          </w:p>
          <w:p w14:paraId="583FB8D4">
            <w:pPr>
              <w:spacing w:line="360" w:lineRule="auto"/>
              <w:jc w:val="center"/>
              <w:rPr>
                <w:rFonts w:hint="eastAsia" w:ascii="宋体" w:hAnsi="宋体" w:eastAsia="宋体" w:cs="宋体"/>
                <w:spacing w:val="3"/>
                <w:sz w:val="22"/>
                <w:szCs w:val="22"/>
              </w:rPr>
            </w:pPr>
          </w:p>
          <w:p w14:paraId="504A9B07">
            <w:pPr>
              <w:spacing w:line="360" w:lineRule="auto"/>
              <w:jc w:val="center"/>
              <w:rPr>
                <w:rFonts w:hint="eastAsia" w:ascii="宋体" w:hAnsi="宋体" w:eastAsia="宋体" w:cs="宋体"/>
                <w:spacing w:val="3"/>
                <w:sz w:val="22"/>
                <w:szCs w:val="22"/>
              </w:rPr>
            </w:pPr>
          </w:p>
          <w:p w14:paraId="287DB426">
            <w:pPr>
              <w:spacing w:line="360" w:lineRule="auto"/>
              <w:jc w:val="center"/>
              <w:rPr>
                <w:rFonts w:hint="eastAsia"/>
                <w:sz w:val="22"/>
                <w:szCs w:val="22"/>
                <w:vertAlign w:val="baseline"/>
              </w:rPr>
            </w:pPr>
            <w:r>
              <w:rPr>
                <w:rFonts w:hint="eastAsia" w:ascii="宋体" w:hAnsi="宋体" w:eastAsia="宋体" w:cs="宋体"/>
                <w:spacing w:val="3"/>
                <w:sz w:val="22"/>
                <w:szCs w:val="22"/>
              </w:rPr>
              <w:t>水产类</w:t>
            </w:r>
          </w:p>
        </w:tc>
        <w:tc>
          <w:tcPr>
            <w:tcW w:w="7267" w:type="dxa"/>
          </w:tcPr>
          <w:p w14:paraId="007AE44B">
            <w:pPr>
              <w:spacing w:line="360" w:lineRule="auto"/>
              <w:rPr>
                <w:rFonts w:hint="eastAsia"/>
                <w:sz w:val="22"/>
                <w:szCs w:val="22"/>
                <w:vertAlign w:val="baseline"/>
              </w:rPr>
            </w:pPr>
            <w:r>
              <w:rPr>
                <w:rFonts w:hint="eastAsia"/>
                <w:sz w:val="22"/>
                <w:szCs w:val="22"/>
                <w:vertAlign w:val="baseline"/>
              </w:rPr>
              <w:t>1、采购需求</w:t>
            </w:r>
          </w:p>
          <w:p w14:paraId="5BEA747B">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37F53176">
            <w:pPr>
              <w:spacing w:line="360" w:lineRule="auto"/>
              <w:rPr>
                <w:rFonts w:hint="eastAsia"/>
                <w:sz w:val="22"/>
                <w:szCs w:val="22"/>
                <w:vertAlign w:val="baseline"/>
              </w:rPr>
            </w:pPr>
            <w:r>
              <w:rPr>
                <w:rFonts w:hint="eastAsia"/>
                <w:sz w:val="22"/>
                <w:szCs w:val="22"/>
                <w:vertAlign w:val="baseline"/>
              </w:rPr>
              <w:t>（2）结算时按实际采购数量结算。</w:t>
            </w:r>
          </w:p>
          <w:p w14:paraId="3E56BE01">
            <w:pPr>
              <w:spacing w:line="360" w:lineRule="auto"/>
              <w:rPr>
                <w:rFonts w:hint="eastAsia"/>
                <w:sz w:val="22"/>
                <w:szCs w:val="22"/>
                <w:vertAlign w:val="baseline"/>
              </w:rPr>
            </w:pPr>
            <w:r>
              <w:rPr>
                <w:rFonts w:hint="eastAsia"/>
                <w:sz w:val="22"/>
                <w:szCs w:val="22"/>
                <w:vertAlign w:val="baseline"/>
              </w:rPr>
              <w:t>▲2、质量要求</w:t>
            </w:r>
          </w:p>
          <w:p w14:paraId="592CB1AC">
            <w:pPr>
              <w:spacing w:line="360" w:lineRule="auto"/>
              <w:rPr>
                <w:rFonts w:hint="eastAsia"/>
                <w:sz w:val="22"/>
                <w:szCs w:val="22"/>
                <w:vertAlign w:val="baseline"/>
              </w:rPr>
            </w:pPr>
            <w:r>
              <w:rPr>
                <w:rFonts w:hint="eastAsia"/>
                <w:sz w:val="22"/>
                <w:szCs w:val="22"/>
                <w:vertAlign w:val="baseline"/>
              </w:rPr>
              <w:t>(1)外形：水产品应外形完整，无断裂、变形、残缺和破损等缺陷。例如，鱼类应皮鳞完整，贝类、虾类应坚实圆润，蟹类应爪足齐全。</w:t>
            </w:r>
          </w:p>
          <w:p w14:paraId="106A0C00">
            <w:pPr>
              <w:spacing w:line="360" w:lineRule="auto"/>
              <w:rPr>
                <w:rFonts w:hint="eastAsia"/>
                <w:sz w:val="22"/>
                <w:szCs w:val="22"/>
                <w:vertAlign w:val="baseline"/>
              </w:rPr>
            </w:pPr>
            <w:r>
              <w:rPr>
                <w:rFonts w:hint="eastAsia"/>
                <w:sz w:val="22"/>
                <w:szCs w:val="22"/>
                <w:vertAlign w:val="baseline"/>
              </w:rPr>
              <w:t>(2)气味</w:t>
            </w:r>
            <w:r>
              <w:rPr>
                <w:rFonts w:hint="eastAsia"/>
                <w:sz w:val="22"/>
                <w:szCs w:val="22"/>
                <w:vertAlign w:val="baseline"/>
                <w:lang w:eastAsia="zh-CN"/>
              </w:rPr>
              <w:t>：</w:t>
            </w:r>
            <w:r>
              <w:rPr>
                <w:rFonts w:hint="eastAsia"/>
                <w:sz w:val="22"/>
                <w:szCs w:val="22"/>
                <w:vertAlign w:val="baseline"/>
              </w:rPr>
              <w:t>水产品应具有天然的海洋或淡水气味，不应有异味或臭味。</w:t>
            </w:r>
          </w:p>
          <w:p w14:paraId="2E162229">
            <w:pPr>
              <w:spacing w:line="360" w:lineRule="auto"/>
              <w:rPr>
                <w:rFonts w:hint="eastAsia"/>
                <w:sz w:val="22"/>
                <w:szCs w:val="22"/>
                <w:vertAlign w:val="baseline"/>
              </w:rPr>
            </w:pPr>
            <w:r>
              <w:rPr>
                <w:rFonts w:hint="eastAsia"/>
                <w:sz w:val="22"/>
                <w:szCs w:val="22"/>
                <w:vertAlign w:val="baseline"/>
              </w:rPr>
              <w:t>(3)色泽：水产品应具有光亮透明的色泽，鲜鱼应有金红色、白肉色或红肉色。</w:t>
            </w:r>
          </w:p>
          <w:p w14:paraId="43DE11CA">
            <w:pPr>
              <w:spacing w:line="360" w:lineRule="auto"/>
              <w:rPr>
                <w:rFonts w:hint="eastAsia"/>
                <w:sz w:val="22"/>
                <w:szCs w:val="22"/>
                <w:vertAlign w:val="baseline"/>
              </w:rPr>
            </w:pPr>
            <w:r>
              <w:rPr>
                <w:rFonts w:hint="eastAsia"/>
                <w:sz w:val="22"/>
                <w:szCs w:val="22"/>
                <w:vertAlign w:val="baseline"/>
              </w:rPr>
              <w:t>(4)口感：水产品应具有鲜嫩、弹性和带有香味的口感，没有腥膻等异味</w:t>
            </w:r>
          </w:p>
          <w:p w14:paraId="649FFFB9">
            <w:pPr>
              <w:spacing w:line="360" w:lineRule="auto"/>
              <w:rPr>
                <w:rFonts w:hint="eastAsia"/>
                <w:sz w:val="22"/>
                <w:szCs w:val="22"/>
                <w:vertAlign w:val="baseline"/>
              </w:rPr>
            </w:pPr>
            <w:r>
              <w:rPr>
                <w:rFonts w:hint="eastAsia"/>
                <w:sz w:val="22"/>
                <w:szCs w:val="22"/>
                <w:vertAlign w:val="baseline"/>
              </w:rPr>
              <w:t>(5)水产品应符合国家卫生标准规定的限量标准，不得含有有肃物质或超过安全限量的重金属，如汞、铅等。</w:t>
            </w:r>
          </w:p>
        </w:tc>
      </w:tr>
      <w:tr w14:paraId="5B6C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2EAC7602">
            <w:pPr>
              <w:spacing w:line="360" w:lineRule="auto"/>
              <w:jc w:val="center"/>
              <w:rPr>
                <w:rFonts w:hint="eastAsia" w:ascii="宋体" w:hAnsi="宋体" w:eastAsia="宋体" w:cs="宋体"/>
                <w:b/>
                <w:bCs/>
                <w:spacing w:val="-5"/>
                <w:sz w:val="22"/>
                <w:szCs w:val="22"/>
              </w:rPr>
            </w:pPr>
          </w:p>
          <w:p w14:paraId="79BEA3A7">
            <w:pPr>
              <w:spacing w:line="360" w:lineRule="auto"/>
              <w:jc w:val="center"/>
              <w:rPr>
                <w:rFonts w:hint="eastAsia" w:ascii="宋体" w:hAnsi="宋体" w:eastAsia="宋体" w:cs="宋体"/>
                <w:b/>
                <w:bCs/>
                <w:spacing w:val="-5"/>
                <w:sz w:val="22"/>
                <w:szCs w:val="22"/>
              </w:rPr>
            </w:pPr>
          </w:p>
          <w:p w14:paraId="76526965">
            <w:pPr>
              <w:spacing w:line="360" w:lineRule="auto"/>
              <w:jc w:val="center"/>
              <w:rPr>
                <w:rFonts w:hint="eastAsia" w:ascii="宋体" w:hAnsi="宋体" w:eastAsia="宋体" w:cs="宋体"/>
                <w:b/>
                <w:bCs/>
                <w:spacing w:val="-5"/>
                <w:sz w:val="22"/>
                <w:szCs w:val="22"/>
              </w:rPr>
            </w:pPr>
          </w:p>
          <w:p w14:paraId="0A20A32E">
            <w:pPr>
              <w:spacing w:line="360" w:lineRule="auto"/>
              <w:jc w:val="center"/>
              <w:rPr>
                <w:rFonts w:hint="eastAsia"/>
                <w:sz w:val="22"/>
                <w:szCs w:val="22"/>
                <w:vertAlign w:val="baseline"/>
              </w:rPr>
            </w:pPr>
            <w:r>
              <w:rPr>
                <w:rFonts w:hint="eastAsia" w:ascii="宋体" w:hAnsi="宋体" w:eastAsia="宋体" w:cs="宋体"/>
                <w:b w:val="0"/>
                <w:bCs w:val="0"/>
                <w:spacing w:val="-5"/>
                <w:sz w:val="22"/>
                <w:szCs w:val="22"/>
              </w:rPr>
              <w:t>大米</w:t>
            </w:r>
          </w:p>
        </w:tc>
        <w:tc>
          <w:tcPr>
            <w:tcW w:w="7267" w:type="dxa"/>
          </w:tcPr>
          <w:p w14:paraId="49B7CEDA">
            <w:pPr>
              <w:spacing w:line="360" w:lineRule="auto"/>
              <w:rPr>
                <w:rFonts w:hint="eastAsia"/>
                <w:sz w:val="22"/>
                <w:szCs w:val="22"/>
                <w:vertAlign w:val="baseline"/>
              </w:rPr>
            </w:pPr>
            <w:r>
              <w:rPr>
                <w:rFonts w:hint="eastAsia"/>
                <w:sz w:val="22"/>
                <w:szCs w:val="22"/>
                <w:vertAlign w:val="baseline"/>
              </w:rPr>
              <w:t>1、采购需求</w:t>
            </w:r>
          </w:p>
          <w:p w14:paraId="11B80030">
            <w:pPr>
              <w:spacing w:line="360" w:lineRule="auto"/>
              <w:rPr>
                <w:rFonts w:hint="eastAsia"/>
                <w:sz w:val="22"/>
                <w:szCs w:val="22"/>
                <w:vertAlign w:val="baseline"/>
              </w:rPr>
            </w:pPr>
            <w:r>
              <w:rPr>
                <w:rFonts w:hint="eastAsia"/>
                <w:sz w:val="22"/>
                <w:szCs w:val="22"/>
                <w:vertAlign w:val="baseline"/>
              </w:rPr>
              <w:t>(1)实行每批次采购，供应商应按采购单位的货物请购清单提供相应数量的货物。</w:t>
            </w:r>
          </w:p>
          <w:p w14:paraId="3A7D5304">
            <w:pPr>
              <w:spacing w:line="360" w:lineRule="auto"/>
              <w:rPr>
                <w:rFonts w:hint="eastAsia"/>
                <w:sz w:val="22"/>
                <w:szCs w:val="22"/>
                <w:vertAlign w:val="baseline"/>
              </w:rPr>
            </w:pPr>
            <w:r>
              <w:rPr>
                <w:rFonts w:hint="eastAsia"/>
                <w:sz w:val="22"/>
                <w:szCs w:val="22"/>
                <w:vertAlign w:val="baseline"/>
              </w:rPr>
              <w:t>(2)结算时按实际采购数量结算。</w:t>
            </w:r>
          </w:p>
          <w:p w14:paraId="531C2F76">
            <w:pPr>
              <w:spacing w:line="360" w:lineRule="auto"/>
              <w:rPr>
                <w:rFonts w:hint="eastAsia"/>
                <w:sz w:val="22"/>
                <w:szCs w:val="22"/>
                <w:vertAlign w:val="baseline"/>
              </w:rPr>
            </w:pPr>
            <w:r>
              <w:rPr>
                <w:rFonts w:hint="eastAsia"/>
                <w:sz w:val="22"/>
                <w:szCs w:val="22"/>
                <w:vertAlign w:val="baseline"/>
              </w:rPr>
              <w:t>▲2、质量要求</w:t>
            </w:r>
          </w:p>
          <w:p w14:paraId="262F6176">
            <w:pPr>
              <w:spacing w:line="360" w:lineRule="auto"/>
              <w:rPr>
                <w:rFonts w:hint="eastAsia"/>
                <w:sz w:val="22"/>
                <w:szCs w:val="22"/>
                <w:vertAlign w:val="baseline"/>
              </w:rPr>
            </w:pPr>
            <w:r>
              <w:rPr>
                <w:rFonts w:hint="eastAsia"/>
                <w:sz w:val="22"/>
                <w:szCs w:val="22"/>
                <w:vertAlign w:val="baseline"/>
              </w:rPr>
              <w:t>(1)每批次产品交货时必须提供地级市以上(含地级市)检验报告。</w:t>
            </w:r>
          </w:p>
          <w:p w14:paraId="6153A807">
            <w:pPr>
              <w:spacing w:line="360" w:lineRule="auto"/>
              <w:rPr>
                <w:rFonts w:hint="eastAsia"/>
                <w:sz w:val="22"/>
                <w:szCs w:val="22"/>
                <w:vertAlign w:val="baseline"/>
              </w:rPr>
            </w:pPr>
            <w:r>
              <w:rPr>
                <w:rFonts w:hint="eastAsia"/>
                <w:sz w:val="22"/>
                <w:szCs w:val="22"/>
                <w:vertAlign w:val="baseline"/>
              </w:rPr>
              <w:t>(2)质量指标：必须符合GB/T1354-2018标准，产品等级要求是一级或二级米，呈清白色或精白色，具有光泽呈半透明状，大小均匀，颗粒饱满，表面光滑、完整，无虫，不含杂物(如沙石、色素等异物)。</w:t>
            </w:r>
          </w:p>
          <w:p w14:paraId="574C5BC0">
            <w:pPr>
              <w:spacing w:line="360" w:lineRule="auto"/>
              <w:rPr>
                <w:rFonts w:hint="eastAsia"/>
                <w:sz w:val="22"/>
                <w:szCs w:val="22"/>
                <w:vertAlign w:val="baseline"/>
              </w:rPr>
            </w:pPr>
            <w:r>
              <w:rPr>
                <w:rFonts w:hint="eastAsia"/>
                <w:sz w:val="22"/>
                <w:szCs w:val="22"/>
                <w:vertAlign w:val="baseline"/>
              </w:rPr>
              <w:t>(3)包装：包装、运输和储存必须符合保质、保量、运输安全和分类、分等储存的要求，严防污染；标明产品名称、净含量、生产者名称和地址、生产日期、保质期、产品标准号、质量等级、生产许可证号、产品批号等内容，外包装必须符合《食品安全法》的相关规定，提供营业执照、食品生产许可证、食品经营许可证。</w:t>
            </w:r>
          </w:p>
          <w:p w14:paraId="1EFFEAD3">
            <w:pPr>
              <w:spacing w:line="360" w:lineRule="auto"/>
              <w:rPr>
                <w:rFonts w:hint="eastAsia"/>
                <w:sz w:val="22"/>
                <w:szCs w:val="22"/>
                <w:vertAlign w:val="baseline"/>
              </w:rPr>
            </w:pPr>
            <w:r>
              <w:rPr>
                <w:rFonts w:hint="eastAsia"/>
                <w:sz w:val="22"/>
                <w:szCs w:val="22"/>
                <w:vertAlign w:val="baseline"/>
              </w:rPr>
              <w:t>(4)保质期：达到国家规定要求，剩余保存期时间不得少于保质期的四分之三。保证生产日期新鲜且符合食品安全国家标准和食品安全法要求。</w:t>
            </w:r>
          </w:p>
        </w:tc>
      </w:tr>
      <w:tr w14:paraId="6DA6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2DAE50BA">
            <w:pPr>
              <w:spacing w:line="360" w:lineRule="auto"/>
              <w:jc w:val="center"/>
              <w:rPr>
                <w:rFonts w:hint="eastAsia" w:ascii="宋体" w:hAnsi="宋体" w:eastAsia="宋体" w:cs="宋体"/>
                <w:spacing w:val="3"/>
                <w:sz w:val="22"/>
                <w:szCs w:val="22"/>
              </w:rPr>
            </w:pPr>
          </w:p>
          <w:p w14:paraId="5782BBE3">
            <w:pPr>
              <w:spacing w:line="360" w:lineRule="auto"/>
              <w:jc w:val="center"/>
              <w:rPr>
                <w:rFonts w:hint="eastAsia" w:ascii="宋体" w:hAnsi="宋体" w:eastAsia="宋体" w:cs="宋体"/>
                <w:spacing w:val="3"/>
                <w:sz w:val="22"/>
                <w:szCs w:val="22"/>
              </w:rPr>
            </w:pPr>
          </w:p>
          <w:p w14:paraId="013B32A6">
            <w:pPr>
              <w:spacing w:line="360" w:lineRule="auto"/>
              <w:jc w:val="center"/>
              <w:rPr>
                <w:rFonts w:hint="eastAsia" w:ascii="宋体" w:hAnsi="宋体" w:eastAsia="宋体" w:cs="宋体"/>
                <w:spacing w:val="3"/>
                <w:sz w:val="22"/>
                <w:szCs w:val="22"/>
              </w:rPr>
            </w:pPr>
          </w:p>
          <w:p w14:paraId="137A9740">
            <w:pPr>
              <w:spacing w:line="360" w:lineRule="auto"/>
              <w:jc w:val="center"/>
              <w:rPr>
                <w:rFonts w:hint="eastAsia" w:ascii="宋体" w:hAnsi="宋体" w:eastAsia="宋体" w:cs="宋体"/>
                <w:spacing w:val="3"/>
                <w:sz w:val="22"/>
                <w:szCs w:val="22"/>
              </w:rPr>
            </w:pPr>
          </w:p>
          <w:p w14:paraId="666B4E64">
            <w:pPr>
              <w:spacing w:line="360" w:lineRule="auto"/>
              <w:jc w:val="center"/>
              <w:rPr>
                <w:rFonts w:hint="eastAsia" w:ascii="宋体" w:hAnsi="宋体" w:eastAsia="宋体" w:cs="宋体"/>
                <w:spacing w:val="3"/>
                <w:sz w:val="22"/>
                <w:szCs w:val="22"/>
              </w:rPr>
            </w:pPr>
          </w:p>
          <w:p w14:paraId="25489937">
            <w:pPr>
              <w:spacing w:line="360" w:lineRule="auto"/>
              <w:jc w:val="center"/>
              <w:rPr>
                <w:rFonts w:hint="eastAsia" w:ascii="宋体" w:hAnsi="宋体" w:eastAsia="宋体" w:cs="宋体"/>
                <w:spacing w:val="3"/>
                <w:sz w:val="22"/>
                <w:szCs w:val="22"/>
              </w:rPr>
            </w:pPr>
          </w:p>
          <w:p w14:paraId="01C2ECC7">
            <w:pPr>
              <w:spacing w:line="360" w:lineRule="auto"/>
              <w:jc w:val="center"/>
              <w:rPr>
                <w:rFonts w:hint="eastAsia" w:ascii="宋体" w:hAnsi="宋体" w:eastAsia="宋体" w:cs="宋体"/>
                <w:spacing w:val="3"/>
                <w:sz w:val="22"/>
                <w:szCs w:val="22"/>
              </w:rPr>
            </w:pPr>
          </w:p>
          <w:p w14:paraId="4CE857DD">
            <w:pPr>
              <w:spacing w:line="360" w:lineRule="auto"/>
              <w:jc w:val="center"/>
              <w:rPr>
                <w:rFonts w:hint="eastAsia" w:ascii="宋体" w:hAnsi="宋体" w:eastAsia="宋体" w:cs="宋体"/>
                <w:b/>
                <w:bCs/>
                <w:spacing w:val="-5"/>
                <w:sz w:val="22"/>
                <w:szCs w:val="22"/>
              </w:rPr>
            </w:pPr>
            <w:r>
              <w:rPr>
                <w:rFonts w:hint="eastAsia" w:ascii="宋体" w:hAnsi="宋体" w:eastAsia="宋体" w:cs="宋体"/>
                <w:spacing w:val="3"/>
                <w:sz w:val="22"/>
                <w:szCs w:val="22"/>
              </w:rPr>
              <w:t>花生油、调</w:t>
            </w:r>
            <w:r>
              <w:rPr>
                <w:rFonts w:hint="eastAsia" w:ascii="宋体" w:hAnsi="宋体" w:eastAsia="宋体" w:cs="宋体"/>
                <w:spacing w:val="11"/>
                <w:sz w:val="22"/>
                <w:szCs w:val="22"/>
              </w:rPr>
              <w:t>和油</w:t>
            </w:r>
          </w:p>
        </w:tc>
        <w:tc>
          <w:tcPr>
            <w:tcW w:w="7267" w:type="dxa"/>
          </w:tcPr>
          <w:p w14:paraId="4263F381">
            <w:pPr>
              <w:numPr>
                <w:ilvl w:val="0"/>
                <w:numId w:val="3"/>
              </w:numPr>
              <w:spacing w:line="360" w:lineRule="auto"/>
              <w:rPr>
                <w:rFonts w:hint="eastAsia"/>
                <w:sz w:val="22"/>
                <w:szCs w:val="22"/>
                <w:vertAlign w:val="baseline"/>
              </w:rPr>
            </w:pPr>
            <w:r>
              <w:rPr>
                <w:rFonts w:hint="eastAsia"/>
                <w:sz w:val="22"/>
                <w:szCs w:val="22"/>
                <w:vertAlign w:val="baseline"/>
              </w:rPr>
              <w:t>采购需求</w:t>
            </w:r>
          </w:p>
          <w:p w14:paraId="3CFB04E0">
            <w:pPr>
              <w:numPr>
                <w:ilvl w:val="0"/>
                <w:numId w:val="0"/>
              </w:numPr>
              <w:spacing w:line="360" w:lineRule="auto"/>
              <w:rPr>
                <w:rFonts w:hint="eastAsia"/>
                <w:sz w:val="22"/>
                <w:szCs w:val="22"/>
                <w:vertAlign w:val="baseline"/>
              </w:rPr>
            </w:pPr>
            <w:r>
              <w:rPr>
                <w:rFonts w:hint="eastAsia"/>
                <w:sz w:val="22"/>
                <w:szCs w:val="22"/>
                <w:vertAlign w:val="baseline"/>
              </w:rPr>
              <w:t>(1)实行每批次采购，供应商应按采购单位的货物请购清单提供相应数量的货物。</w:t>
            </w:r>
          </w:p>
          <w:p w14:paraId="7B7EF934">
            <w:pPr>
              <w:numPr>
                <w:ilvl w:val="0"/>
                <w:numId w:val="0"/>
              </w:numPr>
              <w:spacing w:line="360" w:lineRule="auto"/>
              <w:rPr>
                <w:rFonts w:hint="eastAsia"/>
                <w:sz w:val="22"/>
                <w:szCs w:val="22"/>
                <w:vertAlign w:val="baseline"/>
              </w:rPr>
            </w:pPr>
            <w:r>
              <w:rPr>
                <w:rFonts w:hint="eastAsia"/>
                <w:sz w:val="22"/>
                <w:szCs w:val="22"/>
                <w:vertAlign w:val="baseline"/>
              </w:rPr>
              <w:t>(2)结算时按实际采购数量结算。</w:t>
            </w:r>
          </w:p>
          <w:p w14:paraId="4BFA296A">
            <w:pPr>
              <w:numPr>
                <w:ilvl w:val="0"/>
                <w:numId w:val="0"/>
              </w:numPr>
              <w:spacing w:line="360" w:lineRule="auto"/>
              <w:rPr>
                <w:rFonts w:hint="eastAsia"/>
                <w:sz w:val="22"/>
                <w:szCs w:val="22"/>
                <w:vertAlign w:val="baseline"/>
              </w:rPr>
            </w:pPr>
            <w:r>
              <w:rPr>
                <w:rFonts w:hint="eastAsia"/>
                <w:sz w:val="22"/>
                <w:szCs w:val="22"/>
                <w:vertAlign w:val="baseline"/>
              </w:rPr>
              <w:t>▲2、质量要求</w:t>
            </w:r>
          </w:p>
          <w:p w14:paraId="55626404">
            <w:pPr>
              <w:numPr>
                <w:ilvl w:val="0"/>
                <w:numId w:val="0"/>
              </w:numPr>
              <w:spacing w:line="360" w:lineRule="auto"/>
              <w:rPr>
                <w:rFonts w:hint="eastAsia"/>
                <w:sz w:val="22"/>
                <w:szCs w:val="22"/>
                <w:vertAlign w:val="baseline"/>
              </w:rPr>
            </w:pPr>
            <w:r>
              <w:rPr>
                <w:rFonts w:hint="eastAsia"/>
                <w:sz w:val="22"/>
                <w:szCs w:val="22"/>
                <w:vertAlign w:val="baseline"/>
              </w:rPr>
              <w:t>(1)每批次产品交货时必须提供地级市以上(含地级市)检验报告。</w:t>
            </w:r>
          </w:p>
          <w:p w14:paraId="3726268E">
            <w:pPr>
              <w:numPr>
                <w:ilvl w:val="0"/>
                <w:numId w:val="0"/>
              </w:numPr>
              <w:spacing w:line="360" w:lineRule="auto"/>
              <w:rPr>
                <w:rFonts w:hint="eastAsia"/>
                <w:sz w:val="22"/>
                <w:szCs w:val="22"/>
                <w:vertAlign w:val="baseline"/>
              </w:rPr>
            </w:pPr>
            <w:r>
              <w:rPr>
                <w:rFonts w:hint="eastAsia"/>
                <w:sz w:val="22"/>
                <w:szCs w:val="22"/>
                <w:vertAlign w:val="baseline"/>
              </w:rPr>
              <w:t>(2)食用油必须取得食品生产许可证和产品合格证、外包装标明保质期及生产日期。产品原料必须为非转基因原料。</w:t>
            </w:r>
          </w:p>
          <w:p w14:paraId="5099DCF1">
            <w:pPr>
              <w:numPr>
                <w:ilvl w:val="0"/>
                <w:numId w:val="0"/>
              </w:numPr>
              <w:spacing w:line="360" w:lineRule="auto"/>
              <w:rPr>
                <w:rFonts w:hint="eastAsia"/>
                <w:sz w:val="22"/>
                <w:szCs w:val="22"/>
                <w:vertAlign w:val="baseline"/>
              </w:rPr>
            </w:pPr>
            <w:r>
              <w:rPr>
                <w:rFonts w:hint="eastAsia"/>
                <w:sz w:val="22"/>
                <w:szCs w:val="22"/>
                <w:vertAlign w:val="baseline"/>
              </w:rPr>
              <w:t>(3)有"SC"食品生产许可证标志，符合(GB/T1354-2018)标准要求。</w:t>
            </w:r>
          </w:p>
          <w:p w14:paraId="7499F5A5">
            <w:pPr>
              <w:numPr>
                <w:ilvl w:val="0"/>
                <w:numId w:val="0"/>
              </w:numPr>
              <w:spacing w:line="360" w:lineRule="auto"/>
              <w:rPr>
                <w:rFonts w:hint="eastAsia"/>
                <w:sz w:val="22"/>
                <w:szCs w:val="22"/>
                <w:vertAlign w:val="baseline"/>
              </w:rPr>
            </w:pPr>
            <w:r>
              <w:rPr>
                <w:rFonts w:hint="eastAsia"/>
                <w:sz w:val="22"/>
                <w:szCs w:val="22"/>
                <w:vertAlign w:val="baseline"/>
              </w:rPr>
              <w:t>(4)食用油必须符合GB/T1534-2017标准，为花生油或调和油，压榨花生油产品等级要求是一级，产品包装要求机械封装，外包装必须符合《食品安全法》的相关规定。</w:t>
            </w:r>
          </w:p>
          <w:p w14:paraId="2F15A6F7">
            <w:pPr>
              <w:numPr>
                <w:ilvl w:val="0"/>
                <w:numId w:val="0"/>
              </w:numPr>
              <w:spacing w:line="360" w:lineRule="auto"/>
              <w:rPr>
                <w:rFonts w:hint="eastAsia"/>
                <w:sz w:val="22"/>
                <w:szCs w:val="22"/>
                <w:vertAlign w:val="baseline"/>
              </w:rPr>
            </w:pPr>
            <w:r>
              <w:rPr>
                <w:rFonts w:hint="eastAsia"/>
                <w:sz w:val="22"/>
                <w:szCs w:val="22"/>
                <w:vertAlign w:val="baseline"/>
              </w:rPr>
              <w:t>食用油须同时满足以下要求：具有固有的气味和滋味，无异味；不得混有其他食用油或非食用油；加热试验(280℃)油色不得变深，无析出物；卫生标准和动植物检疫项目，按照国家有关规定执行。</w:t>
            </w:r>
          </w:p>
          <w:p w14:paraId="2A531046">
            <w:pPr>
              <w:numPr>
                <w:ilvl w:val="0"/>
                <w:numId w:val="0"/>
              </w:numPr>
              <w:spacing w:line="360" w:lineRule="auto"/>
              <w:rPr>
                <w:rFonts w:hint="eastAsia"/>
                <w:sz w:val="22"/>
                <w:szCs w:val="22"/>
                <w:vertAlign w:val="baseline"/>
              </w:rPr>
            </w:pPr>
            <w:r>
              <w:rPr>
                <w:rFonts w:hint="eastAsia"/>
                <w:sz w:val="22"/>
                <w:szCs w:val="22"/>
                <w:vertAlign w:val="baseline"/>
              </w:rPr>
              <w:t>(5)保质期：达到国家规定要求，剩余保存期时间不得少于保质期的四分之三。保证生产日期新鲜且符合食品安全国家标准和食品安全法要求。</w:t>
            </w:r>
          </w:p>
        </w:tc>
      </w:tr>
      <w:tr w14:paraId="5253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3C673E86">
            <w:pPr>
              <w:spacing w:line="360" w:lineRule="auto"/>
              <w:jc w:val="center"/>
              <w:rPr>
                <w:rFonts w:hint="eastAsia" w:ascii="宋体" w:hAnsi="宋体" w:eastAsia="宋体" w:cs="宋体"/>
                <w:spacing w:val="-3"/>
                <w:sz w:val="22"/>
                <w:szCs w:val="22"/>
              </w:rPr>
            </w:pPr>
          </w:p>
          <w:p w14:paraId="7C76305C">
            <w:pPr>
              <w:spacing w:line="360" w:lineRule="auto"/>
              <w:jc w:val="center"/>
              <w:rPr>
                <w:rFonts w:hint="eastAsia" w:ascii="宋体" w:hAnsi="宋体" w:eastAsia="宋体" w:cs="宋体"/>
                <w:spacing w:val="-3"/>
                <w:sz w:val="22"/>
                <w:szCs w:val="22"/>
              </w:rPr>
            </w:pPr>
          </w:p>
          <w:p w14:paraId="6FC309BD">
            <w:pPr>
              <w:spacing w:line="360" w:lineRule="auto"/>
              <w:jc w:val="center"/>
              <w:rPr>
                <w:rFonts w:hint="eastAsia" w:ascii="宋体" w:hAnsi="宋体" w:eastAsia="宋体" w:cs="宋体"/>
                <w:b/>
                <w:bCs/>
                <w:spacing w:val="-5"/>
                <w:sz w:val="22"/>
                <w:szCs w:val="22"/>
              </w:rPr>
            </w:pPr>
            <w:r>
              <w:rPr>
                <w:rFonts w:hint="eastAsia" w:ascii="宋体" w:hAnsi="宋体" w:eastAsia="宋体" w:cs="宋体"/>
                <w:spacing w:val="-3"/>
                <w:sz w:val="22"/>
                <w:szCs w:val="22"/>
              </w:rPr>
              <w:t>调味品、干</w:t>
            </w:r>
            <w:r>
              <w:rPr>
                <w:rFonts w:hint="eastAsia" w:ascii="宋体" w:hAnsi="宋体" w:eastAsia="宋体" w:cs="宋体"/>
                <w:spacing w:val="2"/>
                <w:sz w:val="22"/>
                <w:szCs w:val="22"/>
              </w:rPr>
              <w:t>杂货食品等</w:t>
            </w:r>
          </w:p>
        </w:tc>
        <w:tc>
          <w:tcPr>
            <w:tcW w:w="7267" w:type="dxa"/>
          </w:tcPr>
          <w:p w14:paraId="1BDF096B">
            <w:pPr>
              <w:spacing w:line="360" w:lineRule="auto"/>
              <w:rPr>
                <w:rFonts w:hint="eastAsia"/>
                <w:sz w:val="22"/>
                <w:szCs w:val="22"/>
                <w:vertAlign w:val="baseline"/>
              </w:rPr>
            </w:pPr>
            <w:r>
              <w:rPr>
                <w:rFonts w:hint="eastAsia"/>
                <w:sz w:val="22"/>
                <w:szCs w:val="22"/>
                <w:vertAlign w:val="baseline"/>
              </w:rPr>
              <w:t>1、采购需求</w:t>
            </w:r>
          </w:p>
          <w:p w14:paraId="6D128CB0">
            <w:pPr>
              <w:spacing w:line="360" w:lineRule="auto"/>
              <w:rPr>
                <w:rFonts w:hint="eastAsia"/>
                <w:sz w:val="22"/>
                <w:szCs w:val="22"/>
                <w:vertAlign w:val="baseline"/>
              </w:rPr>
            </w:pPr>
            <w:r>
              <w:rPr>
                <w:rFonts w:hint="eastAsia"/>
                <w:sz w:val="22"/>
                <w:szCs w:val="22"/>
                <w:vertAlign w:val="baseline"/>
              </w:rPr>
              <w:t>(1)实行每批次采购，供应商应按采购单位的货物请购清单提供相应数量的货物。</w:t>
            </w:r>
          </w:p>
          <w:p w14:paraId="5A9A385A">
            <w:pPr>
              <w:spacing w:line="360" w:lineRule="auto"/>
              <w:rPr>
                <w:rFonts w:hint="eastAsia"/>
                <w:sz w:val="22"/>
                <w:szCs w:val="22"/>
                <w:vertAlign w:val="baseline"/>
              </w:rPr>
            </w:pPr>
            <w:r>
              <w:rPr>
                <w:rFonts w:hint="eastAsia"/>
                <w:sz w:val="22"/>
                <w:szCs w:val="22"/>
                <w:vertAlign w:val="baseline"/>
              </w:rPr>
              <w:t>(2)结算时按实际采购数量结算</w:t>
            </w:r>
          </w:p>
          <w:p w14:paraId="001A0FA1">
            <w:pPr>
              <w:spacing w:line="360" w:lineRule="auto"/>
              <w:rPr>
                <w:rFonts w:hint="eastAsia"/>
                <w:sz w:val="22"/>
                <w:szCs w:val="22"/>
                <w:vertAlign w:val="baseline"/>
              </w:rPr>
            </w:pPr>
            <w:r>
              <w:rPr>
                <w:rFonts w:hint="eastAsia"/>
                <w:sz w:val="22"/>
                <w:szCs w:val="22"/>
                <w:vertAlign w:val="baseline"/>
              </w:rPr>
              <w:t>▲2、质量要求</w:t>
            </w:r>
          </w:p>
          <w:p w14:paraId="47079C4B">
            <w:pPr>
              <w:spacing w:line="360" w:lineRule="auto"/>
              <w:rPr>
                <w:rFonts w:hint="eastAsia"/>
                <w:sz w:val="22"/>
                <w:szCs w:val="22"/>
                <w:vertAlign w:val="baseline"/>
              </w:rPr>
            </w:pPr>
            <w:r>
              <w:rPr>
                <w:rFonts w:hint="eastAsia"/>
                <w:sz w:val="22"/>
                <w:szCs w:val="22"/>
                <w:vertAlign w:val="baseline"/>
              </w:rPr>
              <w:t>(1)必须是在市场上流通的，且具有“QS”食品质量认证标志。</w:t>
            </w:r>
          </w:p>
          <w:p w14:paraId="55014764">
            <w:pPr>
              <w:spacing w:line="360" w:lineRule="auto"/>
              <w:rPr>
                <w:rFonts w:hint="eastAsia"/>
                <w:sz w:val="22"/>
                <w:szCs w:val="22"/>
                <w:vertAlign w:val="baseline"/>
              </w:rPr>
            </w:pPr>
            <w:r>
              <w:rPr>
                <w:rFonts w:hint="eastAsia"/>
                <w:sz w:val="22"/>
                <w:szCs w:val="22"/>
                <w:vertAlign w:val="baseline"/>
              </w:rPr>
              <w:t>(2)产品必须是合格厂家制作，定型包装、有明显的标签、生产日期、生产厂家、保质期、产品合格证、贮存条件、执行产品标准号等，每次供货必须提供相应的检验合格证明。</w:t>
            </w:r>
          </w:p>
          <w:p w14:paraId="4194AF7E">
            <w:pPr>
              <w:spacing w:line="360" w:lineRule="auto"/>
              <w:rPr>
                <w:rFonts w:hint="eastAsia"/>
                <w:sz w:val="22"/>
                <w:szCs w:val="22"/>
                <w:vertAlign w:val="baseline"/>
              </w:rPr>
            </w:pPr>
            <w:r>
              <w:rPr>
                <w:rFonts w:hint="eastAsia"/>
                <w:sz w:val="22"/>
                <w:szCs w:val="22"/>
                <w:vertAlign w:val="baseline"/>
              </w:rPr>
              <w:t>(3)保质期：达到国家规定要求，剩余保存期时间不得少于保质期的四分之三。保证生产日期新鲜且符合食品安全国家标准食品安全法要求。严禁供应假冒伪劣过期产品。严禁供应假冒伪劣过潮产品。</w:t>
            </w:r>
          </w:p>
        </w:tc>
      </w:tr>
      <w:tr w14:paraId="6E53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7798B486">
            <w:pPr>
              <w:spacing w:line="360" w:lineRule="auto"/>
              <w:jc w:val="center"/>
              <w:rPr>
                <w:rFonts w:hint="eastAsia" w:ascii="宋体" w:hAnsi="宋体" w:eastAsia="宋体" w:cs="宋体"/>
                <w:spacing w:val="6"/>
                <w:sz w:val="22"/>
                <w:szCs w:val="22"/>
              </w:rPr>
            </w:pPr>
          </w:p>
          <w:p w14:paraId="4D3FC8F5">
            <w:pPr>
              <w:spacing w:line="360" w:lineRule="auto"/>
              <w:jc w:val="center"/>
              <w:rPr>
                <w:rFonts w:hint="eastAsia" w:ascii="宋体" w:hAnsi="宋体" w:eastAsia="宋体" w:cs="宋体"/>
                <w:spacing w:val="6"/>
                <w:sz w:val="22"/>
                <w:szCs w:val="22"/>
              </w:rPr>
            </w:pPr>
          </w:p>
          <w:p w14:paraId="6B66EA7C">
            <w:pPr>
              <w:spacing w:line="360" w:lineRule="auto"/>
              <w:jc w:val="center"/>
              <w:rPr>
                <w:rFonts w:hint="eastAsia" w:ascii="宋体" w:hAnsi="宋体" w:eastAsia="宋体" w:cs="宋体"/>
                <w:spacing w:val="6"/>
                <w:sz w:val="22"/>
                <w:szCs w:val="22"/>
              </w:rPr>
            </w:pPr>
          </w:p>
          <w:p w14:paraId="5E316A5B">
            <w:pPr>
              <w:spacing w:line="360" w:lineRule="auto"/>
              <w:jc w:val="center"/>
              <w:rPr>
                <w:rFonts w:hint="eastAsia" w:ascii="宋体" w:hAnsi="宋体" w:eastAsia="宋体" w:cs="宋体"/>
                <w:spacing w:val="6"/>
                <w:sz w:val="22"/>
                <w:szCs w:val="22"/>
              </w:rPr>
            </w:pPr>
          </w:p>
          <w:p w14:paraId="3455AFBE">
            <w:pPr>
              <w:spacing w:line="360" w:lineRule="auto"/>
              <w:jc w:val="both"/>
              <w:rPr>
                <w:rFonts w:hint="eastAsia" w:ascii="宋体" w:hAnsi="宋体" w:eastAsia="宋体" w:cs="宋体"/>
                <w:spacing w:val="6"/>
                <w:sz w:val="22"/>
                <w:szCs w:val="22"/>
              </w:rPr>
            </w:pPr>
          </w:p>
          <w:p w14:paraId="457F6354">
            <w:pPr>
              <w:spacing w:line="360" w:lineRule="auto"/>
              <w:jc w:val="center"/>
              <w:rPr>
                <w:rFonts w:hint="eastAsia" w:ascii="宋体" w:hAnsi="宋体" w:eastAsia="宋体" w:cs="宋体"/>
                <w:b/>
                <w:bCs/>
                <w:spacing w:val="-5"/>
                <w:sz w:val="22"/>
                <w:szCs w:val="22"/>
              </w:rPr>
            </w:pPr>
            <w:r>
              <w:rPr>
                <w:rFonts w:hint="eastAsia" w:ascii="宋体" w:hAnsi="宋体" w:eastAsia="宋体" w:cs="宋体"/>
                <w:spacing w:val="6"/>
                <w:sz w:val="22"/>
                <w:szCs w:val="22"/>
              </w:rPr>
              <w:t>豆制品</w:t>
            </w:r>
          </w:p>
        </w:tc>
        <w:tc>
          <w:tcPr>
            <w:tcW w:w="7267" w:type="dxa"/>
          </w:tcPr>
          <w:p w14:paraId="66ECC56C">
            <w:pPr>
              <w:spacing w:line="360" w:lineRule="auto"/>
              <w:rPr>
                <w:rFonts w:hint="eastAsia"/>
                <w:sz w:val="22"/>
                <w:szCs w:val="22"/>
                <w:vertAlign w:val="baseline"/>
              </w:rPr>
            </w:pPr>
            <w:r>
              <w:rPr>
                <w:rFonts w:hint="eastAsia"/>
                <w:sz w:val="22"/>
                <w:szCs w:val="22"/>
                <w:vertAlign w:val="baseline"/>
              </w:rPr>
              <w:t>1、采购需求</w:t>
            </w:r>
          </w:p>
          <w:p w14:paraId="2343DFB6">
            <w:pPr>
              <w:spacing w:line="360" w:lineRule="auto"/>
              <w:rPr>
                <w:rFonts w:hint="eastAsia"/>
                <w:sz w:val="22"/>
                <w:szCs w:val="22"/>
                <w:vertAlign w:val="baseline"/>
              </w:rPr>
            </w:pPr>
            <w:r>
              <w:rPr>
                <w:rFonts w:hint="eastAsia"/>
                <w:sz w:val="22"/>
                <w:szCs w:val="22"/>
                <w:vertAlign w:val="baseline"/>
              </w:rPr>
              <w:t>(1)实行每日采购，供应商应按采购单位的货物请购清单提供相应数量的货物。</w:t>
            </w:r>
          </w:p>
          <w:p w14:paraId="201A4AB1">
            <w:pPr>
              <w:spacing w:line="360" w:lineRule="auto"/>
              <w:rPr>
                <w:rFonts w:hint="eastAsia"/>
                <w:sz w:val="22"/>
                <w:szCs w:val="22"/>
                <w:vertAlign w:val="baseline"/>
              </w:rPr>
            </w:pPr>
            <w:r>
              <w:rPr>
                <w:rFonts w:hint="eastAsia"/>
                <w:sz w:val="22"/>
                <w:szCs w:val="22"/>
                <w:vertAlign w:val="baseline"/>
              </w:rPr>
              <w:t>(2)结算时按实际采购数量结算。</w:t>
            </w:r>
          </w:p>
          <w:p w14:paraId="4B9FEA25">
            <w:pPr>
              <w:spacing w:line="360" w:lineRule="auto"/>
              <w:rPr>
                <w:rFonts w:hint="eastAsia"/>
                <w:sz w:val="22"/>
                <w:szCs w:val="22"/>
                <w:vertAlign w:val="baseline"/>
              </w:rPr>
            </w:pPr>
            <w:r>
              <w:rPr>
                <w:rFonts w:hint="eastAsia"/>
                <w:sz w:val="22"/>
                <w:szCs w:val="22"/>
                <w:vertAlign w:val="baseline"/>
              </w:rPr>
              <w:t>▲2、质量要求</w:t>
            </w:r>
          </w:p>
          <w:p w14:paraId="6190873F">
            <w:pPr>
              <w:spacing w:line="360" w:lineRule="auto"/>
              <w:rPr>
                <w:rFonts w:hint="eastAsia"/>
                <w:sz w:val="22"/>
                <w:szCs w:val="22"/>
                <w:vertAlign w:val="baseline"/>
              </w:rPr>
            </w:pPr>
            <w:r>
              <w:rPr>
                <w:rFonts w:hint="eastAsia"/>
                <w:sz w:val="22"/>
                <w:szCs w:val="22"/>
                <w:vertAlign w:val="baseline"/>
              </w:rPr>
              <w:t>(1)豆制品必须符合《食品安全法》要求，必须是</w:t>
            </w:r>
            <w:r>
              <w:rPr>
                <w:rFonts w:hint="eastAsia"/>
                <w:sz w:val="22"/>
                <w:szCs w:val="22"/>
                <w:vertAlign w:val="baseline"/>
                <w:lang w:eastAsia="zh-CN"/>
              </w:rPr>
              <w:t>市场</w:t>
            </w:r>
            <w:r>
              <w:rPr>
                <w:rFonts w:hint="eastAsia"/>
                <w:sz w:val="22"/>
                <w:szCs w:val="22"/>
                <w:vertAlign w:val="baseline"/>
              </w:rPr>
              <w:t>上正在流通的产品。提供食品生产许可证、批次检验合格证。</w:t>
            </w:r>
          </w:p>
          <w:p w14:paraId="0EF2C85E">
            <w:pPr>
              <w:spacing w:line="360" w:lineRule="auto"/>
              <w:rPr>
                <w:rFonts w:hint="eastAsia"/>
                <w:sz w:val="22"/>
                <w:szCs w:val="22"/>
                <w:vertAlign w:val="baseline"/>
              </w:rPr>
            </w:pPr>
            <w:r>
              <w:rPr>
                <w:rFonts w:hint="eastAsia"/>
                <w:sz w:val="22"/>
                <w:szCs w:val="22"/>
                <w:vertAlign w:val="baseline"/>
              </w:rPr>
              <w:t>(2)豆腐呈均匀的乳白色或淡黄色，稍有光泽，块形完整，饮硬适度，富有一定的弹性，质地细嫩，结构均匀，无杂质，具有豆腐特有的香味，取样品品尝时口感细腻鲜嫩，味道纯正清香。</w:t>
            </w:r>
          </w:p>
          <w:p w14:paraId="2C046516">
            <w:pPr>
              <w:spacing w:line="360" w:lineRule="auto"/>
              <w:rPr>
                <w:rFonts w:hint="eastAsia" w:eastAsiaTheme="minorEastAsia"/>
                <w:sz w:val="22"/>
                <w:szCs w:val="22"/>
                <w:vertAlign w:val="baseline"/>
                <w:lang w:val="en-US" w:eastAsia="zh-CN"/>
              </w:rPr>
            </w:pPr>
            <w:r>
              <w:rPr>
                <w:rFonts w:hint="eastAsia"/>
                <w:sz w:val="22"/>
                <w:szCs w:val="22"/>
                <w:vertAlign w:val="baseline"/>
              </w:rPr>
              <w:t>(3)保质期：达到国家规定要求，剩余保存期时间不得少于保质期的四分之</w:t>
            </w:r>
            <w:r>
              <w:rPr>
                <w:rFonts w:hint="eastAsia"/>
                <w:sz w:val="22"/>
                <w:szCs w:val="22"/>
                <w:vertAlign w:val="baseline"/>
                <w:lang w:val="en-US" w:eastAsia="zh-CN"/>
              </w:rPr>
              <w:t>三。</w:t>
            </w:r>
          </w:p>
        </w:tc>
      </w:tr>
      <w:tr w14:paraId="1965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03A44C65">
            <w:pPr>
              <w:spacing w:line="360" w:lineRule="auto"/>
              <w:jc w:val="center"/>
              <w:rPr>
                <w:rFonts w:hint="eastAsia" w:ascii="宋体" w:hAnsi="宋体" w:eastAsia="宋体" w:cs="宋体"/>
                <w:b w:val="0"/>
                <w:bCs w:val="0"/>
                <w:spacing w:val="-6"/>
                <w:sz w:val="22"/>
                <w:szCs w:val="22"/>
              </w:rPr>
            </w:pPr>
          </w:p>
          <w:p w14:paraId="192DEB90">
            <w:pPr>
              <w:spacing w:line="360" w:lineRule="auto"/>
              <w:jc w:val="center"/>
              <w:rPr>
                <w:rFonts w:hint="eastAsia" w:ascii="宋体" w:hAnsi="宋体" w:eastAsia="宋体" w:cs="宋体"/>
                <w:b w:val="0"/>
                <w:bCs w:val="0"/>
                <w:spacing w:val="-6"/>
                <w:sz w:val="22"/>
                <w:szCs w:val="22"/>
              </w:rPr>
            </w:pPr>
          </w:p>
          <w:p w14:paraId="553A1BA5">
            <w:pPr>
              <w:spacing w:line="360" w:lineRule="auto"/>
              <w:jc w:val="center"/>
              <w:rPr>
                <w:rFonts w:hint="eastAsia" w:ascii="宋体" w:hAnsi="宋体" w:eastAsia="宋体" w:cs="宋体"/>
                <w:b w:val="0"/>
                <w:bCs w:val="0"/>
                <w:spacing w:val="-6"/>
                <w:sz w:val="22"/>
                <w:szCs w:val="22"/>
              </w:rPr>
            </w:pPr>
          </w:p>
          <w:p w14:paraId="0BE33FC5">
            <w:pPr>
              <w:spacing w:line="360" w:lineRule="auto"/>
              <w:jc w:val="center"/>
              <w:rPr>
                <w:rFonts w:hint="eastAsia" w:ascii="宋体" w:hAnsi="宋体" w:eastAsia="宋体" w:cs="宋体"/>
                <w:b w:val="0"/>
                <w:bCs w:val="0"/>
                <w:spacing w:val="-6"/>
                <w:sz w:val="22"/>
                <w:szCs w:val="22"/>
              </w:rPr>
            </w:pPr>
          </w:p>
          <w:p w14:paraId="1D0982E2">
            <w:pPr>
              <w:spacing w:line="360" w:lineRule="auto"/>
              <w:jc w:val="center"/>
              <w:rPr>
                <w:rFonts w:hint="eastAsia" w:ascii="宋体" w:hAnsi="宋体" w:eastAsia="宋体" w:cs="宋体"/>
                <w:b/>
                <w:bCs/>
                <w:spacing w:val="-5"/>
                <w:sz w:val="22"/>
                <w:szCs w:val="22"/>
              </w:rPr>
            </w:pPr>
            <w:r>
              <w:rPr>
                <w:rFonts w:hint="eastAsia" w:ascii="宋体" w:hAnsi="宋体" w:eastAsia="宋体" w:cs="宋体"/>
                <w:b w:val="0"/>
                <w:bCs w:val="0"/>
                <w:spacing w:val="-6"/>
                <w:sz w:val="22"/>
                <w:szCs w:val="22"/>
              </w:rPr>
              <w:t>蔬菜类</w:t>
            </w:r>
          </w:p>
        </w:tc>
        <w:tc>
          <w:tcPr>
            <w:tcW w:w="7267" w:type="dxa"/>
          </w:tcPr>
          <w:p w14:paraId="766109C8">
            <w:pPr>
              <w:spacing w:line="360" w:lineRule="auto"/>
              <w:rPr>
                <w:rFonts w:hint="eastAsia"/>
                <w:sz w:val="22"/>
                <w:szCs w:val="22"/>
                <w:vertAlign w:val="baseline"/>
              </w:rPr>
            </w:pPr>
            <w:r>
              <w:rPr>
                <w:rFonts w:hint="eastAsia"/>
                <w:sz w:val="22"/>
                <w:szCs w:val="22"/>
                <w:vertAlign w:val="baseline"/>
              </w:rPr>
              <w:t>1、采购需求</w:t>
            </w:r>
          </w:p>
          <w:p w14:paraId="32CDCA46">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03604C42">
            <w:pPr>
              <w:spacing w:line="360" w:lineRule="auto"/>
              <w:rPr>
                <w:rFonts w:hint="eastAsia"/>
                <w:sz w:val="22"/>
                <w:szCs w:val="22"/>
                <w:vertAlign w:val="baseline"/>
              </w:rPr>
            </w:pPr>
            <w:r>
              <w:rPr>
                <w:rFonts w:hint="eastAsia"/>
                <w:sz w:val="22"/>
                <w:szCs w:val="22"/>
                <w:vertAlign w:val="baseline"/>
              </w:rPr>
              <w:t>(2)结算时按实际采购数量结算。</w:t>
            </w:r>
          </w:p>
          <w:p w14:paraId="5B486AE1">
            <w:pPr>
              <w:spacing w:line="360" w:lineRule="auto"/>
              <w:rPr>
                <w:rFonts w:hint="eastAsia"/>
                <w:sz w:val="22"/>
                <w:szCs w:val="22"/>
                <w:vertAlign w:val="baseline"/>
              </w:rPr>
            </w:pPr>
            <w:r>
              <w:rPr>
                <w:rFonts w:hint="eastAsia"/>
                <w:sz w:val="22"/>
                <w:szCs w:val="22"/>
                <w:vertAlign w:val="baseline"/>
              </w:rPr>
              <w:t>▲2、质量要求</w:t>
            </w:r>
          </w:p>
          <w:p w14:paraId="2D16C579">
            <w:pPr>
              <w:spacing w:line="360" w:lineRule="auto"/>
              <w:rPr>
                <w:rFonts w:hint="eastAsia"/>
                <w:sz w:val="22"/>
                <w:szCs w:val="22"/>
                <w:vertAlign w:val="baseline"/>
              </w:rPr>
            </w:pPr>
            <w:r>
              <w:rPr>
                <w:rFonts w:hint="eastAsia"/>
                <w:sz w:val="22"/>
                <w:szCs w:val="22"/>
                <w:vertAlign w:val="baseline"/>
              </w:rPr>
              <w:t>(1)必须符合国家食品安全卫生标准。符合《食品安全法》要求，尽量采用当地时令新鲜蔬菜。蔬菜可食用率必须达95%以上。</w:t>
            </w:r>
          </w:p>
          <w:p w14:paraId="20E735BF">
            <w:pPr>
              <w:spacing w:line="360" w:lineRule="auto"/>
              <w:rPr>
                <w:rFonts w:hint="eastAsia"/>
                <w:sz w:val="22"/>
                <w:szCs w:val="22"/>
                <w:vertAlign w:val="baseline"/>
              </w:rPr>
            </w:pPr>
            <w:r>
              <w:rPr>
                <w:rFonts w:hint="eastAsia"/>
                <w:sz w:val="22"/>
                <w:szCs w:val="22"/>
                <w:vertAlign w:val="baseline"/>
              </w:rPr>
              <w:t>(2)瓜、果、蔬菜必须保证新鲜，绿色环保。无公害、无污染、无农药残留；蔬菜残留农药检测合格，</w:t>
            </w:r>
            <w:r>
              <w:rPr>
                <w:rFonts w:hint="eastAsia"/>
                <w:sz w:val="22"/>
                <w:szCs w:val="22"/>
                <w:vertAlign w:val="baseline"/>
                <w:lang w:eastAsia="zh-CN"/>
              </w:rPr>
              <w:t>供货企业必须提供残留农药快速检测合格证明</w:t>
            </w:r>
            <w:r>
              <w:rPr>
                <w:rFonts w:hint="eastAsia"/>
                <w:sz w:val="22"/>
                <w:szCs w:val="22"/>
                <w:vertAlign w:val="baseline"/>
              </w:rPr>
              <w:t>、质量符合《农产品安全质量无公害蔬菜安全要求》(GB18406.1-200L)的要求，每批次有专人负责每天检测并记录。</w:t>
            </w:r>
            <w:r>
              <w:rPr>
                <w:rFonts w:hint="eastAsia"/>
                <w:sz w:val="22"/>
                <w:szCs w:val="22"/>
                <w:vertAlign w:val="baseline"/>
                <w:lang w:eastAsia="zh-CN"/>
              </w:rPr>
              <w:t>每天对</w:t>
            </w:r>
            <w:r>
              <w:rPr>
                <w:rFonts w:hint="eastAsia"/>
                <w:sz w:val="22"/>
                <w:szCs w:val="22"/>
                <w:vertAlign w:val="baseline"/>
              </w:rPr>
              <w:t>每批次蔬菜进行农药残留检测，如含量超标将要求中标人无条件退货或换货。</w:t>
            </w:r>
          </w:p>
          <w:p w14:paraId="30551832">
            <w:pPr>
              <w:spacing w:line="360" w:lineRule="auto"/>
              <w:rPr>
                <w:rFonts w:hint="eastAsia"/>
                <w:sz w:val="22"/>
                <w:szCs w:val="22"/>
                <w:vertAlign w:val="baseline"/>
              </w:rPr>
            </w:pPr>
            <w:r>
              <w:rPr>
                <w:rFonts w:hint="eastAsia"/>
                <w:sz w:val="22"/>
                <w:szCs w:val="22"/>
                <w:vertAlign w:val="baseline"/>
              </w:rPr>
              <w:t>(3)有相对固定的供货渠道、有完善的货物来源记录。</w:t>
            </w:r>
          </w:p>
        </w:tc>
      </w:tr>
      <w:tr w14:paraId="4AA2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392EF66B">
            <w:pPr>
              <w:spacing w:line="360" w:lineRule="auto"/>
              <w:jc w:val="center"/>
              <w:rPr>
                <w:rFonts w:hint="eastAsia" w:ascii="宋体" w:hAnsi="宋体" w:eastAsia="宋体" w:cs="宋体"/>
                <w:spacing w:val="-2"/>
                <w:sz w:val="22"/>
                <w:szCs w:val="22"/>
              </w:rPr>
            </w:pPr>
          </w:p>
          <w:p w14:paraId="53D1CD54">
            <w:pPr>
              <w:spacing w:line="360" w:lineRule="auto"/>
              <w:jc w:val="center"/>
              <w:rPr>
                <w:rFonts w:hint="eastAsia" w:ascii="宋体" w:hAnsi="宋体" w:eastAsia="宋体" w:cs="宋体"/>
                <w:spacing w:val="-2"/>
                <w:sz w:val="22"/>
                <w:szCs w:val="22"/>
              </w:rPr>
            </w:pPr>
          </w:p>
          <w:p w14:paraId="5F421820">
            <w:pPr>
              <w:spacing w:line="360" w:lineRule="auto"/>
              <w:jc w:val="center"/>
              <w:rPr>
                <w:rFonts w:hint="eastAsia" w:ascii="宋体" w:hAnsi="宋体" w:eastAsia="宋体" w:cs="宋体"/>
                <w:spacing w:val="-2"/>
                <w:sz w:val="22"/>
                <w:szCs w:val="22"/>
              </w:rPr>
            </w:pPr>
          </w:p>
          <w:p w14:paraId="07796259">
            <w:pPr>
              <w:spacing w:line="360" w:lineRule="auto"/>
              <w:jc w:val="center"/>
              <w:rPr>
                <w:rFonts w:hint="eastAsia" w:ascii="宋体" w:hAnsi="宋体" w:eastAsia="宋体" w:cs="宋体"/>
                <w:spacing w:val="-2"/>
                <w:sz w:val="22"/>
                <w:szCs w:val="22"/>
              </w:rPr>
            </w:pPr>
          </w:p>
          <w:p w14:paraId="111020E4">
            <w:pPr>
              <w:spacing w:line="360" w:lineRule="auto"/>
              <w:jc w:val="center"/>
              <w:rPr>
                <w:rFonts w:hint="eastAsia" w:ascii="宋体" w:hAnsi="宋体" w:eastAsia="宋体" w:cs="宋体"/>
                <w:spacing w:val="-2"/>
                <w:sz w:val="22"/>
                <w:szCs w:val="22"/>
              </w:rPr>
            </w:pPr>
          </w:p>
          <w:p w14:paraId="37C52D56">
            <w:pPr>
              <w:spacing w:line="360" w:lineRule="auto"/>
              <w:jc w:val="center"/>
              <w:rPr>
                <w:rFonts w:hint="eastAsia" w:ascii="宋体" w:hAnsi="宋体" w:eastAsia="宋体" w:cs="宋体"/>
                <w:spacing w:val="-2"/>
                <w:sz w:val="22"/>
                <w:szCs w:val="22"/>
              </w:rPr>
            </w:pPr>
          </w:p>
          <w:p w14:paraId="09BD8090">
            <w:pPr>
              <w:spacing w:line="360" w:lineRule="auto"/>
              <w:jc w:val="center"/>
              <w:rPr>
                <w:rFonts w:hint="eastAsia" w:ascii="宋体" w:hAnsi="宋体" w:eastAsia="宋体" w:cs="宋体"/>
                <w:b/>
                <w:bCs/>
                <w:spacing w:val="-6"/>
                <w:sz w:val="22"/>
                <w:szCs w:val="22"/>
              </w:rPr>
            </w:pPr>
            <w:r>
              <w:rPr>
                <w:rFonts w:hint="eastAsia" w:ascii="宋体" w:hAnsi="宋体" w:eastAsia="宋体" w:cs="宋体"/>
                <w:spacing w:val="-2"/>
                <w:sz w:val="22"/>
                <w:szCs w:val="22"/>
              </w:rPr>
              <w:t>糕点类、粉</w:t>
            </w:r>
            <w:r>
              <w:rPr>
                <w:rFonts w:hint="eastAsia" w:ascii="宋体" w:hAnsi="宋体" w:eastAsia="宋体" w:cs="宋体"/>
                <w:sz w:val="22"/>
                <w:szCs w:val="22"/>
              </w:rPr>
              <w:t>类</w:t>
            </w:r>
          </w:p>
        </w:tc>
        <w:tc>
          <w:tcPr>
            <w:tcW w:w="7267" w:type="dxa"/>
          </w:tcPr>
          <w:p w14:paraId="5B17AB25">
            <w:pPr>
              <w:spacing w:line="360" w:lineRule="auto"/>
              <w:rPr>
                <w:rFonts w:hint="eastAsia"/>
                <w:sz w:val="22"/>
                <w:szCs w:val="22"/>
                <w:vertAlign w:val="baseline"/>
              </w:rPr>
            </w:pPr>
            <w:r>
              <w:rPr>
                <w:rFonts w:hint="eastAsia"/>
                <w:sz w:val="22"/>
                <w:szCs w:val="22"/>
                <w:vertAlign w:val="baseline"/>
              </w:rPr>
              <w:t>1、采购需求</w:t>
            </w:r>
          </w:p>
          <w:p w14:paraId="19E878A2">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(1)实行每日采购，供应商每日应按采购单位的货物请购清单提供相应数最的货物。</w:t>
            </w:r>
          </w:p>
          <w:p w14:paraId="0407BF28">
            <w:pPr>
              <w:spacing w:line="360" w:lineRule="auto"/>
              <w:rPr>
                <w:rFonts w:hint="eastAsia" w:eastAsiaTheme="minorEastAsia"/>
                <w:sz w:val="22"/>
                <w:szCs w:val="22"/>
                <w:vertAlign w:val="baseline"/>
                <w:lang w:eastAsia="zh-CN"/>
              </w:rPr>
            </w:pPr>
            <w:r>
              <w:rPr>
                <w:rFonts w:hint="eastAsia"/>
                <w:sz w:val="22"/>
                <w:szCs w:val="22"/>
                <w:vertAlign w:val="baseline"/>
              </w:rPr>
              <w:t>(2)结算时按实际采购数量结算。</w:t>
            </w:r>
          </w:p>
          <w:p w14:paraId="10C03F8D">
            <w:pPr>
              <w:spacing w:line="360" w:lineRule="auto"/>
              <w:rPr>
                <w:rFonts w:hint="eastAsia"/>
                <w:sz w:val="22"/>
                <w:szCs w:val="22"/>
                <w:vertAlign w:val="baseline"/>
              </w:rPr>
            </w:pPr>
            <w:r>
              <w:rPr>
                <w:rFonts w:hint="eastAsia"/>
                <w:sz w:val="22"/>
                <w:szCs w:val="22"/>
                <w:vertAlign w:val="baseline"/>
              </w:rPr>
              <w:t>▲2、质量要求</w:t>
            </w:r>
          </w:p>
          <w:p w14:paraId="2AE44154">
            <w:pPr>
              <w:spacing w:line="360" w:lineRule="auto"/>
              <w:rPr>
                <w:rFonts w:hint="eastAsia"/>
                <w:sz w:val="22"/>
                <w:szCs w:val="22"/>
                <w:vertAlign w:val="baseline"/>
              </w:rPr>
            </w:pPr>
            <w:r>
              <w:rPr>
                <w:rFonts w:hint="eastAsia"/>
                <w:sz w:val="22"/>
                <w:szCs w:val="22"/>
                <w:vertAlign w:val="baseline"/>
              </w:rPr>
              <w:t>(1)保证生产日期新鲜且符合食品安全国家标准和《食品安全法》要求，具有生产许可证编号或具有“SC”食品生产许可认证。</w:t>
            </w:r>
          </w:p>
          <w:p w14:paraId="77EC68DF">
            <w:pPr>
              <w:spacing w:line="360" w:lineRule="auto"/>
              <w:rPr>
                <w:rFonts w:hint="eastAsia"/>
                <w:sz w:val="22"/>
                <w:szCs w:val="22"/>
                <w:vertAlign w:val="baseline"/>
              </w:rPr>
            </w:pPr>
            <w:r>
              <w:rPr>
                <w:rFonts w:hint="eastAsia"/>
                <w:sz w:val="22"/>
                <w:szCs w:val="22"/>
                <w:vertAlign w:val="baseline"/>
              </w:rPr>
              <w:t>(2)包装用机械封装、无毒、无害塑料袋(直接接触食品的包装必须为食品级),包装的正面需印有产品名称及生产日期和保质期，外包装必须符合《食品安全法》的相关规定，产品要求为即产即销。</w:t>
            </w:r>
          </w:p>
          <w:p w14:paraId="266BD931">
            <w:pPr>
              <w:spacing w:line="360" w:lineRule="auto"/>
              <w:rPr>
                <w:rFonts w:hint="eastAsia"/>
                <w:sz w:val="22"/>
                <w:szCs w:val="22"/>
                <w:vertAlign w:val="baseline"/>
              </w:rPr>
            </w:pPr>
            <w:r>
              <w:rPr>
                <w:rFonts w:hint="eastAsia"/>
                <w:sz w:val="22"/>
                <w:szCs w:val="22"/>
                <w:vertAlign w:val="baseline"/>
              </w:rPr>
              <w:t>(3)保质期：达到国家规定要求，供货时的剩余保存期时间不得少于保质期的四分之三。</w:t>
            </w:r>
          </w:p>
        </w:tc>
      </w:tr>
    </w:tbl>
    <w:p w14:paraId="6DC9324A">
      <w:pPr>
        <w:pageBreakBefore w:val="0"/>
        <w:widowControl w:val="0"/>
        <w:kinsoku/>
        <w:wordWrap/>
        <w:overflowPunct/>
        <w:topLinePunct w:val="0"/>
        <w:bidi w:val="0"/>
        <w:adjustRightInd/>
        <w:spacing w:afterAutospacing="0" w:line="500" w:lineRule="exact"/>
        <w:textAlignment w:val="auto"/>
        <w:rPr>
          <w:rFonts w:hint="eastAsia" w:ascii="宋体" w:hAnsi="宋体" w:eastAsia="宋体" w:cs="宋体"/>
          <w:color w:val="auto"/>
          <w:highlight w:val="none"/>
          <w:lang w:val="en-US" w:eastAsia="zh-CN"/>
        </w:rPr>
      </w:pPr>
    </w:p>
    <w:p w14:paraId="35090DD0">
      <w:pPr>
        <w:pStyle w:val="3"/>
        <w:pageBreakBefore w:val="0"/>
        <w:widowControl w:val="0"/>
        <w:kinsoku/>
        <w:wordWrap/>
        <w:overflowPunct/>
        <w:topLinePunct w:val="0"/>
        <w:bidi w:val="0"/>
        <w:adjustRightInd/>
        <w:spacing w:before="0" w:beforeLines="0" w:beforeAutospacing="0" w:after="0" w:afterLines="0" w:afterAutospacing="0" w:line="500" w:lineRule="exact"/>
        <w:textAlignment w:val="auto"/>
        <w:outlineLvl w:val="1"/>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32"/>
          <w:szCs w:val="40"/>
          <w:highlight w:val="none"/>
          <w:lang w:val="en-US" w:eastAsia="zh-CN"/>
        </w:rPr>
        <w:t>二、商务条款</w:t>
      </w:r>
    </w:p>
    <w:tbl>
      <w:tblPr>
        <w:tblStyle w:val="37"/>
        <w:tblpPr w:leftFromText="180" w:rightFromText="180" w:vertAnchor="text" w:horzAnchor="page" w:tblpX="1800" w:tblpY="2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7354"/>
      </w:tblGrid>
      <w:tr w14:paraId="6866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01EA7A51">
            <w:pPr>
              <w:numPr>
                <w:ilvl w:val="0"/>
                <w:numId w:val="0"/>
              </w:numPr>
              <w:spacing w:line="360" w:lineRule="auto"/>
              <w:rPr>
                <w:rFonts w:hint="eastAsia" w:ascii="宋体" w:hAnsi="宋体" w:eastAsia="宋体" w:cs="宋体"/>
                <w:sz w:val="22"/>
                <w:szCs w:val="22"/>
                <w:vertAlign w:val="baseline"/>
                <w:lang w:eastAsia="zh-CN"/>
              </w:rPr>
            </w:pPr>
          </w:p>
          <w:p w14:paraId="54D49E0B">
            <w:pPr>
              <w:numPr>
                <w:ilvl w:val="0"/>
                <w:numId w:val="0"/>
              </w:numPr>
              <w:spacing w:line="360" w:lineRule="auto"/>
              <w:rPr>
                <w:rFonts w:hint="eastAsia" w:ascii="宋体" w:hAnsi="宋体" w:eastAsia="宋体" w:cs="宋体"/>
                <w:sz w:val="22"/>
                <w:szCs w:val="22"/>
                <w:vertAlign w:val="baseline"/>
                <w:lang w:eastAsia="zh-CN"/>
              </w:rPr>
            </w:pPr>
          </w:p>
          <w:p w14:paraId="08BAAEF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（一）服务总体要求</w:t>
            </w:r>
          </w:p>
        </w:tc>
        <w:tc>
          <w:tcPr>
            <w:tcW w:w="7354" w:type="dxa"/>
          </w:tcPr>
          <w:p w14:paraId="0DC8FE9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w:t>
            </w:r>
            <w:r>
              <w:rPr>
                <w:rFonts w:hint="eastAsia" w:ascii="宋体" w:hAnsi="宋体" w:eastAsia="宋体" w:cs="宋体"/>
                <w:sz w:val="22"/>
                <w:szCs w:val="22"/>
                <w:vertAlign w:val="baseline"/>
                <w:lang w:val="en-US" w:eastAsia="zh-CN"/>
              </w:rPr>
              <w:t>分标2</w:t>
            </w:r>
            <w:r>
              <w:rPr>
                <w:rFonts w:hint="eastAsia" w:ascii="宋体" w:hAnsi="宋体" w:eastAsia="宋体" w:cs="宋体"/>
                <w:sz w:val="22"/>
                <w:szCs w:val="22"/>
                <w:vertAlign w:val="baseline"/>
                <w:lang w:eastAsia="zh-CN"/>
              </w:rPr>
              <w:t>供货服务对象：县中片区(</w:t>
            </w:r>
            <w:r>
              <w:rPr>
                <w:rFonts w:hint="eastAsia" w:ascii="宋体" w:hAnsi="宋体" w:eastAsia="宋体" w:cs="宋体"/>
                <w:color w:val="000000" w:themeColor="text1"/>
                <w:sz w:val="22"/>
                <w:szCs w:val="22"/>
                <w:vertAlign w:val="baseline"/>
                <w:lang w:eastAsia="zh-CN"/>
                <w14:textFill>
                  <w14:solidFill>
                    <w14:schemeClr w14:val="tx1"/>
                  </w14:solidFill>
                </w14:textFill>
              </w:rPr>
              <w:t>沙坡镇、温泉镇、大桥镇、横山镇、乌石镇</w:t>
            </w:r>
            <w:r>
              <w:rPr>
                <w:rFonts w:hint="eastAsia" w:ascii="宋体" w:hAnsi="宋体" w:eastAsia="宋体" w:cs="宋体"/>
                <w:sz w:val="22"/>
                <w:szCs w:val="22"/>
                <w:vertAlign w:val="baseline"/>
                <w:lang w:eastAsia="zh-CN"/>
              </w:rPr>
              <w:t>）的学校共计约</w:t>
            </w:r>
            <w:r>
              <w:rPr>
                <w:rFonts w:hint="eastAsia" w:ascii="宋体" w:hAnsi="宋体" w:eastAsia="宋体" w:cs="宋体"/>
                <w:color w:val="000000" w:themeColor="text1"/>
                <w:sz w:val="22"/>
                <w:szCs w:val="22"/>
                <w:vertAlign w:val="baseline"/>
                <w:lang w:val="en-US" w:eastAsia="zh-CN"/>
                <w14:textFill>
                  <w14:solidFill>
                    <w14:schemeClr w14:val="tx1"/>
                  </w14:solidFill>
                </w14:textFill>
              </w:rPr>
              <w:t>31707</w:t>
            </w:r>
            <w:r>
              <w:rPr>
                <w:rFonts w:hint="eastAsia" w:ascii="宋体" w:hAnsi="宋体" w:eastAsia="宋体" w:cs="宋体"/>
                <w:color w:val="000000" w:themeColor="text1"/>
                <w:sz w:val="22"/>
                <w:szCs w:val="22"/>
                <w:vertAlign w:val="baseline"/>
                <w:lang w:eastAsia="zh-CN"/>
                <w14:textFill>
                  <w14:solidFill>
                    <w14:schemeClr w14:val="tx1"/>
                  </w14:solidFill>
                </w14:textFill>
              </w:rPr>
              <w:t>人（以实际受益学生数为准）</w:t>
            </w:r>
            <w:r>
              <w:rPr>
                <w:rFonts w:hint="eastAsia" w:ascii="宋体" w:hAnsi="宋体" w:eastAsia="宋体" w:cs="宋体"/>
                <w:sz w:val="22"/>
                <w:szCs w:val="22"/>
                <w:vertAlign w:val="baseline"/>
                <w:lang w:eastAsia="zh-CN"/>
              </w:rPr>
              <w:t>。</w:t>
            </w:r>
          </w:p>
          <w:p w14:paraId="378249FB">
            <w:pPr>
              <w:numPr>
                <w:ilvl w:val="0"/>
                <w:numId w:val="0"/>
              </w:numPr>
              <w:spacing w:line="360" w:lineRule="auto"/>
              <w:ind w:firstLine="440" w:firstLineChars="200"/>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严禁配送预制菜，中标企业建设统一配送中心和全链条可溯源信息化监管系统。</w:t>
            </w:r>
          </w:p>
          <w:p w14:paraId="70FDBAF9">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2、采购量：实际数量以采购单位根据实际需要为准，结算时按实际采购数量结算。中标供应商不得因实际供应量与中标数量不一致提出异议。</w:t>
            </w:r>
          </w:p>
          <w:p w14:paraId="2EBB1C3C">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3、中标人不得将中标货物转包或分包给第三方，采购单位发现的有权单方终止合同。由此产生的一切经济损失由中标人自行承担。</w:t>
            </w:r>
          </w:p>
          <w:p w14:paraId="089A7BE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4、中标人在合同履行期间保证对采购单位的货物供应，中标后不得拒绝采购单位分配的任务。中标人在服务期内没能达到投标文件承诺的服务要求的，中标人未按要求履行协议义务的或中标人的资质在服务期内发生变化不再符合要求的，采购单位均有权单方终止合同，由此产生的一切经济损失由中标人自行承担。</w:t>
            </w:r>
          </w:p>
          <w:p w14:paraId="2CBE2200">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val="en-US" w:eastAsia="zh-CN"/>
              </w:rPr>
              <w:t>5</w:t>
            </w:r>
            <w:r>
              <w:rPr>
                <w:rFonts w:hint="eastAsia" w:ascii="宋体" w:hAnsi="宋体" w:eastAsia="宋体" w:cs="宋体"/>
                <w:sz w:val="22"/>
                <w:szCs w:val="22"/>
                <w:vertAlign w:val="baseline"/>
                <w:lang w:eastAsia="zh-CN"/>
              </w:rPr>
              <w:t>、中标人必须遵守国家的法律法规及采购单位的规章制度。中标人(包括送货人员)必须服从采购单位的监督、管理。进入校园出现与学生私自接触、捎带物品和利益交易等违规行为的，直接终止合同，并追究供应商相关责任。</w:t>
            </w:r>
          </w:p>
          <w:p w14:paraId="75FCA1A9">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6、中标人应保证所提供的产品必须是合格安全的产品，供应的货物因产品质量问题造成食品安全事故的，直接取消供应商的供货资格，由供应商承担全部经济赔偿责任及其他法律责任。</w:t>
            </w:r>
          </w:p>
          <w:p w14:paraId="7CB7D336">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7、中标人提供符合市场监管部门要求的有效证明材料。如有效的营业执照、产品合格证、食品原材料采购供应渠道等。建立完备的冷藏、分割、包装、检测、留样、监控系统。</w:t>
            </w:r>
          </w:p>
          <w:p w14:paraId="26A660C9">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8、中标人配送的食品应严格遵循健康原则，确保所有产品避免“三高”:即高油脂、高盐分、高糖分的成分添加；不得使用深加工食品，以提供更为健康、均衡的饮食选择。</w:t>
            </w:r>
          </w:p>
          <w:p w14:paraId="10B7729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9、由于项目资金发生不可预见的调整，存在可能引发项目被迫中止的风险，鉴于此情况，所有因此而产生的风险、损失及后果，将由中标人一方独立承担。</w:t>
            </w:r>
          </w:p>
          <w:p w14:paraId="1C4A5687">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val="en-US" w:eastAsia="zh-CN"/>
              </w:rPr>
              <w:t>10、</w:t>
            </w:r>
            <w:r>
              <w:rPr>
                <w:rFonts w:hint="eastAsia"/>
                <w:highlight w:val="yellow"/>
              </w:rPr>
              <w:t>投标人拟投入专用食品储存冷库</w:t>
            </w:r>
            <w:r>
              <w:rPr>
                <w:rFonts w:hint="eastAsia"/>
                <w:highlight w:val="yellow"/>
                <w:lang w:val="en-US" w:eastAsia="zh-CN"/>
              </w:rPr>
              <w:t>或仓库</w:t>
            </w:r>
            <w:r>
              <w:rPr>
                <w:rFonts w:hint="eastAsia"/>
                <w:highlight w:val="yellow"/>
              </w:rPr>
              <w:t>，提供冷库</w:t>
            </w:r>
            <w:r>
              <w:rPr>
                <w:rFonts w:hint="eastAsia"/>
                <w:highlight w:val="yellow"/>
                <w:lang w:val="en-US" w:eastAsia="zh-CN"/>
              </w:rPr>
              <w:t>或仓库自有或租赁合同</w:t>
            </w:r>
            <w:r>
              <w:rPr>
                <w:rFonts w:hint="eastAsia"/>
                <w:highlight w:val="yellow"/>
              </w:rPr>
              <w:t>等证明材料</w:t>
            </w:r>
            <w:r>
              <w:rPr>
                <w:rFonts w:hint="eastAsia"/>
                <w:highlight w:val="yellow"/>
                <w:lang w:eastAsia="zh-CN"/>
              </w:rPr>
              <w:t>，</w:t>
            </w:r>
            <w:r>
              <w:rPr>
                <w:rFonts w:hint="eastAsia"/>
                <w:highlight w:val="yellow"/>
              </w:rPr>
              <w:t>或承诺中标后租赁</w:t>
            </w:r>
            <w:r>
              <w:rPr>
                <w:rFonts w:hint="eastAsia"/>
                <w:highlight w:val="yellow"/>
                <w:lang w:val="en-US" w:eastAsia="zh-CN"/>
              </w:rPr>
              <w:t>仓库或冷库的</w:t>
            </w:r>
            <w:r>
              <w:rPr>
                <w:rFonts w:hint="eastAsia"/>
                <w:highlight w:val="yellow"/>
              </w:rPr>
              <w:t>须提供承诺函（格式自拟）</w:t>
            </w:r>
            <w:r>
              <w:rPr>
                <w:rFonts w:hint="eastAsia"/>
                <w:highlight w:val="yellow"/>
                <w:lang w:val="en-US" w:eastAsia="zh-CN"/>
              </w:rPr>
              <w:t>并在签订合同时提供相关证明材料</w:t>
            </w:r>
            <w:r>
              <w:rPr>
                <w:rFonts w:hint="eastAsia"/>
                <w:highlight w:val="yellow"/>
                <w:lang w:eastAsia="zh-CN"/>
              </w:rPr>
              <w:t>。</w:t>
            </w:r>
          </w:p>
        </w:tc>
      </w:tr>
      <w:tr w14:paraId="1FA8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18CC1823">
            <w:pPr>
              <w:numPr>
                <w:ilvl w:val="0"/>
                <w:numId w:val="0"/>
              </w:numPr>
              <w:spacing w:line="360" w:lineRule="auto"/>
              <w:rPr>
                <w:rFonts w:hint="eastAsia" w:ascii="宋体" w:hAnsi="宋体" w:eastAsia="宋体" w:cs="宋体"/>
                <w:sz w:val="22"/>
                <w:szCs w:val="22"/>
                <w:vertAlign w:val="baseline"/>
                <w:lang w:eastAsia="zh-CN"/>
              </w:rPr>
            </w:pPr>
          </w:p>
          <w:p w14:paraId="683B19CD">
            <w:pPr>
              <w:numPr>
                <w:ilvl w:val="0"/>
                <w:numId w:val="0"/>
              </w:numPr>
              <w:spacing w:line="360" w:lineRule="auto"/>
              <w:rPr>
                <w:rFonts w:hint="eastAsia" w:ascii="宋体" w:hAnsi="宋体" w:eastAsia="宋体" w:cs="宋体"/>
                <w:sz w:val="22"/>
                <w:szCs w:val="22"/>
                <w:vertAlign w:val="baseline"/>
                <w:lang w:eastAsia="zh-CN"/>
              </w:rPr>
            </w:pPr>
          </w:p>
          <w:p w14:paraId="152DC6AD">
            <w:pPr>
              <w:numPr>
                <w:ilvl w:val="0"/>
                <w:numId w:val="0"/>
              </w:numPr>
              <w:spacing w:line="360" w:lineRule="auto"/>
              <w:rPr>
                <w:rFonts w:hint="eastAsia" w:ascii="宋体" w:hAnsi="宋体" w:eastAsia="宋体" w:cs="宋体"/>
                <w:sz w:val="22"/>
                <w:szCs w:val="22"/>
                <w:vertAlign w:val="baseline"/>
                <w:lang w:eastAsia="zh-CN"/>
              </w:rPr>
            </w:pPr>
          </w:p>
          <w:p w14:paraId="62772BB6">
            <w:pPr>
              <w:numPr>
                <w:ilvl w:val="0"/>
                <w:numId w:val="0"/>
              </w:numPr>
              <w:spacing w:line="360" w:lineRule="auto"/>
              <w:rPr>
                <w:rFonts w:hint="eastAsia" w:ascii="宋体" w:hAnsi="宋体" w:eastAsia="宋体" w:cs="宋体"/>
                <w:sz w:val="22"/>
                <w:szCs w:val="22"/>
                <w:vertAlign w:val="baseline"/>
                <w:lang w:eastAsia="zh-CN"/>
              </w:rPr>
            </w:pPr>
          </w:p>
          <w:p w14:paraId="55CCEDA1">
            <w:pPr>
              <w:numPr>
                <w:ilvl w:val="0"/>
                <w:numId w:val="0"/>
              </w:numPr>
              <w:spacing w:line="360" w:lineRule="auto"/>
              <w:rPr>
                <w:rFonts w:hint="eastAsia" w:ascii="宋体" w:hAnsi="宋体" w:eastAsia="宋体" w:cs="宋体"/>
                <w:sz w:val="22"/>
                <w:szCs w:val="22"/>
                <w:vertAlign w:val="baseline"/>
                <w:lang w:eastAsia="zh-CN"/>
              </w:rPr>
            </w:pPr>
          </w:p>
          <w:p w14:paraId="13A7AC7E">
            <w:pPr>
              <w:numPr>
                <w:ilvl w:val="0"/>
                <w:numId w:val="0"/>
              </w:numPr>
              <w:spacing w:line="360" w:lineRule="auto"/>
              <w:rPr>
                <w:rFonts w:hint="eastAsia" w:ascii="宋体" w:hAnsi="宋体" w:eastAsia="宋体" w:cs="宋体"/>
                <w:sz w:val="22"/>
                <w:szCs w:val="22"/>
                <w:vertAlign w:val="baseline"/>
                <w:lang w:eastAsia="zh-CN"/>
              </w:rPr>
            </w:pPr>
          </w:p>
          <w:p w14:paraId="583670B7">
            <w:pPr>
              <w:numPr>
                <w:ilvl w:val="0"/>
                <w:numId w:val="0"/>
              </w:numPr>
              <w:spacing w:line="360" w:lineRule="auto"/>
              <w:rPr>
                <w:rFonts w:hint="eastAsia" w:ascii="宋体" w:hAnsi="宋体" w:eastAsia="宋体" w:cs="宋体"/>
                <w:sz w:val="22"/>
                <w:szCs w:val="22"/>
                <w:vertAlign w:val="baseline"/>
                <w:lang w:eastAsia="zh-CN"/>
              </w:rPr>
            </w:pPr>
          </w:p>
          <w:p w14:paraId="583FE461">
            <w:pPr>
              <w:numPr>
                <w:ilvl w:val="0"/>
                <w:numId w:val="0"/>
              </w:numPr>
              <w:spacing w:line="360" w:lineRule="auto"/>
              <w:rPr>
                <w:rFonts w:hint="eastAsia" w:ascii="宋体" w:hAnsi="宋体" w:eastAsia="宋体" w:cs="宋体"/>
                <w:sz w:val="22"/>
                <w:szCs w:val="22"/>
                <w:vertAlign w:val="baseline"/>
                <w:lang w:eastAsia="zh-CN"/>
              </w:rPr>
            </w:pPr>
          </w:p>
          <w:p w14:paraId="4A69B0C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（二）供应价格要求</w:t>
            </w:r>
          </w:p>
        </w:tc>
        <w:tc>
          <w:tcPr>
            <w:tcW w:w="7354" w:type="dxa"/>
          </w:tcPr>
          <w:p w14:paraId="031E681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投标报价是履行合同的最终价格，必须包含满足本次疫标全部采购需求所应提供的服务，以及伴随的货物的价格：包含投标服务、货物成本、运输(含保险)装卸、搬运、检验、保险、利润、税费、质保期售后服务、雇员费、合同实施过程中的应顾见和或不可预见等费用总和。所产生的费用由中标人负责。</w:t>
            </w:r>
          </w:p>
          <w:p w14:paraId="51298783">
            <w:pPr>
              <w:numPr>
                <w:ilvl w:val="0"/>
                <w:numId w:val="0"/>
              </w:numPr>
              <w:spacing w:line="360" w:lineRule="auto"/>
              <w:rPr>
                <w:rFonts w:hint="eastAsia" w:ascii="宋体" w:hAnsi="宋体" w:eastAsia="宋体" w:cs="宋体"/>
                <w:b/>
                <w:bCs/>
                <w:sz w:val="22"/>
                <w:szCs w:val="22"/>
                <w:vertAlign w:val="baseline"/>
                <w:lang w:eastAsia="zh-CN"/>
              </w:rPr>
            </w:pPr>
            <w:r>
              <w:rPr>
                <w:rFonts w:hint="eastAsia" w:ascii="宋体" w:hAnsi="宋体" w:eastAsia="宋体" w:cs="宋体"/>
                <w:b/>
                <w:bCs/>
                <w:sz w:val="22"/>
                <w:szCs w:val="22"/>
                <w:vertAlign w:val="baseline"/>
                <w:lang w:eastAsia="zh-CN"/>
              </w:rPr>
              <w:t>2、供应商投标报价采用折扣率报价(以%表示，折扣率报价精确到个位数)。投标报价范围：≤100%(如：供货产品打八折即投标折扣率为80%,以此类推),否则，作无效报价处理。</w:t>
            </w:r>
          </w:p>
          <w:p w14:paraId="4242E3D9">
            <w:pPr>
              <w:pStyle w:val="141"/>
              <w:spacing w:before="28" w:line="360" w:lineRule="auto"/>
              <w:rPr>
                <w:rFonts w:hint="eastAsia" w:ascii="宋体" w:hAnsi="宋体" w:eastAsia="宋体" w:cs="宋体"/>
                <w:sz w:val="22"/>
                <w:szCs w:val="22"/>
                <w:vertAlign w:val="baseline"/>
                <w:lang w:eastAsia="zh-CN"/>
              </w:rPr>
            </w:pPr>
            <w:r>
              <w:rPr>
                <w:spacing w:val="-3"/>
                <w:sz w:val="22"/>
                <w:szCs w:val="22"/>
              </w:rPr>
              <w:t>3、投标折扣率将作为食材或货物实际结算的合同折扣率，结算时</w:t>
            </w:r>
            <w:r>
              <w:rPr>
                <w:spacing w:val="-1"/>
                <w:sz w:val="22"/>
                <w:szCs w:val="22"/>
              </w:rPr>
              <w:t>以学校实际采购量进行结算。采购单位根据各食材或货物的市场</w:t>
            </w:r>
            <w:r>
              <w:rPr>
                <w:sz w:val="22"/>
                <w:szCs w:val="22"/>
              </w:rPr>
              <w:t>价格情况，肉禽鱼类产品定价周期为15日，果蔬类定价周期为7</w:t>
            </w:r>
            <w:r>
              <w:rPr>
                <w:spacing w:val="1"/>
                <w:sz w:val="22"/>
                <w:szCs w:val="22"/>
              </w:rPr>
              <w:t>日，早餐类和干杂类定价周期为1个月，所有食品原材料价格由</w:t>
            </w:r>
            <w:r>
              <w:rPr>
                <w:rFonts w:hint="eastAsia"/>
                <w:spacing w:val="1"/>
                <w:sz w:val="22"/>
                <w:szCs w:val="22"/>
                <w:lang w:eastAsia="zh-CN"/>
              </w:rPr>
              <w:t>县</w:t>
            </w:r>
            <w:r>
              <w:rPr>
                <w:spacing w:val="-3"/>
                <w:sz w:val="22"/>
                <w:szCs w:val="22"/>
              </w:rPr>
              <w:t>教育局组织供应商和部分学校采购代表协商确定。先由供应商</w:t>
            </w:r>
            <w:r>
              <w:rPr>
                <w:spacing w:val="-5"/>
                <w:sz w:val="22"/>
                <w:szCs w:val="22"/>
              </w:rPr>
              <w:t>报价，学校采购代表到</w:t>
            </w:r>
            <w:r>
              <w:rPr>
                <w:rFonts w:hint="eastAsia"/>
                <w:spacing w:val="-5"/>
                <w:sz w:val="22"/>
                <w:szCs w:val="22"/>
                <w:lang w:eastAsia="zh-CN"/>
              </w:rPr>
              <w:t>九洲市场、友爱市场、河坝村市场、万丈市场、家家福</w:t>
            </w:r>
            <w:r>
              <w:rPr>
                <w:spacing w:val="-4"/>
                <w:sz w:val="22"/>
                <w:szCs w:val="22"/>
              </w:rPr>
              <w:t>超市、百汇超市</w:t>
            </w:r>
            <w:r>
              <w:rPr>
                <w:rFonts w:hint="eastAsia"/>
                <w:spacing w:val="-4"/>
                <w:sz w:val="22"/>
                <w:szCs w:val="22"/>
                <w:lang w:eastAsia="zh-CN"/>
              </w:rPr>
              <w:t>、天天超市</w:t>
            </w:r>
            <w:r>
              <w:rPr>
                <w:spacing w:val="-4"/>
                <w:sz w:val="22"/>
                <w:szCs w:val="22"/>
              </w:rPr>
              <w:t>等市场询价，</w:t>
            </w:r>
            <w:r>
              <w:rPr>
                <w:rFonts w:hint="eastAsia"/>
                <w:spacing w:val="-4"/>
                <w:sz w:val="22"/>
                <w:szCs w:val="22"/>
                <w:lang w:eastAsia="zh-CN"/>
              </w:rPr>
              <w:t>由</w:t>
            </w:r>
            <w:r>
              <w:rPr>
                <w:spacing w:val="-4"/>
                <w:sz w:val="22"/>
                <w:szCs w:val="22"/>
              </w:rPr>
              <w:t>教育局</w:t>
            </w:r>
            <w:r>
              <w:rPr>
                <w:rFonts w:hint="eastAsia"/>
                <w:spacing w:val="-4"/>
                <w:sz w:val="22"/>
                <w:szCs w:val="22"/>
                <w:lang w:eastAsia="zh-CN"/>
              </w:rPr>
              <w:t>代表、学校代表、学生家长代表采取轮流随机抽取组成询价小组</w:t>
            </w:r>
            <w:r>
              <w:rPr>
                <w:spacing w:val="-4"/>
                <w:sz w:val="22"/>
                <w:szCs w:val="22"/>
              </w:rPr>
              <w:t>和供应商进行议价，</w:t>
            </w:r>
            <w:r>
              <w:rPr>
                <w:rFonts w:hint="eastAsia"/>
                <w:spacing w:val="-4"/>
                <w:sz w:val="22"/>
                <w:szCs w:val="22"/>
                <w:lang w:eastAsia="zh-CN"/>
              </w:rPr>
              <w:t>或根据当期发改部门发布的食材价格信息价作为基准单价计算，确定价格基准价(标准单价),</w:t>
            </w:r>
            <w:r>
              <w:rPr>
                <w:rFonts w:hint="eastAsia"/>
                <w:spacing w:val="-4"/>
                <w:sz w:val="22"/>
                <w:szCs w:val="22"/>
              </w:rPr>
              <w:t>价格基准价(标准单价)不能高于市场上的最高价</w:t>
            </w:r>
            <w:r>
              <w:rPr>
                <w:rFonts w:hint="eastAsia"/>
                <w:spacing w:val="-4"/>
                <w:sz w:val="22"/>
                <w:szCs w:val="22"/>
                <w:lang w:eastAsia="zh-CN"/>
              </w:rPr>
              <w:t>，</w:t>
            </w:r>
            <w:r>
              <w:rPr>
                <w:spacing w:val="-1"/>
                <w:sz w:val="22"/>
                <w:szCs w:val="22"/>
              </w:rPr>
              <w:t>如果价格不能协商确定的，供应商暂停供应该食材，由采购单位</w:t>
            </w:r>
            <w:r>
              <w:rPr>
                <w:sz w:val="22"/>
                <w:szCs w:val="22"/>
              </w:rPr>
              <w:t>启动应急采购预案，从其他中标商或具有食品安全保证的供应商</w:t>
            </w:r>
            <w:r>
              <w:rPr>
                <w:rFonts w:hint="eastAsia"/>
                <w:sz w:val="22"/>
                <w:szCs w:val="22"/>
                <w:lang w:eastAsia="zh-CN"/>
              </w:rPr>
              <w:t>采购。</w:t>
            </w:r>
            <w:r>
              <w:rPr>
                <w:b/>
                <w:bCs/>
                <w:spacing w:val="-3"/>
                <w:sz w:val="22"/>
                <w:szCs w:val="22"/>
              </w:rPr>
              <w:t>既当期某食材或货物结算价=标准单价X合同折扣率×该食材或货物实际采购量(例如：标准单价=100元/斤，合同折扣率</w:t>
            </w:r>
            <w:r>
              <w:rPr>
                <w:b/>
                <w:bCs/>
                <w:spacing w:val="-2"/>
                <w:sz w:val="22"/>
                <w:szCs w:val="22"/>
              </w:rPr>
              <w:t>=97%,该食材或货物实际采购量=10斤，当期某食材或货物结</w:t>
            </w:r>
            <w:r>
              <w:rPr>
                <w:b/>
                <w:bCs/>
                <w:spacing w:val="-3"/>
                <w:sz w:val="22"/>
                <w:szCs w:val="22"/>
              </w:rPr>
              <w:t>算价=100×0.97×10=970元)。</w:t>
            </w:r>
          </w:p>
        </w:tc>
      </w:tr>
      <w:tr w14:paraId="03CE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3EA48C98">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（三）</w:t>
            </w:r>
          </w:p>
          <w:p w14:paraId="2F0A0F3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货款结算及付款方式</w:t>
            </w:r>
          </w:p>
        </w:tc>
        <w:tc>
          <w:tcPr>
            <w:tcW w:w="7354" w:type="dxa"/>
          </w:tcPr>
          <w:p w14:paraId="37210F09">
            <w:pPr>
              <w:numPr>
                <w:ilvl w:val="0"/>
                <w:numId w:val="0"/>
              </w:numPr>
              <w:spacing w:line="360" w:lineRule="auto"/>
              <w:rPr>
                <w:rFonts w:hint="eastAsia" w:ascii="宋体" w:hAnsi="宋体" w:eastAsia="宋体" w:cs="宋体"/>
                <w:sz w:val="22"/>
                <w:szCs w:val="22"/>
                <w:vertAlign w:val="baseline"/>
                <w:lang w:eastAsia="zh-CN"/>
              </w:rPr>
            </w:pPr>
            <w:r>
              <w:rPr>
                <w:highlight w:val="yellow"/>
              </w:rPr>
              <w:t>双方签订合同后，</w:t>
            </w:r>
            <w:r>
              <w:rPr>
                <w:rFonts w:hint="eastAsia"/>
                <w:highlight w:val="yellow"/>
                <w:lang w:val="en-US" w:eastAsia="zh-CN"/>
              </w:rPr>
              <w:t>中标</w:t>
            </w:r>
            <w:r>
              <w:rPr>
                <w:highlight w:val="yellow"/>
              </w:rPr>
              <w:t>供应商须向采购人提供合同总金额</w:t>
            </w:r>
            <w:r>
              <w:rPr>
                <w:rFonts w:hint="eastAsia"/>
                <w:highlight w:val="yellow"/>
                <w:lang w:val="en-US" w:eastAsia="zh-CN"/>
              </w:rPr>
              <w:t>2</w:t>
            </w:r>
            <w:r>
              <w:rPr>
                <w:highlight w:val="yellow"/>
              </w:rPr>
              <w:t>%的预付款保函（</w:t>
            </w:r>
            <w:r>
              <w:rPr>
                <w:rFonts w:hint="eastAsia"/>
                <w:highlight w:val="yellow"/>
              </w:rPr>
              <w:t>每份保函的有效期应为提交下一份保函生效之日止</w:t>
            </w:r>
            <w:r>
              <w:rPr>
                <w:highlight w:val="yellow"/>
              </w:rPr>
              <w:t>）及等额发票</w:t>
            </w:r>
            <w:r>
              <w:rPr>
                <w:rFonts w:hint="eastAsia"/>
                <w:highlight w:val="yellow"/>
                <w:lang w:eastAsia="zh-CN"/>
              </w:rPr>
              <w:t>。</w:t>
            </w:r>
            <w:r>
              <w:rPr>
                <w:sz w:val="22"/>
                <w:szCs w:val="22"/>
              </w:rPr>
              <w:t>一般情况下采购单位按月进行结算，采购资金由采购单位财务</w:t>
            </w:r>
            <w:r>
              <w:rPr>
                <w:b w:val="0"/>
                <w:bCs w:val="0"/>
                <w:spacing w:val="-5"/>
                <w:sz w:val="22"/>
                <w:szCs w:val="22"/>
              </w:rPr>
              <w:t>户转入中标供应商账</w:t>
            </w:r>
            <w:r>
              <w:rPr>
                <w:rFonts w:hint="eastAsia"/>
                <w:b w:val="0"/>
                <w:bCs w:val="0"/>
                <w:spacing w:val="-5"/>
                <w:sz w:val="22"/>
                <w:szCs w:val="22"/>
                <w:lang w:eastAsia="zh-CN"/>
              </w:rPr>
              <w:t>户</w:t>
            </w:r>
            <w:r>
              <w:rPr>
                <w:b w:val="0"/>
                <w:bCs w:val="0"/>
                <w:spacing w:val="-5"/>
                <w:sz w:val="22"/>
                <w:szCs w:val="22"/>
              </w:rPr>
              <w:t>。每月25日前，中标供应商向采购单位库</w:t>
            </w:r>
            <w:r>
              <w:rPr>
                <w:rFonts w:hint="eastAsia"/>
                <w:b w:val="0"/>
                <w:bCs w:val="0"/>
                <w:spacing w:val="-5"/>
                <w:sz w:val="22"/>
                <w:szCs w:val="22"/>
                <w:lang w:eastAsia="zh-CN"/>
              </w:rPr>
              <w:t>出</w:t>
            </w:r>
            <w:r>
              <w:rPr>
                <w:b w:val="0"/>
                <w:bCs w:val="0"/>
                <w:spacing w:val="-3"/>
                <w:sz w:val="22"/>
                <w:szCs w:val="22"/>
              </w:rPr>
              <w:t>具上一月度供货相应数额的发票(农副产品免税的除外),采购</w:t>
            </w:r>
            <w:r>
              <w:rPr>
                <w:b w:val="0"/>
                <w:bCs w:val="0"/>
                <w:spacing w:val="-5"/>
                <w:sz w:val="22"/>
                <w:szCs w:val="22"/>
              </w:rPr>
              <w:t>单位收到发票后10个工作日内支付。特殊情况，需临时改变</w:t>
            </w:r>
            <w:r>
              <w:rPr>
                <w:b w:val="0"/>
                <w:bCs w:val="0"/>
                <w:spacing w:val="-6"/>
                <w:sz w:val="22"/>
                <w:szCs w:val="22"/>
              </w:rPr>
              <w:t>结算</w:t>
            </w:r>
            <w:r>
              <w:rPr>
                <w:b w:val="0"/>
                <w:bCs w:val="0"/>
                <w:spacing w:val="-3"/>
                <w:sz w:val="22"/>
                <w:szCs w:val="22"/>
              </w:rPr>
              <w:t>方式，双方可通过协商解决。</w:t>
            </w:r>
          </w:p>
        </w:tc>
      </w:tr>
      <w:tr w14:paraId="7231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39A108C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（四）交货地点</w:t>
            </w:r>
          </w:p>
        </w:tc>
        <w:tc>
          <w:tcPr>
            <w:tcW w:w="7354" w:type="dxa"/>
          </w:tcPr>
          <w:p w14:paraId="10EE0F8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color w:val="000000" w:themeColor="text1"/>
                <w:sz w:val="22"/>
                <w:szCs w:val="22"/>
                <w:vertAlign w:val="baseline"/>
                <w:lang w:eastAsia="zh-CN"/>
                <w14:textFill>
                  <w14:solidFill>
                    <w14:schemeClr w14:val="tx1"/>
                  </w14:solidFill>
                </w14:textFill>
              </w:rPr>
              <w:t>县中片区(沙坡镇、温泉镇、大桥镇、横山镇、乌石镇各辖区相关学校)</w:t>
            </w:r>
          </w:p>
        </w:tc>
      </w:tr>
      <w:tr w14:paraId="7767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754B21BF">
            <w:pPr>
              <w:numPr>
                <w:ilvl w:val="0"/>
                <w:numId w:val="0"/>
              </w:numPr>
              <w:spacing w:line="360" w:lineRule="auto"/>
              <w:rPr>
                <w:rFonts w:hint="eastAsia" w:ascii="宋体" w:hAnsi="宋体" w:eastAsia="宋体" w:cs="宋体"/>
                <w:sz w:val="22"/>
                <w:szCs w:val="22"/>
                <w:vertAlign w:val="baseline"/>
                <w:lang w:eastAsia="zh-CN"/>
              </w:rPr>
            </w:pPr>
          </w:p>
          <w:p w14:paraId="3DACA989">
            <w:pPr>
              <w:numPr>
                <w:ilvl w:val="0"/>
                <w:numId w:val="0"/>
              </w:numPr>
              <w:spacing w:line="360" w:lineRule="auto"/>
              <w:rPr>
                <w:rFonts w:hint="eastAsia" w:ascii="宋体" w:hAnsi="宋体" w:eastAsia="宋体" w:cs="宋体"/>
                <w:sz w:val="22"/>
                <w:szCs w:val="22"/>
                <w:vertAlign w:val="baseline"/>
                <w:lang w:eastAsia="zh-CN"/>
              </w:rPr>
            </w:pPr>
          </w:p>
          <w:p w14:paraId="0A080BBD">
            <w:pPr>
              <w:numPr>
                <w:ilvl w:val="0"/>
                <w:numId w:val="0"/>
              </w:numPr>
              <w:spacing w:line="360" w:lineRule="auto"/>
              <w:rPr>
                <w:rFonts w:hint="eastAsia" w:ascii="宋体" w:hAnsi="宋体" w:eastAsia="宋体" w:cs="宋体"/>
                <w:sz w:val="22"/>
                <w:szCs w:val="22"/>
                <w:vertAlign w:val="baseline"/>
                <w:lang w:eastAsia="zh-CN"/>
              </w:rPr>
            </w:pPr>
          </w:p>
          <w:p w14:paraId="42B85F48">
            <w:pPr>
              <w:numPr>
                <w:ilvl w:val="0"/>
                <w:numId w:val="0"/>
              </w:numPr>
              <w:spacing w:line="360" w:lineRule="auto"/>
              <w:rPr>
                <w:rFonts w:hint="eastAsia" w:ascii="宋体" w:hAnsi="宋体" w:eastAsia="宋体" w:cs="宋体"/>
                <w:sz w:val="22"/>
                <w:szCs w:val="22"/>
                <w:vertAlign w:val="baseline"/>
                <w:lang w:eastAsia="zh-CN"/>
              </w:rPr>
            </w:pPr>
          </w:p>
          <w:p w14:paraId="0CDD6D24">
            <w:pPr>
              <w:numPr>
                <w:ilvl w:val="0"/>
                <w:numId w:val="0"/>
              </w:numPr>
              <w:spacing w:line="360" w:lineRule="auto"/>
              <w:rPr>
                <w:rFonts w:hint="eastAsia" w:ascii="宋体" w:hAnsi="宋体" w:eastAsia="宋体" w:cs="宋体"/>
                <w:sz w:val="22"/>
                <w:szCs w:val="22"/>
                <w:vertAlign w:val="baseline"/>
                <w:lang w:eastAsia="zh-CN"/>
              </w:rPr>
            </w:pPr>
          </w:p>
          <w:p w14:paraId="685D90DD">
            <w:pPr>
              <w:numPr>
                <w:ilvl w:val="0"/>
                <w:numId w:val="0"/>
              </w:numPr>
              <w:spacing w:line="360" w:lineRule="auto"/>
              <w:rPr>
                <w:rFonts w:hint="eastAsia" w:ascii="宋体" w:hAnsi="宋体" w:eastAsia="宋体" w:cs="宋体"/>
                <w:sz w:val="22"/>
                <w:szCs w:val="22"/>
                <w:vertAlign w:val="baseline"/>
                <w:lang w:eastAsia="zh-CN"/>
              </w:rPr>
            </w:pPr>
          </w:p>
          <w:p w14:paraId="5ABC36FA">
            <w:pPr>
              <w:numPr>
                <w:ilvl w:val="0"/>
                <w:numId w:val="0"/>
              </w:numPr>
              <w:spacing w:line="360" w:lineRule="auto"/>
              <w:rPr>
                <w:rFonts w:hint="eastAsia" w:ascii="宋体" w:hAnsi="宋体" w:eastAsia="宋体" w:cs="宋体"/>
                <w:sz w:val="22"/>
                <w:szCs w:val="22"/>
                <w:vertAlign w:val="baseline"/>
                <w:lang w:eastAsia="zh-CN"/>
              </w:rPr>
            </w:pPr>
          </w:p>
          <w:p w14:paraId="19B8223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（五）</w:t>
            </w:r>
          </w:p>
          <w:p w14:paraId="7742D277">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配送服务要求</w:t>
            </w:r>
          </w:p>
        </w:tc>
        <w:tc>
          <w:tcPr>
            <w:tcW w:w="7354" w:type="dxa"/>
          </w:tcPr>
          <w:p w14:paraId="4553720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▲1、通过公开招标，打造“全程透明配送供应链”,围绕“质保、价惠、安全”的目标，把学校食堂服务管理工作建成“透明工程、安全工程、示范工程”。</w:t>
            </w:r>
          </w:p>
          <w:p w14:paraId="1649C79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(1)物资来源透明。所有采购物资优先在陆川有符合相关资质要求的固定种植或养殖基地、加工基地或批发代理。</w:t>
            </w:r>
          </w:p>
          <w:p w14:paraId="00A4E5DB">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(2)配送车间透明。所有供应商必须建设固定配送车间，建立完备的冷藏、分割、包装、检测、留样、监控系统。</w:t>
            </w:r>
          </w:p>
          <w:p w14:paraId="136FFF57">
            <w:pPr>
              <w:pStyle w:val="141"/>
              <w:spacing w:before="21" w:line="422" w:lineRule="auto"/>
              <w:rPr>
                <w:rFonts w:hint="eastAsia" w:ascii="宋体" w:hAnsi="宋体" w:eastAsia="宋体" w:cs="宋体"/>
                <w:sz w:val="22"/>
                <w:szCs w:val="22"/>
                <w:vertAlign w:val="baseline"/>
                <w:lang w:eastAsia="zh-CN"/>
              </w:rPr>
            </w:pPr>
            <w:r>
              <w:rPr>
                <w:spacing w:val="-2"/>
                <w:sz w:val="22"/>
                <w:szCs w:val="22"/>
              </w:rPr>
              <w:t>(3)配送过程透明。有统一标识专用厢式冷藏配送车辆、专用司</w:t>
            </w:r>
            <w:r>
              <w:rPr>
                <w:spacing w:val="-1"/>
                <w:sz w:val="22"/>
                <w:szCs w:val="22"/>
              </w:rPr>
              <w:t>机，采取点对点、固定路线、全程定位配送。</w:t>
            </w:r>
          </w:p>
          <w:p w14:paraId="58893B7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▲2、对配送供应商供应能力要求</w:t>
            </w:r>
          </w:p>
          <w:p w14:paraId="0840C9AB">
            <w:pPr>
              <w:pStyle w:val="141"/>
              <w:spacing w:before="260" w:line="416" w:lineRule="auto"/>
              <w:rPr>
                <w:sz w:val="22"/>
                <w:szCs w:val="22"/>
              </w:rPr>
            </w:pPr>
            <w:r>
              <w:rPr>
                <w:spacing w:val="-2"/>
                <w:sz w:val="22"/>
                <w:szCs w:val="22"/>
              </w:rPr>
              <w:t>(1)配送供应商中标后在</w:t>
            </w:r>
            <w:r>
              <w:rPr>
                <w:rFonts w:hint="eastAsia"/>
                <w:spacing w:val="-2"/>
                <w:sz w:val="22"/>
                <w:szCs w:val="22"/>
                <w:lang w:eastAsia="zh-CN"/>
              </w:rPr>
              <w:t>陆川</w:t>
            </w:r>
            <w:r>
              <w:rPr>
                <w:spacing w:val="-2"/>
                <w:sz w:val="22"/>
                <w:szCs w:val="22"/>
              </w:rPr>
              <w:t>市范围内有能满足本项目服</w:t>
            </w:r>
            <w:r>
              <w:rPr>
                <w:spacing w:val="-3"/>
                <w:sz w:val="22"/>
                <w:szCs w:val="22"/>
              </w:rPr>
              <w:t>务所需</w:t>
            </w:r>
            <w:r>
              <w:rPr>
                <w:sz w:val="22"/>
                <w:szCs w:val="22"/>
              </w:rPr>
              <w:t>的统一配送中心，配送中心至少包括食品仓库、检测室、冷库和其他办公用房等，同时拥有能满足配送要求的设施设备、检测仪</w:t>
            </w:r>
            <w:r>
              <w:rPr>
                <w:spacing w:val="-1"/>
                <w:sz w:val="22"/>
                <w:szCs w:val="22"/>
              </w:rPr>
              <w:t>器。</w:t>
            </w:r>
          </w:p>
          <w:p w14:paraId="5F4F97BC">
            <w:pPr>
              <w:pStyle w:val="141"/>
              <w:spacing w:before="67" w:line="415" w:lineRule="auto"/>
              <w:jc w:val="both"/>
              <w:rPr>
                <w:sz w:val="22"/>
                <w:szCs w:val="22"/>
              </w:rPr>
            </w:pPr>
            <w:r>
              <w:rPr>
                <w:spacing w:val="-2"/>
                <w:sz w:val="22"/>
                <w:szCs w:val="22"/>
              </w:rPr>
              <w:t>(2)食品仓库达到食品安全存放要求，进出口区域、食品加工区域、食品储存区域等功能区必须安装监控设备。食品仓库必须全</w:t>
            </w:r>
            <w:r>
              <w:rPr>
                <w:spacing w:val="-1"/>
                <w:sz w:val="22"/>
                <w:szCs w:val="22"/>
              </w:rPr>
              <w:t>封闭无污染配有专门消毒通道和监管人员。</w:t>
            </w:r>
          </w:p>
          <w:p w14:paraId="1BA2791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(3)配送供应商须具备较强的基地生产或食品原材料采购供应渠道，可追溯体系和监管体系要求。</w:t>
            </w:r>
            <w:r>
              <w:rPr>
                <w:spacing w:val="-2"/>
                <w:sz w:val="22"/>
                <w:szCs w:val="22"/>
              </w:rPr>
              <w:t>配送供应商能够对生产和销售的食品材料追溯种植源头</w:t>
            </w:r>
            <w:r>
              <w:rPr>
                <w:rFonts w:hint="eastAsia" w:ascii="宋体" w:hAnsi="宋体" w:eastAsia="宋体" w:cs="宋体"/>
                <w:sz w:val="22"/>
                <w:szCs w:val="22"/>
                <w:vertAlign w:val="baseline"/>
                <w:lang w:eastAsia="zh-CN"/>
              </w:rPr>
              <w:t>，原材料从生产到加工每个环节实行实时监督。实行商品质量责任制，有严格的质量管理、质量监督、质量保证体系，有稳定的进货渠道。销售商品在保质期内。商品质量、卫生检测合格，符合国家标准、行业标准。</w:t>
            </w:r>
          </w:p>
          <w:p w14:paraId="2C0F4D3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(4)要求每天配送一次，要配备至少1</w:t>
            </w:r>
            <w:r>
              <w:rPr>
                <w:rFonts w:hint="eastAsia" w:ascii="宋体" w:hAnsi="宋体" w:eastAsia="宋体" w:cs="宋体"/>
                <w:sz w:val="22"/>
                <w:szCs w:val="22"/>
                <w:highlight w:val="none"/>
                <w:vertAlign w:val="baseline"/>
                <w:lang w:eastAsia="zh-CN"/>
              </w:rPr>
              <w:t>辆具有符合安全卫生标准且有统一标识(在车身醒目处张贴该公司标志：</w:t>
            </w:r>
            <w:r>
              <w:rPr>
                <w:rFonts w:hint="eastAsia" w:ascii="宋体" w:hAnsi="宋体" w:eastAsia="宋体" w:cs="宋体"/>
                <w:color w:val="0000FF"/>
                <w:sz w:val="22"/>
                <w:szCs w:val="22"/>
                <w:highlight w:val="none"/>
                <w:vertAlign w:val="baseline"/>
                <w:lang w:eastAsia="zh-CN"/>
              </w:rPr>
              <w:t>****公司</w:t>
            </w:r>
            <w:r>
              <w:rPr>
                <w:rFonts w:hint="eastAsia" w:ascii="宋体" w:hAnsi="宋体" w:eastAsia="宋体" w:cs="宋体"/>
                <w:sz w:val="22"/>
                <w:szCs w:val="22"/>
                <w:highlight w:val="none"/>
                <w:vertAlign w:val="baseline"/>
                <w:lang w:eastAsia="zh-CN"/>
              </w:rPr>
              <w:t>配送专车)专用的封闭厢式冷藏保鲜的配送车辆及符合食品运输要求的固定司机1人。司机相关证照、健康证等报主管部门备案。</w:t>
            </w:r>
          </w:p>
          <w:p w14:paraId="0D716C1B">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(5)供应商应针对本项目至少配备4名(含4名)项目实施人员，项</w:t>
            </w:r>
          </w:p>
          <w:p w14:paraId="1F6895F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目实施人员包括但不限于：项目总负责人、配送负责人、检测负责人、司机等，中标后未经采购单位书面同意不得擅自更换，否则视为违约。</w:t>
            </w:r>
          </w:p>
          <w:p w14:paraId="08D0BC6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3、中标人应当根据采购单位实际情况，按照与采购单位的约定，在规定的时间内将预定的货物保质保量送到指定地点。</w:t>
            </w:r>
          </w:p>
          <w:p w14:paraId="73F93A1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val="en-US" w:eastAsia="zh-CN"/>
              </w:rPr>
              <w:t>4、</w:t>
            </w:r>
            <w:r>
              <w:rPr>
                <w:rFonts w:hint="eastAsia" w:ascii="宋体" w:hAnsi="宋体" w:eastAsia="宋体" w:cs="宋体"/>
                <w:sz w:val="22"/>
                <w:szCs w:val="22"/>
                <w:vertAlign w:val="baseline"/>
                <w:lang w:eastAsia="zh-CN"/>
              </w:rPr>
              <w:t>一般供货要求：采购方根据实际需要，列出一份第二天需要补充采购的货物请购清单，在收到采购方发出供货通知后，供方最迟在次日上午9:00前提供当次现场供货。紧急供货要求：在收到采购方发出紧急供货通知后，供方最迟2小时内完成当次现场供货。</w:t>
            </w:r>
          </w:p>
          <w:p w14:paraId="2015EB9B">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5、中标人必须按照采购方通知的时间、数量、品种、品质要求及协定的价格准时送货，经验收合格后签字确认，不能以任何理由推托，一旦影响到采购方食堂的正常运转，中标人应承担相应的经济赔偿。</w:t>
            </w:r>
          </w:p>
          <w:p w14:paraId="1967682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6、中标人不能满足供货要求时，应提前1个月通知采购方，采购方同意后方可中止合同。</w:t>
            </w:r>
          </w:p>
          <w:p w14:paraId="15874DF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7、在采购单位签收之前，货物的所有权和风险属于中标人，货物的数量、质量、遗失、损坏由中标人负责。</w:t>
            </w:r>
          </w:p>
          <w:p w14:paraId="18D0F386">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sz w:val="22"/>
                <w:szCs w:val="22"/>
                <w:vertAlign w:val="baseline"/>
                <w:lang w:eastAsia="zh-CN"/>
              </w:rPr>
              <w:t>8、中标人必须严格按照采购单位的指令配送货物的数量，不得随</w:t>
            </w:r>
            <w:r>
              <w:rPr>
                <w:rFonts w:hint="eastAsia" w:ascii="宋体" w:hAnsi="宋体" w:eastAsia="宋体" w:cs="宋体"/>
                <w:color w:val="auto"/>
                <w:sz w:val="22"/>
                <w:szCs w:val="22"/>
                <w:highlight w:val="none"/>
                <w:vertAlign w:val="baseline"/>
                <w:lang w:eastAsia="zh-CN"/>
              </w:rPr>
              <w:t>意增减，否则，采购单位有权拒收。</w:t>
            </w:r>
          </w:p>
          <w:p w14:paraId="4873CB10">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9、除客观不可抗力外，中标人不得更改送货内容。如因市场流通问题确实需要变更供货内容的，中标人应书面告知采购单位，并经来购单位同意后方可改变。经发现中标人有私自更改菜单中货品时以违约论处，由此产生的一切损失和费用由中标人承担。</w:t>
            </w:r>
          </w:p>
          <w:p w14:paraId="3D3C72DA">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10、采购单位对验收不合格的货物，中标人必须无条件退货。中标人未能履行招标文件和合同所定事项，或供应不合格的、假冒虚伪、以次充好的货物，采购单位退货后记录在案，并对中标人予以处罚，除要承担因此产生的一切损失和费用外，情节严重的可取消供应资格。</w:t>
            </w:r>
          </w:p>
          <w:p w14:paraId="0E57B91A">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11、中标人不能按核定的供货价交付的某些货物、不能提供与其承诺相符的服务或中标人存在违反招标文件和合同的行为，并且不予纠正的，将取消其中标资格。此项违约责任包括但不限于下列各项：</w:t>
            </w:r>
          </w:p>
          <w:p w14:paraId="55371A72">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(1)中标人在收到采购单位订货要求后，在承诺的供货时间内不能供货的。</w:t>
            </w:r>
          </w:p>
          <w:p w14:paraId="0678F24F">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(2)中标人未能提供承诺服务的。</w:t>
            </w:r>
          </w:p>
          <w:p w14:paraId="77FEE082">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(3)中标货物在保质期出现损坏的，中标人应承诺替换服务，因替换货物产生的费用由中标人负责。</w:t>
            </w:r>
          </w:p>
          <w:p w14:paraId="0BCF6393">
            <w:pPr>
              <w:numPr>
                <w:ilvl w:val="0"/>
                <w:numId w:val="0"/>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(4)中标人的送货单必须详细注明货物的名称、品种、单价、数量，不得涂改。标记不清的，采购单位将拒绝签字。结算期末中标人还应提供送货单供采购单位结算。</w:t>
            </w:r>
          </w:p>
          <w:p w14:paraId="361E90F6">
            <w:pPr>
              <w:numPr>
                <w:ilvl w:val="0"/>
                <w:numId w:val="4"/>
              </w:numPr>
              <w:spacing w:line="360" w:lineRule="auto"/>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中标人必须由投标文件中拟投入的实施专员配送，并持有健康证。送货专员在采购单位活动必须穿着便于辨认的工衣和佩戴出入证。并严格遵守采购单位的各项规章制度，否则采购单位有权终止合同。</w:t>
            </w:r>
          </w:p>
          <w:p w14:paraId="65BF69E2">
            <w:pPr>
              <w:numPr>
                <w:ilvl w:val="0"/>
                <w:numId w:val="4"/>
              </w:numPr>
              <w:spacing w:line="360" w:lineRule="auto"/>
              <w:ind w:left="0" w:leftChars="0" w:firstLine="0" w:firstLine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中标人不得泄露采购单位的秘密。泄密造成采购单位损失的中标人将承担由此产生的一切损失和法律责任。</w:t>
            </w:r>
          </w:p>
          <w:p w14:paraId="409866D6">
            <w:pPr>
              <w:numPr>
                <w:ilvl w:val="0"/>
                <w:numId w:val="0"/>
              </w:numPr>
              <w:spacing w:line="360" w:lineRule="auto"/>
              <w:rPr>
                <w:rFonts w:hint="eastAsia" w:ascii="宋体" w:hAnsi="宋体" w:eastAsia="宋体" w:cs="宋体"/>
                <w:color w:val="0000FF"/>
                <w:sz w:val="22"/>
                <w:szCs w:val="22"/>
                <w:highlight w:val="yellow"/>
                <w:vertAlign w:val="baseline"/>
                <w:lang w:eastAsia="zh-CN"/>
              </w:rPr>
            </w:pPr>
            <w:r>
              <w:rPr>
                <w:rFonts w:hint="eastAsia" w:ascii="宋体" w:hAnsi="宋体" w:eastAsia="宋体" w:cs="宋体"/>
                <w:color w:val="auto"/>
                <w:sz w:val="22"/>
                <w:szCs w:val="22"/>
                <w:highlight w:val="none"/>
                <w:vertAlign w:val="baseline"/>
                <w:lang w:eastAsia="zh-CN"/>
              </w:rPr>
              <w:t>12、在合同有效期内，因自然灾害或不可航力事件无法履行合同的行为不作为违约情形，双方均无责任。</w:t>
            </w:r>
          </w:p>
        </w:tc>
      </w:tr>
      <w:tr w14:paraId="6D0A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7B2BC2A8">
            <w:pPr>
              <w:numPr>
                <w:ilvl w:val="0"/>
                <w:numId w:val="0"/>
              </w:numPr>
              <w:spacing w:line="360" w:lineRule="auto"/>
              <w:rPr>
                <w:rFonts w:hint="eastAsia" w:ascii="宋体" w:hAnsi="宋体" w:eastAsia="宋体" w:cs="宋体"/>
                <w:sz w:val="22"/>
                <w:szCs w:val="22"/>
                <w:vertAlign w:val="baseline"/>
                <w:lang w:eastAsia="zh-CN"/>
              </w:rPr>
            </w:pPr>
          </w:p>
          <w:p w14:paraId="6A535C94">
            <w:pPr>
              <w:numPr>
                <w:ilvl w:val="0"/>
                <w:numId w:val="0"/>
              </w:numPr>
              <w:spacing w:line="360" w:lineRule="auto"/>
              <w:rPr>
                <w:rFonts w:hint="eastAsia" w:ascii="宋体" w:hAnsi="宋体" w:eastAsia="宋体" w:cs="宋体"/>
                <w:sz w:val="22"/>
                <w:szCs w:val="22"/>
                <w:vertAlign w:val="baseline"/>
                <w:lang w:eastAsia="zh-CN"/>
              </w:rPr>
            </w:pPr>
          </w:p>
          <w:p w14:paraId="374497B3">
            <w:pPr>
              <w:numPr>
                <w:ilvl w:val="0"/>
                <w:numId w:val="0"/>
              </w:numPr>
              <w:spacing w:line="360" w:lineRule="auto"/>
              <w:rPr>
                <w:rFonts w:hint="eastAsia" w:ascii="宋体" w:hAnsi="宋体" w:eastAsia="宋体" w:cs="宋体"/>
                <w:sz w:val="22"/>
                <w:szCs w:val="22"/>
                <w:vertAlign w:val="baseline"/>
                <w:lang w:eastAsia="zh-CN"/>
              </w:rPr>
            </w:pPr>
          </w:p>
          <w:p w14:paraId="6DA0DF11">
            <w:pPr>
              <w:numPr>
                <w:ilvl w:val="0"/>
                <w:numId w:val="0"/>
              </w:numPr>
              <w:spacing w:line="360" w:lineRule="auto"/>
              <w:rPr>
                <w:rFonts w:hint="eastAsia" w:ascii="宋体" w:hAnsi="宋体" w:eastAsia="宋体" w:cs="宋体"/>
                <w:sz w:val="22"/>
                <w:szCs w:val="22"/>
                <w:vertAlign w:val="baseline"/>
                <w:lang w:eastAsia="zh-CN"/>
              </w:rPr>
            </w:pPr>
          </w:p>
          <w:p w14:paraId="658C4E28">
            <w:pPr>
              <w:numPr>
                <w:ilvl w:val="0"/>
                <w:numId w:val="0"/>
              </w:numPr>
              <w:spacing w:line="360" w:lineRule="auto"/>
              <w:rPr>
                <w:rFonts w:hint="eastAsia" w:ascii="宋体" w:hAnsi="宋体" w:eastAsia="宋体" w:cs="宋体"/>
                <w:sz w:val="22"/>
                <w:szCs w:val="22"/>
                <w:vertAlign w:val="baseline"/>
                <w:lang w:eastAsia="zh-CN"/>
              </w:rPr>
            </w:pPr>
          </w:p>
          <w:p w14:paraId="09A6731C">
            <w:pPr>
              <w:numPr>
                <w:ilvl w:val="0"/>
                <w:numId w:val="0"/>
              </w:numPr>
              <w:spacing w:line="360" w:lineRule="auto"/>
              <w:rPr>
                <w:rFonts w:hint="eastAsia" w:ascii="宋体" w:hAnsi="宋体" w:eastAsia="宋体" w:cs="宋体"/>
                <w:sz w:val="22"/>
                <w:szCs w:val="22"/>
                <w:vertAlign w:val="baseline"/>
                <w:lang w:eastAsia="zh-CN"/>
              </w:rPr>
            </w:pPr>
          </w:p>
          <w:p w14:paraId="662661FB">
            <w:pPr>
              <w:numPr>
                <w:ilvl w:val="0"/>
                <w:numId w:val="0"/>
              </w:numPr>
              <w:spacing w:line="360" w:lineRule="auto"/>
              <w:rPr>
                <w:rFonts w:hint="eastAsia" w:ascii="宋体" w:hAnsi="宋体" w:eastAsia="宋体" w:cs="宋体"/>
                <w:sz w:val="22"/>
                <w:szCs w:val="22"/>
                <w:vertAlign w:val="baseline"/>
                <w:lang w:eastAsia="zh-CN"/>
              </w:rPr>
            </w:pPr>
          </w:p>
          <w:p w14:paraId="78D4731D">
            <w:pPr>
              <w:numPr>
                <w:ilvl w:val="0"/>
                <w:numId w:val="0"/>
              </w:numPr>
              <w:spacing w:line="360" w:lineRule="auto"/>
              <w:rPr>
                <w:rFonts w:hint="eastAsia" w:ascii="宋体" w:hAnsi="宋体" w:eastAsia="宋体" w:cs="宋体"/>
                <w:sz w:val="22"/>
                <w:szCs w:val="22"/>
                <w:vertAlign w:val="baseline"/>
                <w:lang w:eastAsia="zh-CN"/>
              </w:rPr>
            </w:pPr>
          </w:p>
          <w:p w14:paraId="475F8A02">
            <w:pPr>
              <w:numPr>
                <w:ilvl w:val="0"/>
                <w:numId w:val="0"/>
              </w:numPr>
              <w:spacing w:line="360" w:lineRule="auto"/>
              <w:rPr>
                <w:rFonts w:hint="eastAsia" w:ascii="宋体" w:hAnsi="宋体" w:eastAsia="宋体" w:cs="宋体"/>
                <w:sz w:val="22"/>
                <w:szCs w:val="22"/>
                <w:vertAlign w:val="baseline"/>
                <w:lang w:eastAsia="zh-CN"/>
              </w:rPr>
            </w:pPr>
          </w:p>
          <w:p w14:paraId="3CA2A9E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（六）</w:t>
            </w:r>
          </w:p>
          <w:p w14:paraId="0AC325B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安全质量要求</w:t>
            </w:r>
          </w:p>
        </w:tc>
        <w:tc>
          <w:tcPr>
            <w:tcW w:w="7354" w:type="dxa"/>
          </w:tcPr>
          <w:p w14:paraId="0DB05026">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1、中标人应充分理解并认真遵循本招标文件的要求。所提供的货物必须满足招标文件采购要求，并可追溯，检验合格、无毒、无害、无辐射、无侵权，符合国家有关卫生、质量、包装和保质标准。</w:t>
            </w:r>
          </w:p>
          <w:p w14:paraId="4347533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中标人提供的蔬菜必须保证每日新鲜，且取得无公害认证优先选择，并符合食品卫生安全法要求。每天对每批次蔬菜进行农药残留检测，如含量超标将要求中标人无条件退货或换货。出现1次含量超标情况的，对该批次货物结算款由当月供货结算款中扣除。合同期内出现3次以上含量超标情况的，采购单位有权终止合同。</w:t>
            </w:r>
          </w:p>
          <w:p w14:paraId="3FB64BD7">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依据产品质量监督检验所提供的质量标准，供应商提供的产品必须是经过质量监督管理部门检验并取得合格证明的产品，每批次货物提供时应交存货物质量合格证明、产品质量检测合格报告或检疫报告复印件。鲜猪肉、鲜鸡鸭等禽畜产品必须具有动物检验检疫证明。</w:t>
            </w:r>
          </w:p>
          <w:p w14:paraId="2A1B13F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4、中标人应严格遵守《食品安全法》和《动物检疫法》等相关规定，所提供的产品是合格安全的产品，一经发现供应以下食品，采购方除全部退货外，将取消中标人的供货资格，中标人并承担由此造成的经济责任和法律责任。</w:t>
            </w:r>
          </w:p>
          <w:p w14:paraId="6E15E37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(1)腐败变质、油脂酸败、霉变、生虫、污秽不洁、混有异物或者其他感官性状异常，对人体健康有害的；</w:t>
            </w:r>
          </w:p>
          <w:p w14:paraId="4ACE3E0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(2)含有毒、有害物质或者被有害物质污染，对人体健康有害的；</w:t>
            </w:r>
          </w:p>
          <w:p w14:paraId="0F9A4F0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(3)含有致病性寄生虫、微生物或者微生物含超过同家限定标准的；</w:t>
            </w:r>
          </w:p>
          <w:p w14:paraId="54D79B8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(4)未经动物检疫部门检疫、检验或者检疫、检验不合格的肉类其制品；</w:t>
            </w:r>
          </w:p>
          <w:p w14:paraId="58506EB9">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(5)病死、毒死或者死因不明的禽、蓄、曾、水产动物等及其制品；</w:t>
            </w:r>
          </w:p>
          <w:p w14:paraId="4864525C">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(6)掺假、掺杂、伪造，影响营养、卫生的；</w:t>
            </w:r>
          </w:p>
          <w:p w14:paraId="68A2613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(7)用非食品原料加工的，加入非食品用化学物质或者将非食品当作食品的；</w:t>
            </w:r>
          </w:p>
          <w:p w14:paraId="053DCDC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(8)超过保质期限的。</w:t>
            </w:r>
          </w:p>
          <w:p w14:paraId="4D7FC8D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5、中标人在签订合同后一个月内必须到相关的保险公司进行投保，投保险种为食品安全责任保险，否则采购单位有权终止合同。</w:t>
            </w:r>
          </w:p>
          <w:p w14:paraId="761A988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6、安全监管要求：(1)建立健全并严格执行各项食品卫生安全管理制度。严格执行原材料进货查验制度、购销登记制度、索证索票制度、商品质量承诺制度、检测检验制度以及其他按照行业管理规定必须健全的各项管理制度。(2)如因供应商的食材质量问题，导致学校发生食品安全事故，因此造成的损失和责任由供应商全部承担；造成重大食品安全事故的，采购单位可以单方解除合同，供应商要赔偿因此造成的全部损失和并依法承担有关责任。</w:t>
            </w:r>
          </w:p>
        </w:tc>
      </w:tr>
      <w:tr w14:paraId="284D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722D3C86">
            <w:pPr>
              <w:numPr>
                <w:ilvl w:val="0"/>
                <w:numId w:val="0"/>
              </w:numPr>
              <w:spacing w:line="360" w:lineRule="auto"/>
              <w:rPr>
                <w:rFonts w:hint="eastAsia" w:ascii="宋体" w:hAnsi="宋体" w:eastAsia="宋体" w:cs="宋体"/>
                <w:sz w:val="22"/>
                <w:szCs w:val="22"/>
                <w:vertAlign w:val="baseline"/>
                <w:lang w:eastAsia="zh-CN"/>
              </w:rPr>
            </w:pPr>
          </w:p>
          <w:p w14:paraId="582F8A53">
            <w:pPr>
              <w:numPr>
                <w:ilvl w:val="0"/>
                <w:numId w:val="0"/>
              </w:numPr>
              <w:spacing w:line="360" w:lineRule="auto"/>
              <w:rPr>
                <w:rFonts w:hint="eastAsia" w:ascii="宋体" w:hAnsi="宋体" w:eastAsia="宋体" w:cs="宋体"/>
                <w:sz w:val="22"/>
                <w:szCs w:val="22"/>
                <w:vertAlign w:val="baseline"/>
                <w:lang w:eastAsia="zh-CN"/>
              </w:rPr>
            </w:pPr>
          </w:p>
          <w:p w14:paraId="7ACDA842">
            <w:pPr>
              <w:numPr>
                <w:ilvl w:val="0"/>
                <w:numId w:val="0"/>
              </w:numPr>
              <w:spacing w:line="360" w:lineRule="auto"/>
              <w:rPr>
                <w:rFonts w:hint="eastAsia" w:ascii="宋体" w:hAnsi="宋体" w:eastAsia="宋体" w:cs="宋体"/>
                <w:sz w:val="22"/>
                <w:szCs w:val="22"/>
                <w:vertAlign w:val="baseline"/>
                <w:lang w:eastAsia="zh-CN"/>
              </w:rPr>
            </w:pPr>
          </w:p>
          <w:p w14:paraId="1D04559A">
            <w:pPr>
              <w:numPr>
                <w:ilvl w:val="0"/>
                <w:numId w:val="0"/>
              </w:numPr>
              <w:spacing w:line="360" w:lineRule="auto"/>
              <w:rPr>
                <w:rFonts w:hint="eastAsia" w:ascii="宋体" w:hAnsi="宋体" w:eastAsia="宋体" w:cs="宋体"/>
                <w:sz w:val="22"/>
                <w:szCs w:val="22"/>
                <w:vertAlign w:val="baseline"/>
                <w:lang w:eastAsia="zh-CN"/>
              </w:rPr>
            </w:pPr>
          </w:p>
          <w:p w14:paraId="7C46635C">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（七）</w:t>
            </w:r>
          </w:p>
          <w:p w14:paraId="5C0A6A7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物料的验收</w:t>
            </w:r>
          </w:p>
        </w:tc>
        <w:tc>
          <w:tcPr>
            <w:tcW w:w="7354" w:type="dxa"/>
          </w:tcPr>
          <w:p w14:paraId="5A250FD5">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凡是《食品安全法》禁止经营的食品一律不得采购和使用，严禁配送“三无”食品、有毒、有害、过期、变质、假冒伪劣等不合格食品。禁止提供冷荤熟食制品，禁止提供野生蘑菇、发芽马铃薯、四季豆等高风险食材给单位加工食用。</w:t>
            </w:r>
          </w:p>
          <w:p w14:paraId="2D05CDD1">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食材的验收工作由采购方和供应商共同进行。供应商提供的产品须经过食堂验收人员的感官检验、外观检验和试用检验并详细记录，若产品外观、包装、形式不符合要求、感官检验不能达到食品卫生要求，当即拒收；供应商不能满足食品的质、量及售后服务要求时，采购方有权终止合同。</w:t>
            </w:r>
          </w:p>
          <w:p w14:paraId="652F472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验收工作的一般程序为：根据食品请购清单的具体要求，对所购物料进行清点、外观检查以及对食材的各项指标和性能进行实测，并逐项记录。检测结束后，验收人员在验收单上签字。对未能通过验收的，一律退货、更换直至验收合格。</w:t>
            </w:r>
          </w:p>
        </w:tc>
      </w:tr>
      <w:tr w14:paraId="17EC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5274544C">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（八）</w:t>
            </w:r>
          </w:p>
          <w:p w14:paraId="65C1396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合同签订</w:t>
            </w:r>
          </w:p>
          <w:p w14:paraId="7A7A98C7">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期、合同履行期限</w:t>
            </w:r>
          </w:p>
        </w:tc>
        <w:tc>
          <w:tcPr>
            <w:tcW w:w="7354" w:type="dxa"/>
          </w:tcPr>
          <w:p w14:paraId="71F75FB6">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合同签订期：自中标通知书发出之日起20个自然日内。</w:t>
            </w:r>
          </w:p>
          <w:p w14:paraId="2FAADD38">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合同履行期限：</w:t>
            </w:r>
            <w:r>
              <w:rPr>
                <w:rFonts w:hint="eastAsia" w:ascii="宋体" w:hAnsi="宋体" w:eastAsia="宋体" w:cs="宋体"/>
                <w:color w:val="0000FF"/>
                <w:sz w:val="22"/>
                <w:szCs w:val="22"/>
                <w:vertAlign w:val="baseline"/>
                <w:lang w:eastAsia="zh-CN"/>
              </w:rPr>
              <w:t>自合同签订之日起</w:t>
            </w:r>
            <w:r>
              <w:rPr>
                <w:rFonts w:hint="eastAsia" w:ascii="宋体" w:hAnsi="宋体" w:eastAsia="宋体" w:cs="宋体"/>
                <w:color w:val="0000FF"/>
                <w:sz w:val="22"/>
                <w:szCs w:val="22"/>
                <w:vertAlign w:val="baseline"/>
                <w:lang w:val="en-US" w:eastAsia="zh-CN"/>
              </w:rPr>
              <w:t>3</w:t>
            </w:r>
            <w:r>
              <w:rPr>
                <w:rFonts w:hint="eastAsia" w:ascii="宋体" w:hAnsi="宋体" w:eastAsia="宋体" w:cs="宋体"/>
                <w:color w:val="0000FF"/>
                <w:sz w:val="22"/>
                <w:szCs w:val="22"/>
                <w:vertAlign w:val="baseline"/>
                <w:lang w:eastAsia="zh-CN"/>
              </w:rPr>
              <w:t>年</w:t>
            </w:r>
            <w:r>
              <w:rPr>
                <w:rFonts w:hint="eastAsia" w:ascii="宋体" w:hAnsi="宋体" w:eastAsia="宋体" w:cs="宋体"/>
                <w:sz w:val="22"/>
                <w:szCs w:val="22"/>
                <w:vertAlign w:val="baseline"/>
                <w:lang w:eastAsia="zh-CN"/>
              </w:rPr>
              <w:t>(具体起止时间以签订合同为准)。</w:t>
            </w:r>
          </w:p>
        </w:tc>
      </w:tr>
      <w:tr w14:paraId="582A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5731CA01">
            <w:pPr>
              <w:numPr>
                <w:ilvl w:val="0"/>
                <w:numId w:val="0"/>
              </w:numPr>
              <w:spacing w:line="360" w:lineRule="auto"/>
              <w:rPr>
                <w:rFonts w:hint="eastAsia" w:ascii="宋体" w:hAnsi="宋体" w:eastAsia="宋体" w:cs="宋体"/>
                <w:sz w:val="22"/>
                <w:szCs w:val="22"/>
                <w:vertAlign w:val="baseline"/>
                <w:lang w:eastAsia="zh-CN"/>
              </w:rPr>
            </w:pPr>
          </w:p>
          <w:p w14:paraId="3F1EEB98">
            <w:pPr>
              <w:numPr>
                <w:ilvl w:val="0"/>
                <w:numId w:val="0"/>
              </w:numPr>
              <w:spacing w:line="360" w:lineRule="auto"/>
              <w:rPr>
                <w:rFonts w:hint="eastAsia" w:ascii="宋体" w:hAnsi="宋体" w:eastAsia="宋体" w:cs="宋体"/>
                <w:sz w:val="22"/>
                <w:szCs w:val="22"/>
                <w:vertAlign w:val="baseline"/>
                <w:lang w:eastAsia="zh-CN"/>
              </w:rPr>
            </w:pPr>
          </w:p>
          <w:p w14:paraId="01D5CA9E">
            <w:pPr>
              <w:numPr>
                <w:ilvl w:val="0"/>
                <w:numId w:val="0"/>
              </w:numPr>
              <w:spacing w:line="360" w:lineRule="auto"/>
              <w:rPr>
                <w:rFonts w:hint="eastAsia" w:ascii="宋体" w:hAnsi="宋体" w:eastAsia="宋体" w:cs="宋体"/>
                <w:sz w:val="22"/>
                <w:szCs w:val="22"/>
                <w:vertAlign w:val="baseline"/>
                <w:lang w:eastAsia="zh-CN"/>
              </w:rPr>
            </w:pPr>
          </w:p>
          <w:p w14:paraId="7BB0D19C">
            <w:pPr>
              <w:numPr>
                <w:ilvl w:val="0"/>
                <w:numId w:val="0"/>
              </w:numPr>
              <w:spacing w:line="360" w:lineRule="auto"/>
              <w:rPr>
                <w:rFonts w:hint="eastAsia" w:ascii="宋体" w:hAnsi="宋体" w:eastAsia="宋体" w:cs="宋体"/>
                <w:sz w:val="22"/>
                <w:szCs w:val="22"/>
                <w:vertAlign w:val="baseline"/>
                <w:lang w:eastAsia="zh-CN"/>
              </w:rPr>
            </w:pPr>
          </w:p>
          <w:p w14:paraId="6E92EAEF">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（九）</w:t>
            </w:r>
          </w:p>
          <w:p w14:paraId="409FFF4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考察、监督办法与退出机制</w:t>
            </w:r>
          </w:p>
        </w:tc>
        <w:tc>
          <w:tcPr>
            <w:tcW w:w="7354" w:type="dxa"/>
          </w:tcPr>
          <w:p w14:paraId="58B49FE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考察：为保证项目质量，签订合同前，预中标供应商须随时接受学校代表到其经营或相关场所及准入条件等相关招标采购文件要求进行现场考察。若该供应商在投标文件中提供的上述材料与实际情况不符的，采购单位有权认为该供应商虚假应标，并上报采购监督管理部门。</w:t>
            </w:r>
          </w:p>
          <w:p w14:paraId="35D6394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监督办法：定期进行供应商供货测评，每月由陆川县教育局和学校代表对供应商的服务态度及价格等因素进行测评，对合格率低于90%的供应商进行约谈整改，合格率低于70%的供应商暂停供货一个月，停供期间，由另一分标中标方提供，该产品的地域差价费用由后供应商承担。合格率低于60%的供应商终止其供货合同。</w:t>
            </w:r>
          </w:p>
          <w:p w14:paraId="667450F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退出机制：中标企业有下列情况之一的，县教育局核实，取消该企业配送资格，并由学校启动应急预案。情节严重的，没收质保金，同时拉黑名单，5年内不能参与我县学校食品类经营活动，造成责任事故的将追究其法律责任。</w:t>
            </w:r>
          </w:p>
          <w:p w14:paraId="286C2D5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(1)中标企业不同意食品价格基准价(标准单价)或结算价的；</w:t>
            </w:r>
          </w:p>
          <w:p w14:paraId="319E862E">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(2)中标企业有转包现象的；</w:t>
            </w:r>
          </w:p>
          <w:p w14:paraId="3EF57C0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(3)中标企业配送的食材不经县教育局同意就上架向学校销售，或不服从县教育局、县市监局等相关部门常规管理，影响学校食堂开餐的，每个学期发生二次(含二次)以上的；</w:t>
            </w:r>
          </w:p>
          <w:p w14:paraId="690ADA8D">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(10)</w:t>
            </w:r>
            <w:r>
              <w:rPr>
                <w:rFonts w:hint="eastAsia" w:ascii="宋体" w:hAnsi="宋体" w:eastAsia="宋体" w:cs="宋体"/>
                <w:sz w:val="22"/>
                <w:szCs w:val="22"/>
                <w:vertAlign w:val="baseline"/>
                <w:lang w:eastAsia="zh-CN"/>
              </w:rPr>
              <w:t>中标企业发生配送食品质量不合格引发重大食品安全事故的；</w:t>
            </w:r>
          </w:p>
          <w:p w14:paraId="22E85D74">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(11)</w:t>
            </w:r>
            <w:r>
              <w:rPr>
                <w:rFonts w:hint="eastAsia" w:ascii="宋体" w:hAnsi="宋体" w:eastAsia="宋体" w:cs="宋体"/>
                <w:sz w:val="22"/>
                <w:szCs w:val="22"/>
                <w:vertAlign w:val="baseline"/>
                <w:lang w:eastAsia="zh-CN"/>
              </w:rPr>
              <w:t>中标企业配送超过保质期、腐败变质、不经检验检疫的食品；</w:t>
            </w:r>
          </w:p>
          <w:p w14:paraId="4F832272">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(12)</w:t>
            </w:r>
            <w:r>
              <w:rPr>
                <w:rFonts w:hint="eastAsia" w:ascii="宋体" w:hAnsi="宋体" w:eastAsia="宋体" w:cs="宋体"/>
                <w:sz w:val="22"/>
                <w:szCs w:val="22"/>
                <w:vertAlign w:val="baseline"/>
                <w:lang w:eastAsia="zh-CN"/>
              </w:rPr>
              <w:t>中标企业被管理部门吊销或注销食品经营许可证的，或者有转标分标行为的；</w:t>
            </w:r>
          </w:p>
          <w:p w14:paraId="7C74F031">
            <w:pPr>
              <w:pStyle w:val="141"/>
              <w:numPr>
                <w:ilvl w:val="0"/>
                <w:numId w:val="0"/>
              </w:numPr>
              <w:spacing w:line="445" w:lineRule="auto"/>
              <w:ind w:left="0" w:leftChars="0" w:firstLine="0" w:firstLineChars="0"/>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(13)</w:t>
            </w:r>
            <w:r>
              <w:rPr>
                <w:spacing w:val="-4"/>
                <w:sz w:val="22"/>
                <w:szCs w:val="22"/>
              </w:rPr>
              <w:t>中标企业存在严重食品安全隐患，被相关管理部门责令整改，</w:t>
            </w:r>
            <w:r>
              <w:rPr>
                <w:spacing w:val="-2"/>
                <w:sz w:val="22"/>
                <w:szCs w:val="22"/>
              </w:rPr>
              <w:t>整改二次都不达</w:t>
            </w:r>
            <w:r>
              <w:rPr>
                <w:rFonts w:hint="eastAsia"/>
                <w:spacing w:val="-2"/>
                <w:sz w:val="22"/>
                <w:szCs w:val="22"/>
                <w:lang w:eastAsia="zh-CN"/>
              </w:rPr>
              <w:t>品类</w:t>
            </w:r>
            <w:r>
              <w:rPr>
                <w:spacing w:val="-2"/>
                <w:sz w:val="22"/>
                <w:szCs w:val="22"/>
              </w:rPr>
              <w:t>：</w:t>
            </w:r>
          </w:p>
          <w:p w14:paraId="20FFE114">
            <w:pPr>
              <w:pStyle w:val="141"/>
              <w:numPr>
                <w:ilvl w:val="0"/>
                <w:numId w:val="0"/>
              </w:numPr>
              <w:spacing w:line="445" w:lineRule="auto"/>
              <w:ind w:left="0" w:leftChars="0" w:firstLine="0" w:firstLineChars="0"/>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(14)</w:t>
            </w:r>
            <w:r>
              <w:rPr>
                <w:sz w:val="22"/>
                <w:szCs w:val="22"/>
              </w:rPr>
              <w:t>中标企业不按时按质按量配送或拒绝配送，以次充好，</w:t>
            </w:r>
            <w:r>
              <w:rPr>
                <w:rFonts w:hint="eastAsia"/>
                <w:sz w:val="22"/>
                <w:szCs w:val="22"/>
                <w:lang w:eastAsia="zh-CN"/>
              </w:rPr>
              <w:t>短斤少两</w:t>
            </w:r>
            <w:r>
              <w:rPr>
                <w:spacing w:val="3"/>
                <w:sz w:val="22"/>
                <w:szCs w:val="22"/>
              </w:rPr>
              <w:t>，服务态度恶劣，每个学期发生二次(含二次)以上的；</w:t>
            </w:r>
          </w:p>
          <w:p w14:paraId="7E7A53AA">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kern w:val="2"/>
                <w:sz w:val="22"/>
                <w:szCs w:val="22"/>
                <w:vertAlign w:val="baseline"/>
                <w:lang w:val="en-US" w:eastAsia="zh-CN" w:bidi="ar-SA"/>
              </w:rPr>
              <w:t>(15)</w:t>
            </w:r>
            <w:r>
              <w:rPr>
                <w:rFonts w:hint="eastAsia" w:ascii="宋体" w:hAnsi="宋体" w:eastAsia="宋体" w:cs="宋体"/>
                <w:sz w:val="22"/>
                <w:szCs w:val="22"/>
                <w:vertAlign w:val="baseline"/>
                <w:lang w:eastAsia="zh-CN"/>
              </w:rPr>
              <w:t>中标企业不经学校同意，擅自改变学校采购清单的种类、品牌、质量和数量，每个学期发生二次(含二次)以上的；</w:t>
            </w:r>
          </w:p>
          <w:p w14:paraId="25080B63">
            <w:pPr>
              <w:numPr>
                <w:ilvl w:val="0"/>
                <w:numId w:val="0"/>
              </w:numPr>
              <w:spacing w:line="360" w:lineRule="auto"/>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w:t>
            </w:r>
            <w:r>
              <w:rPr>
                <w:rFonts w:hint="eastAsia" w:ascii="宋体" w:hAnsi="宋体" w:eastAsia="宋体" w:cs="宋体"/>
                <w:sz w:val="22"/>
                <w:szCs w:val="22"/>
                <w:vertAlign w:val="baseline"/>
                <w:lang w:val="en-US" w:eastAsia="zh-CN"/>
              </w:rPr>
              <w:t>10）</w:t>
            </w:r>
            <w:r>
              <w:rPr>
                <w:rFonts w:hint="eastAsia" w:ascii="宋体" w:hAnsi="宋体" w:eastAsia="宋体" w:cs="宋体"/>
                <w:sz w:val="22"/>
                <w:szCs w:val="22"/>
                <w:vertAlign w:val="baseline"/>
                <w:lang w:eastAsia="zh-CN"/>
              </w:rPr>
              <w:t>中标企业利用不正当手段拉拢学校管理人员、采购单位人员或验收人员的，取消配送资格。</w:t>
            </w:r>
          </w:p>
        </w:tc>
      </w:tr>
    </w:tbl>
    <w:p w14:paraId="270AE7FE">
      <w:pPr>
        <w:rPr>
          <w:rFonts w:ascii="宋体" w:hAnsi="宋体" w:cs="宋体"/>
          <w:b/>
          <w:color w:val="auto"/>
          <w:szCs w:val="21"/>
          <w:highlight w:val="none"/>
        </w:rPr>
      </w:pPr>
    </w:p>
    <w:bookmarkEnd w:id="46"/>
    <w:bookmarkEnd w:id="47"/>
    <w:p w14:paraId="5853AA60">
      <w:pPr>
        <w:rPr>
          <w:rFonts w:hAnsi="宋体"/>
          <w:color w:val="auto"/>
          <w:highlight w:val="none"/>
        </w:rPr>
      </w:pPr>
      <w:r>
        <w:rPr>
          <w:rFonts w:hAnsi="宋体"/>
          <w:color w:val="auto"/>
          <w:highlight w:val="none"/>
        </w:rPr>
        <w:br w:type="page"/>
      </w:r>
    </w:p>
    <w:p w14:paraId="17568626">
      <w:pPr>
        <w:pStyle w:val="3"/>
        <w:pageBreakBefore w:val="0"/>
        <w:widowControl w:val="0"/>
        <w:kinsoku/>
        <w:wordWrap/>
        <w:overflowPunct/>
        <w:topLinePunct w:val="0"/>
        <w:bidi w:val="0"/>
        <w:adjustRightInd/>
        <w:spacing w:before="0" w:beforeLines="0" w:beforeAutospacing="0" w:after="0" w:afterLines="0" w:afterAutospacing="0" w:line="500" w:lineRule="exact"/>
        <w:jc w:val="center"/>
        <w:textAlignment w:val="auto"/>
        <w:rPr>
          <w:rFonts w:hint="eastAsia" w:ascii="宋体" w:hAnsi="宋体" w:eastAsia="宋体" w:cs="宋体"/>
          <w:b/>
          <w:bCs/>
          <w:color w:val="auto"/>
          <w:sz w:val="32"/>
          <w:szCs w:val="40"/>
          <w:highlight w:val="none"/>
          <w:lang w:val="en-US" w:eastAsia="zh-CN"/>
        </w:rPr>
      </w:pPr>
      <w:r>
        <w:rPr>
          <w:rFonts w:hint="eastAsia" w:ascii="宋体" w:hAnsi="宋体" w:eastAsia="宋体" w:cs="宋体"/>
          <w:b/>
          <w:bCs/>
          <w:color w:val="auto"/>
          <w:sz w:val="32"/>
          <w:szCs w:val="40"/>
          <w:highlight w:val="none"/>
          <w:lang w:val="en-US" w:eastAsia="zh-CN"/>
        </w:rPr>
        <w:t>3分标采购需求</w:t>
      </w:r>
    </w:p>
    <w:p w14:paraId="5CA68A6C">
      <w:pPr>
        <w:pStyle w:val="3"/>
        <w:pageBreakBefore w:val="0"/>
        <w:widowControl w:val="0"/>
        <w:kinsoku/>
        <w:wordWrap/>
        <w:overflowPunct/>
        <w:topLinePunct w:val="0"/>
        <w:bidi w:val="0"/>
        <w:adjustRightInd/>
        <w:spacing w:before="0" w:beforeLines="0" w:beforeAutospacing="0" w:after="0" w:afterLines="0" w:afterAutospacing="0" w:line="500" w:lineRule="exact"/>
        <w:textAlignment w:val="auto"/>
        <w:rPr>
          <w:rFonts w:hint="eastAsia" w:ascii="宋体" w:hAnsi="宋体" w:eastAsia="宋体" w:cs="宋体"/>
          <w:b/>
          <w:bCs/>
          <w:color w:val="auto"/>
          <w:sz w:val="32"/>
          <w:szCs w:val="40"/>
          <w:highlight w:val="none"/>
          <w:lang w:val="en-US" w:eastAsia="zh-CN"/>
        </w:rPr>
      </w:pPr>
      <w:r>
        <w:rPr>
          <w:rFonts w:hint="eastAsia" w:ascii="宋体" w:hAnsi="宋体" w:eastAsia="宋体" w:cs="宋体"/>
          <w:b/>
          <w:bCs/>
          <w:color w:val="auto"/>
          <w:sz w:val="32"/>
          <w:szCs w:val="40"/>
          <w:highlight w:val="none"/>
          <w:lang w:val="en-US" w:eastAsia="zh-CN"/>
        </w:rPr>
        <w:t>一、服务要求</w:t>
      </w:r>
    </w:p>
    <w:p w14:paraId="336BC14B">
      <w:pPr>
        <w:pageBreakBefore w:val="0"/>
        <w:widowControl w:val="0"/>
        <w:kinsoku/>
        <w:wordWrap/>
        <w:overflowPunct/>
        <w:topLinePunct w:val="0"/>
        <w:bidi w:val="0"/>
        <w:adjustRightInd/>
        <w:spacing w:beforeAutospacing="0" w:line="500" w:lineRule="exact"/>
        <w:textAlignment w:val="auto"/>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lang w:val="en-US" w:eastAsia="zh-CN"/>
        </w:rPr>
        <w:t>（一）采购内容（包括但不限于以下品种）：</w:t>
      </w:r>
    </w:p>
    <w:tbl>
      <w:tblPr>
        <w:tblStyle w:val="142"/>
        <w:tblW w:w="44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8"/>
        <w:gridCol w:w="2721"/>
        <w:gridCol w:w="1889"/>
        <w:gridCol w:w="2653"/>
        <w:gridCol w:w="439"/>
      </w:tblGrid>
      <w:tr w14:paraId="2A26A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3" w:hRule="atLeast"/>
          <w:jc w:val="center"/>
        </w:trPr>
        <w:tc>
          <w:tcPr>
            <w:tcW w:w="501" w:type="pct"/>
            <w:vAlign w:val="center"/>
          </w:tcPr>
          <w:p w14:paraId="4AB1F6D7">
            <w:pPr>
              <w:jc w:val="center"/>
            </w:pPr>
            <w:r>
              <w:t>序号</w:t>
            </w:r>
          </w:p>
        </w:tc>
        <w:tc>
          <w:tcPr>
            <w:tcW w:w="1589" w:type="pct"/>
            <w:vAlign w:val="center"/>
          </w:tcPr>
          <w:p w14:paraId="1E56E2CB">
            <w:pPr>
              <w:jc w:val="center"/>
            </w:pPr>
            <w:r>
              <w:rPr>
                <w:rFonts w:hint="eastAsia"/>
                <w:lang w:eastAsia="zh-CN"/>
              </w:rPr>
              <w:t>品类</w:t>
            </w:r>
            <w:r>
              <w:t>名称</w:t>
            </w:r>
          </w:p>
        </w:tc>
        <w:tc>
          <w:tcPr>
            <w:tcW w:w="1103" w:type="pct"/>
            <w:vAlign w:val="center"/>
          </w:tcPr>
          <w:p w14:paraId="6B7EECF7">
            <w:pPr>
              <w:jc w:val="center"/>
            </w:pPr>
            <w:r>
              <w:t>品目分类编码</w:t>
            </w:r>
          </w:p>
        </w:tc>
        <w:tc>
          <w:tcPr>
            <w:tcW w:w="1549" w:type="pct"/>
            <w:vAlign w:val="center"/>
          </w:tcPr>
          <w:p w14:paraId="6095ED84">
            <w:pPr>
              <w:jc w:val="center"/>
            </w:pPr>
            <w:r>
              <w:t>数量</w:t>
            </w:r>
          </w:p>
        </w:tc>
        <w:tc>
          <w:tcPr>
            <w:tcW w:w="256" w:type="pct"/>
            <w:vAlign w:val="center"/>
          </w:tcPr>
          <w:p w14:paraId="235CA3B6">
            <w:pPr>
              <w:jc w:val="center"/>
            </w:pPr>
            <w:r>
              <w:t>是否进口</w:t>
            </w:r>
          </w:p>
        </w:tc>
      </w:tr>
      <w:tr w14:paraId="416A8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501" w:type="pct"/>
            <w:vAlign w:val="center"/>
          </w:tcPr>
          <w:p w14:paraId="516315E5">
            <w:pPr>
              <w:jc w:val="center"/>
            </w:pPr>
            <w:r>
              <w:t>1</w:t>
            </w:r>
          </w:p>
        </w:tc>
        <w:tc>
          <w:tcPr>
            <w:tcW w:w="1589" w:type="pct"/>
            <w:vAlign w:val="center"/>
          </w:tcPr>
          <w:p w14:paraId="21DCF69C">
            <w:pPr>
              <w:jc w:val="center"/>
            </w:pPr>
            <w:r>
              <w:t>面食类</w:t>
            </w:r>
          </w:p>
        </w:tc>
        <w:tc>
          <w:tcPr>
            <w:tcW w:w="1103" w:type="pct"/>
            <w:vAlign w:val="center"/>
          </w:tcPr>
          <w:p w14:paraId="18DC588D">
            <w:pPr>
              <w:jc w:val="center"/>
            </w:pPr>
            <w:r>
              <w:t>C23130200</w:t>
            </w:r>
          </w:p>
        </w:tc>
        <w:tc>
          <w:tcPr>
            <w:tcW w:w="1549" w:type="pct"/>
            <w:vAlign w:val="center"/>
          </w:tcPr>
          <w:p w14:paraId="5D678C70">
            <w:pPr>
              <w:jc w:val="center"/>
            </w:pPr>
            <w:r>
              <w:t>按实际采购数量结算</w:t>
            </w:r>
          </w:p>
        </w:tc>
        <w:tc>
          <w:tcPr>
            <w:tcW w:w="256" w:type="pct"/>
            <w:vAlign w:val="center"/>
          </w:tcPr>
          <w:p w14:paraId="0EAC8973">
            <w:pPr>
              <w:jc w:val="center"/>
            </w:pPr>
            <w:r>
              <w:t>否</w:t>
            </w:r>
          </w:p>
        </w:tc>
      </w:tr>
      <w:tr w14:paraId="49391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501" w:type="pct"/>
            <w:vAlign w:val="center"/>
          </w:tcPr>
          <w:p w14:paraId="541C84BA">
            <w:pPr>
              <w:jc w:val="center"/>
            </w:pPr>
            <w:r>
              <w:t>2</w:t>
            </w:r>
          </w:p>
        </w:tc>
        <w:tc>
          <w:tcPr>
            <w:tcW w:w="1589" w:type="pct"/>
            <w:vAlign w:val="center"/>
          </w:tcPr>
          <w:p w14:paraId="184054B1">
            <w:pPr>
              <w:jc w:val="center"/>
            </w:pPr>
            <w:r>
              <w:t>纯牛奶</w:t>
            </w:r>
          </w:p>
        </w:tc>
        <w:tc>
          <w:tcPr>
            <w:tcW w:w="1103" w:type="pct"/>
            <w:vAlign w:val="center"/>
          </w:tcPr>
          <w:p w14:paraId="07E72031">
            <w:pPr>
              <w:jc w:val="center"/>
            </w:pPr>
            <w:r>
              <w:t>C23130200</w:t>
            </w:r>
          </w:p>
        </w:tc>
        <w:tc>
          <w:tcPr>
            <w:tcW w:w="1549" w:type="pct"/>
            <w:vAlign w:val="center"/>
          </w:tcPr>
          <w:p w14:paraId="4D75EB91">
            <w:pPr>
              <w:jc w:val="center"/>
            </w:pPr>
            <w:r>
              <w:t>按实际采购数量结算</w:t>
            </w:r>
          </w:p>
        </w:tc>
        <w:tc>
          <w:tcPr>
            <w:tcW w:w="256" w:type="pct"/>
            <w:vAlign w:val="center"/>
          </w:tcPr>
          <w:p w14:paraId="15346C93">
            <w:pPr>
              <w:jc w:val="center"/>
            </w:pPr>
            <w:r>
              <w:t>否</w:t>
            </w:r>
          </w:p>
        </w:tc>
      </w:tr>
      <w:tr w14:paraId="29206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501" w:type="pct"/>
            <w:vAlign w:val="center"/>
          </w:tcPr>
          <w:p w14:paraId="7F989D28">
            <w:pPr>
              <w:jc w:val="center"/>
            </w:pPr>
            <w:r>
              <w:t>3</w:t>
            </w:r>
          </w:p>
        </w:tc>
        <w:tc>
          <w:tcPr>
            <w:tcW w:w="1589" w:type="pct"/>
            <w:vAlign w:val="center"/>
          </w:tcPr>
          <w:p w14:paraId="4B5BF50F">
            <w:pPr>
              <w:jc w:val="center"/>
            </w:pPr>
            <w:r>
              <w:t>水果</w:t>
            </w:r>
          </w:p>
        </w:tc>
        <w:tc>
          <w:tcPr>
            <w:tcW w:w="1103" w:type="pct"/>
            <w:vAlign w:val="center"/>
          </w:tcPr>
          <w:p w14:paraId="5B68B60F">
            <w:pPr>
              <w:jc w:val="center"/>
            </w:pPr>
            <w:r>
              <w:t>C23130200</w:t>
            </w:r>
          </w:p>
        </w:tc>
        <w:tc>
          <w:tcPr>
            <w:tcW w:w="1549" w:type="pct"/>
            <w:vAlign w:val="center"/>
          </w:tcPr>
          <w:p w14:paraId="1BEE32A0">
            <w:pPr>
              <w:jc w:val="center"/>
            </w:pPr>
            <w:r>
              <w:t>按实际采购数量结算</w:t>
            </w:r>
          </w:p>
        </w:tc>
        <w:tc>
          <w:tcPr>
            <w:tcW w:w="256" w:type="pct"/>
            <w:vAlign w:val="center"/>
          </w:tcPr>
          <w:p w14:paraId="1F6964A2">
            <w:pPr>
              <w:jc w:val="center"/>
            </w:pPr>
            <w:r>
              <w:t>否</w:t>
            </w:r>
          </w:p>
        </w:tc>
      </w:tr>
      <w:tr w14:paraId="0C426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501" w:type="pct"/>
            <w:vAlign w:val="center"/>
          </w:tcPr>
          <w:p w14:paraId="38FE4362">
            <w:pPr>
              <w:jc w:val="center"/>
            </w:pPr>
            <w:r>
              <w:t>4</w:t>
            </w:r>
          </w:p>
        </w:tc>
        <w:tc>
          <w:tcPr>
            <w:tcW w:w="1589" w:type="pct"/>
            <w:vAlign w:val="center"/>
          </w:tcPr>
          <w:p w14:paraId="109320CD">
            <w:pPr>
              <w:jc w:val="center"/>
            </w:pPr>
            <w:r>
              <w:t>鸡蛋</w:t>
            </w:r>
          </w:p>
        </w:tc>
        <w:tc>
          <w:tcPr>
            <w:tcW w:w="1103" w:type="pct"/>
            <w:vAlign w:val="center"/>
          </w:tcPr>
          <w:p w14:paraId="08B4A1F7">
            <w:pPr>
              <w:jc w:val="center"/>
            </w:pPr>
            <w:r>
              <w:t>C23130200</w:t>
            </w:r>
          </w:p>
        </w:tc>
        <w:tc>
          <w:tcPr>
            <w:tcW w:w="1549" w:type="pct"/>
            <w:vAlign w:val="center"/>
          </w:tcPr>
          <w:p w14:paraId="6C154F8F">
            <w:pPr>
              <w:jc w:val="center"/>
            </w:pPr>
            <w:r>
              <w:t>按实际采购数量结算</w:t>
            </w:r>
          </w:p>
        </w:tc>
        <w:tc>
          <w:tcPr>
            <w:tcW w:w="256" w:type="pct"/>
            <w:vAlign w:val="center"/>
          </w:tcPr>
          <w:p w14:paraId="00376E59">
            <w:pPr>
              <w:jc w:val="center"/>
            </w:pPr>
            <w:r>
              <w:t>否</w:t>
            </w:r>
          </w:p>
        </w:tc>
      </w:tr>
      <w:tr w14:paraId="5F0E9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501" w:type="pct"/>
            <w:vAlign w:val="center"/>
          </w:tcPr>
          <w:p w14:paraId="797C687F">
            <w:pPr>
              <w:jc w:val="center"/>
            </w:pPr>
            <w:r>
              <w:t>5</w:t>
            </w:r>
          </w:p>
        </w:tc>
        <w:tc>
          <w:tcPr>
            <w:tcW w:w="1589" w:type="pct"/>
            <w:vAlign w:val="center"/>
          </w:tcPr>
          <w:p w14:paraId="5FD2E15C">
            <w:pPr>
              <w:jc w:val="center"/>
            </w:pPr>
            <w:r>
              <w:t>猪肉、牛肉等生鲜肉</w:t>
            </w:r>
          </w:p>
        </w:tc>
        <w:tc>
          <w:tcPr>
            <w:tcW w:w="1103" w:type="pct"/>
            <w:vAlign w:val="center"/>
          </w:tcPr>
          <w:p w14:paraId="73F19863">
            <w:pPr>
              <w:jc w:val="center"/>
            </w:pPr>
            <w:r>
              <w:t>C23130200</w:t>
            </w:r>
          </w:p>
        </w:tc>
        <w:tc>
          <w:tcPr>
            <w:tcW w:w="1549" w:type="pct"/>
            <w:vAlign w:val="center"/>
          </w:tcPr>
          <w:p w14:paraId="006715FD">
            <w:pPr>
              <w:jc w:val="center"/>
            </w:pPr>
            <w:r>
              <w:t>按实际采购数量结算</w:t>
            </w:r>
          </w:p>
        </w:tc>
        <w:tc>
          <w:tcPr>
            <w:tcW w:w="256" w:type="pct"/>
            <w:vAlign w:val="center"/>
          </w:tcPr>
          <w:p w14:paraId="17DEE54D">
            <w:pPr>
              <w:jc w:val="center"/>
            </w:pPr>
            <w:r>
              <w:t>否</w:t>
            </w:r>
          </w:p>
        </w:tc>
      </w:tr>
      <w:tr w14:paraId="502EC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01" w:type="pct"/>
            <w:vAlign w:val="center"/>
          </w:tcPr>
          <w:p w14:paraId="2719F145">
            <w:pPr>
              <w:jc w:val="center"/>
            </w:pPr>
            <w:r>
              <w:t>6</w:t>
            </w:r>
          </w:p>
        </w:tc>
        <w:tc>
          <w:tcPr>
            <w:tcW w:w="1589" w:type="pct"/>
            <w:vAlign w:val="center"/>
          </w:tcPr>
          <w:p w14:paraId="4BC813C0">
            <w:pPr>
              <w:jc w:val="center"/>
            </w:pPr>
            <w:r>
              <w:t>鸡鸭肉等家禽</w:t>
            </w:r>
          </w:p>
        </w:tc>
        <w:tc>
          <w:tcPr>
            <w:tcW w:w="1103" w:type="pct"/>
            <w:vAlign w:val="center"/>
          </w:tcPr>
          <w:p w14:paraId="549159F3">
            <w:pPr>
              <w:jc w:val="center"/>
            </w:pPr>
            <w:r>
              <w:t>C23130200</w:t>
            </w:r>
          </w:p>
        </w:tc>
        <w:tc>
          <w:tcPr>
            <w:tcW w:w="1549" w:type="pct"/>
            <w:vAlign w:val="center"/>
          </w:tcPr>
          <w:p w14:paraId="4AB3869D">
            <w:pPr>
              <w:jc w:val="center"/>
            </w:pPr>
            <w:r>
              <w:t>按实际采购数量结算</w:t>
            </w:r>
          </w:p>
        </w:tc>
        <w:tc>
          <w:tcPr>
            <w:tcW w:w="256" w:type="pct"/>
            <w:vAlign w:val="center"/>
          </w:tcPr>
          <w:p w14:paraId="583CBD5E">
            <w:pPr>
              <w:jc w:val="center"/>
            </w:pPr>
            <w:r>
              <w:t>否</w:t>
            </w:r>
          </w:p>
        </w:tc>
      </w:tr>
      <w:tr w14:paraId="398FC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01" w:type="pct"/>
            <w:vAlign w:val="center"/>
          </w:tcPr>
          <w:p w14:paraId="252A8220">
            <w:pPr>
              <w:jc w:val="center"/>
            </w:pPr>
            <w:r>
              <w:t>7</w:t>
            </w:r>
          </w:p>
        </w:tc>
        <w:tc>
          <w:tcPr>
            <w:tcW w:w="1589" w:type="pct"/>
            <w:vAlign w:val="center"/>
          </w:tcPr>
          <w:p w14:paraId="07776FB3">
            <w:pPr>
              <w:jc w:val="center"/>
            </w:pPr>
            <w:r>
              <w:t>水产类</w:t>
            </w:r>
          </w:p>
        </w:tc>
        <w:tc>
          <w:tcPr>
            <w:tcW w:w="1103" w:type="pct"/>
            <w:vAlign w:val="center"/>
          </w:tcPr>
          <w:p w14:paraId="3318C61A">
            <w:pPr>
              <w:jc w:val="center"/>
            </w:pPr>
            <w:r>
              <w:t>C23130200</w:t>
            </w:r>
          </w:p>
        </w:tc>
        <w:tc>
          <w:tcPr>
            <w:tcW w:w="1549" w:type="pct"/>
            <w:vAlign w:val="center"/>
          </w:tcPr>
          <w:p w14:paraId="3BB179ED">
            <w:pPr>
              <w:jc w:val="center"/>
            </w:pPr>
            <w:r>
              <w:t>按实际采购数量结算</w:t>
            </w:r>
          </w:p>
        </w:tc>
        <w:tc>
          <w:tcPr>
            <w:tcW w:w="256" w:type="pct"/>
            <w:vAlign w:val="center"/>
          </w:tcPr>
          <w:p w14:paraId="653B095F">
            <w:pPr>
              <w:jc w:val="center"/>
            </w:pPr>
            <w:r>
              <w:t>否</w:t>
            </w:r>
          </w:p>
        </w:tc>
      </w:tr>
      <w:tr w14:paraId="49BCC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501" w:type="pct"/>
            <w:vAlign w:val="center"/>
          </w:tcPr>
          <w:p w14:paraId="3948A807">
            <w:pPr>
              <w:jc w:val="center"/>
            </w:pPr>
            <w:r>
              <w:t>8</w:t>
            </w:r>
          </w:p>
        </w:tc>
        <w:tc>
          <w:tcPr>
            <w:tcW w:w="1589" w:type="pct"/>
            <w:vAlign w:val="center"/>
          </w:tcPr>
          <w:p w14:paraId="4AA1D419">
            <w:pPr>
              <w:jc w:val="center"/>
            </w:pPr>
            <w:r>
              <w:t>大米</w:t>
            </w:r>
          </w:p>
        </w:tc>
        <w:tc>
          <w:tcPr>
            <w:tcW w:w="1103" w:type="pct"/>
            <w:vAlign w:val="center"/>
          </w:tcPr>
          <w:p w14:paraId="49B264DB">
            <w:pPr>
              <w:jc w:val="center"/>
            </w:pPr>
            <w:r>
              <w:t>C23130200</w:t>
            </w:r>
          </w:p>
        </w:tc>
        <w:tc>
          <w:tcPr>
            <w:tcW w:w="1549" w:type="pct"/>
            <w:vAlign w:val="center"/>
          </w:tcPr>
          <w:p w14:paraId="43409847">
            <w:pPr>
              <w:jc w:val="center"/>
            </w:pPr>
            <w:r>
              <w:t>按实际采购数量结算</w:t>
            </w:r>
          </w:p>
        </w:tc>
        <w:tc>
          <w:tcPr>
            <w:tcW w:w="256" w:type="pct"/>
            <w:vAlign w:val="center"/>
          </w:tcPr>
          <w:p w14:paraId="2FA6889E">
            <w:pPr>
              <w:jc w:val="center"/>
            </w:pPr>
            <w:r>
              <w:t>否</w:t>
            </w:r>
          </w:p>
        </w:tc>
      </w:tr>
      <w:tr w14:paraId="5CBAB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01" w:type="pct"/>
            <w:vAlign w:val="center"/>
          </w:tcPr>
          <w:p w14:paraId="09972913">
            <w:pPr>
              <w:jc w:val="center"/>
            </w:pPr>
            <w:r>
              <w:t>9</w:t>
            </w:r>
          </w:p>
        </w:tc>
        <w:tc>
          <w:tcPr>
            <w:tcW w:w="1589" w:type="pct"/>
            <w:vAlign w:val="center"/>
          </w:tcPr>
          <w:p w14:paraId="7582E6A7">
            <w:pPr>
              <w:jc w:val="center"/>
            </w:pPr>
            <w:r>
              <w:t>花生油、调和油</w:t>
            </w:r>
          </w:p>
        </w:tc>
        <w:tc>
          <w:tcPr>
            <w:tcW w:w="1103" w:type="pct"/>
            <w:vAlign w:val="center"/>
          </w:tcPr>
          <w:p w14:paraId="69420719">
            <w:pPr>
              <w:jc w:val="center"/>
            </w:pPr>
            <w:r>
              <w:t>C23130200</w:t>
            </w:r>
          </w:p>
        </w:tc>
        <w:tc>
          <w:tcPr>
            <w:tcW w:w="1549" w:type="pct"/>
            <w:vAlign w:val="center"/>
          </w:tcPr>
          <w:p w14:paraId="3365994E">
            <w:pPr>
              <w:jc w:val="center"/>
            </w:pPr>
            <w:r>
              <w:t>按实际采购数量结算</w:t>
            </w:r>
          </w:p>
        </w:tc>
        <w:tc>
          <w:tcPr>
            <w:tcW w:w="256" w:type="pct"/>
            <w:vAlign w:val="center"/>
          </w:tcPr>
          <w:p w14:paraId="4A06C5DF">
            <w:pPr>
              <w:jc w:val="center"/>
            </w:pPr>
            <w:r>
              <w:t>否</w:t>
            </w:r>
          </w:p>
        </w:tc>
      </w:tr>
      <w:tr w14:paraId="703A3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501" w:type="pct"/>
            <w:vAlign w:val="center"/>
          </w:tcPr>
          <w:p w14:paraId="7320F9C7">
            <w:pPr>
              <w:jc w:val="center"/>
            </w:pPr>
            <w:r>
              <w:t>10</w:t>
            </w:r>
          </w:p>
        </w:tc>
        <w:tc>
          <w:tcPr>
            <w:tcW w:w="1589" w:type="pct"/>
            <w:vAlign w:val="center"/>
          </w:tcPr>
          <w:p w14:paraId="1BF117E3">
            <w:pPr>
              <w:jc w:val="center"/>
            </w:pPr>
            <w:r>
              <w:t>调味品、干杂货食品等</w:t>
            </w:r>
          </w:p>
        </w:tc>
        <w:tc>
          <w:tcPr>
            <w:tcW w:w="1103" w:type="pct"/>
            <w:vAlign w:val="center"/>
          </w:tcPr>
          <w:p w14:paraId="6670F2AF">
            <w:pPr>
              <w:jc w:val="center"/>
            </w:pPr>
            <w:r>
              <w:t>C23130200</w:t>
            </w:r>
          </w:p>
        </w:tc>
        <w:tc>
          <w:tcPr>
            <w:tcW w:w="1549" w:type="pct"/>
            <w:vAlign w:val="center"/>
          </w:tcPr>
          <w:p w14:paraId="677EB8DD">
            <w:pPr>
              <w:jc w:val="center"/>
            </w:pPr>
            <w:r>
              <w:t>按实际采购数量结算</w:t>
            </w:r>
          </w:p>
        </w:tc>
        <w:tc>
          <w:tcPr>
            <w:tcW w:w="256" w:type="pct"/>
            <w:vAlign w:val="center"/>
          </w:tcPr>
          <w:p w14:paraId="2867E247">
            <w:pPr>
              <w:jc w:val="center"/>
            </w:pPr>
            <w:r>
              <w:t>否</w:t>
            </w:r>
          </w:p>
        </w:tc>
      </w:tr>
      <w:tr w14:paraId="4677D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01" w:type="pct"/>
            <w:vAlign w:val="center"/>
          </w:tcPr>
          <w:p w14:paraId="72B1A8F1">
            <w:pPr>
              <w:jc w:val="center"/>
            </w:pPr>
            <w:r>
              <w:t>11</w:t>
            </w:r>
          </w:p>
        </w:tc>
        <w:tc>
          <w:tcPr>
            <w:tcW w:w="1589" w:type="pct"/>
            <w:vAlign w:val="center"/>
          </w:tcPr>
          <w:p w14:paraId="5CBAB4CC">
            <w:pPr>
              <w:jc w:val="center"/>
            </w:pPr>
            <w:r>
              <w:t>豆制品</w:t>
            </w:r>
          </w:p>
        </w:tc>
        <w:tc>
          <w:tcPr>
            <w:tcW w:w="1103" w:type="pct"/>
            <w:vAlign w:val="center"/>
          </w:tcPr>
          <w:p w14:paraId="65E63061">
            <w:pPr>
              <w:jc w:val="center"/>
            </w:pPr>
            <w:r>
              <w:t>C23130200</w:t>
            </w:r>
          </w:p>
        </w:tc>
        <w:tc>
          <w:tcPr>
            <w:tcW w:w="1549" w:type="pct"/>
            <w:vAlign w:val="center"/>
          </w:tcPr>
          <w:p w14:paraId="769EE521">
            <w:pPr>
              <w:jc w:val="center"/>
            </w:pPr>
            <w:r>
              <w:t>按实际采购数量结算</w:t>
            </w:r>
          </w:p>
        </w:tc>
        <w:tc>
          <w:tcPr>
            <w:tcW w:w="256" w:type="pct"/>
            <w:vAlign w:val="center"/>
          </w:tcPr>
          <w:p w14:paraId="54C39881">
            <w:pPr>
              <w:jc w:val="center"/>
            </w:pPr>
            <w:r>
              <w:t>否</w:t>
            </w:r>
          </w:p>
        </w:tc>
      </w:tr>
      <w:tr w14:paraId="6028D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501" w:type="pct"/>
            <w:vAlign w:val="center"/>
          </w:tcPr>
          <w:p w14:paraId="6CE76DEA">
            <w:pPr>
              <w:jc w:val="center"/>
            </w:pPr>
            <w:r>
              <w:t>12</w:t>
            </w:r>
          </w:p>
        </w:tc>
        <w:tc>
          <w:tcPr>
            <w:tcW w:w="1589" w:type="pct"/>
            <w:vAlign w:val="center"/>
          </w:tcPr>
          <w:p w14:paraId="68D7FF45">
            <w:pPr>
              <w:jc w:val="center"/>
            </w:pPr>
            <w:r>
              <w:t>蔬菜类</w:t>
            </w:r>
          </w:p>
        </w:tc>
        <w:tc>
          <w:tcPr>
            <w:tcW w:w="1103" w:type="pct"/>
            <w:vAlign w:val="center"/>
          </w:tcPr>
          <w:p w14:paraId="38DD50BD">
            <w:pPr>
              <w:jc w:val="center"/>
            </w:pPr>
            <w:r>
              <w:t>C23130200</w:t>
            </w:r>
          </w:p>
        </w:tc>
        <w:tc>
          <w:tcPr>
            <w:tcW w:w="1549" w:type="pct"/>
            <w:vAlign w:val="center"/>
          </w:tcPr>
          <w:p w14:paraId="103F405F">
            <w:pPr>
              <w:jc w:val="center"/>
            </w:pPr>
            <w:r>
              <w:t>按实际采购数量结算</w:t>
            </w:r>
          </w:p>
        </w:tc>
        <w:tc>
          <w:tcPr>
            <w:tcW w:w="256" w:type="pct"/>
            <w:vAlign w:val="center"/>
          </w:tcPr>
          <w:p w14:paraId="11BCB5C5">
            <w:pPr>
              <w:jc w:val="center"/>
            </w:pPr>
            <w:r>
              <w:t>否</w:t>
            </w:r>
          </w:p>
        </w:tc>
      </w:tr>
      <w:tr w14:paraId="0AF24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jc w:val="center"/>
        </w:trPr>
        <w:tc>
          <w:tcPr>
            <w:tcW w:w="501" w:type="pct"/>
            <w:vAlign w:val="center"/>
          </w:tcPr>
          <w:p w14:paraId="50ABABA8">
            <w:pPr>
              <w:jc w:val="center"/>
            </w:pPr>
            <w:r>
              <w:t>13</w:t>
            </w:r>
          </w:p>
        </w:tc>
        <w:tc>
          <w:tcPr>
            <w:tcW w:w="1589" w:type="pct"/>
            <w:vAlign w:val="center"/>
          </w:tcPr>
          <w:p w14:paraId="592F1F6E">
            <w:pPr>
              <w:jc w:val="center"/>
            </w:pPr>
            <w:r>
              <w:t>糕点类、粉类</w:t>
            </w:r>
          </w:p>
        </w:tc>
        <w:tc>
          <w:tcPr>
            <w:tcW w:w="1103" w:type="pct"/>
            <w:vAlign w:val="center"/>
          </w:tcPr>
          <w:p w14:paraId="698E4D22">
            <w:pPr>
              <w:jc w:val="center"/>
            </w:pPr>
            <w:r>
              <w:t>C23130200</w:t>
            </w:r>
          </w:p>
        </w:tc>
        <w:tc>
          <w:tcPr>
            <w:tcW w:w="1549" w:type="pct"/>
            <w:vAlign w:val="center"/>
          </w:tcPr>
          <w:p w14:paraId="48F2451D">
            <w:pPr>
              <w:jc w:val="center"/>
            </w:pPr>
            <w:r>
              <w:t>按实际采购数量结算</w:t>
            </w:r>
          </w:p>
        </w:tc>
        <w:tc>
          <w:tcPr>
            <w:tcW w:w="256" w:type="pct"/>
            <w:vAlign w:val="center"/>
          </w:tcPr>
          <w:p w14:paraId="331442A4">
            <w:pPr>
              <w:jc w:val="center"/>
            </w:pPr>
            <w:r>
              <w:t>否</w:t>
            </w:r>
          </w:p>
        </w:tc>
      </w:tr>
    </w:tbl>
    <w:p w14:paraId="01D016E9">
      <w:pPr>
        <w:pageBreakBefore w:val="0"/>
        <w:widowControl w:val="0"/>
        <w:kinsoku/>
        <w:wordWrap/>
        <w:overflowPunct/>
        <w:topLinePunct w:val="0"/>
        <w:bidi w:val="0"/>
        <w:adjustRightInd/>
        <w:spacing w:line="5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（二）执行标准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7267"/>
      </w:tblGrid>
      <w:tr w14:paraId="0A6B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42BDC24D">
            <w:pPr>
              <w:spacing w:line="360" w:lineRule="auto"/>
              <w:jc w:val="center"/>
              <w:rPr>
                <w:rFonts w:hint="eastAsia"/>
                <w:sz w:val="22"/>
                <w:szCs w:val="22"/>
                <w:vertAlign w:val="baseline"/>
              </w:rPr>
            </w:pPr>
            <w:r>
              <w:rPr>
                <w:rFonts w:hint="eastAsia" w:ascii="宋体" w:hAnsi="宋体" w:eastAsia="宋体" w:cs="宋体"/>
                <w:spacing w:val="-2"/>
                <w:sz w:val="22"/>
                <w:szCs w:val="22"/>
              </w:rPr>
              <w:t>食品名称</w:t>
            </w:r>
          </w:p>
        </w:tc>
        <w:tc>
          <w:tcPr>
            <w:tcW w:w="7267" w:type="dxa"/>
          </w:tcPr>
          <w:p w14:paraId="1CC31AC0">
            <w:pPr>
              <w:spacing w:line="360" w:lineRule="auto"/>
              <w:jc w:val="center"/>
              <w:rPr>
                <w:rFonts w:hint="eastAsia"/>
                <w:sz w:val="22"/>
                <w:szCs w:val="22"/>
                <w:vertAlign w:val="baseline"/>
              </w:rPr>
            </w:pPr>
            <w:r>
              <w:rPr>
                <w:rFonts w:hint="eastAsia" w:ascii="宋体" w:hAnsi="宋体" w:eastAsia="宋体" w:cs="宋体"/>
                <w:spacing w:val="-2"/>
                <w:sz w:val="22"/>
                <w:szCs w:val="22"/>
              </w:rPr>
              <w:t>执行标准</w:t>
            </w:r>
          </w:p>
        </w:tc>
      </w:tr>
      <w:tr w14:paraId="1B92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5" w:type="dxa"/>
          </w:tcPr>
          <w:p w14:paraId="18655BF2">
            <w:pPr>
              <w:spacing w:line="360" w:lineRule="auto"/>
              <w:jc w:val="center"/>
              <w:rPr>
                <w:rFonts w:hint="eastAsia" w:ascii="宋体" w:hAnsi="宋体" w:eastAsia="宋体" w:cs="宋体"/>
                <w:spacing w:val="-3"/>
                <w:sz w:val="22"/>
                <w:szCs w:val="22"/>
              </w:rPr>
            </w:pPr>
          </w:p>
          <w:p w14:paraId="1C8DA670">
            <w:pPr>
              <w:spacing w:line="360" w:lineRule="auto"/>
              <w:jc w:val="center"/>
              <w:rPr>
                <w:rFonts w:hint="eastAsia" w:ascii="宋体" w:hAnsi="宋体" w:eastAsia="宋体" w:cs="宋体"/>
                <w:spacing w:val="-3"/>
                <w:sz w:val="22"/>
                <w:szCs w:val="22"/>
              </w:rPr>
            </w:pPr>
          </w:p>
          <w:p w14:paraId="14D3547A">
            <w:pPr>
              <w:spacing w:line="360" w:lineRule="auto"/>
              <w:jc w:val="center"/>
              <w:rPr>
                <w:rFonts w:hint="eastAsia" w:ascii="宋体" w:hAnsi="宋体" w:eastAsia="宋体" w:cs="宋体"/>
                <w:spacing w:val="-3"/>
                <w:sz w:val="22"/>
                <w:szCs w:val="22"/>
              </w:rPr>
            </w:pPr>
          </w:p>
          <w:p w14:paraId="1C9125D6">
            <w:pPr>
              <w:spacing w:line="360" w:lineRule="auto"/>
              <w:jc w:val="center"/>
              <w:rPr>
                <w:rFonts w:hint="eastAsia" w:ascii="宋体" w:hAnsi="宋体" w:eastAsia="宋体" w:cs="宋体"/>
                <w:spacing w:val="-3"/>
                <w:sz w:val="22"/>
                <w:szCs w:val="22"/>
              </w:rPr>
            </w:pPr>
          </w:p>
          <w:p w14:paraId="29F61D65">
            <w:pPr>
              <w:spacing w:line="360" w:lineRule="auto"/>
              <w:jc w:val="center"/>
              <w:rPr>
                <w:rFonts w:hint="eastAsia"/>
                <w:sz w:val="22"/>
                <w:szCs w:val="22"/>
                <w:vertAlign w:val="baseline"/>
              </w:rPr>
            </w:pPr>
            <w:r>
              <w:rPr>
                <w:rFonts w:hint="eastAsia" w:ascii="宋体" w:hAnsi="宋体" w:eastAsia="宋体" w:cs="宋体"/>
                <w:spacing w:val="-3"/>
                <w:sz w:val="22"/>
                <w:szCs w:val="22"/>
              </w:rPr>
              <w:t>面食类</w:t>
            </w:r>
          </w:p>
        </w:tc>
        <w:tc>
          <w:tcPr>
            <w:tcW w:w="7267" w:type="dxa"/>
          </w:tcPr>
          <w:p w14:paraId="31289CE4">
            <w:pPr>
              <w:spacing w:line="360" w:lineRule="auto"/>
              <w:rPr>
                <w:rFonts w:hint="eastAsia"/>
                <w:sz w:val="22"/>
                <w:szCs w:val="22"/>
                <w:vertAlign w:val="baseline"/>
              </w:rPr>
            </w:pPr>
            <w:r>
              <w:rPr>
                <w:rFonts w:hint="eastAsia"/>
                <w:sz w:val="22"/>
                <w:szCs w:val="22"/>
                <w:vertAlign w:val="baseline"/>
              </w:rPr>
              <w:t>1、采购需求</w:t>
            </w:r>
          </w:p>
          <w:p w14:paraId="113CF3B9">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24249662">
            <w:pPr>
              <w:spacing w:line="360" w:lineRule="auto"/>
              <w:rPr>
                <w:rFonts w:hint="eastAsia"/>
                <w:sz w:val="22"/>
                <w:szCs w:val="22"/>
                <w:vertAlign w:val="baseline"/>
              </w:rPr>
            </w:pPr>
            <w:r>
              <w:rPr>
                <w:rFonts w:hint="eastAsia"/>
                <w:sz w:val="22"/>
                <w:szCs w:val="22"/>
                <w:vertAlign w:val="baseline"/>
              </w:rPr>
              <w:t>(2)结算时按实际采购数量结算</w:t>
            </w:r>
          </w:p>
          <w:p w14:paraId="0FF89509">
            <w:pPr>
              <w:spacing w:line="360" w:lineRule="auto"/>
              <w:rPr>
                <w:rFonts w:hint="eastAsia"/>
                <w:sz w:val="22"/>
                <w:szCs w:val="22"/>
                <w:vertAlign w:val="baseline"/>
              </w:rPr>
            </w:pPr>
            <w:r>
              <w:rPr>
                <w:rFonts w:hint="eastAsia"/>
                <w:sz w:val="22"/>
                <w:szCs w:val="22"/>
                <w:vertAlign w:val="baseline"/>
              </w:rPr>
              <w:t>▲2、质量要求</w:t>
            </w:r>
          </w:p>
          <w:p w14:paraId="0CE7967A">
            <w:pPr>
              <w:spacing w:line="360" w:lineRule="auto"/>
              <w:rPr>
                <w:rFonts w:hint="eastAsia"/>
                <w:sz w:val="22"/>
                <w:szCs w:val="22"/>
                <w:vertAlign w:val="baseline"/>
              </w:rPr>
            </w:pPr>
            <w:r>
              <w:rPr>
                <w:rFonts w:hint="eastAsia"/>
                <w:color w:val="0000FF"/>
                <w:sz w:val="22"/>
                <w:szCs w:val="22"/>
                <w:vertAlign w:val="baseline"/>
              </w:rPr>
              <w:t>(1)</w:t>
            </w:r>
            <w:r>
              <w:rPr>
                <w:rFonts w:hint="eastAsia"/>
                <w:sz w:val="22"/>
                <w:szCs w:val="22"/>
                <w:vertAlign w:val="baseline"/>
              </w:rPr>
              <w:t>应该色泽均匀，无杂质、结块或发霉现象，</w:t>
            </w:r>
            <w:r>
              <w:rPr>
                <w:rFonts w:hint="eastAsia"/>
                <w:sz w:val="22"/>
                <w:szCs w:val="22"/>
                <w:vertAlign w:val="baseline"/>
                <w:lang w:eastAsia="zh-CN"/>
              </w:rPr>
              <w:t>具有该粮食产品天然的香味</w:t>
            </w:r>
            <w:r>
              <w:rPr>
                <w:rFonts w:hint="eastAsia"/>
                <w:sz w:val="22"/>
                <w:szCs w:val="22"/>
                <w:vertAlign w:val="baseline"/>
              </w:rPr>
              <w:t>，没有异味或发酸的气味；应该由纯正的</w:t>
            </w:r>
            <w:r>
              <w:rPr>
                <w:rFonts w:hint="eastAsia"/>
                <w:sz w:val="22"/>
                <w:szCs w:val="22"/>
                <w:vertAlign w:val="baseline"/>
                <w:lang w:eastAsia="zh-CN"/>
              </w:rPr>
              <w:t>该产品制成</w:t>
            </w:r>
            <w:r>
              <w:rPr>
                <w:rFonts w:hint="eastAsia"/>
                <w:sz w:val="22"/>
                <w:szCs w:val="22"/>
                <w:vertAlign w:val="baseline"/>
              </w:rPr>
              <w:t>，不应该添加其他杂质或添加剂。产品包装要求机械封装，印上产品名称及生产日期和保质期，产品要求为即产即销。</w:t>
            </w:r>
          </w:p>
        </w:tc>
      </w:tr>
      <w:tr w14:paraId="3CA0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70C0D732">
            <w:pPr>
              <w:spacing w:line="360" w:lineRule="auto"/>
              <w:jc w:val="center"/>
              <w:rPr>
                <w:rFonts w:hint="eastAsia" w:ascii="宋体" w:hAnsi="宋体" w:eastAsia="宋体" w:cs="宋体"/>
                <w:spacing w:val="3"/>
                <w:sz w:val="22"/>
                <w:szCs w:val="22"/>
              </w:rPr>
            </w:pPr>
          </w:p>
          <w:p w14:paraId="67A05C69">
            <w:pPr>
              <w:spacing w:line="360" w:lineRule="auto"/>
              <w:jc w:val="center"/>
              <w:rPr>
                <w:rFonts w:hint="eastAsia" w:ascii="宋体" w:hAnsi="宋体" w:eastAsia="宋体" w:cs="宋体"/>
                <w:spacing w:val="3"/>
                <w:sz w:val="22"/>
                <w:szCs w:val="22"/>
              </w:rPr>
            </w:pPr>
          </w:p>
          <w:p w14:paraId="42668FD6">
            <w:pPr>
              <w:spacing w:line="360" w:lineRule="auto"/>
              <w:jc w:val="center"/>
              <w:rPr>
                <w:rFonts w:hint="eastAsia"/>
                <w:sz w:val="22"/>
                <w:szCs w:val="22"/>
                <w:vertAlign w:val="baseline"/>
              </w:rPr>
            </w:pPr>
            <w:r>
              <w:rPr>
                <w:rFonts w:hint="eastAsia" w:ascii="宋体" w:hAnsi="宋体" w:eastAsia="宋体" w:cs="宋体"/>
                <w:spacing w:val="3"/>
                <w:sz w:val="22"/>
                <w:szCs w:val="22"/>
              </w:rPr>
              <w:t>纯牛奶</w:t>
            </w:r>
          </w:p>
        </w:tc>
        <w:tc>
          <w:tcPr>
            <w:tcW w:w="7267" w:type="dxa"/>
          </w:tcPr>
          <w:p w14:paraId="42FCD29B">
            <w:pPr>
              <w:spacing w:line="360" w:lineRule="auto"/>
              <w:rPr>
                <w:rFonts w:hint="eastAsia"/>
                <w:sz w:val="22"/>
                <w:szCs w:val="22"/>
                <w:vertAlign w:val="baseline"/>
              </w:rPr>
            </w:pPr>
            <w:r>
              <w:rPr>
                <w:rFonts w:hint="eastAsia"/>
                <w:sz w:val="22"/>
                <w:szCs w:val="22"/>
                <w:vertAlign w:val="baseline"/>
              </w:rPr>
              <w:t>1、采购需求</w:t>
            </w:r>
          </w:p>
          <w:p w14:paraId="72B6E61F">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664CAA5D">
            <w:pPr>
              <w:spacing w:line="360" w:lineRule="auto"/>
              <w:rPr>
                <w:rFonts w:hint="eastAsia"/>
                <w:sz w:val="22"/>
                <w:szCs w:val="22"/>
                <w:vertAlign w:val="baseline"/>
              </w:rPr>
            </w:pPr>
            <w:r>
              <w:rPr>
                <w:rFonts w:hint="eastAsia"/>
                <w:sz w:val="22"/>
                <w:szCs w:val="22"/>
                <w:vertAlign w:val="baseline"/>
              </w:rPr>
              <w:t>(2)结算时按实际采购数量结算。</w:t>
            </w:r>
          </w:p>
          <w:p w14:paraId="0482D913">
            <w:pPr>
              <w:spacing w:line="360" w:lineRule="auto"/>
              <w:rPr>
                <w:rFonts w:hint="eastAsia" w:eastAsiaTheme="minorEastAsia"/>
                <w:sz w:val="22"/>
                <w:szCs w:val="22"/>
                <w:vertAlign w:val="baseline"/>
                <w:lang w:eastAsia="zh-CN"/>
              </w:rPr>
            </w:pPr>
            <w:r>
              <w:rPr>
                <w:rFonts w:hint="eastAsia"/>
                <w:sz w:val="22"/>
                <w:szCs w:val="22"/>
                <w:vertAlign w:val="baseline"/>
              </w:rPr>
              <w:t>▲2、</w:t>
            </w:r>
            <w:r>
              <w:rPr>
                <w:rFonts w:hint="eastAsia"/>
                <w:sz w:val="22"/>
                <w:szCs w:val="22"/>
                <w:vertAlign w:val="baseline"/>
                <w:lang w:eastAsia="zh-CN"/>
              </w:rPr>
              <w:t>质量要求</w:t>
            </w:r>
          </w:p>
          <w:p w14:paraId="5CBBFAE3">
            <w:pPr>
              <w:spacing w:line="360" w:lineRule="auto"/>
              <w:rPr>
                <w:rFonts w:hint="eastAsia"/>
                <w:sz w:val="22"/>
                <w:szCs w:val="22"/>
                <w:vertAlign w:val="baseline"/>
              </w:rPr>
            </w:pPr>
            <w:r>
              <w:rPr>
                <w:rFonts w:hint="eastAsia"/>
                <w:sz w:val="22"/>
                <w:szCs w:val="22"/>
                <w:vertAlign w:val="baseline"/>
              </w:rPr>
              <w:t>(1)需符合国家相关标准(如GB25190《食品安全国家标准灭菌乳》等)。</w:t>
            </w:r>
          </w:p>
          <w:p w14:paraId="16BFD675">
            <w:pPr>
              <w:spacing w:line="360" w:lineRule="auto"/>
              <w:rPr>
                <w:rFonts w:hint="eastAsia"/>
                <w:sz w:val="22"/>
                <w:szCs w:val="22"/>
                <w:vertAlign w:val="baseline"/>
              </w:rPr>
            </w:pPr>
            <w:r>
              <w:rPr>
                <w:rFonts w:hint="eastAsia"/>
                <w:sz w:val="22"/>
                <w:szCs w:val="22"/>
                <w:vertAlign w:val="baseline"/>
              </w:rPr>
              <w:t>(2)原料奶必须来自健康无病的奶牛，不得使用任何激素、抗生素、残留超</w:t>
            </w:r>
            <w:r>
              <w:rPr>
                <w:rFonts w:hint="eastAsia"/>
                <w:sz w:val="22"/>
                <w:szCs w:val="22"/>
                <w:vertAlign w:val="baseline"/>
                <w:lang w:eastAsia="zh-CN"/>
              </w:rPr>
              <w:t>品类</w:t>
            </w:r>
            <w:r>
              <w:rPr>
                <w:rFonts w:hint="eastAsia"/>
                <w:sz w:val="22"/>
                <w:szCs w:val="22"/>
                <w:vertAlign w:val="baseline"/>
              </w:rPr>
              <w:t>奶源；必须提供纯牛奶。</w:t>
            </w:r>
          </w:p>
          <w:p w14:paraId="08F22E5C">
            <w:pPr>
              <w:spacing w:line="360" w:lineRule="auto"/>
              <w:rPr>
                <w:rFonts w:hint="eastAsia"/>
                <w:sz w:val="22"/>
                <w:szCs w:val="22"/>
                <w:vertAlign w:val="baseline"/>
              </w:rPr>
            </w:pPr>
            <w:r>
              <w:rPr>
                <w:rFonts w:hint="eastAsia"/>
                <w:sz w:val="22"/>
                <w:szCs w:val="22"/>
                <w:vertAlign w:val="baseline"/>
              </w:rPr>
              <w:t>(3)应采用超高温瞬时灭菌(UHT)或其他经认可的有效杀菌工艺处理，确保产品安全。</w:t>
            </w:r>
          </w:p>
          <w:p w14:paraId="0B02E669">
            <w:pPr>
              <w:spacing w:line="360" w:lineRule="auto"/>
              <w:rPr>
                <w:rFonts w:hint="eastAsia"/>
                <w:sz w:val="22"/>
                <w:szCs w:val="22"/>
                <w:vertAlign w:val="baseline"/>
              </w:rPr>
            </w:pPr>
            <w:r>
              <w:rPr>
                <w:rFonts w:hint="eastAsia"/>
                <w:sz w:val="22"/>
                <w:szCs w:val="22"/>
                <w:vertAlign w:val="baseline"/>
              </w:rPr>
              <w:t>(4)色泽：呈乳白色或微黄色，均匀一致，无沉淀、无凝块、无杂质。</w:t>
            </w:r>
          </w:p>
          <w:p w14:paraId="3F82ACFA">
            <w:pPr>
              <w:spacing w:line="360" w:lineRule="auto"/>
              <w:rPr>
                <w:rFonts w:hint="eastAsia"/>
                <w:sz w:val="22"/>
                <w:szCs w:val="22"/>
                <w:vertAlign w:val="baseline"/>
              </w:rPr>
            </w:pPr>
            <w:r>
              <w:rPr>
                <w:rFonts w:hint="eastAsia"/>
                <w:sz w:val="22"/>
                <w:szCs w:val="22"/>
                <w:vertAlign w:val="baseline"/>
              </w:rPr>
              <w:t>(5)滋味与气味：具有纯牛乳特有的香味，无异味。</w:t>
            </w:r>
          </w:p>
          <w:p w14:paraId="6847A96D">
            <w:pPr>
              <w:spacing w:line="360" w:lineRule="auto"/>
              <w:rPr>
                <w:rFonts w:hint="eastAsia"/>
                <w:sz w:val="22"/>
                <w:szCs w:val="22"/>
                <w:vertAlign w:val="baseline"/>
              </w:rPr>
            </w:pPr>
            <w:r>
              <w:rPr>
                <w:rFonts w:hint="eastAsia"/>
                <w:sz w:val="22"/>
                <w:szCs w:val="22"/>
                <w:vertAlign w:val="baseline"/>
              </w:rPr>
              <w:t>(6)组织状态：呈均匀一致的液体，无凝块、无沉淀、无粘稠现象。</w:t>
            </w:r>
          </w:p>
          <w:p w14:paraId="1465D5E5">
            <w:pPr>
              <w:spacing w:line="360" w:lineRule="auto"/>
              <w:rPr>
                <w:rFonts w:hint="eastAsia"/>
                <w:sz w:val="22"/>
                <w:szCs w:val="22"/>
                <w:vertAlign w:val="baseline"/>
              </w:rPr>
            </w:pPr>
            <w:r>
              <w:rPr>
                <w:rFonts w:hint="eastAsia"/>
                <w:sz w:val="22"/>
                <w:szCs w:val="22"/>
                <w:vertAlign w:val="baseline"/>
              </w:rPr>
              <w:t>(7)蛋白质含量：符合国家或行业规定的最低标准，每100mL不低于(含)3.2g。</w:t>
            </w:r>
          </w:p>
          <w:p w14:paraId="25380D73">
            <w:pPr>
              <w:spacing w:line="360" w:lineRule="auto"/>
              <w:rPr>
                <w:rFonts w:hint="eastAsia"/>
                <w:sz w:val="22"/>
                <w:szCs w:val="22"/>
                <w:vertAlign w:val="baseline"/>
              </w:rPr>
            </w:pPr>
            <w:r>
              <w:rPr>
                <w:rFonts w:hint="eastAsia"/>
                <w:sz w:val="22"/>
                <w:szCs w:val="22"/>
                <w:vertAlign w:val="baseline"/>
              </w:rPr>
              <w:t>(8)酸度：pH值及滴定酸度应在正常范围内，表明产品新鲜度。</w:t>
            </w:r>
          </w:p>
          <w:p w14:paraId="775D83D5">
            <w:pPr>
              <w:spacing w:line="360" w:lineRule="auto"/>
              <w:rPr>
                <w:rFonts w:hint="eastAsia"/>
                <w:sz w:val="22"/>
                <w:szCs w:val="22"/>
                <w:vertAlign w:val="baseline"/>
              </w:rPr>
            </w:pPr>
            <w:r>
              <w:rPr>
                <w:rFonts w:hint="eastAsia"/>
                <w:sz w:val="22"/>
                <w:szCs w:val="22"/>
                <w:vertAlign w:val="baseline"/>
              </w:rPr>
              <w:t>(9)杂质度：不得检出肉眼可见的外来杂质。</w:t>
            </w:r>
          </w:p>
          <w:p w14:paraId="0C786C1D">
            <w:pPr>
              <w:spacing w:line="360" w:lineRule="auto"/>
              <w:rPr>
                <w:rFonts w:hint="eastAsia"/>
                <w:sz w:val="22"/>
                <w:szCs w:val="22"/>
                <w:vertAlign w:val="baseline"/>
              </w:rPr>
            </w:pPr>
            <w:r>
              <w:rPr>
                <w:rFonts w:hint="eastAsia"/>
                <w:sz w:val="22"/>
                <w:szCs w:val="22"/>
                <w:vertAlign w:val="baseline"/>
              </w:rPr>
              <w:t>(10)微生物指标：</w:t>
            </w:r>
          </w:p>
          <w:p w14:paraId="346136DA">
            <w:pPr>
              <w:spacing w:line="360" w:lineRule="auto"/>
              <w:rPr>
                <w:rFonts w:hint="eastAsia"/>
                <w:sz w:val="22"/>
                <w:szCs w:val="22"/>
                <w:vertAlign w:val="baseline"/>
              </w:rPr>
            </w:pPr>
            <w:r>
              <w:rPr>
                <w:rFonts w:hint="eastAsia"/>
                <w:sz w:val="22"/>
                <w:szCs w:val="22"/>
                <w:vertAlign w:val="baseline"/>
              </w:rPr>
              <w:t>菌落总数：</w:t>
            </w:r>
            <w:r>
              <w:rPr>
                <w:rFonts w:hint="eastAsia"/>
                <w:sz w:val="22"/>
                <w:szCs w:val="22"/>
                <w:vertAlign w:val="baseline"/>
                <w:lang w:eastAsia="zh-CN"/>
              </w:rPr>
              <w:t>《食品安全国家标准灭菌乳》标准规定</w:t>
            </w:r>
            <w:r>
              <w:rPr>
                <w:rFonts w:hint="eastAsia"/>
                <w:sz w:val="22"/>
                <w:szCs w:val="22"/>
                <w:vertAlign w:val="baseline"/>
              </w:rPr>
              <w:t>，以确保产品卫生质量；大肠菌群：不得检出，以预防肠道传染病的发生；致病菌(如沙门氏菌，金黄色葡萄球菌等)不得检出，确保产品安全无害。</w:t>
            </w:r>
          </w:p>
          <w:p w14:paraId="027760C9">
            <w:pPr>
              <w:spacing w:line="360" w:lineRule="auto"/>
              <w:rPr>
                <w:rFonts w:hint="eastAsia"/>
                <w:sz w:val="22"/>
                <w:szCs w:val="22"/>
                <w:vertAlign w:val="baseline"/>
              </w:rPr>
            </w:pPr>
            <w:r>
              <w:rPr>
                <w:rFonts w:hint="eastAsia"/>
                <w:sz w:val="22"/>
                <w:szCs w:val="22"/>
                <w:vertAlign w:val="baseline"/>
              </w:rPr>
              <w:t>(11)包装与标识：</w:t>
            </w:r>
          </w:p>
          <w:p w14:paraId="6154FA99">
            <w:pPr>
              <w:spacing w:line="360" w:lineRule="auto"/>
              <w:rPr>
                <w:rFonts w:hint="eastAsia"/>
                <w:sz w:val="22"/>
                <w:szCs w:val="22"/>
                <w:vertAlign w:val="baseline"/>
              </w:rPr>
            </w:pPr>
            <w:r>
              <w:rPr>
                <w:rFonts w:hint="eastAsia"/>
                <w:sz w:val="22"/>
                <w:szCs w:val="22"/>
                <w:vertAlign w:val="baseline"/>
              </w:rPr>
              <w:t>包装材料：应符合食品安全要求，无毒、无害、密封性好，防止污染；标识标签：应清晰标注产品名称、规格、生产日期、保质期、生产厂商、营养成分表、贮存条件等信息，符合相关法律法规要求。</w:t>
            </w:r>
          </w:p>
        </w:tc>
      </w:tr>
      <w:tr w14:paraId="5BE7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70670C2D">
            <w:pPr>
              <w:spacing w:line="360" w:lineRule="auto"/>
              <w:jc w:val="center"/>
              <w:rPr>
                <w:rFonts w:hint="eastAsia" w:ascii="宋体" w:hAnsi="宋体" w:eastAsia="宋体" w:cs="宋体"/>
                <w:spacing w:val="6"/>
                <w:sz w:val="22"/>
                <w:szCs w:val="22"/>
              </w:rPr>
            </w:pPr>
          </w:p>
          <w:p w14:paraId="05D2DCE8">
            <w:pPr>
              <w:spacing w:line="360" w:lineRule="auto"/>
              <w:jc w:val="center"/>
              <w:rPr>
                <w:rFonts w:hint="eastAsia" w:ascii="宋体" w:hAnsi="宋体" w:eastAsia="宋体" w:cs="宋体"/>
                <w:spacing w:val="6"/>
                <w:sz w:val="22"/>
                <w:szCs w:val="22"/>
              </w:rPr>
            </w:pPr>
          </w:p>
          <w:p w14:paraId="318A27C0">
            <w:pPr>
              <w:spacing w:line="360" w:lineRule="auto"/>
              <w:jc w:val="center"/>
              <w:rPr>
                <w:rFonts w:hint="eastAsia" w:ascii="宋体" w:hAnsi="宋体" w:eastAsia="宋体" w:cs="宋体"/>
                <w:spacing w:val="6"/>
                <w:sz w:val="22"/>
                <w:szCs w:val="22"/>
              </w:rPr>
            </w:pPr>
          </w:p>
          <w:p w14:paraId="3C9B149D">
            <w:pPr>
              <w:spacing w:line="360" w:lineRule="auto"/>
              <w:jc w:val="center"/>
              <w:rPr>
                <w:rFonts w:hint="eastAsia" w:ascii="宋体" w:hAnsi="宋体" w:eastAsia="宋体" w:cs="宋体"/>
                <w:spacing w:val="6"/>
                <w:sz w:val="22"/>
                <w:szCs w:val="22"/>
              </w:rPr>
            </w:pPr>
          </w:p>
          <w:p w14:paraId="3DE51578">
            <w:pPr>
              <w:spacing w:line="360" w:lineRule="auto"/>
              <w:jc w:val="center"/>
              <w:rPr>
                <w:rFonts w:hint="eastAsia"/>
                <w:sz w:val="22"/>
                <w:szCs w:val="22"/>
                <w:vertAlign w:val="baseline"/>
              </w:rPr>
            </w:pPr>
            <w:r>
              <w:rPr>
                <w:rFonts w:hint="eastAsia" w:ascii="宋体" w:hAnsi="宋体" w:eastAsia="宋体" w:cs="宋体"/>
                <w:spacing w:val="6"/>
                <w:sz w:val="22"/>
                <w:szCs w:val="22"/>
              </w:rPr>
              <w:t>水果</w:t>
            </w:r>
          </w:p>
        </w:tc>
        <w:tc>
          <w:tcPr>
            <w:tcW w:w="7267" w:type="dxa"/>
          </w:tcPr>
          <w:p w14:paraId="475F70A6">
            <w:pPr>
              <w:spacing w:line="360" w:lineRule="auto"/>
              <w:rPr>
                <w:rFonts w:hint="eastAsia"/>
                <w:sz w:val="22"/>
                <w:szCs w:val="22"/>
                <w:vertAlign w:val="baseline"/>
              </w:rPr>
            </w:pPr>
            <w:r>
              <w:rPr>
                <w:rFonts w:hint="eastAsia"/>
                <w:sz w:val="22"/>
                <w:szCs w:val="22"/>
                <w:vertAlign w:val="baseline"/>
              </w:rPr>
              <w:t>1、采购需求</w:t>
            </w:r>
          </w:p>
          <w:p w14:paraId="385AF428">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70026D99">
            <w:pPr>
              <w:spacing w:line="360" w:lineRule="auto"/>
              <w:rPr>
                <w:rFonts w:hint="eastAsia"/>
                <w:sz w:val="22"/>
                <w:szCs w:val="22"/>
                <w:vertAlign w:val="baseline"/>
              </w:rPr>
            </w:pPr>
            <w:r>
              <w:rPr>
                <w:rFonts w:hint="eastAsia"/>
                <w:sz w:val="22"/>
                <w:szCs w:val="22"/>
                <w:vertAlign w:val="baseline"/>
              </w:rPr>
              <w:t>（2）结算时按实际采购数量结算。</w:t>
            </w:r>
          </w:p>
          <w:p w14:paraId="398A18C6">
            <w:pPr>
              <w:spacing w:line="360" w:lineRule="auto"/>
              <w:rPr>
                <w:rFonts w:hint="eastAsia"/>
                <w:sz w:val="22"/>
                <w:szCs w:val="22"/>
                <w:vertAlign w:val="baseline"/>
              </w:rPr>
            </w:pPr>
            <w:r>
              <w:rPr>
                <w:rFonts w:hint="eastAsia"/>
                <w:sz w:val="22"/>
                <w:szCs w:val="22"/>
                <w:vertAlign w:val="baseline"/>
              </w:rPr>
              <w:t>▲2、质量要求</w:t>
            </w:r>
          </w:p>
          <w:p w14:paraId="2028F0EF">
            <w:pPr>
              <w:spacing w:line="360" w:lineRule="auto"/>
              <w:rPr>
                <w:rFonts w:hint="eastAsia"/>
                <w:sz w:val="22"/>
                <w:szCs w:val="22"/>
                <w:vertAlign w:val="baseline"/>
              </w:rPr>
            </w:pPr>
            <w:r>
              <w:rPr>
                <w:rFonts w:hint="eastAsia"/>
                <w:sz w:val="22"/>
                <w:szCs w:val="22"/>
                <w:vertAlign w:val="baseline"/>
              </w:rPr>
              <w:t>(1)有外包装的要注明商品名称，生产企业名称，产地，生产日期，保质期，联系电话，重量等内容。水果外表光亮无斑点，新鲜，清洁，形状正常，大小均匀，成熟度适中，无软皮，无腐烂，无污染异味，农药残留不得超过国家安全标准，无病虫损害。</w:t>
            </w:r>
          </w:p>
        </w:tc>
      </w:tr>
      <w:tr w14:paraId="36CC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39A3E61F">
            <w:pPr>
              <w:spacing w:line="360" w:lineRule="auto"/>
              <w:jc w:val="center"/>
              <w:rPr>
                <w:rFonts w:hint="eastAsia" w:ascii="宋体" w:hAnsi="宋体" w:eastAsia="宋体" w:cs="宋体"/>
                <w:spacing w:val="-4"/>
                <w:sz w:val="22"/>
                <w:szCs w:val="22"/>
              </w:rPr>
            </w:pPr>
          </w:p>
          <w:p w14:paraId="27134432">
            <w:pPr>
              <w:spacing w:line="360" w:lineRule="auto"/>
              <w:jc w:val="center"/>
              <w:rPr>
                <w:rFonts w:hint="eastAsia" w:ascii="宋体" w:hAnsi="宋体" w:eastAsia="宋体" w:cs="宋体"/>
                <w:spacing w:val="-4"/>
                <w:sz w:val="22"/>
                <w:szCs w:val="22"/>
              </w:rPr>
            </w:pPr>
          </w:p>
          <w:p w14:paraId="2C40F7AB">
            <w:pPr>
              <w:spacing w:line="360" w:lineRule="auto"/>
              <w:jc w:val="center"/>
              <w:rPr>
                <w:rFonts w:hint="eastAsia" w:ascii="宋体" w:hAnsi="宋体" w:eastAsia="宋体" w:cs="宋体"/>
                <w:spacing w:val="-4"/>
                <w:sz w:val="22"/>
                <w:szCs w:val="22"/>
              </w:rPr>
            </w:pPr>
          </w:p>
          <w:p w14:paraId="1D28C73A">
            <w:pPr>
              <w:spacing w:line="360" w:lineRule="auto"/>
              <w:jc w:val="center"/>
              <w:rPr>
                <w:rFonts w:hint="eastAsia" w:ascii="宋体" w:hAnsi="宋体" w:eastAsia="宋体" w:cs="宋体"/>
                <w:spacing w:val="-4"/>
                <w:sz w:val="22"/>
                <w:szCs w:val="22"/>
              </w:rPr>
            </w:pPr>
          </w:p>
          <w:p w14:paraId="0711FE07">
            <w:pPr>
              <w:spacing w:line="360" w:lineRule="auto"/>
              <w:jc w:val="center"/>
              <w:rPr>
                <w:rFonts w:hint="eastAsia" w:ascii="宋体" w:hAnsi="宋体" w:eastAsia="宋体" w:cs="宋体"/>
                <w:spacing w:val="-4"/>
                <w:sz w:val="22"/>
                <w:szCs w:val="22"/>
              </w:rPr>
            </w:pPr>
          </w:p>
          <w:p w14:paraId="4CF9971A">
            <w:pPr>
              <w:spacing w:line="360" w:lineRule="auto"/>
              <w:jc w:val="center"/>
              <w:rPr>
                <w:rFonts w:hint="eastAsia"/>
                <w:sz w:val="22"/>
                <w:szCs w:val="22"/>
                <w:vertAlign w:val="baseline"/>
              </w:rPr>
            </w:pPr>
            <w:r>
              <w:rPr>
                <w:rFonts w:hint="eastAsia" w:ascii="宋体" w:hAnsi="宋体" w:eastAsia="宋体" w:cs="宋体"/>
                <w:spacing w:val="-4"/>
                <w:sz w:val="22"/>
                <w:szCs w:val="22"/>
              </w:rPr>
              <w:t>鸡蛋</w:t>
            </w:r>
          </w:p>
        </w:tc>
        <w:tc>
          <w:tcPr>
            <w:tcW w:w="7267" w:type="dxa"/>
          </w:tcPr>
          <w:p w14:paraId="7A439D80">
            <w:pPr>
              <w:spacing w:line="360" w:lineRule="auto"/>
              <w:rPr>
                <w:rFonts w:hint="eastAsia"/>
                <w:sz w:val="22"/>
                <w:szCs w:val="22"/>
                <w:vertAlign w:val="baseline"/>
              </w:rPr>
            </w:pPr>
            <w:r>
              <w:rPr>
                <w:rFonts w:hint="eastAsia"/>
                <w:sz w:val="22"/>
                <w:szCs w:val="22"/>
                <w:vertAlign w:val="baseline"/>
              </w:rPr>
              <w:t>1、采购需求</w:t>
            </w:r>
          </w:p>
          <w:p w14:paraId="76E777FC">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0F1D8E6C">
            <w:pPr>
              <w:spacing w:line="360" w:lineRule="auto"/>
              <w:rPr>
                <w:rFonts w:hint="eastAsia"/>
                <w:sz w:val="22"/>
                <w:szCs w:val="22"/>
                <w:vertAlign w:val="baseline"/>
              </w:rPr>
            </w:pPr>
            <w:r>
              <w:rPr>
                <w:rFonts w:hint="eastAsia"/>
                <w:sz w:val="22"/>
                <w:szCs w:val="22"/>
                <w:vertAlign w:val="baseline"/>
              </w:rPr>
              <w:t>(2)结算时按实际采购数量结算。</w:t>
            </w:r>
          </w:p>
          <w:p w14:paraId="3A2349DC">
            <w:pPr>
              <w:spacing w:line="360" w:lineRule="auto"/>
              <w:rPr>
                <w:rFonts w:hint="eastAsia"/>
                <w:sz w:val="22"/>
                <w:szCs w:val="22"/>
                <w:vertAlign w:val="baseline"/>
              </w:rPr>
            </w:pPr>
            <w:r>
              <w:rPr>
                <w:rFonts w:hint="eastAsia"/>
                <w:sz w:val="22"/>
                <w:szCs w:val="22"/>
                <w:vertAlign w:val="baseline"/>
              </w:rPr>
              <w:t>▲2、质量要求</w:t>
            </w:r>
          </w:p>
          <w:p w14:paraId="13C18B1B">
            <w:pPr>
              <w:spacing w:line="360" w:lineRule="auto"/>
              <w:rPr>
                <w:rFonts w:hint="eastAsia"/>
                <w:sz w:val="22"/>
                <w:szCs w:val="22"/>
                <w:vertAlign w:val="baseline"/>
              </w:rPr>
            </w:pPr>
            <w:r>
              <w:rPr>
                <w:rFonts w:hint="eastAsia"/>
                <w:sz w:val="22"/>
                <w:szCs w:val="22"/>
                <w:vertAlign w:val="baseline"/>
              </w:rPr>
              <w:t>(1)蛋壳清洁完整，灯光透视时，整个蛋呈桔黄色至橙红色，蛋黄不见或略见阴影。打开后蛋黄凸起，完整，有韧性，蛋白澄清、透明、稀稠分明，无异味。</w:t>
            </w:r>
          </w:p>
          <w:p w14:paraId="533C96C6">
            <w:pPr>
              <w:spacing w:line="360" w:lineRule="auto"/>
              <w:rPr>
                <w:rFonts w:hint="eastAsia"/>
                <w:sz w:val="22"/>
                <w:szCs w:val="22"/>
                <w:vertAlign w:val="baseline"/>
              </w:rPr>
            </w:pPr>
            <w:r>
              <w:rPr>
                <w:rFonts w:hint="eastAsia"/>
                <w:sz w:val="22"/>
                <w:szCs w:val="22"/>
                <w:vertAlign w:val="baseline"/>
              </w:rPr>
              <w:t>(2)蛋壳内部应为纯白蛋，不能有斑点或污浊，卵白透明，卵黄膜不破裂，卵黄卵白分明，不能有血管形成，不能有腐败等异臭味。</w:t>
            </w:r>
          </w:p>
          <w:p w14:paraId="338407FA">
            <w:pPr>
              <w:spacing w:line="360" w:lineRule="auto"/>
              <w:rPr>
                <w:rFonts w:hint="eastAsia"/>
                <w:sz w:val="22"/>
                <w:szCs w:val="22"/>
                <w:vertAlign w:val="baseline"/>
              </w:rPr>
            </w:pPr>
            <w:r>
              <w:rPr>
                <w:rFonts w:hint="eastAsia"/>
                <w:sz w:val="22"/>
                <w:szCs w:val="22"/>
                <w:vertAlign w:val="baseline"/>
              </w:rPr>
              <w:t>(3)将蛋握在手中摇动时，蛋无哑板声，内容物无流动感，无活动声。</w:t>
            </w:r>
          </w:p>
        </w:tc>
      </w:tr>
      <w:tr w14:paraId="24BE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318249F1">
            <w:pPr>
              <w:spacing w:line="360" w:lineRule="auto"/>
              <w:jc w:val="center"/>
              <w:rPr>
                <w:rFonts w:hint="eastAsia"/>
                <w:sz w:val="22"/>
                <w:szCs w:val="22"/>
                <w:vertAlign w:val="baseline"/>
              </w:rPr>
            </w:pPr>
          </w:p>
          <w:p w14:paraId="09823AA6">
            <w:pPr>
              <w:spacing w:line="360" w:lineRule="auto"/>
              <w:jc w:val="center"/>
              <w:rPr>
                <w:rFonts w:hint="eastAsia"/>
                <w:sz w:val="22"/>
                <w:szCs w:val="22"/>
                <w:vertAlign w:val="baseline"/>
              </w:rPr>
            </w:pPr>
          </w:p>
          <w:p w14:paraId="737D15C0">
            <w:pPr>
              <w:spacing w:line="360" w:lineRule="auto"/>
              <w:jc w:val="center"/>
              <w:rPr>
                <w:rFonts w:hint="eastAsia"/>
                <w:sz w:val="22"/>
                <w:szCs w:val="22"/>
                <w:vertAlign w:val="baseline"/>
              </w:rPr>
            </w:pPr>
          </w:p>
          <w:p w14:paraId="6BBD74AF">
            <w:pPr>
              <w:spacing w:line="360" w:lineRule="auto"/>
              <w:jc w:val="center"/>
              <w:rPr>
                <w:rFonts w:hint="eastAsia"/>
                <w:sz w:val="22"/>
                <w:szCs w:val="22"/>
                <w:vertAlign w:val="baseline"/>
              </w:rPr>
            </w:pPr>
          </w:p>
          <w:p w14:paraId="046C2CC2">
            <w:pPr>
              <w:spacing w:line="360" w:lineRule="auto"/>
              <w:jc w:val="center"/>
              <w:rPr>
                <w:rFonts w:hint="eastAsia"/>
                <w:sz w:val="22"/>
                <w:szCs w:val="22"/>
                <w:vertAlign w:val="baseline"/>
              </w:rPr>
            </w:pPr>
            <w:r>
              <w:rPr>
                <w:rFonts w:hint="eastAsia"/>
                <w:sz w:val="22"/>
                <w:szCs w:val="22"/>
                <w:vertAlign w:val="baseline"/>
              </w:rPr>
              <w:t>猪肉，牛肉等生鲜肉</w:t>
            </w:r>
          </w:p>
        </w:tc>
        <w:tc>
          <w:tcPr>
            <w:tcW w:w="7267" w:type="dxa"/>
          </w:tcPr>
          <w:p w14:paraId="6AE56275">
            <w:pPr>
              <w:spacing w:line="360" w:lineRule="auto"/>
              <w:rPr>
                <w:rFonts w:hint="eastAsia"/>
                <w:sz w:val="22"/>
                <w:szCs w:val="22"/>
                <w:vertAlign w:val="baseline"/>
              </w:rPr>
            </w:pPr>
            <w:r>
              <w:rPr>
                <w:rFonts w:hint="eastAsia"/>
                <w:sz w:val="22"/>
                <w:szCs w:val="22"/>
                <w:vertAlign w:val="baseline"/>
              </w:rPr>
              <w:t>1、采购需求</w:t>
            </w:r>
          </w:p>
          <w:p w14:paraId="7D48B5A3">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3275423E">
            <w:pPr>
              <w:spacing w:line="360" w:lineRule="auto"/>
              <w:rPr>
                <w:rFonts w:hint="eastAsia"/>
                <w:sz w:val="22"/>
                <w:szCs w:val="22"/>
                <w:vertAlign w:val="baseline"/>
              </w:rPr>
            </w:pPr>
            <w:r>
              <w:rPr>
                <w:rFonts w:hint="eastAsia"/>
                <w:sz w:val="22"/>
                <w:szCs w:val="22"/>
                <w:vertAlign w:val="baseline"/>
              </w:rPr>
              <w:t>(2)结算时按实际采购数量结算。</w:t>
            </w:r>
          </w:p>
          <w:p w14:paraId="72D1AC22">
            <w:pPr>
              <w:spacing w:line="360" w:lineRule="auto"/>
              <w:rPr>
                <w:rFonts w:hint="eastAsia"/>
                <w:sz w:val="22"/>
                <w:szCs w:val="22"/>
                <w:vertAlign w:val="baseline"/>
              </w:rPr>
            </w:pPr>
            <w:r>
              <w:rPr>
                <w:rFonts w:hint="eastAsia"/>
                <w:sz w:val="22"/>
                <w:szCs w:val="22"/>
                <w:vertAlign w:val="baseline"/>
              </w:rPr>
              <w:t>▲2、质量要求</w:t>
            </w:r>
          </w:p>
          <w:p w14:paraId="257657D8">
            <w:pPr>
              <w:numPr>
                <w:ilvl w:val="0"/>
                <w:numId w:val="2"/>
              </w:numPr>
              <w:spacing w:line="360" w:lineRule="auto"/>
              <w:rPr>
                <w:rFonts w:hint="eastAsia"/>
                <w:sz w:val="22"/>
                <w:szCs w:val="22"/>
                <w:vertAlign w:val="baseline"/>
              </w:rPr>
            </w:pPr>
            <w:r>
              <w:rPr>
                <w:rFonts w:hint="eastAsia"/>
                <w:sz w:val="22"/>
                <w:szCs w:val="22"/>
                <w:vertAlign w:val="baseline"/>
              </w:rPr>
              <w:t>宰杀至交货时间不得超过9小时，肉质新鲜，色泽好，有弹性，无变质无异味、无冰冻，无注水或注入其他物质；无传染病和致人中毒的毒素、无危害人体健康的各种有害激素以及大肠杆菌不超标；严禁病死禽畜肉及瘦肉精等禁用物质。</w:t>
            </w:r>
          </w:p>
          <w:p w14:paraId="60AA05C8">
            <w:pPr>
              <w:numPr>
                <w:ilvl w:val="0"/>
                <w:numId w:val="0"/>
              </w:numPr>
              <w:spacing w:line="360" w:lineRule="auto"/>
              <w:rPr>
                <w:rFonts w:hint="eastAsia"/>
                <w:sz w:val="22"/>
                <w:szCs w:val="22"/>
                <w:vertAlign w:val="baseline"/>
              </w:rPr>
            </w:pPr>
            <w:r>
              <w:rPr>
                <w:rFonts w:hint="eastAsia"/>
                <w:sz w:val="22"/>
                <w:szCs w:val="22"/>
                <w:vertAlign w:val="baseline"/>
              </w:rPr>
              <w:t>(2)产品必须符合食品卫生生产标准和食品卫生安全要求，必须符合《食品安全法》相关的要求。肉类必须经防疫部门检验合格。每次供货必须提供当批次的《动物检疫合格证明》《肉品品质检验合格证》等检验检疫证明。</w:t>
            </w:r>
          </w:p>
          <w:p w14:paraId="3DB6A744">
            <w:pPr>
              <w:numPr>
                <w:ilvl w:val="0"/>
                <w:numId w:val="0"/>
              </w:numPr>
              <w:spacing w:line="360" w:lineRule="auto"/>
              <w:rPr>
                <w:rFonts w:hint="eastAsia"/>
                <w:sz w:val="22"/>
                <w:szCs w:val="22"/>
                <w:vertAlign w:val="baseline"/>
              </w:rPr>
            </w:pPr>
            <w:r>
              <w:rPr>
                <w:rFonts w:hint="eastAsia"/>
                <w:sz w:val="22"/>
                <w:szCs w:val="22"/>
                <w:vertAlign w:val="baseline"/>
              </w:rPr>
              <w:t>(3)产品必须经过固定合法牲畜屠宰场所屠宰，符合食品卫生生产标准，符合食品卫生安全要求。</w:t>
            </w:r>
          </w:p>
          <w:p w14:paraId="04424133">
            <w:pPr>
              <w:numPr>
                <w:ilvl w:val="0"/>
                <w:numId w:val="0"/>
              </w:numPr>
              <w:spacing w:line="360" w:lineRule="auto"/>
              <w:rPr>
                <w:rFonts w:hint="eastAsia"/>
                <w:sz w:val="22"/>
                <w:szCs w:val="22"/>
                <w:vertAlign w:val="baseline"/>
              </w:rPr>
            </w:pPr>
            <w:r>
              <w:rPr>
                <w:rFonts w:hint="eastAsia"/>
                <w:sz w:val="22"/>
                <w:szCs w:val="22"/>
                <w:vertAlign w:val="baseline"/>
              </w:rPr>
              <w:t>(4)按照学校需要进行响应加工，每日按时配送。</w:t>
            </w:r>
          </w:p>
        </w:tc>
      </w:tr>
      <w:tr w14:paraId="5606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26364D3C">
            <w:pPr>
              <w:spacing w:line="360" w:lineRule="auto"/>
              <w:jc w:val="center"/>
              <w:rPr>
                <w:rFonts w:hint="eastAsia"/>
                <w:sz w:val="22"/>
                <w:szCs w:val="22"/>
                <w:vertAlign w:val="baseline"/>
              </w:rPr>
            </w:pPr>
          </w:p>
          <w:p w14:paraId="27B3B239">
            <w:pPr>
              <w:spacing w:line="360" w:lineRule="auto"/>
              <w:jc w:val="center"/>
              <w:rPr>
                <w:rFonts w:hint="eastAsia"/>
                <w:sz w:val="22"/>
                <w:szCs w:val="22"/>
                <w:vertAlign w:val="baseline"/>
              </w:rPr>
            </w:pPr>
          </w:p>
          <w:p w14:paraId="344549CB">
            <w:pPr>
              <w:spacing w:line="360" w:lineRule="auto"/>
              <w:jc w:val="center"/>
              <w:rPr>
                <w:rFonts w:hint="eastAsia"/>
                <w:sz w:val="22"/>
                <w:szCs w:val="22"/>
                <w:vertAlign w:val="baseline"/>
              </w:rPr>
            </w:pPr>
          </w:p>
          <w:p w14:paraId="1700A5B2">
            <w:pPr>
              <w:spacing w:line="360" w:lineRule="auto"/>
              <w:jc w:val="center"/>
              <w:rPr>
                <w:rFonts w:hint="eastAsia"/>
                <w:sz w:val="22"/>
                <w:szCs w:val="22"/>
                <w:vertAlign w:val="baseline"/>
              </w:rPr>
            </w:pPr>
          </w:p>
          <w:p w14:paraId="20B866BE">
            <w:pPr>
              <w:spacing w:line="360" w:lineRule="auto"/>
              <w:jc w:val="center"/>
              <w:rPr>
                <w:rFonts w:hint="eastAsia"/>
                <w:sz w:val="22"/>
                <w:szCs w:val="22"/>
                <w:vertAlign w:val="baseline"/>
              </w:rPr>
            </w:pPr>
          </w:p>
          <w:p w14:paraId="0D843308">
            <w:pPr>
              <w:spacing w:line="360" w:lineRule="auto"/>
              <w:jc w:val="center"/>
              <w:rPr>
                <w:rFonts w:hint="eastAsia"/>
                <w:sz w:val="22"/>
                <w:szCs w:val="22"/>
                <w:vertAlign w:val="baseline"/>
              </w:rPr>
            </w:pPr>
            <w:r>
              <w:rPr>
                <w:rFonts w:hint="eastAsia"/>
                <w:sz w:val="22"/>
                <w:szCs w:val="22"/>
                <w:vertAlign w:val="baseline"/>
              </w:rPr>
              <w:t>鸡鸭肉等家禽</w:t>
            </w:r>
          </w:p>
        </w:tc>
        <w:tc>
          <w:tcPr>
            <w:tcW w:w="7267" w:type="dxa"/>
          </w:tcPr>
          <w:p w14:paraId="1B08EB84">
            <w:pPr>
              <w:spacing w:line="360" w:lineRule="auto"/>
              <w:rPr>
                <w:rFonts w:hint="eastAsia"/>
                <w:sz w:val="22"/>
                <w:szCs w:val="22"/>
                <w:vertAlign w:val="baseline"/>
              </w:rPr>
            </w:pPr>
            <w:r>
              <w:rPr>
                <w:rFonts w:hint="eastAsia"/>
                <w:sz w:val="22"/>
                <w:szCs w:val="22"/>
                <w:vertAlign w:val="baseline"/>
              </w:rPr>
              <w:t>1、采购需求</w:t>
            </w:r>
          </w:p>
          <w:p w14:paraId="59FA461A">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085912DA">
            <w:pPr>
              <w:spacing w:line="360" w:lineRule="auto"/>
              <w:rPr>
                <w:rFonts w:hint="eastAsia"/>
                <w:sz w:val="22"/>
                <w:szCs w:val="22"/>
                <w:vertAlign w:val="baseline"/>
              </w:rPr>
            </w:pPr>
            <w:r>
              <w:rPr>
                <w:rFonts w:hint="eastAsia"/>
                <w:sz w:val="22"/>
                <w:szCs w:val="22"/>
                <w:vertAlign w:val="baseline"/>
              </w:rPr>
              <w:t>(2)结算时按实际采购数量结算。▲2、质量要求</w:t>
            </w:r>
          </w:p>
          <w:p w14:paraId="3F308089">
            <w:pPr>
              <w:spacing w:line="360" w:lineRule="auto"/>
              <w:rPr>
                <w:rFonts w:hint="eastAsia"/>
                <w:sz w:val="22"/>
                <w:szCs w:val="22"/>
                <w:vertAlign w:val="baseline"/>
              </w:rPr>
            </w:pPr>
            <w:r>
              <w:rPr>
                <w:rFonts w:hint="eastAsia"/>
                <w:sz w:val="22"/>
                <w:szCs w:val="22"/>
                <w:vertAlign w:val="baseline"/>
              </w:rPr>
              <w:t>(1)新鲜鸡鸭类：宰杀至交货时间不得超过9小时，肉质新鲜，色泽好，有弹性，无变质无异味、无冰冻，无注水或注入其他物质；无传染病和致人中毒的毒素、无危害人体健康的各种有害激素等禁用物质；严禁病死禽畜肉等。</w:t>
            </w:r>
          </w:p>
          <w:p w14:paraId="6280B745">
            <w:pPr>
              <w:spacing w:line="360" w:lineRule="auto"/>
              <w:rPr>
                <w:rFonts w:hint="eastAsia"/>
                <w:sz w:val="22"/>
                <w:szCs w:val="22"/>
                <w:vertAlign w:val="baseline"/>
              </w:rPr>
            </w:pPr>
            <w:r>
              <w:rPr>
                <w:rFonts w:hint="eastAsia"/>
                <w:sz w:val="22"/>
                <w:szCs w:val="22"/>
                <w:vertAlign w:val="baseline"/>
              </w:rPr>
              <w:t>(2)产品必须符合食品卫生生产标准和食品卫生安全要求，必须符合《食品安全法》相关的要求。肉类必须经防疫部门检验合格。每次供货必须提供《动物检疫合格证明》等检验检疫证明。</w:t>
            </w:r>
          </w:p>
          <w:p w14:paraId="114B65B7">
            <w:pPr>
              <w:spacing w:line="360" w:lineRule="auto"/>
              <w:rPr>
                <w:rFonts w:hint="eastAsia"/>
                <w:sz w:val="22"/>
                <w:szCs w:val="22"/>
                <w:vertAlign w:val="baseline"/>
              </w:rPr>
            </w:pPr>
            <w:r>
              <w:rPr>
                <w:rFonts w:hint="eastAsia"/>
                <w:sz w:val="22"/>
                <w:szCs w:val="22"/>
                <w:vertAlign w:val="baseline"/>
              </w:rPr>
              <w:t>(3)按照学校需要进行响应加工，每日按时配送。</w:t>
            </w:r>
          </w:p>
        </w:tc>
      </w:tr>
      <w:tr w14:paraId="274A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315BB8FA">
            <w:pPr>
              <w:spacing w:line="360" w:lineRule="auto"/>
              <w:jc w:val="center"/>
              <w:rPr>
                <w:rFonts w:hint="eastAsia" w:ascii="宋体" w:hAnsi="宋体" w:eastAsia="宋体" w:cs="宋体"/>
                <w:spacing w:val="3"/>
                <w:sz w:val="22"/>
                <w:szCs w:val="22"/>
              </w:rPr>
            </w:pPr>
          </w:p>
          <w:p w14:paraId="314CCE8D">
            <w:pPr>
              <w:spacing w:line="360" w:lineRule="auto"/>
              <w:jc w:val="center"/>
              <w:rPr>
                <w:rFonts w:hint="eastAsia" w:ascii="宋体" w:hAnsi="宋体" w:eastAsia="宋体" w:cs="宋体"/>
                <w:spacing w:val="3"/>
                <w:sz w:val="22"/>
                <w:szCs w:val="22"/>
              </w:rPr>
            </w:pPr>
          </w:p>
          <w:p w14:paraId="42C23E8B">
            <w:pPr>
              <w:spacing w:line="360" w:lineRule="auto"/>
              <w:jc w:val="center"/>
              <w:rPr>
                <w:rFonts w:hint="eastAsia" w:ascii="宋体" w:hAnsi="宋体" w:eastAsia="宋体" w:cs="宋体"/>
                <w:spacing w:val="3"/>
                <w:sz w:val="22"/>
                <w:szCs w:val="22"/>
              </w:rPr>
            </w:pPr>
          </w:p>
          <w:p w14:paraId="5657E567">
            <w:pPr>
              <w:spacing w:line="360" w:lineRule="auto"/>
              <w:jc w:val="center"/>
              <w:rPr>
                <w:rFonts w:hint="eastAsia" w:ascii="宋体" w:hAnsi="宋体" w:eastAsia="宋体" w:cs="宋体"/>
                <w:spacing w:val="3"/>
                <w:sz w:val="22"/>
                <w:szCs w:val="22"/>
              </w:rPr>
            </w:pPr>
          </w:p>
          <w:p w14:paraId="457D446D">
            <w:pPr>
              <w:spacing w:line="360" w:lineRule="auto"/>
              <w:jc w:val="center"/>
              <w:rPr>
                <w:rFonts w:hint="eastAsia" w:ascii="宋体" w:hAnsi="宋体" w:eastAsia="宋体" w:cs="宋体"/>
                <w:spacing w:val="3"/>
                <w:sz w:val="22"/>
                <w:szCs w:val="22"/>
              </w:rPr>
            </w:pPr>
          </w:p>
          <w:p w14:paraId="1F083F27">
            <w:pPr>
              <w:spacing w:line="360" w:lineRule="auto"/>
              <w:jc w:val="center"/>
              <w:rPr>
                <w:rFonts w:hint="eastAsia" w:ascii="宋体" w:hAnsi="宋体" w:eastAsia="宋体" w:cs="宋体"/>
                <w:spacing w:val="3"/>
                <w:sz w:val="22"/>
                <w:szCs w:val="22"/>
              </w:rPr>
            </w:pPr>
          </w:p>
          <w:p w14:paraId="6770FA92">
            <w:pPr>
              <w:spacing w:line="360" w:lineRule="auto"/>
              <w:jc w:val="center"/>
              <w:rPr>
                <w:rFonts w:hint="eastAsia"/>
                <w:sz w:val="22"/>
                <w:szCs w:val="22"/>
                <w:vertAlign w:val="baseline"/>
              </w:rPr>
            </w:pPr>
            <w:r>
              <w:rPr>
                <w:rFonts w:hint="eastAsia" w:ascii="宋体" w:hAnsi="宋体" w:eastAsia="宋体" w:cs="宋体"/>
                <w:spacing w:val="3"/>
                <w:sz w:val="22"/>
                <w:szCs w:val="22"/>
              </w:rPr>
              <w:t>水产类</w:t>
            </w:r>
          </w:p>
        </w:tc>
        <w:tc>
          <w:tcPr>
            <w:tcW w:w="7267" w:type="dxa"/>
          </w:tcPr>
          <w:p w14:paraId="04E0C110">
            <w:pPr>
              <w:spacing w:line="360" w:lineRule="auto"/>
              <w:rPr>
                <w:rFonts w:hint="eastAsia"/>
                <w:sz w:val="22"/>
                <w:szCs w:val="22"/>
                <w:vertAlign w:val="baseline"/>
              </w:rPr>
            </w:pPr>
            <w:r>
              <w:rPr>
                <w:rFonts w:hint="eastAsia"/>
                <w:sz w:val="22"/>
                <w:szCs w:val="22"/>
                <w:vertAlign w:val="baseline"/>
              </w:rPr>
              <w:t>1、采购需求</w:t>
            </w:r>
          </w:p>
          <w:p w14:paraId="67D1DD4F">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6161E001">
            <w:pPr>
              <w:spacing w:line="360" w:lineRule="auto"/>
              <w:rPr>
                <w:rFonts w:hint="eastAsia"/>
                <w:sz w:val="22"/>
                <w:szCs w:val="22"/>
                <w:vertAlign w:val="baseline"/>
              </w:rPr>
            </w:pPr>
            <w:r>
              <w:rPr>
                <w:rFonts w:hint="eastAsia"/>
                <w:sz w:val="22"/>
                <w:szCs w:val="22"/>
                <w:vertAlign w:val="baseline"/>
              </w:rPr>
              <w:t>（2）结算时按实际采购数量结算。</w:t>
            </w:r>
          </w:p>
          <w:p w14:paraId="06C525B4">
            <w:pPr>
              <w:spacing w:line="360" w:lineRule="auto"/>
              <w:rPr>
                <w:rFonts w:hint="eastAsia"/>
                <w:sz w:val="22"/>
                <w:szCs w:val="22"/>
                <w:vertAlign w:val="baseline"/>
              </w:rPr>
            </w:pPr>
            <w:r>
              <w:rPr>
                <w:rFonts w:hint="eastAsia"/>
                <w:sz w:val="22"/>
                <w:szCs w:val="22"/>
                <w:vertAlign w:val="baseline"/>
              </w:rPr>
              <w:t>▲2、质量要求</w:t>
            </w:r>
          </w:p>
          <w:p w14:paraId="0FCA3D5E">
            <w:pPr>
              <w:spacing w:line="360" w:lineRule="auto"/>
              <w:rPr>
                <w:rFonts w:hint="eastAsia"/>
                <w:sz w:val="22"/>
                <w:szCs w:val="22"/>
                <w:vertAlign w:val="baseline"/>
              </w:rPr>
            </w:pPr>
            <w:r>
              <w:rPr>
                <w:rFonts w:hint="eastAsia"/>
                <w:sz w:val="22"/>
                <w:szCs w:val="22"/>
                <w:vertAlign w:val="baseline"/>
              </w:rPr>
              <w:t>(1)外形：水产品应外形完整，无断裂、变形、残缺和破损等缺陷。例如，鱼类应皮鳞完整，贝类、虾类应坚实圆润，蟹类应爪足齐全。</w:t>
            </w:r>
          </w:p>
          <w:p w14:paraId="1A1DC0A8">
            <w:pPr>
              <w:spacing w:line="360" w:lineRule="auto"/>
              <w:rPr>
                <w:rFonts w:hint="eastAsia"/>
                <w:sz w:val="22"/>
                <w:szCs w:val="22"/>
                <w:vertAlign w:val="baseline"/>
              </w:rPr>
            </w:pPr>
            <w:r>
              <w:rPr>
                <w:rFonts w:hint="eastAsia"/>
                <w:sz w:val="22"/>
                <w:szCs w:val="22"/>
                <w:vertAlign w:val="baseline"/>
              </w:rPr>
              <w:t>(2)气味</w:t>
            </w:r>
            <w:r>
              <w:rPr>
                <w:rFonts w:hint="eastAsia"/>
                <w:sz w:val="22"/>
                <w:szCs w:val="22"/>
                <w:vertAlign w:val="baseline"/>
                <w:lang w:eastAsia="zh-CN"/>
              </w:rPr>
              <w:t>：</w:t>
            </w:r>
            <w:r>
              <w:rPr>
                <w:rFonts w:hint="eastAsia"/>
                <w:sz w:val="22"/>
                <w:szCs w:val="22"/>
                <w:vertAlign w:val="baseline"/>
              </w:rPr>
              <w:t>水产品应具有天然的海洋或淡水气味，不应有异味或臭味。</w:t>
            </w:r>
          </w:p>
          <w:p w14:paraId="2EFFA98E">
            <w:pPr>
              <w:spacing w:line="360" w:lineRule="auto"/>
              <w:rPr>
                <w:rFonts w:hint="eastAsia"/>
                <w:sz w:val="22"/>
                <w:szCs w:val="22"/>
                <w:vertAlign w:val="baseline"/>
              </w:rPr>
            </w:pPr>
            <w:r>
              <w:rPr>
                <w:rFonts w:hint="eastAsia"/>
                <w:sz w:val="22"/>
                <w:szCs w:val="22"/>
                <w:vertAlign w:val="baseline"/>
              </w:rPr>
              <w:t>(3)色泽：水产品应具有光亮透明的色泽，例如，鲜鱼应有金红色、白肉色或红肉色。</w:t>
            </w:r>
          </w:p>
          <w:p w14:paraId="189D4D00">
            <w:pPr>
              <w:spacing w:line="360" w:lineRule="auto"/>
              <w:rPr>
                <w:rFonts w:hint="eastAsia"/>
                <w:sz w:val="22"/>
                <w:szCs w:val="22"/>
                <w:vertAlign w:val="baseline"/>
              </w:rPr>
            </w:pPr>
            <w:r>
              <w:rPr>
                <w:rFonts w:hint="eastAsia"/>
                <w:sz w:val="22"/>
                <w:szCs w:val="22"/>
                <w:vertAlign w:val="baseline"/>
              </w:rPr>
              <w:t>(4)口感：水产品应具有鲜嫩、弹性和带有香味的口感，没有腥膻等异味</w:t>
            </w:r>
          </w:p>
          <w:p w14:paraId="3BF210B2">
            <w:pPr>
              <w:spacing w:line="360" w:lineRule="auto"/>
              <w:rPr>
                <w:rFonts w:hint="eastAsia"/>
                <w:sz w:val="22"/>
                <w:szCs w:val="22"/>
                <w:vertAlign w:val="baseline"/>
              </w:rPr>
            </w:pPr>
            <w:r>
              <w:rPr>
                <w:rFonts w:hint="eastAsia"/>
                <w:sz w:val="22"/>
                <w:szCs w:val="22"/>
                <w:vertAlign w:val="baseline"/>
              </w:rPr>
              <w:t>(5)水产品应符合国家卫生标准规定的限量标准，不得含有有肃物质或超过安全限量的重金属，如汞、铅等。</w:t>
            </w:r>
          </w:p>
        </w:tc>
      </w:tr>
      <w:tr w14:paraId="746E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0DF13FE0">
            <w:pPr>
              <w:spacing w:line="360" w:lineRule="auto"/>
              <w:jc w:val="center"/>
              <w:rPr>
                <w:rFonts w:hint="eastAsia" w:ascii="宋体" w:hAnsi="宋体" w:eastAsia="宋体" w:cs="宋体"/>
                <w:b/>
                <w:bCs/>
                <w:spacing w:val="-5"/>
                <w:sz w:val="22"/>
                <w:szCs w:val="22"/>
              </w:rPr>
            </w:pPr>
          </w:p>
          <w:p w14:paraId="0F910851">
            <w:pPr>
              <w:spacing w:line="360" w:lineRule="auto"/>
              <w:jc w:val="center"/>
              <w:rPr>
                <w:rFonts w:hint="eastAsia" w:ascii="宋体" w:hAnsi="宋体" w:eastAsia="宋体" w:cs="宋体"/>
                <w:b/>
                <w:bCs/>
                <w:spacing w:val="-5"/>
                <w:sz w:val="22"/>
                <w:szCs w:val="22"/>
              </w:rPr>
            </w:pPr>
          </w:p>
          <w:p w14:paraId="521DA1FF">
            <w:pPr>
              <w:spacing w:line="360" w:lineRule="auto"/>
              <w:jc w:val="center"/>
              <w:rPr>
                <w:rFonts w:hint="eastAsia" w:ascii="宋体" w:hAnsi="宋体" w:eastAsia="宋体" w:cs="宋体"/>
                <w:b/>
                <w:bCs/>
                <w:spacing w:val="-5"/>
                <w:sz w:val="22"/>
                <w:szCs w:val="22"/>
              </w:rPr>
            </w:pPr>
          </w:p>
          <w:p w14:paraId="377F4265">
            <w:pPr>
              <w:spacing w:line="360" w:lineRule="auto"/>
              <w:jc w:val="center"/>
              <w:rPr>
                <w:rFonts w:hint="eastAsia"/>
                <w:sz w:val="22"/>
                <w:szCs w:val="22"/>
                <w:vertAlign w:val="baseline"/>
              </w:rPr>
            </w:pPr>
            <w:r>
              <w:rPr>
                <w:rFonts w:hint="eastAsia" w:ascii="宋体" w:hAnsi="宋体" w:eastAsia="宋体" w:cs="宋体"/>
                <w:b w:val="0"/>
                <w:bCs w:val="0"/>
                <w:spacing w:val="-5"/>
                <w:sz w:val="22"/>
                <w:szCs w:val="22"/>
              </w:rPr>
              <w:t>大米</w:t>
            </w:r>
          </w:p>
        </w:tc>
        <w:tc>
          <w:tcPr>
            <w:tcW w:w="7267" w:type="dxa"/>
          </w:tcPr>
          <w:p w14:paraId="19895F40">
            <w:pPr>
              <w:spacing w:line="360" w:lineRule="auto"/>
              <w:rPr>
                <w:rFonts w:hint="eastAsia"/>
                <w:sz w:val="22"/>
                <w:szCs w:val="22"/>
                <w:vertAlign w:val="baseline"/>
              </w:rPr>
            </w:pPr>
            <w:r>
              <w:rPr>
                <w:rFonts w:hint="eastAsia"/>
                <w:sz w:val="22"/>
                <w:szCs w:val="22"/>
                <w:vertAlign w:val="baseline"/>
              </w:rPr>
              <w:t>1、采购需求</w:t>
            </w:r>
          </w:p>
          <w:p w14:paraId="6C861AB5">
            <w:pPr>
              <w:spacing w:line="360" w:lineRule="auto"/>
              <w:rPr>
                <w:rFonts w:hint="eastAsia"/>
                <w:sz w:val="22"/>
                <w:szCs w:val="22"/>
                <w:vertAlign w:val="baseline"/>
              </w:rPr>
            </w:pPr>
            <w:r>
              <w:rPr>
                <w:rFonts w:hint="eastAsia"/>
                <w:sz w:val="22"/>
                <w:szCs w:val="22"/>
                <w:vertAlign w:val="baseline"/>
              </w:rPr>
              <w:t>(1)实行每批次采购，供应商应按采购单位的货物请购清单提供相应数量的货物。</w:t>
            </w:r>
          </w:p>
          <w:p w14:paraId="10D4931C">
            <w:pPr>
              <w:spacing w:line="360" w:lineRule="auto"/>
              <w:rPr>
                <w:rFonts w:hint="eastAsia"/>
                <w:sz w:val="22"/>
                <w:szCs w:val="22"/>
                <w:vertAlign w:val="baseline"/>
              </w:rPr>
            </w:pPr>
            <w:r>
              <w:rPr>
                <w:rFonts w:hint="eastAsia"/>
                <w:sz w:val="22"/>
                <w:szCs w:val="22"/>
                <w:vertAlign w:val="baseline"/>
              </w:rPr>
              <w:t>(2)结算时按实际采购数量结算。</w:t>
            </w:r>
          </w:p>
          <w:p w14:paraId="256AA2FE">
            <w:pPr>
              <w:spacing w:line="360" w:lineRule="auto"/>
              <w:rPr>
                <w:rFonts w:hint="eastAsia"/>
                <w:sz w:val="22"/>
                <w:szCs w:val="22"/>
                <w:vertAlign w:val="baseline"/>
              </w:rPr>
            </w:pPr>
            <w:r>
              <w:rPr>
                <w:rFonts w:hint="eastAsia"/>
                <w:sz w:val="22"/>
                <w:szCs w:val="22"/>
                <w:vertAlign w:val="baseline"/>
              </w:rPr>
              <w:t>▲2、质量要求</w:t>
            </w:r>
          </w:p>
          <w:p w14:paraId="06D13A59">
            <w:pPr>
              <w:spacing w:line="360" w:lineRule="auto"/>
              <w:rPr>
                <w:rFonts w:hint="eastAsia"/>
                <w:sz w:val="22"/>
                <w:szCs w:val="22"/>
                <w:vertAlign w:val="baseline"/>
              </w:rPr>
            </w:pPr>
            <w:r>
              <w:rPr>
                <w:rFonts w:hint="eastAsia"/>
                <w:sz w:val="22"/>
                <w:szCs w:val="22"/>
                <w:vertAlign w:val="baseline"/>
              </w:rPr>
              <w:t>(1)每批次产品交货时必须提供地级市以上(含地级市)检验报告。</w:t>
            </w:r>
          </w:p>
          <w:p w14:paraId="1E74E036">
            <w:pPr>
              <w:spacing w:line="360" w:lineRule="auto"/>
              <w:rPr>
                <w:rFonts w:hint="eastAsia"/>
                <w:sz w:val="22"/>
                <w:szCs w:val="22"/>
                <w:vertAlign w:val="baseline"/>
              </w:rPr>
            </w:pPr>
            <w:r>
              <w:rPr>
                <w:rFonts w:hint="eastAsia"/>
                <w:sz w:val="22"/>
                <w:szCs w:val="22"/>
                <w:vertAlign w:val="baseline"/>
              </w:rPr>
              <w:t>(2)质量指标：必须符合GB/T1354-2018标准，产品等级要求是一级或二级米，呈清白色或精白色，具有光泽呈半透明状，大小均匀，颗粒饱满，表面光滑、完整，无虫，不含杂物(如沙石、色素等异物)。</w:t>
            </w:r>
          </w:p>
          <w:p w14:paraId="0302A69F">
            <w:pPr>
              <w:spacing w:line="360" w:lineRule="auto"/>
              <w:rPr>
                <w:rFonts w:hint="eastAsia"/>
                <w:sz w:val="22"/>
                <w:szCs w:val="22"/>
                <w:vertAlign w:val="baseline"/>
              </w:rPr>
            </w:pPr>
            <w:r>
              <w:rPr>
                <w:rFonts w:hint="eastAsia"/>
                <w:sz w:val="22"/>
                <w:szCs w:val="22"/>
                <w:vertAlign w:val="baseline"/>
              </w:rPr>
              <w:t>(3)包装：包装、运输和储存必须符合保质、保量、运输安全和分类、分等储存的要求，严防污染；标明产品名称、净含量、生产者名称和地址、生产日期、保质期、产品标准号、质量等级、生产许可证号、产品批号等内容，外包装必须符合《食品安全法》的相关规定，提供营业执照、食品生产许可证、食品经营许可证。</w:t>
            </w:r>
          </w:p>
          <w:p w14:paraId="7CE99EFB">
            <w:pPr>
              <w:spacing w:line="360" w:lineRule="auto"/>
              <w:rPr>
                <w:rFonts w:hint="eastAsia"/>
                <w:sz w:val="22"/>
                <w:szCs w:val="22"/>
                <w:vertAlign w:val="baseline"/>
              </w:rPr>
            </w:pPr>
            <w:r>
              <w:rPr>
                <w:rFonts w:hint="eastAsia"/>
                <w:sz w:val="22"/>
                <w:szCs w:val="22"/>
                <w:vertAlign w:val="baseline"/>
              </w:rPr>
              <w:t>(4)保质期：达到国家规定要求，剩余保存期时间不得少于保质期的四分之三。保证生产日期新鲜且符合食品安全国家标准和食品安全法要求。</w:t>
            </w:r>
          </w:p>
        </w:tc>
      </w:tr>
      <w:tr w14:paraId="6594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6EE89B0F">
            <w:pPr>
              <w:spacing w:line="360" w:lineRule="auto"/>
              <w:jc w:val="center"/>
              <w:rPr>
                <w:rFonts w:hint="eastAsia" w:ascii="宋体" w:hAnsi="宋体" w:eastAsia="宋体" w:cs="宋体"/>
                <w:spacing w:val="3"/>
                <w:sz w:val="22"/>
                <w:szCs w:val="22"/>
              </w:rPr>
            </w:pPr>
          </w:p>
          <w:p w14:paraId="607AA9CA">
            <w:pPr>
              <w:spacing w:line="360" w:lineRule="auto"/>
              <w:jc w:val="center"/>
              <w:rPr>
                <w:rFonts w:hint="eastAsia" w:ascii="宋体" w:hAnsi="宋体" w:eastAsia="宋体" w:cs="宋体"/>
                <w:spacing w:val="3"/>
                <w:sz w:val="22"/>
                <w:szCs w:val="22"/>
              </w:rPr>
            </w:pPr>
          </w:p>
          <w:p w14:paraId="12D45EC8">
            <w:pPr>
              <w:spacing w:line="360" w:lineRule="auto"/>
              <w:jc w:val="center"/>
              <w:rPr>
                <w:rFonts w:hint="eastAsia" w:ascii="宋体" w:hAnsi="宋体" w:eastAsia="宋体" w:cs="宋体"/>
                <w:spacing w:val="3"/>
                <w:sz w:val="22"/>
                <w:szCs w:val="22"/>
              </w:rPr>
            </w:pPr>
          </w:p>
          <w:p w14:paraId="7D6AC49E">
            <w:pPr>
              <w:spacing w:line="360" w:lineRule="auto"/>
              <w:jc w:val="center"/>
              <w:rPr>
                <w:rFonts w:hint="eastAsia" w:ascii="宋体" w:hAnsi="宋体" w:eastAsia="宋体" w:cs="宋体"/>
                <w:spacing w:val="3"/>
                <w:sz w:val="22"/>
                <w:szCs w:val="22"/>
              </w:rPr>
            </w:pPr>
          </w:p>
          <w:p w14:paraId="2F04B13A">
            <w:pPr>
              <w:spacing w:line="360" w:lineRule="auto"/>
              <w:jc w:val="center"/>
              <w:rPr>
                <w:rFonts w:hint="eastAsia" w:ascii="宋体" w:hAnsi="宋体" w:eastAsia="宋体" w:cs="宋体"/>
                <w:spacing w:val="3"/>
                <w:sz w:val="22"/>
                <w:szCs w:val="22"/>
              </w:rPr>
            </w:pPr>
          </w:p>
          <w:p w14:paraId="19F4FFB5">
            <w:pPr>
              <w:spacing w:line="360" w:lineRule="auto"/>
              <w:jc w:val="center"/>
              <w:rPr>
                <w:rFonts w:hint="eastAsia" w:ascii="宋体" w:hAnsi="宋体" w:eastAsia="宋体" w:cs="宋体"/>
                <w:spacing w:val="3"/>
                <w:sz w:val="22"/>
                <w:szCs w:val="22"/>
              </w:rPr>
            </w:pPr>
          </w:p>
          <w:p w14:paraId="505C384F">
            <w:pPr>
              <w:spacing w:line="360" w:lineRule="auto"/>
              <w:jc w:val="center"/>
              <w:rPr>
                <w:rFonts w:hint="eastAsia" w:ascii="宋体" w:hAnsi="宋体" w:eastAsia="宋体" w:cs="宋体"/>
                <w:spacing w:val="3"/>
                <w:sz w:val="22"/>
                <w:szCs w:val="22"/>
              </w:rPr>
            </w:pPr>
          </w:p>
          <w:p w14:paraId="5BBB95D0">
            <w:pPr>
              <w:spacing w:line="360" w:lineRule="auto"/>
              <w:jc w:val="center"/>
              <w:rPr>
                <w:rFonts w:hint="eastAsia" w:ascii="宋体" w:hAnsi="宋体" w:eastAsia="宋体" w:cs="宋体"/>
                <w:b/>
                <w:bCs/>
                <w:spacing w:val="-5"/>
                <w:sz w:val="22"/>
                <w:szCs w:val="22"/>
              </w:rPr>
            </w:pPr>
            <w:r>
              <w:rPr>
                <w:rFonts w:hint="eastAsia" w:ascii="宋体" w:hAnsi="宋体" w:eastAsia="宋体" w:cs="宋体"/>
                <w:spacing w:val="3"/>
                <w:sz w:val="22"/>
                <w:szCs w:val="22"/>
              </w:rPr>
              <w:t>花生油、调</w:t>
            </w:r>
            <w:r>
              <w:rPr>
                <w:rFonts w:hint="eastAsia" w:ascii="宋体" w:hAnsi="宋体" w:eastAsia="宋体" w:cs="宋体"/>
                <w:spacing w:val="11"/>
                <w:sz w:val="22"/>
                <w:szCs w:val="22"/>
              </w:rPr>
              <w:t>和油</w:t>
            </w:r>
          </w:p>
        </w:tc>
        <w:tc>
          <w:tcPr>
            <w:tcW w:w="7267" w:type="dxa"/>
          </w:tcPr>
          <w:p w14:paraId="5BD223C5">
            <w:pPr>
              <w:numPr>
                <w:ilvl w:val="0"/>
                <w:numId w:val="3"/>
              </w:numPr>
              <w:spacing w:line="360" w:lineRule="auto"/>
              <w:rPr>
                <w:rFonts w:hint="eastAsia"/>
                <w:sz w:val="22"/>
                <w:szCs w:val="22"/>
                <w:vertAlign w:val="baseline"/>
              </w:rPr>
            </w:pPr>
            <w:r>
              <w:rPr>
                <w:rFonts w:hint="eastAsia"/>
                <w:sz w:val="22"/>
                <w:szCs w:val="22"/>
                <w:vertAlign w:val="baseline"/>
              </w:rPr>
              <w:t>采购需求</w:t>
            </w:r>
          </w:p>
          <w:p w14:paraId="4B54A70B">
            <w:pPr>
              <w:numPr>
                <w:ilvl w:val="0"/>
                <w:numId w:val="0"/>
              </w:numPr>
              <w:spacing w:line="360" w:lineRule="auto"/>
              <w:rPr>
                <w:rFonts w:hint="eastAsia"/>
                <w:sz w:val="22"/>
                <w:szCs w:val="22"/>
                <w:vertAlign w:val="baseline"/>
              </w:rPr>
            </w:pPr>
            <w:r>
              <w:rPr>
                <w:rFonts w:hint="eastAsia"/>
                <w:sz w:val="22"/>
                <w:szCs w:val="22"/>
                <w:vertAlign w:val="baseline"/>
              </w:rPr>
              <w:t>(1)实行每批次采购，供应商应按采购单位的货物请购清单提供相应数量的货物。</w:t>
            </w:r>
          </w:p>
          <w:p w14:paraId="3CB55AE0">
            <w:pPr>
              <w:numPr>
                <w:ilvl w:val="0"/>
                <w:numId w:val="0"/>
              </w:numPr>
              <w:spacing w:line="360" w:lineRule="auto"/>
              <w:rPr>
                <w:rFonts w:hint="eastAsia"/>
                <w:sz w:val="22"/>
                <w:szCs w:val="22"/>
                <w:vertAlign w:val="baseline"/>
              </w:rPr>
            </w:pPr>
            <w:r>
              <w:rPr>
                <w:rFonts w:hint="eastAsia"/>
                <w:sz w:val="22"/>
                <w:szCs w:val="22"/>
                <w:vertAlign w:val="baseline"/>
              </w:rPr>
              <w:t>(2)结算时按实际采购数量结算。</w:t>
            </w:r>
          </w:p>
          <w:p w14:paraId="096BECEE">
            <w:pPr>
              <w:numPr>
                <w:ilvl w:val="0"/>
                <w:numId w:val="0"/>
              </w:numPr>
              <w:spacing w:line="360" w:lineRule="auto"/>
              <w:rPr>
                <w:rFonts w:hint="eastAsia"/>
                <w:sz w:val="22"/>
                <w:szCs w:val="22"/>
                <w:vertAlign w:val="baseline"/>
              </w:rPr>
            </w:pPr>
            <w:r>
              <w:rPr>
                <w:rFonts w:hint="eastAsia"/>
                <w:sz w:val="22"/>
                <w:szCs w:val="22"/>
                <w:vertAlign w:val="baseline"/>
              </w:rPr>
              <w:t>▲2、质量要求</w:t>
            </w:r>
          </w:p>
          <w:p w14:paraId="41A06204">
            <w:pPr>
              <w:numPr>
                <w:ilvl w:val="0"/>
                <w:numId w:val="0"/>
              </w:numPr>
              <w:spacing w:line="360" w:lineRule="auto"/>
              <w:rPr>
                <w:rFonts w:hint="eastAsia"/>
                <w:sz w:val="22"/>
                <w:szCs w:val="22"/>
                <w:vertAlign w:val="baseline"/>
              </w:rPr>
            </w:pPr>
            <w:r>
              <w:rPr>
                <w:rFonts w:hint="eastAsia"/>
                <w:sz w:val="22"/>
                <w:szCs w:val="22"/>
                <w:vertAlign w:val="baseline"/>
              </w:rPr>
              <w:t>(1)每批次产品交货时必须提供地级市以上(含地级市)检验报告。</w:t>
            </w:r>
          </w:p>
          <w:p w14:paraId="62260EE4">
            <w:pPr>
              <w:numPr>
                <w:ilvl w:val="0"/>
                <w:numId w:val="0"/>
              </w:numPr>
              <w:spacing w:line="360" w:lineRule="auto"/>
              <w:rPr>
                <w:rFonts w:hint="eastAsia"/>
                <w:sz w:val="22"/>
                <w:szCs w:val="22"/>
                <w:vertAlign w:val="baseline"/>
              </w:rPr>
            </w:pPr>
            <w:r>
              <w:rPr>
                <w:rFonts w:hint="eastAsia"/>
                <w:sz w:val="22"/>
                <w:szCs w:val="22"/>
                <w:vertAlign w:val="baseline"/>
              </w:rPr>
              <w:t>(2)食用油必须取得食品生产许可证和产品合格证、外包装标明保质期及生产日期。产品原料必须为非转基因原料。</w:t>
            </w:r>
          </w:p>
          <w:p w14:paraId="499034DC">
            <w:pPr>
              <w:numPr>
                <w:ilvl w:val="0"/>
                <w:numId w:val="0"/>
              </w:numPr>
              <w:spacing w:line="360" w:lineRule="auto"/>
              <w:rPr>
                <w:rFonts w:hint="eastAsia"/>
                <w:sz w:val="22"/>
                <w:szCs w:val="22"/>
                <w:vertAlign w:val="baseline"/>
              </w:rPr>
            </w:pPr>
            <w:r>
              <w:rPr>
                <w:rFonts w:hint="eastAsia"/>
                <w:sz w:val="22"/>
                <w:szCs w:val="22"/>
                <w:vertAlign w:val="baseline"/>
              </w:rPr>
              <w:t>(3)有"SC"食品生产许可证标志，符合(GB/T1354-2018)标准要求。</w:t>
            </w:r>
          </w:p>
          <w:p w14:paraId="1DEB499E">
            <w:pPr>
              <w:numPr>
                <w:ilvl w:val="0"/>
                <w:numId w:val="0"/>
              </w:numPr>
              <w:spacing w:line="360" w:lineRule="auto"/>
              <w:rPr>
                <w:rFonts w:hint="eastAsia"/>
                <w:sz w:val="22"/>
                <w:szCs w:val="22"/>
                <w:vertAlign w:val="baseline"/>
              </w:rPr>
            </w:pPr>
            <w:r>
              <w:rPr>
                <w:rFonts w:hint="eastAsia"/>
                <w:sz w:val="22"/>
                <w:szCs w:val="22"/>
                <w:vertAlign w:val="baseline"/>
              </w:rPr>
              <w:t>(4)食用油必须符合GB/T1534-2017标准，为花生油或调和油，压榨花生油产品等级要求是一级，产品包装要求机械封装，外包装必须符合《食品安全法》的相关规定。</w:t>
            </w:r>
          </w:p>
          <w:p w14:paraId="60D8B5BF">
            <w:pPr>
              <w:numPr>
                <w:ilvl w:val="0"/>
                <w:numId w:val="0"/>
              </w:numPr>
              <w:spacing w:line="360" w:lineRule="auto"/>
              <w:rPr>
                <w:rFonts w:hint="eastAsia"/>
                <w:sz w:val="22"/>
                <w:szCs w:val="22"/>
                <w:vertAlign w:val="baseline"/>
              </w:rPr>
            </w:pPr>
            <w:r>
              <w:rPr>
                <w:rFonts w:hint="eastAsia"/>
                <w:sz w:val="22"/>
                <w:szCs w:val="22"/>
                <w:vertAlign w:val="baseline"/>
              </w:rPr>
              <w:t>食用油须同时满足以下要求：具有固有的气味和滋味，无异味；不得混有其他食用油或非食用油；加热试验(280℃)油色不得变深，无析出物；卫生标准和动植物检疫项目，按照国家有关规定执行。</w:t>
            </w:r>
          </w:p>
          <w:p w14:paraId="6818D046">
            <w:pPr>
              <w:numPr>
                <w:ilvl w:val="0"/>
                <w:numId w:val="0"/>
              </w:numPr>
              <w:spacing w:line="360" w:lineRule="auto"/>
              <w:rPr>
                <w:rFonts w:hint="eastAsia"/>
                <w:sz w:val="22"/>
                <w:szCs w:val="22"/>
                <w:vertAlign w:val="baseline"/>
              </w:rPr>
            </w:pPr>
            <w:r>
              <w:rPr>
                <w:rFonts w:hint="eastAsia"/>
                <w:sz w:val="22"/>
                <w:szCs w:val="22"/>
                <w:vertAlign w:val="baseline"/>
              </w:rPr>
              <w:t>(5)保质期：达到国家规定要求，剩余保存期时间不得少于保质期的四分之三。保证生产日期新鲜且符合食品安全国家标准和食品安全法要求。</w:t>
            </w:r>
          </w:p>
        </w:tc>
      </w:tr>
      <w:tr w14:paraId="4B07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2DE39301">
            <w:pPr>
              <w:spacing w:line="360" w:lineRule="auto"/>
              <w:jc w:val="center"/>
              <w:rPr>
                <w:rFonts w:hint="eastAsia" w:ascii="宋体" w:hAnsi="宋体" w:eastAsia="宋体" w:cs="宋体"/>
                <w:spacing w:val="-3"/>
                <w:sz w:val="22"/>
                <w:szCs w:val="22"/>
              </w:rPr>
            </w:pPr>
          </w:p>
          <w:p w14:paraId="7148643F">
            <w:pPr>
              <w:spacing w:line="360" w:lineRule="auto"/>
              <w:jc w:val="center"/>
              <w:rPr>
                <w:rFonts w:hint="eastAsia" w:ascii="宋体" w:hAnsi="宋体" w:eastAsia="宋体" w:cs="宋体"/>
                <w:spacing w:val="-3"/>
                <w:sz w:val="22"/>
                <w:szCs w:val="22"/>
              </w:rPr>
            </w:pPr>
          </w:p>
          <w:p w14:paraId="68C9E699">
            <w:pPr>
              <w:spacing w:line="360" w:lineRule="auto"/>
              <w:jc w:val="center"/>
              <w:rPr>
                <w:rFonts w:hint="eastAsia" w:ascii="宋体" w:hAnsi="宋体" w:eastAsia="宋体" w:cs="宋体"/>
                <w:b/>
                <w:bCs/>
                <w:spacing w:val="-5"/>
                <w:sz w:val="22"/>
                <w:szCs w:val="22"/>
              </w:rPr>
            </w:pPr>
            <w:r>
              <w:rPr>
                <w:rFonts w:hint="eastAsia" w:ascii="宋体" w:hAnsi="宋体" w:eastAsia="宋体" w:cs="宋体"/>
                <w:spacing w:val="-3"/>
                <w:sz w:val="22"/>
                <w:szCs w:val="22"/>
              </w:rPr>
              <w:t>调味品、干</w:t>
            </w:r>
            <w:r>
              <w:rPr>
                <w:rFonts w:hint="eastAsia" w:ascii="宋体" w:hAnsi="宋体" w:eastAsia="宋体" w:cs="宋体"/>
                <w:spacing w:val="2"/>
                <w:sz w:val="22"/>
                <w:szCs w:val="22"/>
              </w:rPr>
              <w:t>杂货食品等</w:t>
            </w:r>
          </w:p>
        </w:tc>
        <w:tc>
          <w:tcPr>
            <w:tcW w:w="7267" w:type="dxa"/>
          </w:tcPr>
          <w:p w14:paraId="2F239871">
            <w:pPr>
              <w:spacing w:line="360" w:lineRule="auto"/>
              <w:rPr>
                <w:rFonts w:hint="eastAsia"/>
                <w:sz w:val="22"/>
                <w:szCs w:val="22"/>
                <w:vertAlign w:val="baseline"/>
              </w:rPr>
            </w:pPr>
            <w:r>
              <w:rPr>
                <w:rFonts w:hint="eastAsia"/>
                <w:sz w:val="22"/>
                <w:szCs w:val="22"/>
                <w:vertAlign w:val="baseline"/>
              </w:rPr>
              <w:t>1、采购需求</w:t>
            </w:r>
          </w:p>
          <w:p w14:paraId="701321E7">
            <w:pPr>
              <w:spacing w:line="360" w:lineRule="auto"/>
              <w:rPr>
                <w:rFonts w:hint="eastAsia"/>
                <w:sz w:val="22"/>
                <w:szCs w:val="22"/>
                <w:vertAlign w:val="baseline"/>
              </w:rPr>
            </w:pPr>
            <w:r>
              <w:rPr>
                <w:rFonts w:hint="eastAsia"/>
                <w:sz w:val="22"/>
                <w:szCs w:val="22"/>
                <w:vertAlign w:val="baseline"/>
              </w:rPr>
              <w:t>(1)实行每批次采购，供应商应按采购单位的货物请购清单提供相应数量的货物。</w:t>
            </w:r>
          </w:p>
          <w:p w14:paraId="1AFEAD96">
            <w:pPr>
              <w:spacing w:line="360" w:lineRule="auto"/>
              <w:rPr>
                <w:rFonts w:hint="eastAsia"/>
                <w:sz w:val="22"/>
                <w:szCs w:val="22"/>
                <w:vertAlign w:val="baseline"/>
              </w:rPr>
            </w:pPr>
            <w:r>
              <w:rPr>
                <w:rFonts w:hint="eastAsia"/>
                <w:sz w:val="22"/>
                <w:szCs w:val="22"/>
                <w:vertAlign w:val="baseline"/>
              </w:rPr>
              <w:t>(2)结算时按实际采购数量结算</w:t>
            </w:r>
          </w:p>
          <w:p w14:paraId="33498ACF">
            <w:pPr>
              <w:spacing w:line="360" w:lineRule="auto"/>
              <w:rPr>
                <w:rFonts w:hint="eastAsia"/>
                <w:sz w:val="22"/>
                <w:szCs w:val="22"/>
                <w:vertAlign w:val="baseline"/>
              </w:rPr>
            </w:pPr>
            <w:r>
              <w:rPr>
                <w:rFonts w:hint="eastAsia"/>
                <w:sz w:val="22"/>
                <w:szCs w:val="22"/>
                <w:vertAlign w:val="baseline"/>
              </w:rPr>
              <w:t>▲2、质量要求</w:t>
            </w:r>
          </w:p>
          <w:p w14:paraId="3F0B131B">
            <w:pPr>
              <w:spacing w:line="360" w:lineRule="auto"/>
              <w:rPr>
                <w:rFonts w:hint="eastAsia"/>
                <w:sz w:val="22"/>
                <w:szCs w:val="22"/>
                <w:vertAlign w:val="baseline"/>
              </w:rPr>
            </w:pPr>
            <w:r>
              <w:rPr>
                <w:rFonts w:hint="eastAsia"/>
                <w:sz w:val="22"/>
                <w:szCs w:val="22"/>
                <w:vertAlign w:val="baseline"/>
              </w:rPr>
              <w:t>(1)必须是在市场上流通的，且具有“QS”食品质量认证标志。</w:t>
            </w:r>
          </w:p>
          <w:p w14:paraId="784E40EA">
            <w:pPr>
              <w:spacing w:line="360" w:lineRule="auto"/>
              <w:rPr>
                <w:rFonts w:hint="eastAsia"/>
                <w:sz w:val="22"/>
                <w:szCs w:val="22"/>
                <w:vertAlign w:val="baseline"/>
              </w:rPr>
            </w:pPr>
            <w:r>
              <w:rPr>
                <w:rFonts w:hint="eastAsia"/>
                <w:sz w:val="22"/>
                <w:szCs w:val="22"/>
                <w:vertAlign w:val="baseline"/>
              </w:rPr>
              <w:t>(2)产品必须是合格厂家制作，定型包装、有明显的标签、生产日期、生产厂家、保质期、产品合格证、贮存条件、执行产品标准号等，每次供货必须提供相应的检验合格证明。</w:t>
            </w:r>
          </w:p>
          <w:p w14:paraId="08CF8C06">
            <w:pPr>
              <w:spacing w:line="360" w:lineRule="auto"/>
              <w:rPr>
                <w:rFonts w:hint="eastAsia"/>
                <w:sz w:val="22"/>
                <w:szCs w:val="22"/>
                <w:vertAlign w:val="baseline"/>
              </w:rPr>
            </w:pPr>
            <w:r>
              <w:rPr>
                <w:rFonts w:hint="eastAsia"/>
                <w:sz w:val="22"/>
                <w:szCs w:val="22"/>
                <w:vertAlign w:val="baseline"/>
              </w:rPr>
              <w:t>(3)保质期：达到国家规定要求，剩余保存期时间不得少于保质期的四分之三。保证生产日期新鲜且符合食品安全国家标准食品安全法要求。严禁供应假冒伪劣过期产品。严禁供应假冒伪劣过潮产品。</w:t>
            </w:r>
          </w:p>
        </w:tc>
      </w:tr>
      <w:tr w14:paraId="34EA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51BA8680">
            <w:pPr>
              <w:spacing w:line="360" w:lineRule="auto"/>
              <w:jc w:val="center"/>
              <w:rPr>
                <w:rFonts w:hint="eastAsia" w:ascii="宋体" w:hAnsi="宋体" w:eastAsia="宋体" w:cs="宋体"/>
                <w:spacing w:val="6"/>
                <w:sz w:val="22"/>
                <w:szCs w:val="22"/>
              </w:rPr>
            </w:pPr>
          </w:p>
          <w:p w14:paraId="3C244E1B">
            <w:pPr>
              <w:spacing w:line="360" w:lineRule="auto"/>
              <w:jc w:val="center"/>
              <w:rPr>
                <w:rFonts w:hint="eastAsia" w:ascii="宋体" w:hAnsi="宋体" w:eastAsia="宋体" w:cs="宋体"/>
                <w:spacing w:val="6"/>
                <w:sz w:val="22"/>
                <w:szCs w:val="22"/>
              </w:rPr>
            </w:pPr>
          </w:p>
          <w:p w14:paraId="10068EEF">
            <w:pPr>
              <w:spacing w:line="360" w:lineRule="auto"/>
              <w:jc w:val="center"/>
              <w:rPr>
                <w:rFonts w:hint="eastAsia" w:ascii="宋体" w:hAnsi="宋体" w:eastAsia="宋体" w:cs="宋体"/>
                <w:spacing w:val="6"/>
                <w:sz w:val="22"/>
                <w:szCs w:val="22"/>
              </w:rPr>
            </w:pPr>
          </w:p>
          <w:p w14:paraId="0A53C1B0">
            <w:pPr>
              <w:spacing w:line="360" w:lineRule="auto"/>
              <w:jc w:val="center"/>
              <w:rPr>
                <w:rFonts w:hint="eastAsia" w:ascii="宋体" w:hAnsi="宋体" w:eastAsia="宋体" w:cs="宋体"/>
                <w:spacing w:val="6"/>
                <w:sz w:val="22"/>
                <w:szCs w:val="22"/>
              </w:rPr>
            </w:pPr>
          </w:p>
          <w:p w14:paraId="102B1866">
            <w:pPr>
              <w:spacing w:line="360" w:lineRule="auto"/>
              <w:jc w:val="both"/>
              <w:rPr>
                <w:rFonts w:hint="eastAsia" w:ascii="宋体" w:hAnsi="宋体" w:eastAsia="宋体" w:cs="宋体"/>
                <w:spacing w:val="6"/>
                <w:sz w:val="22"/>
                <w:szCs w:val="22"/>
              </w:rPr>
            </w:pPr>
          </w:p>
          <w:p w14:paraId="4AA460D2">
            <w:pPr>
              <w:spacing w:line="360" w:lineRule="auto"/>
              <w:jc w:val="center"/>
              <w:rPr>
                <w:rFonts w:hint="eastAsia" w:ascii="宋体" w:hAnsi="宋体" w:eastAsia="宋体" w:cs="宋体"/>
                <w:b/>
                <w:bCs/>
                <w:spacing w:val="-5"/>
                <w:sz w:val="22"/>
                <w:szCs w:val="22"/>
              </w:rPr>
            </w:pPr>
            <w:r>
              <w:rPr>
                <w:rFonts w:hint="eastAsia" w:ascii="宋体" w:hAnsi="宋体" w:eastAsia="宋体" w:cs="宋体"/>
                <w:spacing w:val="6"/>
                <w:sz w:val="22"/>
                <w:szCs w:val="22"/>
              </w:rPr>
              <w:t>豆制品</w:t>
            </w:r>
          </w:p>
        </w:tc>
        <w:tc>
          <w:tcPr>
            <w:tcW w:w="7267" w:type="dxa"/>
          </w:tcPr>
          <w:p w14:paraId="0D585CFB">
            <w:pPr>
              <w:spacing w:line="360" w:lineRule="auto"/>
              <w:rPr>
                <w:rFonts w:hint="eastAsia"/>
                <w:sz w:val="22"/>
                <w:szCs w:val="22"/>
                <w:vertAlign w:val="baseline"/>
              </w:rPr>
            </w:pPr>
            <w:r>
              <w:rPr>
                <w:rFonts w:hint="eastAsia"/>
                <w:sz w:val="22"/>
                <w:szCs w:val="22"/>
                <w:vertAlign w:val="baseline"/>
              </w:rPr>
              <w:t>1、采购需求</w:t>
            </w:r>
          </w:p>
          <w:p w14:paraId="026B2A52">
            <w:pPr>
              <w:spacing w:line="360" w:lineRule="auto"/>
              <w:rPr>
                <w:rFonts w:hint="eastAsia"/>
                <w:sz w:val="22"/>
                <w:szCs w:val="22"/>
                <w:vertAlign w:val="baseline"/>
              </w:rPr>
            </w:pPr>
            <w:r>
              <w:rPr>
                <w:rFonts w:hint="eastAsia"/>
                <w:sz w:val="22"/>
                <w:szCs w:val="22"/>
                <w:vertAlign w:val="baseline"/>
              </w:rPr>
              <w:t>(1)实行每日采购，供应商应按采购单位的货物请购清单提供相应数量的货物。</w:t>
            </w:r>
          </w:p>
          <w:p w14:paraId="4CEE97F6">
            <w:pPr>
              <w:spacing w:line="360" w:lineRule="auto"/>
              <w:rPr>
                <w:rFonts w:hint="eastAsia"/>
                <w:sz w:val="22"/>
                <w:szCs w:val="22"/>
                <w:vertAlign w:val="baseline"/>
              </w:rPr>
            </w:pPr>
            <w:r>
              <w:rPr>
                <w:rFonts w:hint="eastAsia"/>
                <w:sz w:val="22"/>
                <w:szCs w:val="22"/>
                <w:vertAlign w:val="baseline"/>
              </w:rPr>
              <w:t>(2)结算时按实际采购数量结算。</w:t>
            </w:r>
          </w:p>
          <w:p w14:paraId="1E51FFA7">
            <w:pPr>
              <w:spacing w:line="360" w:lineRule="auto"/>
              <w:rPr>
                <w:rFonts w:hint="eastAsia"/>
                <w:sz w:val="22"/>
                <w:szCs w:val="22"/>
                <w:vertAlign w:val="baseline"/>
              </w:rPr>
            </w:pPr>
            <w:r>
              <w:rPr>
                <w:rFonts w:hint="eastAsia"/>
                <w:sz w:val="22"/>
                <w:szCs w:val="22"/>
                <w:vertAlign w:val="baseline"/>
              </w:rPr>
              <w:t>▲2、质量要求</w:t>
            </w:r>
          </w:p>
          <w:p w14:paraId="09B1C09C">
            <w:pPr>
              <w:spacing w:line="360" w:lineRule="auto"/>
              <w:rPr>
                <w:rFonts w:hint="eastAsia"/>
                <w:sz w:val="22"/>
                <w:szCs w:val="22"/>
                <w:vertAlign w:val="baseline"/>
              </w:rPr>
            </w:pPr>
            <w:r>
              <w:rPr>
                <w:rFonts w:hint="eastAsia"/>
                <w:sz w:val="22"/>
                <w:szCs w:val="22"/>
                <w:vertAlign w:val="baseline"/>
              </w:rPr>
              <w:t>(1)豆制品必须符合《食品安全法》要求，必须是</w:t>
            </w:r>
            <w:r>
              <w:rPr>
                <w:rFonts w:hint="eastAsia"/>
                <w:sz w:val="22"/>
                <w:szCs w:val="22"/>
                <w:vertAlign w:val="baseline"/>
                <w:lang w:eastAsia="zh-CN"/>
              </w:rPr>
              <w:t>市场</w:t>
            </w:r>
            <w:r>
              <w:rPr>
                <w:rFonts w:hint="eastAsia"/>
                <w:sz w:val="22"/>
                <w:szCs w:val="22"/>
                <w:vertAlign w:val="baseline"/>
              </w:rPr>
              <w:t>上正在流通的产品。提供食品生产许可证、批次检验合格证。</w:t>
            </w:r>
          </w:p>
          <w:p w14:paraId="1FF5B3DD">
            <w:pPr>
              <w:spacing w:line="360" w:lineRule="auto"/>
              <w:rPr>
                <w:rFonts w:hint="eastAsia"/>
                <w:sz w:val="22"/>
                <w:szCs w:val="22"/>
                <w:vertAlign w:val="baseline"/>
              </w:rPr>
            </w:pPr>
            <w:r>
              <w:rPr>
                <w:rFonts w:hint="eastAsia"/>
                <w:sz w:val="22"/>
                <w:szCs w:val="22"/>
                <w:vertAlign w:val="baseline"/>
              </w:rPr>
              <w:t>(2)豆腐呈均匀的乳白色或淡黄色，稍有光泽，块形完整，饮硬适度，富有一定的弹性，质地细嫩，结构均匀，无杂质，具有豆腐特有的香味，取样品品尝时口感细腻鲜嫩，味道纯正清香。</w:t>
            </w:r>
          </w:p>
          <w:p w14:paraId="36E3DBF6">
            <w:pPr>
              <w:spacing w:line="360" w:lineRule="auto"/>
              <w:rPr>
                <w:rFonts w:hint="eastAsia" w:eastAsiaTheme="minorEastAsia"/>
                <w:sz w:val="22"/>
                <w:szCs w:val="22"/>
                <w:vertAlign w:val="baseline"/>
                <w:lang w:val="en-US" w:eastAsia="zh-CN"/>
              </w:rPr>
            </w:pPr>
            <w:r>
              <w:rPr>
                <w:rFonts w:hint="eastAsia"/>
                <w:sz w:val="22"/>
                <w:szCs w:val="22"/>
                <w:vertAlign w:val="baseline"/>
              </w:rPr>
              <w:t>(3)保质期：达到国家规定要求，剩余保存期时间不得少于保质期的四分之</w:t>
            </w:r>
            <w:r>
              <w:rPr>
                <w:rFonts w:hint="eastAsia"/>
                <w:sz w:val="22"/>
                <w:szCs w:val="22"/>
                <w:vertAlign w:val="baseline"/>
                <w:lang w:val="en-US" w:eastAsia="zh-CN"/>
              </w:rPr>
              <w:t>三。</w:t>
            </w:r>
          </w:p>
        </w:tc>
      </w:tr>
      <w:tr w14:paraId="630E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6C61D588">
            <w:pPr>
              <w:spacing w:line="360" w:lineRule="auto"/>
              <w:jc w:val="center"/>
              <w:rPr>
                <w:rFonts w:hint="eastAsia" w:ascii="宋体" w:hAnsi="宋体" w:eastAsia="宋体" w:cs="宋体"/>
                <w:b w:val="0"/>
                <w:bCs w:val="0"/>
                <w:spacing w:val="-6"/>
                <w:sz w:val="22"/>
                <w:szCs w:val="22"/>
              </w:rPr>
            </w:pPr>
          </w:p>
          <w:p w14:paraId="54938593">
            <w:pPr>
              <w:spacing w:line="360" w:lineRule="auto"/>
              <w:jc w:val="center"/>
              <w:rPr>
                <w:rFonts w:hint="eastAsia" w:ascii="宋体" w:hAnsi="宋体" w:eastAsia="宋体" w:cs="宋体"/>
                <w:b w:val="0"/>
                <w:bCs w:val="0"/>
                <w:spacing w:val="-6"/>
                <w:sz w:val="22"/>
                <w:szCs w:val="22"/>
              </w:rPr>
            </w:pPr>
          </w:p>
          <w:p w14:paraId="74D6AE09">
            <w:pPr>
              <w:spacing w:line="360" w:lineRule="auto"/>
              <w:jc w:val="center"/>
              <w:rPr>
                <w:rFonts w:hint="eastAsia" w:ascii="宋体" w:hAnsi="宋体" w:eastAsia="宋体" w:cs="宋体"/>
                <w:b w:val="0"/>
                <w:bCs w:val="0"/>
                <w:spacing w:val="-6"/>
                <w:sz w:val="22"/>
                <w:szCs w:val="22"/>
              </w:rPr>
            </w:pPr>
          </w:p>
          <w:p w14:paraId="2C205DB5">
            <w:pPr>
              <w:spacing w:line="360" w:lineRule="auto"/>
              <w:jc w:val="center"/>
              <w:rPr>
                <w:rFonts w:hint="eastAsia" w:ascii="宋体" w:hAnsi="宋体" w:eastAsia="宋体" w:cs="宋体"/>
                <w:b w:val="0"/>
                <w:bCs w:val="0"/>
                <w:spacing w:val="-6"/>
                <w:sz w:val="22"/>
                <w:szCs w:val="22"/>
              </w:rPr>
            </w:pPr>
          </w:p>
          <w:p w14:paraId="75878417">
            <w:pPr>
              <w:spacing w:line="360" w:lineRule="auto"/>
              <w:jc w:val="center"/>
              <w:rPr>
                <w:rFonts w:hint="eastAsia" w:ascii="宋体" w:hAnsi="宋体" w:eastAsia="宋体" w:cs="宋体"/>
                <w:b/>
                <w:bCs/>
                <w:spacing w:val="-5"/>
                <w:sz w:val="22"/>
                <w:szCs w:val="22"/>
              </w:rPr>
            </w:pPr>
            <w:r>
              <w:rPr>
                <w:rFonts w:hint="eastAsia" w:ascii="宋体" w:hAnsi="宋体" w:eastAsia="宋体" w:cs="宋体"/>
                <w:b w:val="0"/>
                <w:bCs w:val="0"/>
                <w:spacing w:val="-6"/>
                <w:sz w:val="22"/>
                <w:szCs w:val="22"/>
              </w:rPr>
              <w:t>蔬菜类</w:t>
            </w:r>
          </w:p>
        </w:tc>
        <w:tc>
          <w:tcPr>
            <w:tcW w:w="7267" w:type="dxa"/>
          </w:tcPr>
          <w:p w14:paraId="4B95C982">
            <w:pPr>
              <w:spacing w:line="360" w:lineRule="auto"/>
              <w:rPr>
                <w:rFonts w:hint="eastAsia"/>
                <w:sz w:val="22"/>
                <w:szCs w:val="22"/>
                <w:vertAlign w:val="baseline"/>
              </w:rPr>
            </w:pPr>
            <w:r>
              <w:rPr>
                <w:rFonts w:hint="eastAsia"/>
                <w:sz w:val="22"/>
                <w:szCs w:val="22"/>
                <w:vertAlign w:val="baseline"/>
              </w:rPr>
              <w:t>1、采购需求</w:t>
            </w:r>
          </w:p>
          <w:p w14:paraId="37988528">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(1)实行每日采购，供应商每日应按采购单位的货物请购清单提供相应数量的货物。</w:t>
            </w:r>
          </w:p>
          <w:p w14:paraId="664694AA">
            <w:pPr>
              <w:spacing w:line="360" w:lineRule="auto"/>
              <w:rPr>
                <w:rFonts w:hint="eastAsia"/>
                <w:sz w:val="22"/>
                <w:szCs w:val="22"/>
                <w:vertAlign w:val="baseline"/>
              </w:rPr>
            </w:pPr>
            <w:r>
              <w:rPr>
                <w:rFonts w:hint="eastAsia"/>
                <w:sz w:val="22"/>
                <w:szCs w:val="22"/>
                <w:vertAlign w:val="baseline"/>
              </w:rPr>
              <w:t>(2)结算时按实际采购数量结算。</w:t>
            </w:r>
          </w:p>
          <w:p w14:paraId="4BDB6CE2">
            <w:pPr>
              <w:spacing w:line="360" w:lineRule="auto"/>
              <w:rPr>
                <w:rFonts w:hint="eastAsia"/>
                <w:sz w:val="22"/>
                <w:szCs w:val="22"/>
                <w:vertAlign w:val="baseline"/>
              </w:rPr>
            </w:pPr>
            <w:r>
              <w:rPr>
                <w:rFonts w:hint="eastAsia"/>
                <w:sz w:val="22"/>
                <w:szCs w:val="22"/>
                <w:vertAlign w:val="baseline"/>
              </w:rPr>
              <w:t>▲2、质量要求</w:t>
            </w:r>
          </w:p>
          <w:p w14:paraId="05FBADAF">
            <w:pPr>
              <w:spacing w:line="360" w:lineRule="auto"/>
              <w:rPr>
                <w:rFonts w:hint="eastAsia"/>
                <w:sz w:val="22"/>
                <w:szCs w:val="22"/>
                <w:vertAlign w:val="baseline"/>
              </w:rPr>
            </w:pPr>
            <w:r>
              <w:rPr>
                <w:rFonts w:hint="eastAsia"/>
                <w:sz w:val="22"/>
                <w:szCs w:val="22"/>
                <w:vertAlign w:val="baseline"/>
              </w:rPr>
              <w:t>(1)必须符合国家食品安全卫生标准。符合《食品安全法》要求，尽量采用当地时令新鲜蔬菜。蔬菜可食用率必须达95%以上。</w:t>
            </w:r>
          </w:p>
          <w:p w14:paraId="2405391F">
            <w:pPr>
              <w:spacing w:line="360" w:lineRule="auto"/>
              <w:rPr>
                <w:rFonts w:hint="eastAsia"/>
                <w:sz w:val="22"/>
                <w:szCs w:val="22"/>
                <w:vertAlign w:val="baseline"/>
              </w:rPr>
            </w:pPr>
            <w:r>
              <w:rPr>
                <w:rFonts w:hint="eastAsia"/>
                <w:sz w:val="22"/>
                <w:szCs w:val="22"/>
                <w:vertAlign w:val="baseline"/>
              </w:rPr>
              <w:t>(2)瓜、果、蔬菜必须保证新鲜，绿色环保。无公害、无污染、无农药残留；蔬菜残留农药检测合格，</w:t>
            </w:r>
            <w:r>
              <w:rPr>
                <w:rFonts w:hint="eastAsia"/>
                <w:sz w:val="22"/>
                <w:szCs w:val="22"/>
                <w:vertAlign w:val="baseline"/>
                <w:lang w:eastAsia="zh-CN"/>
              </w:rPr>
              <w:t>供货企业必须提供残留农药快速检测合格证明</w:t>
            </w:r>
            <w:r>
              <w:rPr>
                <w:rFonts w:hint="eastAsia"/>
                <w:sz w:val="22"/>
                <w:szCs w:val="22"/>
                <w:vertAlign w:val="baseline"/>
              </w:rPr>
              <w:t>、质量符合《农产品安全质量无公害蔬菜安全要求》(GB18406.1-200L)的要求，每批次有专人负责每天检测并记录。</w:t>
            </w:r>
            <w:r>
              <w:rPr>
                <w:rFonts w:hint="eastAsia"/>
                <w:sz w:val="22"/>
                <w:szCs w:val="22"/>
                <w:vertAlign w:val="baseline"/>
                <w:lang w:eastAsia="zh-CN"/>
              </w:rPr>
              <w:t>每天对</w:t>
            </w:r>
            <w:r>
              <w:rPr>
                <w:rFonts w:hint="eastAsia"/>
                <w:sz w:val="22"/>
                <w:szCs w:val="22"/>
                <w:vertAlign w:val="baseline"/>
              </w:rPr>
              <w:t>每批次蔬菜进行农药残留检测，如含量超标将要求中标人无条件退货或换货。</w:t>
            </w:r>
          </w:p>
          <w:p w14:paraId="7E50EB9D">
            <w:pPr>
              <w:spacing w:line="360" w:lineRule="auto"/>
              <w:rPr>
                <w:rFonts w:hint="eastAsia"/>
                <w:sz w:val="22"/>
                <w:szCs w:val="22"/>
                <w:vertAlign w:val="baseline"/>
              </w:rPr>
            </w:pPr>
            <w:r>
              <w:rPr>
                <w:rFonts w:hint="eastAsia"/>
                <w:sz w:val="22"/>
                <w:szCs w:val="22"/>
                <w:vertAlign w:val="baseline"/>
              </w:rPr>
              <w:t>(3)有相对固定的供货渠道、有完善的货物来源记录。</w:t>
            </w:r>
          </w:p>
        </w:tc>
      </w:tr>
      <w:tr w14:paraId="5F5B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tcPr>
          <w:p w14:paraId="1161CF07">
            <w:pPr>
              <w:spacing w:line="360" w:lineRule="auto"/>
              <w:jc w:val="center"/>
              <w:rPr>
                <w:rFonts w:hint="eastAsia" w:ascii="宋体" w:hAnsi="宋体" w:eastAsia="宋体" w:cs="宋体"/>
                <w:spacing w:val="-2"/>
                <w:sz w:val="22"/>
                <w:szCs w:val="22"/>
              </w:rPr>
            </w:pPr>
          </w:p>
          <w:p w14:paraId="5B68E91F">
            <w:pPr>
              <w:spacing w:line="360" w:lineRule="auto"/>
              <w:jc w:val="center"/>
              <w:rPr>
                <w:rFonts w:hint="eastAsia" w:ascii="宋体" w:hAnsi="宋体" w:eastAsia="宋体" w:cs="宋体"/>
                <w:spacing w:val="-2"/>
                <w:sz w:val="22"/>
                <w:szCs w:val="22"/>
              </w:rPr>
            </w:pPr>
          </w:p>
          <w:p w14:paraId="42D58BDB">
            <w:pPr>
              <w:spacing w:line="360" w:lineRule="auto"/>
              <w:jc w:val="center"/>
              <w:rPr>
                <w:rFonts w:hint="eastAsia" w:ascii="宋体" w:hAnsi="宋体" w:eastAsia="宋体" w:cs="宋体"/>
                <w:spacing w:val="-2"/>
                <w:sz w:val="22"/>
                <w:szCs w:val="22"/>
              </w:rPr>
            </w:pPr>
          </w:p>
          <w:p w14:paraId="3DE74782">
            <w:pPr>
              <w:spacing w:line="360" w:lineRule="auto"/>
              <w:jc w:val="center"/>
              <w:rPr>
                <w:rFonts w:hint="eastAsia" w:ascii="宋体" w:hAnsi="宋体" w:eastAsia="宋体" w:cs="宋体"/>
                <w:spacing w:val="-2"/>
                <w:sz w:val="22"/>
                <w:szCs w:val="22"/>
              </w:rPr>
            </w:pPr>
          </w:p>
          <w:p w14:paraId="5897F76F">
            <w:pPr>
              <w:spacing w:line="360" w:lineRule="auto"/>
              <w:jc w:val="center"/>
              <w:rPr>
                <w:rFonts w:hint="eastAsia" w:ascii="宋体" w:hAnsi="宋体" w:eastAsia="宋体" w:cs="宋体"/>
                <w:spacing w:val="-2"/>
                <w:sz w:val="22"/>
                <w:szCs w:val="22"/>
              </w:rPr>
            </w:pPr>
          </w:p>
          <w:p w14:paraId="18FC3562">
            <w:pPr>
              <w:spacing w:line="360" w:lineRule="auto"/>
              <w:jc w:val="center"/>
              <w:rPr>
                <w:rFonts w:hint="eastAsia" w:ascii="宋体" w:hAnsi="宋体" w:eastAsia="宋体" w:cs="宋体"/>
                <w:spacing w:val="-2"/>
                <w:sz w:val="22"/>
                <w:szCs w:val="22"/>
              </w:rPr>
            </w:pPr>
          </w:p>
          <w:p w14:paraId="10EE2DB3">
            <w:pPr>
              <w:spacing w:line="360" w:lineRule="auto"/>
              <w:jc w:val="center"/>
              <w:rPr>
                <w:rFonts w:hint="eastAsia" w:ascii="宋体" w:hAnsi="宋体" w:eastAsia="宋体" w:cs="宋体"/>
                <w:b/>
                <w:bCs/>
                <w:spacing w:val="-6"/>
                <w:sz w:val="22"/>
                <w:szCs w:val="22"/>
              </w:rPr>
            </w:pPr>
            <w:r>
              <w:rPr>
                <w:rFonts w:hint="eastAsia" w:ascii="宋体" w:hAnsi="宋体" w:eastAsia="宋体" w:cs="宋体"/>
                <w:spacing w:val="-2"/>
                <w:sz w:val="22"/>
                <w:szCs w:val="22"/>
              </w:rPr>
              <w:t>糕点类、粉</w:t>
            </w:r>
            <w:r>
              <w:rPr>
                <w:rFonts w:hint="eastAsia" w:ascii="宋体" w:hAnsi="宋体" w:eastAsia="宋体" w:cs="宋体"/>
                <w:sz w:val="22"/>
                <w:szCs w:val="22"/>
              </w:rPr>
              <w:t>类</w:t>
            </w:r>
          </w:p>
        </w:tc>
        <w:tc>
          <w:tcPr>
            <w:tcW w:w="7267" w:type="dxa"/>
          </w:tcPr>
          <w:p w14:paraId="1F00B878">
            <w:pPr>
              <w:spacing w:line="360" w:lineRule="auto"/>
              <w:rPr>
                <w:rFonts w:hint="eastAsia"/>
                <w:sz w:val="22"/>
                <w:szCs w:val="22"/>
                <w:vertAlign w:val="baseline"/>
              </w:rPr>
            </w:pPr>
            <w:r>
              <w:rPr>
                <w:rFonts w:hint="eastAsia"/>
                <w:sz w:val="22"/>
                <w:szCs w:val="22"/>
                <w:vertAlign w:val="baseline"/>
              </w:rPr>
              <w:t>1、采购需求</w:t>
            </w:r>
          </w:p>
          <w:p w14:paraId="3755342C">
            <w:pPr>
              <w:spacing w:line="360" w:lineRule="auto"/>
              <w:rPr>
                <w:rFonts w:hint="eastAsia"/>
                <w:sz w:val="22"/>
                <w:szCs w:val="22"/>
                <w:vertAlign w:val="baseline"/>
              </w:rPr>
            </w:pPr>
            <w:r>
              <w:rPr>
                <w:rFonts w:hint="eastAsia"/>
                <w:sz w:val="22"/>
                <w:szCs w:val="22"/>
                <w:vertAlign w:val="baseline"/>
              </w:rPr>
              <w:t>(1)实行每日采购，供应商每日应按采购单位的货物请购清单提供相应数最的货物。</w:t>
            </w:r>
          </w:p>
          <w:p w14:paraId="5C8D4CB1">
            <w:pPr>
              <w:spacing w:line="360" w:lineRule="auto"/>
              <w:rPr>
                <w:rFonts w:hint="eastAsia" w:eastAsiaTheme="minorEastAsia"/>
                <w:sz w:val="22"/>
                <w:szCs w:val="22"/>
                <w:vertAlign w:val="baseline"/>
                <w:lang w:eastAsia="zh-CN"/>
              </w:rPr>
            </w:pPr>
            <w:r>
              <w:rPr>
                <w:rFonts w:hint="eastAsia"/>
                <w:sz w:val="22"/>
                <w:szCs w:val="22"/>
                <w:vertAlign w:val="baseline"/>
              </w:rPr>
              <w:t>(2)结算时按实际采购数量结算。</w:t>
            </w:r>
          </w:p>
          <w:p w14:paraId="785CABE7">
            <w:pPr>
              <w:spacing w:line="360" w:lineRule="auto"/>
              <w:rPr>
                <w:rFonts w:hint="eastAsia"/>
                <w:sz w:val="22"/>
                <w:szCs w:val="22"/>
                <w:vertAlign w:val="baseline"/>
              </w:rPr>
            </w:pPr>
            <w:r>
              <w:rPr>
                <w:rFonts w:hint="eastAsia"/>
                <w:sz w:val="22"/>
                <w:szCs w:val="22"/>
                <w:vertAlign w:val="baseline"/>
              </w:rPr>
              <w:t>▲2、质量要求</w:t>
            </w:r>
          </w:p>
          <w:p w14:paraId="5654C331">
            <w:pPr>
              <w:spacing w:line="360" w:lineRule="auto"/>
              <w:rPr>
                <w:rFonts w:hint="eastAsia"/>
                <w:sz w:val="22"/>
                <w:szCs w:val="22"/>
                <w:vertAlign w:val="baseline"/>
              </w:rPr>
            </w:pPr>
            <w:r>
              <w:rPr>
                <w:rFonts w:hint="eastAsia"/>
                <w:sz w:val="22"/>
                <w:szCs w:val="22"/>
                <w:vertAlign w:val="baseline"/>
              </w:rPr>
              <w:t>(1)保证生产日期新鲜且符合食品安全国家标准和《食品安全法》要求，具有生产许可证编号或具有“SC”食品生产许可认证。</w:t>
            </w:r>
          </w:p>
          <w:p w14:paraId="130E9FAF">
            <w:pPr>
              <w:spacing w:line="360" w:lineRule="auto"/>
              <w:rPr>
                <w:rFonts w:hint="eastAsia"/>
                <w:sz w:val="22"/>
                <w:szCs w:val="22"/>
                <w:vertAlign w:val="baseline"/>
              </w:rPr>
            </w:pPr>
            <w:r>
              <w:rPr>
                <w:rFonts w:hint="eastAsia"/>
                <w:sz w:val="22"/>
                <w:szCs w:val="22"/>
                <w:vertAlign w:val="baseline"/>
              </w:rPr>
              <w:t>(2)包装用机械封装、无毒、无害塑料袋(直接接触食品的包装必须为食品级),包装的正面需印有产品名称及生产日期和保质期，外包装必须符合《食品安全法》的相关规定，产品要求为即产即销。</w:t>
            </w:r>
          </w:p>
          <w:p w14:paraId="2266569E">
            <w:pPr>
              <w:spacing w:line="360" w:lineRule="auto"/>
              <w:rPr>
                <w:rFonts w:hint="eastAsia"/>
                <w:sz w:val="22"/>
                <w:szCs w:val="22"/>
                <w:vertAlign w:val="baseline"/>
              </w:rPr>
            </w:pPr>
            <w:r>
              <w:rPr>
                <w:rFonts w:hint="eastAsia"/>
                <w:sz w:val="22"/>
                <w:szCs w:val="22"/>
                <w:vertAlign w:val="baseline"/>
              </w:rPr>
              <w:t>(3)保质期：达到国家规定要求，供货时的剩余保存期时间不得少于保质期的四分之三。</w:t>
            </w:r>
          </w:p>
        </w:tc>
      </w:tr>
    </w:tbl>
    <w:p w14:paraId="13E544D3">
      <w:pPr>
        <w:pageBreakBefore w:val="0"/>
        <w:widowControl w:val="0"/>
        <w:kinsoku/>
        <w:wordWrap/>
        <w:overflowPunct/>
        <w:topLinePunct w:val="0"/>
        <w:bidi w:val="0"/>
        <w:adjustRightInd/>
        <w:spacing w:afterAutospacing="0" w:line="500" w:lineRule="exact"/>
        <w:textAlignment w:val="auto"/>
        <w:rPr>
          <w:rFonts w:hint="eastAsia" w:ascii="宋体" w:hAnsi="宋体" w:eastAsia="宋体" w:cs="宋体"/>
          <w:color w:val="auto"/>
          <w:highlight w:val="none"/>
          <w:lang w:val="en-US" w:eastAsia="zh-CN"/>
        </w:rPr>
      </w:pPr>
    </w:p>
    <w:p w14:paraId="69B11AE3">
      <w:pPr>
        <w:rPr>
          <w:rFonts w:hint="eastAsia" w:ascii="宋体" w:hAnsi="宋体" w:eastAsia="宋体" w:cs="宋体"/>
          <w:b/>
          <w:bCs/>
          <w:color w:val="auto"/>
          <w:sz w:val="32"/>
          <w:szCs w:val="40"/>
          <w:highlight w:val="none"/>
          <w:lang w:val="en-US" w:eastAsia="zh-CN"/>
        </w:rPr>
      </w:pPr>
      <w:r>
        <w:rPr>
          <w:rFonts w:hint="eastAsia" w:ascii="宋体" w:hAnsi="宋体" w:eastAsia="宋体" w:cs="宋体"/>
          <w:b/>
          <w:bCs/>
          <w:color w:val="auto"/>
          <w:sz w:val="32"/>
          <w:szCs w:val="40"/>
          <w:highlight w:val="none"/>
          <w:lang w:val="en-US" w:eastAsia="zh-CN"/>
        </w:rPr>
        <w:br w:type="page"/>
      </w:r>
    </w:p>
    <w:p w14:paraId="29D0AE1B">
      <w:pPr>
        <w:pStyle w:val="3"/>
        <w:pageBreakBefore w:val="0"/>
        <w:widowControl w:val="0"/>
        <w:kinsoku/>
        <w:wordWrap/>
        <w:overflowPunct/>
        <w:topLinePunct w:val="0"/>
        <w:bidi w:val="0"/>
        <w:adjustRightInd/>
        <w:spacing w:before="0" w:beforeLines="0" w:beforeAutospacing="0" w:after="0" w:afterLines="0" w:afterAutospacing="0" w:line="500" w:lineRule="exact"/>
        <w:textAlignment w:val="auto"/>
        <w:outlineLvl w:val="1"/>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32"/>
          <w:szCs w:val="40"/>
          <w:highlight w:val="none"/>
          <w:lang w:val="en-US" w:eastAsia="zh-CN"/>
        </w:rPr>
        <w:t>二、商务条款</w:t>
      </w:r>
    </w:p>
    <w:tbl>
      <w:tblPr>
        <w:tblStyle w:val="37"/>
        <w:tblpPr w:leftFromText="180" w:rightFromText="180" w:vertAnchor="text" w:horzAnchor="page" w:tblpX="1800" w:tblpY="2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7354"/>
      </w:tblGrid>
      <w:tr w14:paraId="01EC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8" w:type="dxa"/>
          </w:tcPr>
          <w:p w14:paraId="66033D3F">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2DC4C6F8">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13D86EA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（一）服务总体要求</w:t>
            </w:r>
          </w:p>
        </w:tc>
        <w:tc>
          <w:tcPr>
            <w:tcW w:w="7354" w:type="dxa"/>
          </w:tcPr>
          <w:p w14:paraId="7A0CB8A1">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w:t>
            </w:r>
            <w:r>
              <w:rPr>
                <w:rFonts w:hint="eastAsia" w:ascii="宋体" w:hAnsi="宋体" w:eastAsia="宋体" w:cs="宋体"/>
                <w:color w:val="000000" w:themeColor="text1"/>
                <w:sz w:val="22"/>
                <w:szCs w:val="22"/>
                <w:highlight w:val="none"/>
                <w:vertAlign w:val="baseline"/>
                <w:lang w:val="en-US" w:eastAsia="zh-CN"/>
                <w14:textFill>
                  <w14:solidFill>
                    <w14:schemeClr w14:val="tx1"/>
                  </w14:solidFill>
                </w14:textFill>
              </w:rPr>
              <w:t>分标3</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供货服务对象：县南片区(滩面镇、良田镇、清湖镇、古城镇）的学校共计约</w:t>
            </w:r>
            <w:r>
              <w:rPr>
                <w:rFonts w:hint="eastAsia" w:ascii="宋体" w:hAnsi="宋体" w:eastAsia="宋体" w:cs="宋体"/>
                <w:color w:val="000000" w:themeColor="text1"/>
                <w:sz w:val="22"/>
                <w:szCs w:val="22"/>
                <w:highlight w:val="none"/>
                <w:vertAlign w:val="baseline"/>
                <w:lang w:val="en-US" w:eastAsia="zh-CN"/>
                <w14:textFill>
                  <w14:solidFill>
                    <w14:schemeClr w14:val="tx1"/>
                  </w14:solidFill>
                </w14:textFill>
              </w:rPr>
              <w:t>32420</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人（以实际受益学生数为准）。</w:t>
            </w:r>
          </w:p>
          <w:p w14:paraId="66049B88">
            <w:pPr>
              <w:numPr>
                <w:ilvl w:val="0"/>
                <w:numId w:val="0"/>
              </w:numPr>
              <w:spacing w:line="360" w:lineRule="auto"/>
              <w:ind w:firstLine="440" w:firstLineChars="200"/>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严禁配送预制菜，中标企业建设统一配送中心和全链条可溯源信息化监管系统。</w:t>
            </w:r>
          </w:p>
          <w:p w14:paraId="55D0F8AE">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2、采购量：实际数量以采购单位根据实际需要为准，结算时按实际采购数量结算。中标供应商不得因实际供应量与中标数量不一致提出异议。</w:t>
            </w:r>
          </w:p>
          <w:p w14:paraId="2180B41E">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3、中标人不得将中标货物转包或分包给第三方，采购单位发现的有权单方终止合同。由此产生的一切经济损失由中标人自行承担。</w:t>
            </w:r>
          </w:p>
          <w:p w14:paraId="5D99AC6B">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4、中标人在合同履行期间保证对采购单位的货物供应，中标后不得拒绝采购单位分配的任务。中标人在服务期内没能达到投标文件承诺的服务要求的，中标人未按要求履行协议义务的或中标人的资质在服务期内发生变化不再符合要求的，采购单位均有权单方终止合同，由此产生的一切经济损失由中标人自行承担。</w:t>
            </w:r>
          </w:p>
          <w:p w14:paraId="332E88EB">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val="en-US" w:eastAsia="zh-CN"/>
                <w14:textFill>
                  <w14:solidFill>
                    <w14:schemeClr w14:val="tx1"/>
                  </w14:solidFill>
                </w14:textFill>
              </w:rPr>
              <w:t>5</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中标人必须遵守国家的法律法规及采购单位的规章制度。中标人(包括送货人员)必须服从采购单位的监督、管理。进入校园出现与学生私自接触、捎带物品和利益交易等违规行为的，直接终止合同，并追究供应商相关责任。</w:t>
            </w:r>
          </w:p>
          <w:p w14:paraId="5F784DD8">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6、中标人应保证所提供的产品必须是合格安全的产品，供应的货物因产品质量问题造成食品安全事故的，直接取消供应商的供货资格，由供应商承担全部经济赔偿责任及其他法律责任。</w:t>
            </w:r>
          </w:p>
          <w:p w14:paraId="0BBA19C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7、中标人提供符合市场监管部门要求的有效证明材料。如有效的营业执照、产品合格证、食品原材料采购供应渠道等。建立完备的冷藏、分割、包装、检测、留样、监控系统。</w:t>
            </w:r>
          </w:p>
          <w:p w14:paraId="269C7E2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8、中标人配送的食品应严格遵循健康原则，确保所有产品避免“三高”:即高油脂、高盐分、高糖分的成分添加；不得使用深加工食品，以提供更为健康、均衡的饮食选择。</w:t>
            </w:r>
          </w:p>
          <w:p w14:paraId="4D859E80">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9、由于项目资金发生不可预见的调整，存在可能引发项目被迫中止的风险，鉴于此情况，所有因此而产生的风险、损失及后果，将由中标人一方独立承担。</w:t>
            </w:r>
          </w:p>
          <w:p w14:paraId="44F3804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sz w:val="22"/>
                <w:szCs w:val="22"/>
                <w:vertAlign w:val="baseline"/>
                <w:lang w:val="en-US" w:eastAsia="zh-CN"/>
              </w:rPr>
              <w:t>10、</w:t>
            </w:r>
            <w:r>
              <w:rPr>
                <w:rFonts w:hint="eastAsia"/>
                <w:highlight w:val="yellow"/>
              </w:rPr>
              <w:t>投标人拟投入专用食品储存冷库</w:t>
            </w:r>
            <w:r>
              <w:rPr>
                <w:rFonts w:hint="eastAsia"/>
                <w:highlight w:val="yellow"/>
                <w:lang w:val="en-US" w:eastAsia="zh-CN"/>
              </w:rPr>
              <w:t>或仓库</w:t>
            </w:r>
            <w:r>
              <w:rPr>
                <w:rFonts w:hint="eastAsia"/>
                <w:highlight w:val="yellow"/>
              </w:rPr>
              <w:t>，提供冷库</w:t>
            </w:r>
            <w:r>
              <w:rPr>
                <w:rFonts w:hint="eastAsia"/>
                <w:highlight w:val="yellow"/>
                <w:lang w:val="en-US" w:eastAsia="zh-CN"/>
              </w:rPr>
              <w:t>或仓库自有或租赁合同</w:t>
            </w:r>
            <w:r>
              <w:rPr>
                <w:rFonts w:hint="eastAsia"/>
                <w:highlight w:val="yellow"/>
              </w:rPr>
              <w:t>等证明材料</w:t>
            </w:r>
            <w:r>
              <w:rPr>
                <w:rFonts w:hint="eastAsia"/>
                <w:highlight w:val="yellow"/>
                <w:lang w:eastAsia="zh-CN"/>
              </w:rPr>
              <w:t>，</w:t>
            </w:r>
            <w:r>
              <w:rPr>
                <w:rFonts w:hint="eastAsia"/>
                <w:highlight w:val="yellow"/>
              </w:rPr>
              <w:t>或承诺中标后租赁</w:t>
            </w:r>
            <w:r>
              <w:rPr>
                <w:rFonts w:hint="eastAsia"/>
                <w:highlight w:val="yellow"/>
                <w:lang w:val="en-US" w:eastAsia="zh-CN"/>
              </w:rPr>
              <w:t>仓库或冷库的</w:t>
            </w:r>
            <w:r>
              <w:rPr>
                <w:rFonts w:hint="eastAsia"/>
                <w:highlight w:val="yellow"/>
              </w:rPr>
              <w:t>须提供承诺函（格式自拟）</w:t>
            </w:r>
            <w:r>
              <w:rPr>
                <w:rFonts w:hint="eastAsia"/>
                <w:highlight w:val="yellow"/>
                <w:lang w:val="en-US" w:eastAsia="zh-CN"/>
              </w:rPr>
              <w:t>并在签订合同时提供相关证明材料</w:t>
            </w:r>
            <w:r>
              <w:rPr>
                <w:rFonts w:hint="eastAsia"/>
                <w:highlight w:val="yellow"/>
                <w:lang w:eastAsia="zh-CN"/>
              </w:rPr>
              <w:t>。</w:t>
            </w:r>
          </w:p>
        </w:tc>
      </w:tr>
      <w:tr w14:paraId="2853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3278634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2F1CB3D7">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6612781F">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3F5EFFF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33CC805F">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50197C75">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47A67CC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7C31D65C">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653DFDE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（二）供应价格要求</w:t>
            </w:r>
          </w:p>
        </w:tc>
        <w:tc>
          <w:tcPr>
            <w:tcW w:w="7354" w:type="dxa"/>
          </w:tcPr>
          <w:p w14:paraId="488982C0">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投标报价是履行合同的最终价格，必须包含满足本次疫标全部采购需求所应提供的服务，以及伴随的货物的价格：包含投标服务、货物成本、运输(含保险)装卸、搬运、检验、保险、利润、税费、质保期售后服务、雇员费、合同实施过程中的应顾见和或不可预见等费用总和。所产生的费用由中标人负责。</w:t>
            </w:r>
          </w:p>
          <w:p w14:paraId="1B3E31ED">
            <w:pPr>
              <w:numPr>
                <w:ilvl w:val="0"/>
                <w:numId w:val="0"/>
              </w:numPr>
              <w:spacing w:line="360" w:lineRule="auto"/>
              <w:rPr>
                <w:rFonts w:hint="eastAsia" w:ascii="宋体" w:hAnsi="宋体" w:eastAsia="宋体" w:cs="宋体"/>
                <w:b/>
                <w:bCs/>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b/>
                <w:bCs/>
                <w:color w:val="000000" w:themeColor="text1"/>
                <w:sz w:val="22"/>
                <w:szCs w:val="22"/>
                <w:highlight w:val="none"/>
                <w:vertAlign w:val="baseline"/>
                <w:lang w:eastAsia="zh-CN"/>
                <w14:textFill>
                  <w14:solidFill>
                    <w14:schemeClr w14:val="tx1"/>
                  </w14:solidFill>
                </w14:textFill>
              </w:rPr>
              <w:t>2、供应商投标报价采用折扣率报价(以%表示，折扣率报价精确到个位数)。投标报价范围：≤100%(如：供货产品打八折即投标折扣率为80%,以此类推),否则，作无效报价处理。</w:t>
            </w:r>
          </w:p>
          <w:p w14:paraId="17BD5550">
            <w:pPr>
              <w:pStyle w:val="141"/>
              <w:spacing w:before="28"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color w:val="000000" w:themeColor="text1"/>
                <w:spacing w:val="-3"/>
                <w:sz w:val="22"/>
                <w:szCs w:val="22"/>
                <w:highlight w:val="none"/>
                <w14:textFill>
                  <w14:solidFill>
                    <w14:schemeClr w14:val="tx1"/>
                  </w14:solidFill>
                </w14:textFill>
              </w:rPr>
              <w:t>3、投标折扣率将作为食材或货物实际结算的合同折扣率，结算时</w:t>
            </w:r>
            <w:r>
              <w:rPr>
                <w:color w:val="000000" w:themeColor="text1"/>
                <w:spacing w:val="-1"/>
                <w:sz w:val="22"/>
                <w:szCs w:val="22"/>
                <w:highlight w:val="none"/>
                <w14:textFill>
                  <w14:solidFill>
                    <w14:schemeClr w14:val="tx1"/>
                  </w14:solidFill>
                </w14:textFill>
              </w:rPr>
              <w:t>以学校实际采购量进行结算。采购单位根据各食材或货物的市场</w:t>
            </w:r>
            <w:r>
              <w:rPr>
                <w:color w:val="000000" w:themeColor="text1"/>
                <w:sz w:val="22"/>
                <w:szCs w:val="22"/>
                <w:highlight w:val="none"/>
                <w14:textFill>
                  <w14:solidFill>
                    <w14:schemeClr w14:val="tx1"/>
                  </w14:solidFill>
                </w14:textFill>
              </w:rPr>
              <w:t>价格情况，肉禽鱼类产品定价周期为15日，果蔬类定价周期为7</w:t>
            </w:r>
            <w:r>
              <w:rPr>
                <w:color w:val="000000" w:themeColor="text1"/>
                <w:spacing w:val="1"/>
                <w:sz w:val="22"/>
                <w:szCs w:val="22"/>
                <w:highlight w:val="none"/>
                <w14:textFill>
                  <w14:solidFill>
                    <w14:schemeClr w14:val="tx1"/>
                  </w14:solidFill>
                </w14:textFill>
              </w:rPr>
              <w:t>日，早餐类和干杂类定价周期为1个月，所有食品原材料价格由</w:t>
            </w:r>
            <w:r>
              <w:rPr>
                <w:rFonts w:hint="eastAsia"/>
                <w:color w:val="000000" w:themeColor="text1"/>
                <w:spacing w:val="1"/>
                <w:sz w:val="22"/>
                <w:szCs w:val="22"/>
                <w:highlight w:val="none"/>
                <w:lang w:eastAsia="zh-CN"/>
                <w14:textFill>
                  <w14:solidFill>
                    <w14:schemeClr w14:val="tx1"/>
                  </w14:solidFill>
                </w14:textFill>
              </w:rPr>
              <w:t>县</w:t>
            </w:r>
            <w:r>
              <w:rPr>
                <w:color w:val="000000" w:themeColor="text1"/>
                <w:spacing w:val="-3"/>
                <w:sz w:val="22"/>
                <w:szCs w:val="22"/>
                <w:highlight w:val="none"/>
                <w14:textFill>
                  <w14:solidFill>
                    <w14:schemeClr w14:val="tx1"/>
                  </w14:solidFill>
                </w14:textFill>
              </w:rPr>
              <w:t>教育局组织供应商和部分学校采购代表协商确定。先由供应商</w:t>
            </w:r>
            <w:r>
              <w:rPr>
                <w:color w:val="000000" w:themeColor="text1"/>
                <w:spacing w:val="-5"/>
                <w:sz w:val="22"/>
                <w:szCs w:val="22"/>
                <w:highlight w:val="none"/>
                <w14:textFill>
                  <w14:solidFill>
                    <w14:schemeClr w14:val="tx1"/>
                  </w14:solidFill>
                </w14:textFill>
              </w:rPr>
              <w:t>报价，学校采购代表到</w:t>
            </w:r>
            <w:r>
              <w:rPr>
                <w:rFonts w:hint="eastAsia"/>
                <w:color w:val="000000" w:themeColor="text1"/>
                <w:spacing w:val="-5"/>
                <w:sz w:val="22"/>
                <w:szCs w:val="22"/>
                <w:highlight w:val="none"/>
                <w:lang w:eastAsia="zh-CN"/>
                <w14:textFill>
                  <w14:solidFill>
                    <w14:schemeClr w14:val="tx1"/>
                  </w14:solidFill>
                </w14:textFill>
              </w:rPr>
              <w:t>九洲市场、友爱市场、河坝村市场、万丈市场、家家福</w:t>
            </w:r>
            <w:r>
              <w:rPr>
                <w:color w:val="000000" w:themeColor="text1"/>
                <w:spacing w:val="-4"/>
                <w:sz w:val="22"/>
                <w:szCs w:val="22"/>
                <w:highlight w:val="none"/>
                <w14:textFill>
                  <w14:solidFill>
                    <w14:schemeClr w14:val="tx1"/>
                  </w14:solidFill>
                </w14:textFill>
              </w:rPr>
              <w:t>超市、百汇超市</w:t>
            </w:r>
            <w:r>
              <w:rPr>
                <w:rFonts w:hint="eastAsia"/>
                <w:color w:val="000000" w:themeColor="text1"/>
                <w:spacing w:val="-4"/>
                <w:sz w:val="22"/>
                <w:szCs w:val="22"/>
                <w:highlight w:val="none"/>
                <w:lang w:eastAsia="zh-CN"/>
                <w14:textFill>
                  <w14:solidFill>
                    <w14:schemeClr w14:val="tx1"/>
                  </w14:solidFill>
                </w14:textFill>
              </w:rPr>
              <w:t>、天天超市</w:t>
            </w:r>
            <w:r>
              <w:rPr>
                <w:color w:val="000000" w:themeColor="text1"/>
                <w:spacing w:val="-4"/>
                <w:sz w:val="22"/>
                <w:szCs w:val="22"/>
                <w:highlight w:val="none"/>
                <w14:textFill>
                  <w14:solidFill>
                    <w14:schemeClr w14:val="tx1"/>
                  </w14:solidFill>
                </w14:textFill>
              </w:rPr>
              <w:t>等市场询价，</w:t>
            </w:r>
            <w:r>
              <w:rPr>
                <w:rFonts w:hint="eastAsia"/>
                <w:color w:val="000000" w:themeColor="text1"/>
                <w:spacing w:val="-4"/>
                <w:sz w:val="22"/>
                <w:szCs w:val="22"/>
                <w:highlight w:val="none"/>
                <w:lang w:eastAsia="zh-CN"/>
                <w14:textFill>
                  <w14:solidFill>
                    <w14:schemeClr w14:val="tx1"/>
                  </w14:solidFill>
                </w14:textFill>
              </w:rPr>
              <w:t>由</w:t>
            </w:r>
            <w:r>
              <w:rPr>
                <w:color w:val="000000" w:themeColor="text1"/>
                <w:spacing w:val="-4"/>
                <w:sz w:val="22"/>
                <w:szCs w:val="22"/>
                <w:highlight w:val="none"/>
                <w14:textFill>
                  <w14:solidFill>
                    <w14:schemeClr w14:val="tx1"/>
                  </w14:solidFill>
                </w14:textFill>
              </w:rPr>
              <w:t>教育局</w:t>
            </w:r>
            <w:r>
              <w:rPr>
                <w:rFonts w:hint="eastAsia"/>
                <w:color w:val="000000" w:themeColor="text1"/>
                <w:spacing w:val="-4"/>
                <w:sz w:val="22"/>
                <w:szCs w:val="22"/>
                <w:highlight w:val="none"/>
                <w:lang w:eastAsia="zh-CN"/>
                <w14:textFill>
                  <w14:solidFill>
                    <w14:schemeClr w14:val="tx1"/>
                  </w14:solidFill>
                </w14:textFill>
              </w:rPr>
              <w:t>代表、学校代表、学生家长代表采取轮流随机抽取组成询价小组</w:t>
            </w:r>
            <w:r>
              <w:rPr>
                <w:color w:val="000000" w:themeColor="text1"/>
                <w:spacing w:val="-4"/>
                <w:sz w:val="22"/>
                <w:szCs w:val="22"/>
                <w:highlight w:val="none"/>
                <w14:textFill>
                  <w14:solidFill>
                    <w14:schemeClr w14:val="tx1"/>
                  </w14:solidFill>
                </w14:textFill>
              </w:rPr>
              <w:t>和供应商进行议价，</w:t>
            </w:r>
            <w:r>
              <w:rPr>
                <w:rFonts w:hint="eastAsia"/>
                <w:color w:val="000000" w:themeColor="text1"/>
                <w:spacing w:val="-4"/>
                <w:sz w:val="22"/>
                <w:szCs w:val="22"/>
                <w:highlight w:val="none"/>
                <w:lang w:eastAsia="zh-CN"/>
                <w14:textFill>
                  <w14:solidFill>
                    <w14:schemeClr w14:val="tx1"/>
                  </w14:solidFill>
                </w14:textFill>
              </w:rPr>
              <w:t>或根据当期发改部门发布的食材价格信息价作为基准单价计算，确定价格基准价(标准单价),</w:t>
            </w:r>
            <w:r>
              <w:rPr>
                <w:rFonts w:hint="eastAsia"/>
                <w:color w:val="000000" w:themeColor="text1"/>
                <w:spacing w:val="-4"/>
                <w:sz w:val="22"/>
                <w:szCs w:val="22"/>
                <w:highlight w:val="none"/>
                <w14:textFill>
                  <w14:solidFill>
                    <w14:schemeClr w14:val="tx1"/>
                  </w14:solidFill>
                </w14:textFill>
              </w:rPr>
              <w:t>价格基准价(标准单价)不能高于市场上的最高价</w:t>
            </w:r>
            <w:r>
              <w:rPr>
                <w:rFonts w:hint="eastAsia"/>
                <w:color w:val="000000" w:themeColor="text1"/>
                <w:spacing w:val="-4"/>
                <w:sz w:val="22"/>
                <w:szCs w:val="22"/>
                <w:highlight w:val="none"/>
                <w:lang w:eastAsia="zh-CN"/>
                <w14:textFill>
                  <w14:solidFill>
                    <w14:schemeClr w14:val="tx1"/>
                  </w14:solidFill>
                </w14:textFill>
              </w:rPr>
              <w:t>，</w:t>
            </w:r>
            <w:r>
              <w:rPr>
                <w:color w:val="000000" w:themeColor="text1"/>
                <w:spacing w:val="-1"/>
                <w:sz w:val="22"/>
                <w:szCs w:val="22"/>
                <w:highlight w:val="none"/>
                <w14:textFill>
                  <w14:solidFill>
                    <w14:schemeClr w14:val="tx1"/>
                  </w14:solidFill>
                </w14:textFill>
              </w:rPr>
              <w:t>如果价格不能协商确定的，供应商暂停供应该食材，由采购单位</w:t>
            </w:r>
            <w:r>
              <w:rPr>
                <w:color w:val="000000" w:themeColor="text1"/>
                <w:sz w:val="22"/>
                <w:szCs w:val="22"/>
                <w:highlight w:val="none"/>
                <w14:textFill>
                  <w14:solidFill>
                    <w14:schemeClr w14:val="tx1"/>
                  </w14:solidFill>
                </w14:textFill>
              </w:rPr>
              <w:t>启动应急采购预案，从其他中标商或具有食品安全保证的供应商</w:t>
            </w:r>
            <w:r>
              <w:rPr>
                <w:rFonts w:hint="eastAsia"/>
                <w:color w:val="000000" w:themeColor="text1"/>
                <w:sz w:val="22"/>
                <w:szCs w:val="22"/>
                <w:highlight w:val="none"/>
                <w:lang w:eastAsia="zh-CN"/>
                <w14:textFill>
                  <w14:solidFill>
                    <w14:schemeClr w14:val="tx1"/>
                  </w14:solidFill>
                </w14:textFill>
              </w:rPr>
              <w:t>采购。</w:t>
            </w:r>
            <w:r>
              <w:rPr>
                <w:b/>
                <w:bCs/>
                <w:color w:val="000000" w:themeColor="text1"/>
                <w:spacing w:val="-3"/>
                <w:sz w:val="22"/>
                <w:szCs w:val="22"/>
                <w:highlight w:val="none"/>
                <w14:textFill>
                  <w14:solidFill>
                    <w14:schemeClr w14:val="tx1"/>
                  </w14:solidFill>
                </w14:textFill>
              </w:rPr>
              <w:t>既当期某食材或货物结算价=标准单价X合同折扣率×该食材或货物实际采购量(例如：标准单价=100元/斤，合同折扣率</w:t>
            </w:r>
            <w:r>
              <w:rPr>
                <w:b/>
                <w:bCs/>
                <w:color w:val="000000" w:themeColor="text1"/>
                <w:spacing w:val="-2"/>
                <w:sz w:val="22"/>
                <w:szCs w:val="22"/>
                <w:highlight w:val="none"/>
                <w14:textFill>
                  <w14:solidFill>
                    <w14:schemeClr w14:val="tx1"/>
                  </w14:solidFill>
                </w14:textFill>
              </w:rPr>
              <w:t>=97%,该食材或货物实际采购量=10斤，当期某食材或货物结</w:t>
            </w:r>
            <w:r>
              <w:rPr>
                <w:b/>
                <w:bCs/>
                <w:color w:val="000000" w:themeColor="text1"/>
                <w:spacing w:val="-3"/>
                <w:sz w:val="22"/>
                <w:szCs w:val="22"/>
                <w:highlight w:val="none"/>
                <w14:textFill>
                  <w14:solidFill>
                    <w14:schemeClr w14:val="tx1"/>
                  </w14:solidFill>
                </w14:textFill>
              </w:rPr>
              <w:t>算价=100×0.97×10=970元)。</w:t>
            </w:r>
          </w:p>
        </w:tc>
      </w:tr>
      <w:tr w14:paraId="123C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114BE329">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（三）</w:t>
            </w:r>
          </w:p>
          <w:p w14:paraId="3170EB3C">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货款结算及付款方式</w:t>
            </w:r>
          </w:p>
        </w:tc>
        <w:tc>
          <w:tcPr>
            <w:tcW w:w="7354" w:type="dxa"/>
          </w:tcPr>
          <w:p w14:paraId="49F207D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highlight w:val="yellow"/>
              </w:rPr>
              <w:t>双方签订合同后，</w:t>
            </w:r>
            <w:r>
              <w:rPr>
                <w:rFonts w:hint="eastAsia"/>
                <w:highlight w:val="yellow"/>
                <w:lang w:val="en-US" w:eastAsia="zh-CN"/>
              </w:rPr>
              <w:t>中标</w:t>
            </w:r>
            <w:r>
              <w:rPr>
                <w:highlight w:val="yellow"/>
              </w:rPr>
              <w:t>供应商须向采购人提供合同总金额</w:t>
            </w:r>
            <w:r>
              <w:rPr>
                <w:rFonts w:hint="eastAsia"/>
                <w:highlight w:val="yellow"/>
                <w:lang w:val="en-US" w:eastAsia="zh-CN"/>
              </w:rPr>
              <w:t>2</w:t>
            </w:r>
            <w:r>
              <w:rPr>
                <w:highlight w:val="yellow"/>
              </w:rPr>
              <w:t>%的预付款保函（</w:t>
            </w:r>
            <w:r>
              <w:rPr>
                <w:rFonts w:hint="eastAsia"/>
                <w:highlight w:val="yellow"/>
              </w:rPr>
              <w:t>每份保函的有效期应为提交下一份保函生效之日止</w:t>
            </w:r>
            <w:r>
              <w:rPr>
                <w:highlight w:val="yellow"/>
              </w:rPr>
              <w:t>）及等额发票</w:t>
            </w:r>
            <w:r>
              <w:rPr>
                <w:rFonts w:hint="eastAsia"/>
                <w:highlight w:val="yellow"/>
                <w:lang w:eastAsia="zh-CN"/>
              </w:rPr>
              <w:t>。</w:t>
            </w:r>
            <w:r>
              <w:rPr>
                <w:color w:val="000000" w:themeColor="text1"/>
                <w:sz w:val="22"/>
                <w:szCs w:val="22"/>
                <w:highlight w:val="none"/>
                <w14:textFill>
                  <w14:solidFill>
                    <w14:schemeClr w14:val="tx1"/>
                  </w14:solidFill>
                </w14:textFill>
              </w:rPr>
              <w:t>一般情况下采购单位按月进行结算，采购资金由采购单位财务</w:t>
            </w:r>
            <w:r>
              <w:rPr>
                <w:b w:val="0"/>
                <w:bCs w:val="0"/>
                <w:color w:val="000000" w:themeColor="text1"/>
                <w:spacing w:val="-5"/>
                <w:sz w:val="22"/>
                <w:szCs w:val="22"/>
                <w:highlight w:val="none"/>
                <w14:textFill>
                  <w14:solidFill>
                    <w14:schemeClr w14:val="tx1"/>
                  </w14:solidFill>
                </w14:textFill>
              </w:rPr>
              <w:t>户转入中标供应商账</w:t>
            </w:r>
            <w:r>
              <w:rPr>
                <w:rFonts w:hint="eastAsia"/>
                <w:b w:val="0"/>
                <w:bCs w:val="0"/>
                <w:color w:val="000000" w:themeColor="text1"/>
                <w:spacing w:val="-5"/>
                <w:sz w:val="22"/>
                <w:szCs w:val="22"/>
                <w:highlight w:val="none"/>
                <w:lang w:eastAsia="zh-CN"/>
                <w14:textFill>
                  <w14:solidFill>
                    <w14:schemeClr w14:val="tx1"/>
                  </w14:solidFill>
                </w14:textFill>
              </w:rPr>
              <w:t>户</w:t>
            </w:r>
            <w:r>
              <w:rPr>
                <w:b w:val="0"/>
                <w:bCs w:val="0"/>
                <w:color w:val="000000" w:themeColor="text1"/>
                <w:spacing w:val="-5"/>
                <w:sz w:val="22"/>
                <w:szCs w:val="22"/>
                <w:highlight w:val="none"/>
                <w14:textFill>
                  <w14:solidFill>
                    <w14:schemeClr w14:val="tx1"/>
                  </w14:solidFill>
                </w14:textFill>
              </w:rPr>
              <w:t>。每月25日前，中标供应商向采购单位库</w:t>
            </w:r>
            <w:r>
              <w:rPr>
                <w:rFonts w:hint="eastAsia"/>
                <w:b w:val="0"/>
                <w:bCs w:val="0"/>
                <w:color w:val="000000" w:themeColor="text1"/>
                <w:spacing w:val="-5"/>
                <w:sz w:val="22"/>
                <w:szCs w:val="22"/>
                <w:highlight w:val="none"/>
                <w:lang w:eastAsia="zh-CN"/>
                <w14:textFill>
                  <w14:solidFill>
                    <w14:schemeClr w14:val="tx1"/>
                  </w14:solidFill>
                </w14:textFill>
              </w:rPr>
              <w:t>出</w:t>
            </w:r>
            <w:r>
              <w:rPr>
                <w:b w:val="0"/>
                <w:bCs w:val="0"/>
                <w:color w:val="000000" w:themeColor="text1"/>
                <w:spacing w:val="-3"/>
                <w:sz w:val="22"/>
                <w:szCs w:val="22"/>
                <w:highlight w:val="none"/>
                <w14:textFill>
                  <w14:solidFill>
                    <w14:schemeClr w14:val="tx1"/>
                  </w14:solidFill>
                </w14:textFill>
              </w:rPr>
              <w:t>具上一月度供货相应数额的发票(农副产品免税的除外),采购</w:t>
            </w:r>
            <w:r>
              <w:rPr>
                <w:b w:val="0"/>
                <w:bCs w:val="0"/>
                <w:color w:val="000000" w:themeColor="text1"/>
                <w:spacing w:val="-5"/>
                <w:sz w:val="22"/>
                <w:szCs w:val="22"/>
                <w:highlight w:val="none"/>
                <w14:textFill>
                  <w14:solidFill>
                    <w14:schemeClr w14:val="tx1"/>
                  </w14:solidFill>
                </w14:textFill>
              </w:rPr>
              <w:t>单位收到发票后10个工作日内支付。特殊情况，需临时改变</w:t>
            </w:r>
            <w:r>
              <w:rPr>
                <w:b w:val="0"/>
                <w:bCs w:val="0"/>
                <w:color w:val="000000" w:themeColor="text1"/>
                <w:spacing w:val="-6"/>
                <w:sz w:val="22"/>
                <w:szCs w:val="22"/>
                <w:highlight w:val="none"/>
                <w14:textFill>
                  <w14:solidFill>
                    <w14:schemeClr w14:val="tx1"/>
                  </w14:solidFill>
                </w14:textFill>
              </w:rPr>
              <w:t>结算</w:t>
            </w:r>
            <w:r>
              <w:rPr>
                <w:b w:val="0"/>
                <w:bCs w:val="0"/>
                <w:color w:val="000000" w:themeColor="text1"/>
                <w:spacing w:val="-3"/>
                <w:sz w:val="22"/>
                <w:szCs w:val="22"/>
                <w:highlight w:val="none"/>
                <w14:textFill>
                  <w14:solidFill>
                    <w14:schemeClr w14:val="tx1"/>
                  </w14:solidFill>
                </w14:textFill>
              </w:rPr>
              <w:t>方式，双方可通过协商解决。</w:t>
            </w:r>
          </w:p>
        </w:tc>
      </w:tr>
      <w:tr w14:paraId="77E1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24649BD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（四）交货地点</w:t>
            </w:r>
          </w:p>
        </w:tc>
        <w:tc>
          <w:tcPr>
            <w:tcW w:w="7354" w:type="dxa"/>
          </w:tcPr>
          <w:p w14:paraId="7D28CDB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县南片区(滩面镇、良田镇、清湖镇、古城镇各辖区相关学校)</w:t>
            </w:r>
          </w:p>
        </w:tc>
      </w:tr>
      <w:tr w14:paraId="0A0D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7AC06BB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5B8B53AF">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18AF2CA8">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0FADB4C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47CC93B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7668275F">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29EBE187">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746395B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（五）</w:t>
            </w:r>
          </w:p>
          <w:p w14:paraId="41911E08">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配送服务要求</w:t>
            </w:r>
          </w:p>
        </w:tc>
        <w:tc>
          <w:tcPr>
            <w:tcW w:w="7354" w:type="dxa"/>
          </w:tcPr>
          <w:p w14:paraId="3AD0A655">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▲1、通过公开招标，打造“全程透明配送供应链”,围绕“质保、价惠、安全”的目标，把学校食堂服务管理工作建成“透明工程、安全工程、示范工程”。</w:t>
            </w:r>
          </w:p>
          <w:p w14:paraId="1592CA41">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(1)物资来源透明。所有采购物资优先在陆川有符合相关资质要求的固定种植或养殖基地、加工基地或批发代理。</w:t>
            </w:r>
          </w:p>
          <w:p w14:paraId="55557475">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(2)配送车间透明。所有供应商必须建设固定配送车间，建立完备的冷藏、分割、包装、检测、留样、监控系统。</w:t>
            </w:r>
          </w:p>
          <w:p w14:paraId="07B25B49">
            <w:pPr>
              <w:pStyle w:val="141"/>
              <w:spacing w:before="21" w:line="422"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color w:val="000000" w:themeColor="text1"/>
                <w:spacing w:val="-2"/>
                <w:sz w:val="22"/>
                <w:szCs w:val="22"/>
                <w:highlight w:val="none"/>
                <w14:textFill>
                  <w14:solidFill>
                    <w14:schemeClr w14:val="tx1"/>
                  </w14:solidFill>
                </w14:textFill>
              </w:rPr>
              <w:t>(3)配送过程透明。有统一标识专用厢式冷藏配送车辆、专用司</w:t>
            </w:r>
            <w:r>
              <w:rPr>
                <w:color w:val="000000" w:themeColor="text1"/>
                <w:spacing w:val="-1"/>
                <w:sz w:val="22"/>
                <w:szCs w:val="22"/>
                <w:highlight w:val="none"/>
                <w14:textFill>
                  <w14:solidFill>
                    <w14:schemeClr w14:val="tx1"/>
                  </w14:solidFill>
                </w14:textFill>
              </w:rPr>
              <w:t>机，采取点对点、固定路线、全程定位配送。</w:t>
            </w:r>
          </w:p>
          <w:p w14:paraId="43729BB8">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▲2、对配送供应商供应能力要求</w:t>
            </w:r>
          </w:p>
          <w:p w14:paraId="00C732A8">
            <w:pPr>
              <w:pStyle w:val="141"/>
              <w:spacing w:before="260" w:line="416" w:lineRule="auto"/>
              <w:rPr>
                <w:color w:val="000000" w:themeColor="text1"/>
                <w:sz w:val="22"/>
                <w:szCs w:val="22"/>
                <w:highlight w:val="none"/>
                <w14:textFill>
                  <w14:solidFill>
                    <w14:schemeClr w14:val="tx1"/>
                  </w14:solidFill>
                </w14:textFill>
              </w:rPr>
            </w:pPr>
            <w:r>
              <w:rPr>
                <w:color w:val="000000" w:themeColor="text1"/>
                <w:spacing w:val="-2"/>
                <w:sz w:val="22"/>
                <w:szCs w:val="22"/>
                <w:highlight w:val="none"/>
                <w14:textFill>
                  <w14:solidFill>
                    <w14:schemeClr w14:val="tx1"/>
                  </w14:solidFill>
                </w14:textFill>
              </w:rPr>
              <w:t>(1)配送供应商中标后在</w:t>
            </w:r>
            <w:r>
              <w:rPr>
                <w:rFonts w:hint="eastAsia"/>
                <w:color w:val="000000" w:themeColor="text1"/>
                <w:spacing w:val="-2"/>
                <w:sz w:val="22"/>
                <w:szCs w:val="22"/>
                <w:highlight w:val="none"/>
                <w:lang w:eastAsia="zh-CN"/>
                <w14:textFill>
                  <w14:solidFill>
                    <w14:schemeClr w14:val="tx1"/>
                  </w14:solidFill>
                </w14:textFill>
              </w:rPr>
              <w:t>陆川</w:t>
            </w:r>
            <w:r>
              <w:rPr>
                <w:color w:val="000000" w:themeColor="text1"/>
                <w:spacing w:val="-2"/>
                <w:sz w:val="22"/>
                <w:szCs w:val="22"/>
                <w:highlight w:val="none"/>
                <w14:textFill>
                  <w14:solidFill>
                    <w14:schemeClr w14:val="tx1"/>
                  </w14:solidFill>
                </w14:textFill>
              </w:rPr>
              <w:t>市范围内有能满足本项目服</w:t>
            </w:r>
            <w:r>
              <w:rPr>
                <w:color w:val="000000" w:themeColor="text1"/>
                <w:spacing w:val="-3"/>
                <w:sz w:val="22"/>
                <w:szCs w:val="22"/>
                <w:highlight w:val="none"/>
                <w14:textFill>
                  <w14:solidFill>
                    <w14:schemeClr w14:val="tx1"/>
                  </w14:solidFill>
                </w14:textFill>
              </w:rPr>
              <w:t>务所需</w:t>
            </w:r>
            <w:r>
              <w:rPr>
                <w:color w:val="000000" w:themeColor="text1"/>
                <w:sz w:val="22"/>
                <w:szCs w:val="22"/>
                <w:highlight w:val="none"/>
                <w14:textFill>
                  <w14:solidFill>
                    <w14:schemeClr w14:val="tx1"/>
                  </w14:solidFill>
                </w14:textFill>
              </w:rPr>
              <w:t>的统一配送中心，配送中心至少包括食品仓库、检测室、冷库和其他办公用房等，同时拥有能满足配送要求的设施设备、检测仪</w:t>
            </w:r>
            <w:r>
              <w:rPr>
                <w:color w:val="000000" w:themeColor="text1"/>
                <w:spacing w:val="-1"/>
                <w:sz w:val="22"/>
                <w:szCs w:val="22"/>
                <w:highlight w:val="none"/>
                <w14:textFill>
                  <w14:solidFill>
                    <w14:schemeClr w14:val="tx1"/>
                  </w14:solidFill>
                </w14:textFill>
              </w:rPr>
              <w:t>器。</w:t>
            </w:r>
          </w:p>
          <w:p w14:paraId="3DA240B9">
            <w:pPr>
              <w:pStyle w:val="141"/>
              <w:spacing w:before="67" w:line="415" w:lineRule="auto"/>
              <w:jc w:val="both"/>
              <w:rPr>
                <w:color w:val="000000" w:themeColor="text1"/>
                <w:sz w:val="22"/>
                <w:szCs w:val="22"/>
                <w:highlight w:val="none"/>
                <w14:textFill>
                  <w14:solidFill>
                    <w14:schemeClr w14:val="tx1"/>
                  </w14:solidFill>
                </w14:textFill>
              </w:rPr>
            </w:pPr>
            <w:r>
              <w:rPr>
                <w:color w:val="000000" w:themeColor="text1"/>
                <w:spacing w:val="-2"/>
                <w:sz w:val="22"/>
                <w:szCs w:val="22"/>
                <w:highlight w:val="none"/>
                <w14:textFill>
                  <w14:solidFill>
                    <w14:schemeClr w14:val="tx1"/>
                  </w14:solidFill>
                </w14:textFill>
              </w:rPr>
              <w:t>(2)食品仓库达到食品安全存放要求，进出口区域、食品加工区域、食品储存区域等功能区必须安装监控设备。食品仓库必须全</w:t>
            </w:r>
            <w:r>
              <w:rPr>
                <w:color w:val="000000" w:themeColor="text1"/>
                <w:spacing w:val="-1"/>
                <w:sz w:val="22"/>
                <w:szCs w:val="22"/>
                <w:highlight w:val="none"/>
                <w14:textFill>
                  <w14:solidFill>
                    <w14:schemeClr w14:val="tx1"/>
                  </w14:solidFill>
                </w14:textFill>
              </w:rPr>
              <w:t>封闭无污染配有专门消毒通道和监管人员。</w:t>
            </w:r>
          </w:p>
          <w:p w14:paraId="3897CC8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(3)配送供应商须具备较强的基地生产或食品原材料采购供应渠道，可追溯体系和监管体系要求。</w:t>
            </w:r>
            <w:r>
              <w:rPr>
                <w:color w:val="000000" w:themeColor="text1"/>
                <w:spacing w:val="-2"/>
                <w:sz w:val="22"/>
                <w:szCs w:val="22"/>
                <w:highlight w:val="none"/>
                <w14:textFill>
                  <w14:solidFill>
                    <w14:schemeClr w14:val="tx1"/>
                  </w14:solidFill>
                </w14:textFill>
              </w:rPr>
              <w:t>配送供应商能够对生产和销售的食品材料追溯种植源头</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原材料从生产到加工每个环节实行实时监督。实行商品质量责任制，有严格的质量管理、质量监督、质量保证体系，有稳定的进货渠道。销售商品在保质期内。商品质量、卫生检测合格，符合国家标准、行业标准。</w:t>
            </w:r>
          </w:p>
          <w:p w14:paraId="4871669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(4)要求每天配送一次，要配备至少1辆具有符合安全卫生标准且有统一标识(在车身醒目处张贴该公司标志：****公司配送专车)专用的封闭厢式冷藏保鲜的配送车辆及符合食品运输要求的固定司机1人。司机相关证照、健康证等报主管部门备案。</w:t>
            </w:r>
          </w:p>
          <w:p w14:paraId="6BE098D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(5)供应商应针对本项目至少配备4名(含4名)项目实施人员，项</w:t>
            </w:r>
          </w:p>
          <w:p w14:paraId="4F4A6D5E">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目实施人员包括但不限于：项目总负责人、配送负责人、检测负责人、司机等，中标后未经采购单位书面同意不得擅自更换，否则视为违约。</w:t>
            </w:r>
          </w:p>
          <w:p w14:paraId="11010A8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3、中标人应当根据采购单位实际情况，按照与采购单位的约定，在规定的时间内将预定的货物保质保量送到指定地点。</w:t>
            </w:r>
          </w:p>
          <w:p w14:paraId="15F7955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val="en-US" w:eastAsia="zh-CN"/>
                <w14:textFill>
                  <w14:solidFill>
                    <w14:schemeClr w14:val="tx1"/>
                  </w14:solidFill>
                </w14:textFill>
              </w:rPr>
              <w:t>4、</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一般供货要求：采购方根据实际需要，列出一份第二天需要补充采购的货物请购清单，在收到采购方发出供货通知后，供方最迟在次日上午9:00前提供当次现场供货。紧急供货要求：在收到采购方发出紧急供货通知后，供方最迟2小时内完成当次现场供货。</w:t>
            </w:r>
          </w:p>
          <w:p w14:paraId="3F6DA7E8">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5、中标人必须按照采购方通知的时间、数量、品种、品质要求及协定的价格准时送货，经验收合格后签字确认，不能以任何理由推托，一旦影响到采购方食堂的正常运转，中标人应承担相应的经济赔偿。</w:t>
            </w:r>
          </w:p>
          <w:p w14:paraId="09CE2090">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6、中标人不能满足供货要求时，应提前1个月通知采购方，采购方同意后方可中止合同。</w:t>
            </w:r>
          </w:p>
          <w:p w14:paraId="0386B7FD">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7、在采购单位签收之前，货物的所有权和风险属于中标人，货物的数量、质量、遗失、损坏由中标人负责。</w:t>
            </w:r>
          </w:p>
          <w:p w14:paraId="3256C24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8、中标人必须严格按照采购单位的指令配送货物的数量，不得随意增减，否则，采购单位有权拒收。</w:t>
            </w:r>
          </w:p>
          <w:p w14:paraId="0B3883B4">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9、除客观不可抗力外，中标人不得更改送货内容。如因市场流通问题确实需要变更供货内容的，中标人应书面告知采购单位，并经来购单位同意后方可改变。经发现中标人有私自更改菜单中货品时以违约论处，由此产生的一切损失和费用由中标人承担。</w:t>
            </w:r>
          </w:p>
          <w:p w14:paraId="38E1BA7B">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10、采购单位对验收不合格的货物，中标人必须无条件退货。中标人未能履行招标文件和合同所定事项，或供应不合格的、假冒虚伪、以次充好的货物，采购单位退货后记录在案，并对中标人予以处罚，除要承担因此产生的一切损失和费用外，情节严重的可取消供应资格。</w:t>
            </w:r>
          </w:p>
          <w:p w14:paraId="3AA6E1F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11、中标人不能按核定的供货价交付的某些货物、不能提供与其承诺相符的服务或中标人存在违反招标文件和合同的行为，并且不予纠正的，将取消其中标资格。此项违约责任包括但不限于下列各项：</w:t>
            </w:r>
          </w:p>
          <w:p w14:paraId="1F9A0B9D">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(1)中标人在收到采购单位订货要求后，在承诺的供货时间内不能供货的。</w:t>
            </w:r>
          </w:p>
          <w:p w14:paraId="7849F461">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(2)中标人未能提供承诺服务的。</w:t>
            </w:r>
          </w:p>
          <w:p w14:paraId="7B7F17E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(3)中标货物在保质期出现损坏的，中标人应承诺替换服务，因替换货物产生的费用由中标人负责。</w:t>
            </w:r>
          </w:p>
          <w:p w14:paraId="7611138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(4)中标人的送货单必须详细注明货物的名称、品种、单价、数量，不得涂改。标记不清的，采购单位将拒绝签字。结算期末中标人还应提供送货单供采购单位结算。</w:t>
            </w:r>
          </w:p>
          <w:p w14:paraId="2520857D">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w:t>
            </w:r>
            <w:r>
              <w:rPr>
                <w:rFonts w:hint="eastAsia" w:ascii="宋体" w:hAnsi="宋体" w:eastAsia="宋体" w:cs="宋体"/>
                <w:color w:val="000000" w:themeColor="text1"/>
                <w:sz w:val="22"/>
                <w:szCs w:val="22"/>
                <w:highlight w:val="none"/>
                <w:vertAlign w:val="baseline"/>
                <w:lang w:val="en-US" w:eastAsia="zh-CN"/>
                <w14:textFill>
                  <w14:solidFill>
                    <w14:schemeClr w14:val="tx1"/>
                  </w14:solidFill>
                </w14:textFill>
              </w:rPr>
              <w:t>5</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）中标人必须由投标文件中拟投入的实施专员配送，并持有健康证。送货专员在采购单位活动必须穿着便于辨认的工衣和佩戴出入证。并严格遵守采购单位的各项规章制度，否则采购单位有权终止合同。</w:t>
            </w:r>
          </w:p>
          <w:p w14:paraId="50AFB757">
            <w:pPr>
              <w:numPr>
                <w:ilvl w:val="0"/>
                <w:numId w:val="0"/>
              </w:numPr>
              <w:spacing w:line="360" w:lineRule="auto"/>
              <w:ind w:leftChars="0"/>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w:t>
            </w:r>
            <w:r>
              <w:rPr>
                <w:rFonts w:hint="eastAsia" w:ascii="宋体" w:hAnsi="宋体" w:eastAsia="宋体" w:cs="宋体"/>
                <w:color w:val="000000" w:themeColor="text1"/>
                <w:sz w:val="22"/>
                <w:szCs w:val="22"/>
                <w:highlight w:val="none"/>
                <w:vertAlign w:val="baseline"/>
                <w:lang w:val="en-US" w:eastAsia="zh-CN"/>
                <w14:textFill>
                  <w14:solidFill>
                    <w14:schemeClr w14:val="tx1"/>
                  </w14:solidFill>
                </w14:textFill>
              </w:rPr>
              <w:t>6</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）中标人不得泄露采购单位的秘密。泄密造成采购单位损失的中标人将承担由此产生的一切损失和法律责任。</w:t>
            </w:r>
          </w:p>
          <w:p w14:paraId="66837B09">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12、在合同有效期内，因自然灾害或不可航力事件无法履行合同的行为不作为违约情形，双方均无责任。</w:t>
            </w:r>
          </w:p>
        </w:tc>
      </w:tr>
      <w:tr w14:paraId="1C4D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5FC1D56D">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1893DC4D">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37764AF0">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46C80FC0">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20C33769">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（六）</w:t>
            </w:r>
          </w:p>
          <w:p w14:paraId="3CF68141">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安全质量要求</w:t>
            </w:r>
          </w:p>
        </w:tc>
        <w:tc>
          <w:tcPr>
            <w:tcW w:w="7354" w:type="dxa"/>
          </w:tcPr>
          <w:p w14:paraId="117550B4">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1、中标人应充分理解并认真遵循本招标文件的要求。所提供的货物必须满足招标文件采购要求，并可追溯，检验合格、无毒、无害、无辐射、无侵权，符合国家有关卫生、质量、包装和保质标准。</w:t>
            </w:r>
          </w:p>
          <w:p w14:paraId="6ACE9BCF">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中标人提供的蔬菜必须保证每日新鲜，且取得无公害认证优先选择，并符合食品卫生安全法要求。每天对每批次蔬菜进行农药残留检测，如含量超标将要求中标人无条件退货或换货。出现1次含量超标情况的，对该批次货物结算款由当月供货结算款中扣除。合同期内出现3次以上含量超标情况的，采购单位有权终止合同。</w:t>
            </w:r>
          </w:p>
          <w:p w14:paraId="2219134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依据产品质量监督检验所提供的质量标准，供应商提供的产品必须是经过质量监督管理部门检验并取得合格证明的产品，每批次货物提供时应交存货物质量合格证明、产品质量检测合格报告或检疫报告复印件。鲜猪肉、鲜鸡鸭等禽畜产品必须具有动物检验检疫证明。</w:t>
            </w:r>
          </w:p>
          <w:p w14:paraId="2DE594D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4、中标人应严格遵守《食品安全法》和《动物检疫法》等相关规定，所提供的产品是合格安全的产品，一经发现供应以下食品，采购方除全部退货外，将取消中标人的供货资格，中标人并承担由此造成的经济责任和法律责任。</w:t>
            </w:r>
          </w:p>
          <w:p w14:paraId="6D5A1B3B">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(1)腐败变质、油脂酸败、霉变、生虫、污秽不洁、混有异物或者其他感官性状异常，对人体健康有害的；</w:t>
            </w:r>
          </w:p>
          <w:p w14:paraId="037E944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(2)含有毒、有害物质或者被有害物质污染，对人体健康有害的；</w:t>
            </w:r>
          </w:p>
          <w:p w14:paraId="1554A3A9">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(3)含有致病性寄生虫、微生物或者微生物含超过同家限定标准的；</w:t>
            </w:r>
          </w:p>
          <w:p w14:paraId="4A20D588">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(4)未经动物检疫部门检疫、检验或者检疫、检验不合格的肉类其制品；</w:t>
            </w:r>
          </w:p>
          <w:p w14:paraId="0924E4E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(5)病死、毒死或者死因不明的禽、蓄、曾、水产动物等及其制品；</w:t>
            </w:r>
          </w:p>
          <w:p w14:paraId="02B1DDBC">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(6)掺假、掺杂、伪造，影响营养、卫生的；</w:t>
            </w:r>
          </w:p>
          <w:p w14:paraId="1622E90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(7)用非食品原料加工的，加入非食品用化学物质或者将非食品当作食品的；</w:t>
            </w:r>
          </w:p>
          <w:p w14:paraId="66E8A35B">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(8)超过保质期限的。</w:t>
            </w:r>
          </w:p>
          <w:p w14:paraId="3D38415C">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5、中标人在签订合同后一个月内必须到相关的保险公司进行投保，投保险种为食品安全责任保险，否则采购单位有权终止合同。</w:t>
            </w:r>
          </w:p>
          <w:p w14:paraId="47D4B421">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6、安全监管要求：(1)建立健全并严格执行各项食品卫生安全管理制度。严格执行原材料进货查验制度、购销登记制度、索证索票制度、商品质量承诺制度、检测检验制度以及其他按照行业管理规定必须健全的各项管理制度。(2)如因供应商的食材质量问题，导致学校发生食品安全事故，因此造成的损失和责任由供应商全部承担；造成重大食品安全事故的，采购单位可以单方解除合同，供应商要赔偿因此造成的全部损失和并依法承担有关责任。</w:t>
            </w:r>
          </w:p>
        </w:tc>
      </w:tr>
      <w:tr w14:paraId="28C6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56E9715E">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7C249C28">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（七）</w:t>
            </w:r>
          </w:p>
          <w:p w14:paraId="7E419A15">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物料的验收</w:t>
            </w:r>
          </w:p>
        </w:tc>
        <w:tc>
          <w:tcPr>
            <w:tcW w:w="7354" w:type="dxa"/>
          </w:tcPr>
          <w:p w14:paraId="32DC9D8F">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凡是《食品安全法》禁止经营的食品一律不得采购和使用，严禁配送“三无”食品、有毒、有害、过期、变质、假冒伪劣等不合格食品。禁止提供冷荤熟食制品，禁止提供野生蘑菇、发芽马铃薯、四季豆等高风险食材给单位加工食用。</w:t>
            </w:r>
          </w:p>
          <w:p w14:paraId="0E445349">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食材的验收工作由采购方和供应商共同进行。供应商提供的产品须经过食堂验收人员的感官检验、外观检验和试用检验并详细记录，若产品外观、包装、形式不符合要求、感官检验不能达到食品卫生要求，当即拒收；供应商不能满足食品的质、量及售后服务要求时，采购方有权终止合同。</w:t>
            </w:r>
          </w:p>
          <w:p w14:paraId="733C0C59">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验收工作的一般程序为：根据食品请购清单的具体要求，对所购物料进行清点、外观检查以及对食材的各项指标和性能进行实测，并逐项记录。检测结束后，验收人员在验收单上签字。对未能通过验收的，一律退货、更换直至验收合格。</w:t>
            </w:r>
          </w:p>
        </w:tc>
      </w:tr>
      <w:tr w14:paraId="48F0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0569EA8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（八）</w:t>
            </w:r>
          </w:p>
          <w:p w14:paraId="69DCF09E">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合同签订</w:t>
            </w:r>
          </w:p>
          <w:p w14:paraId="60CB3585">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期、合同履行期限</w:t>
            </w:r>
          </w:p>
        </w:tc>
        <w:tc>
          <w:tcPr>
            <w:tcW w:w="7354" w:type="dxa"/>
          </w:tcPr>
          <w:p w14:paraId="1F22B7FB">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合同签订期：自中标通知书发出之日起20个自然日内。</w:t>
            </w:r>
          </w:p>
          <w:p w14:paraId="0E99E4CF">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合同履行期限：自合同签订之日起</w:t>
            </w:r>
            <w:r>
              <w:rPr>
                <w:rFonts w:hint="eastAsia" w:ascii="宋体" w:hAnsi="宋体" w:eastAsia="宋体" w:cs="宋体"/>
                <w:color w:val="000000" w:themeColor="text1"/>
                <w:sz w:val="22"/>
                <w:szCs w:val="22"/>
                <w:highlight w:val="none"/>
                <w:vertAlign w:val="baseline"/>
                <w:lang w:val="en-US" w:eastAsia="zh-CN"/>
                <w14:textFill>
                  <w14:solidFill>
                    <w14:schemeClr w14:val="tx1"/>
                  </w14:solidFill>
                </w14:textFill>
              </w:rPr>
              <w:t>3</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年(具体起止时间以签订合同为准)。</w:t>
            </w:r>
          </w:p>
        </w:tc>
      </w:tr>
      <w:tr w14:paraId="59D4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0B8725AB">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30F1B970">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67CD6767">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1B4E0B4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p>
          <w:p w14:paraId="21707A7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（九）</w:t>
            </w:r>
          </w:p>
          <w:p w14:paraId="1A6F0789">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考察、监督办法与退出机制</w:t>
            </w:r>
          </w:p>
        </w:tc>
        <w:tc>
          <w:tcPr>
            <w:tcW w:w="7354" w:type="dxa"/>
          </w:tcPr>
          <w:p w14:paraId="1BF5FF43">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考察：为保证项目质量，签订合同前，预中标供应商须随时接受学校代表到其经营或相关场所及准入条件等相关招标采购文件要求进行现场考察。若该供应商在投标文件中提供的上述材料与实际情况不符的，采购单位有权认为该供应商虚假应标，并上报采购监督管理部门。</w:t>
            </w:r>
          </w:p>
          <w:p w14:paraId="784C9AF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监督办法：定期进行供应商供货测评，每月由陆川县教育局和学校代表对供应商的服务态度及价格等因素进行测评，对合格率低于90%的供应商进行约谈整改，合格率低于70%的供应商暂停供货一个月，停供期间，由另一分标中标方提供，该产品的地域差价费用由后供应商承担。合格率低于60%的供应商终止其供货合同。</w:t>
            </w:r>
          </w:p>
          <w:p w14:paraId="3CC8F50A">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退出机制：中标企业有下列情况之一的，县教育局核实，取消该企业配送资格，并由学校启动应急预案。情节严重的，没收质保金，同时拉黑名单，5年内不能参与我县学校食品类经营活动，造成责任事故的将追究其法律责任。</w:t>
            </w:r>
          </w:p>
          <w:p w14:paraId="2158AFA1">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(1)中标企业不同意食品价格基准价(标准单价)或结算价的；</w:t>
            </w:r>
          </w:p>
          <w:p w14:paraId="7C628242">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(2)中标企业有转包现象的；</w:t>
            </w:r>
          </w:p>
          <w:p w14:paraId="1F3BED04">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(3)中标企业配送的食材不经县教育局同意就上架向学校销售，或不服从县教育局、县市监局等相关部门常规管理，影响学校食堂开餐的，每个学期发生二次(含二次)以上的；</w:t>
            </w:r>
          </w:p>
          <w:p w14:paraId="537C290B">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kern w:val="2"/>
                <w:sz w:val="22"/>
                <w:szCs w:val="22"/>
                <w:highlight w:val="none"/>
                <w:vertAlign w:val="baseline"/>
                <w:lang w:val="en-US" w:eastAsia="zh-CN" w:bidi="ar-SA"/>
                <w14:textFill>
                  <w14:solidFill>
                    <w14:schemeClr w14:val="tx1"/>
                  </w14:solidFill>
                </w14:textFill>
              </w:rPr>
              <w:t>(4)</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中标企业发生配送食品质量不合格引发重大食品安全事故的；</w:t>
            </w:r>
          </w:p>
          <w:p w14:paraId="5A625A56">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kern w:val="2"/>
                <w:sz w:val="22"/>
                <w:szCs w:val="22"/>
                <w:highlight w:val="none"/>
                <w:vertAlign w:val="baseline"/>
                <w:lang w:val="en-US" w:eastAsia="zh-CN" w:bidi="ar-SA"/>
                <w14:textFill>
                  <w14:solidFill>
                    <w14:schemeClr w14:val="tx1"/>
                  </w14:solidFill>
                </w14:textFill>
              </w:rPr>
              <w:t>(5)</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中标企业配送超过保质期、腐败变质、不经检验检疫的食品；</w:t>
            </w:r>
          </w:p>
          <w:p w14:paraId="1B16F435">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kern w:val="2"/>
                <w:sz w:val="22"/>
                <w:szCs w:val="22"/>
                <w:highlight w:val="none"/>
                <w:vertAlign w:val="baseline"/>
                <w:lang w:val="en-US" w:eastAsia="zh-CN" w:bidi="ar-SA"/>
                <w14:textFill>
                  <w14:solidFill>
                    <w14:schemeClr w14:val="tx1"/>
                  </w14:solidFill>
                </w14:textFill>
              </w:rPr>
              <w:t>(6)</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中标企业被管理部门吊销或注销食品经营许可证的，或者有转标分标行为的；</w:t>
            </w:r>
          </w:p>
          <w:p w14:paraId="07A7D18F">
            <w:pPr>
              <w:pStyle w:val="141"/>
              <w:numPr>
                <w:ilvl w:val="0"/>
                <w:numId w:val="0"/>
              </w:numPr>
              <w:spacing w:line="445" w:lineRule="auto"/>
              <w:ind w:left="0" w:leftChars="0" w:firstLine="0" w:firstLineChars="0"/>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kern w:val="2"/>
                <w:sz w:val="22"/>
                <w:szCs w:val="22"/>
                <w:highlight w:val="none"/>
                <w:vertAlign w:val="baseline"/>
                <w:lang w:val="en-US" w:eastAsia="zh-CN" w:bidi="ar-SA"/>
                <w14:textFill>
                  <w14:solidFill>
                    <w14:schemeClr w14:val="tx1"/>
                  </w14:solidFill>
                </w14:textFill>
              </w:rPr>
              <w:t>(</w:t>
            </w:r>
            <w:r>
              <w:rPr>
                <w:rFonts w:hint="eastAsia" w:cs="宋体"/>
                <w:color w:val="000000" w:themeColor="text1"/>
                <w:kern w:val="2"/>
                <w:sz w:val="22"/>
                <w:szCs w:val="22"/>
                <w:highlight w:val="none"/>
                <w:vertAlign w:val="baseline"/>
                <w:lang w:val="en-US" w:eastAsia="zh-CN" w:bidi="ar-SA"/>
                <w14:textFill>
                  <w14:solidFill>
                    <w14:schemeClr w14:val="tx1"/>
                  </w14:solidFill>
                </w14:textFill>
              </w:rPr>
              <w:t>7</w:t>
            </w:r>
            <w:r>
              <w:rPr>
                <w:rFonts w:hint="eastAsia" w:ascii="宋体" w:hAnsi="宋体" w:eastAsia="宋体" w:cs="宋体"/>
                <w:color w:val="000000" w:themeColor="text1"/>
                <w:kern w:val="2"/>
                <w:sz w:val="22"/>
                <w:szCs w:val="22"/>
                <w:highlight w:val="none"/>
                <w:vertAlign w:val="baseline"/>
                <w:lang w:val="en-US" w:eastAsia="zh-CN" w:bidi="ar-SA"/>
                <w14:textFill>
                  <w14:solidFill>
                    <w14:schemeClr w14:val="tx1"/>
                  </w14:solidFill>
                </w14:textFill>
              </w:rPr>
              <w:t>)</w:t>
            </w:r>
            <w:r>
              <w:rPr>
                <w:color w:val="000000" w:themeColor="text1"/>
                <w:spacing w:val="-4"/>
                <w:sz w:val="22"/>
                <w:szCs w:val="22"/>
                <w:highlight w:val="none"/>
                <w14:textFill>
                  <w14:solidFill>
                    <w14:schemeClr w14:val="tx1"/>
                  </w14:solidFill>
                </w14:textFill>
              </w:rPr>
              <w:t>中标企业存在严重食品安全隐患，被相关管理部门责令整改，</w:t>
            </w:r>
            <w:r>
              <w:rPr>
                <w:color w:val="000000" w:themeColor="text1"/>
                <w:spacing w:val="-2"/>
                <w:sz w:val="22"/>
                <w:szCs w:val="22"/>
                <w:highlight w:val="none"/>
                <w14:textFill>
                  <w14:solidFill>
                    <w14:schemeClr w14:val="tx1"/>
                  </w14:solidFill>
                </w14:textFill>
              </w:rPr>
              <w:t>整改二次都不达</w:t>
            </w:r>
            <w:r>
              <w:rPr>
                <w:rFonts w:hint="eastAsia"/>
                <w:color w:val="000000" w:themeColor="text1"/>
                <w:spacing w:val="-2"/>
                <w:sz w:val="22"/>
                <w:szCs w:val="22"/>
                <w:highlight w:val="none"/>
                <w:lang w:eastAsia="zh-CN"/>
                <w14:textFill>
                  <w14:solidFill>
                    <w14:schemeClr w14:val="tx1"/>
                  </w14:solidFill>
                </w14:textFill>
              </w:rPr>
              <w:t>品类</w:t>
            </w:r>
            <w:r>
              <w:rPr>
                <w:color w:val="000000" w:themeColor="text1"/>
                <w:spacing w:val="-2"/>
                <w:sz w:val="22"/>
                <w:szCs w:val="22"/>
                <w:highlight w:val="none"/>
                <w14:textFill>
                  <w14:solidFill>
                    <w14:schemeClr w14:val="tx1"/>
                  </w14:solidFill>
                </w14:textFill>
              </w:rPr>
              <w:t>：</w:t>
            </w:r>
          </w:p>
          <w:p w14:paraId="5CD48EC0">
            <w:pPr>
              <w:pStyle w:val="141"/>
              <w:numPr>
                <w:ilvl w:val="0"/>
                <w:numId w:val="0"/>
              </w:numPr>
              <w:spacing w:line="445" w:lineRule="auto"/>
              <w:ind w:left="0" w:leftChars="0" w:firstLine="0" w:firstLineChars="0"/>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kern w:val="2"/>
                <w:sz w:val="22"/>
                <w:szCs w:val="22"/>
                <w:highlight w:val="none"/>
                <w:vertAlign w:val="baseline"/>
                <w:lang w:val="en-US" w:eastAsia="zh-CN" w:bidi="ar-SA"/>
                <w14:textFill>
                  <w14:solidFill>
                    <w14:schemeClr w14:val="tx1"/>
                  </w14:solidFill>
                </w14:textFill>
              </w:rPr>
              <w:t>(</w:t>
            </w:r>
            <w:r>
              <w:rPr>
                <w:rFonts w:hint="eastAsia" w:cs="宋体"/>
                <w:color w:val="000000" w:themeColor="text1"/>
                <w:kern w:val="2"/>
                <w:sz w:val="22"/>
                <w:szCs w:val="22"/>
                <w:highlight w:val="none"/>
                <w:vertAlign w:val="baseline"/>
                <w:lang w:val="en-US" w:eastAsia="zh-CN" w:bidi="ar-SA"/>
                <w14:textFill>
                  <w14:solidFill>
                    <w14:schemeClr w14:val="tx1"/>
                  </w14:solidFill>
                </w14:textFill>
              </w:rPr>
              <w:t>8</w:t>
            </w:r>
            <w:r>
              <w:rPr>
                <w:rFonts w:hint="eastAsia" w:ascii="宋体" w:hAnsi="宋体" w:eastAsia="宋体" w:cs="宋体"/>
                <w:color w:val="000000" w:themeColor="text1"/>
                <w:kern w:val="2"/>
                <w:sz w:val="22"/>
                <w:szCs w:val="22"/>
                <w:highlight w:val="none"/>
                <w:vertAlign w:val="baseline"/>
                <w:lang w:val="en-US" w:eastAsia="zh-CN" w:bidi="ar-SA"/>
                <w14:textFill>
                  <w14:solidFill>
                    <w14:schemeClr w14:val="tx1"/>
                  </w14:solidFill>
                </w14:textFill>
              </w:rPr>
              <w:t>)</w:t>
            </w:r>
            <w:r>
              <w:rPr>
                <w:color w:val="000000" w:themeColor="text1"/>
                <w:sz w:val="22"/>
                <w:szCs w:val="22"/>
                <w:highlight w:val="none"/>
                <w14:textFill>
                  <w14:solidFill>
                    <w14:schemeClr w14:val="tx1"/>
                  </w14:solidFill>
                </w14:textFill>
              </w:rPr>
              <w:t>中标企业不按时按质按量配送或拒绝配送，以次充好，</w:t>
            </w:r>
            <w:r>
              <w:rPr>
                <w:rFonts w:hint="eastAsia"/>
                <w:color w:val="000000" w:themeColor="text1"/>
                <w:sz w:val="22"/>
                <w:szCs w:val="22"/>
                <w:highlight w:val="none"/>
                <w:lang w:eastAsia="zh-CN"/>
                <w14:textFill>
                  <w14:solidFill>
                    <w14:schemeClr w14:val="tx1"/>
                  </w14:solidFill>
                </w14:textFill>
              </w:rPr>
              <w:t>短斤少两</w:t>
            </w:r>
            <w:r>
              <w:rPr>
                <w:color w:val="000000" w:themeColor="text1"/>
                <w:spacing w:val="3"/>
                <w:sz w:val="22"/>
                <w:szCs w:val="22"/>
                <w:highlight w:val="none"/>
                <w14:textFill>
                  <w14:solidFill>
                    <w14:schemeClr w14:val="tx1"/>
                  </w14:solidFill>
                </w14:textFill>
              </w:rPr>
              <w:t>，服务态度恶劣，每个学期发生二次(含二次)以上的；</w:t>
            </w:r>
          </w:p>
          <w:p w14:paraId="1C0C7047">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kern w:val="2"/>
                <w:sz w:val="22"/>
                <w:szCs w:val="22"/>
                <w:highlight w:val="none"/>
                <w:vertAlign w:val="baseline"/>
                <w:lang w:val="en-US" w:eastAsia="zh-CN" w:bidi="ar-SA"/>
                <w14:textFill>
                  <w14:solidFill>
                    <w14:schemeClr w14:val="tx1"/>
                  </w14:solidFill>
                </w14:textFill>
              </w:rPr>
              <w:t>(9)</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中标企业不经学校同意，擅自改变学校采购清单的种类、品牌、质量和数量，每个学期发生二次(含二次)以上的；</w:t>
            </w:r>
          </w:p>
          <w:p w14:paraId="699854E0">
            <w:pPr>
              <w:numPr>
                <w:ilvl w:val="0"/>
                <w:numId w:val="0"/>
              </w:numPr>
              <w:spacing w:line="360" w:lineRule="auto"/>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pP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w:t>
            </w:r>
            <w:r>
              <w:rPr>
                <w:rFonts w:hint="eastAsia" w:ascii="宋体" w:hAnsi="宋体" w:eastAsia="宋体" w:cs="宋体"/>
                <w:color w:val="000000" w:themeColor="text1"/>
                <w:sz w:val="22"/>
                <w:szCs w:val="22"/>
                <w:highlight w:val="none"/>
                <w:vertAlign w:val="baseline"/>
                <w:lang w:val="en-US" w:eastAsia="zh-CN"/>
                <w14:textFill>
                  <w14:solidFill>
                    <w14:schemeClr w14:val="tx1"/>
                  </w14:solidFill>
                </w14:textFill>
              </w:rPr>
              <w:t>10）</w:t>
            </w:r>
            <w:r>
              <w:rPr>
                <w:rFonts w:hint="eastAsia" w:ascii="宋体" w:hAnsi="宋体" w:eastAsia="宋体" w:cs="宋体"/>
                <w:color w:val="000000" w:themeColor="text1"/>
                <w:sz w:val="22"/>
                <w:szCs w:val="22"/>
                <w:highlight w:val="none"/>
                <w:vertAlign w:val="baseline"/>
                <w:lang w:eastAsia="zh-CN"/>
                <w14:textFill>
                  <w14:solidFill>
                    <w14:schemeClr w14:val="tx1"/>
                  </w14:solidFill>
                </w14:textFill>
              </w:rPr>
              <w:t>中标企业利用不正当手段拉拢学校管理人员、采购单位人员或验收人员的，取消配送资格。</w:t>
            </w:r>
          </w:p>
        </w:tc>
      </w:tr>
    </w:tbl>
    <w:p w14:paraId="27C437CE">
      <w:pPr>
        <w:rPr>
          <w:rFonts w:hAnsi="宋体"/>
          <w:color w:val="auto"/>
          <w:highlight w:val="none"/>
        </w:rPr>
      </w:pPr>
    </w:p>
    <w:p w14:paraId="5911D714">
      <w:pPr>
        <w:rPr>
          <w:rFonts w:ascii="Arial Unicode MS" w:hAnsi="Arial Unicode MS" w:eastAsia="Arial Unicode MS" w:cs="Arial Unicode MS"/>
          <w:color w:val="auto"/>
          <w:sz w:val="28"/>
          <w:szCs w:val="28"/>
          <w:highlight w:val="none"/>
        </w:rPr>
      </w:pPr>
      <w:r>
        <w:rPr>
          <w:rFonts w:ascii="Arial Unicode MS" w:hAnsi="Arial Unicode MS" w:eastAsia="Arial Unicode MS" w:cs="Arial Unicode MS"/>
          <w:color w:val="auto"/>
          <w:sz w:val="28"/>
          <w:szCs w:val="28"/>
          <w:highlight w:val="none"/>
        </w:rPr>
        <w:br w:type="page"/>
      </w:r>
    </w:p>
    <w:p w14:paraId="2B447D45">
      <w:pPr>
        <w:spacing w:line="528" w:lineRule="exact"/>
        <w:jc w:val="left"/>
        <w:rPr>
          <w:rFonts w:hint="eastAsia" w:ascii="Arial Unicode MS" w:hAnsi="Arial Unicode MS" w:eastAsia="Arial Unicode MS" w:cs="Arial Unicode MS"/>
          <w:color w:val="auto"/>
          <w:sz w:val="28"/>
          <w:szCs w:val="28"/>
          <w:highlight w:val="none"/>
        </w:rPr>
      </w:pPr>
      <w:r>
        <w:rPr>
          <w:rFonts w:hint="eastAsia" w:ascii="Arial Unicode MS" w:hAnsi="Arial Unicode MS" w:eastAsia="Arial Unicode MS" w:cs="Arial Unicode MS"/>
          <w:color w:val="auto"/>
          <w:sz w:val="28"/>
          <w:szCs w:val="28"/>
          <w:highlight w:val="none"/>
          <w:lang w:val="en-US" w:eastAsia="zh-CN"/>
        </w:rPr>
        <w:t>附件1</w:t>
      </w:r>
      <w:r>
        <w:rPr>
          <w:rFonts w:hint="eastAsia" w:ascii="Arial Unicode MS" w:hAnsi="Arial Unicode MS" w:eastAsia="Arial Unicode MS" w:cs="Arial Unicode MS"/>
          <w:color w:val="auto"/>
          <w:sz w:val="28"/>
          <w:szCs w:val="28"/>
          <w:highlight w:val="none"/>
        </w:rPr>
        <w:t>：</w:t>
      </w:r>
    </w:p>
    <w:p w14:paraId="32DE7D10">
      <w:pPr>
        <w:spacing w:line="528" w:lineRule="exact"/>
        <w:jc w:val="center"/>
        <w:rPr>
          <w:rFonts w:hint="eastAsia" w:ascii="Arial Unicode MS" w:hAnsi="Arial Unicode MS" w:eastAsia="Arial Unicode MS" w:cs="Arial Unicode MS"/>
          <w:color w:val="auto"/>
          <w:sz w:val="28"/>
          <w:szCs w:val="28"/>
          <w:highlight w:val="none"/>
        </w:rPr>
      </w:pPr>
    </w:p>
    <w:p w14:paraId="1C37583E">
      <w:pPr>
        <w:spacing w:line="52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b/>
          <w:color w:val="auto"/>
          <w:sz w:val="32"/>
          <w:szCs w:val="32"/>
          <w:lang w:eastAsia="zh-CN"/>
        </w:rPr>
        <w:t>陆川县</w:t>
      </w:r>
      <w:r>
        <w:rPr>
          <w:rFonts w:hint="eastAsia" w:ascii="方正小标宋简体" w:hAnsi="方正小标宋简体" w:eastAsia="方正小标宋简体" w:cs="方正小标宋简体"/>
          <w:b/>
          <w:color w:val="auto"/>
          <w:sz w:val="32"/>
          <w:szCs w:val="32"/>
        </w:rPr>
        <w:t>农村义务教育学生营养改善计划食材采购项目考核表</w:t>
      </w:r>
    </w:p>
    <w:p w14:paraId="789ED0DD">
      <w:pPr>
        <w:pStyle w:val="15"/>
        <w:keepNext w:val="0"/>
        <w:keepLines w:val="0"/>
        <w:pageBreakBefore w:val="0"/>
        <w:widowControl w:val="0"/>
        <w:kinsoku/>
        <w:wordWrap/>
        <w:overflowPunct/>
        <w:topLinePunct w:val="0"/>
        <w:autoSpaceDE/>
        <w:autoSpaceDN/>
        <w:bidi w:val="0"/>
        <w:adjustRightInd/>
        <w:snapToGrid/>
        <w:spacing w:line="480" w:lineRule="exact"/>
        <w:rPr>
          <w:color w:val="auto"/>
        </w:rPr>
      </w:pPr>
      <w:r>
        <w:rPr>
          <w:color w:val="auto"/>
          <w:spacing w:val="5"/>
          <w:sz w:val="24"/>
          <w:szCs w:val="20"/>
        </w:rPr>
        <w:t>企业名称：</w:t>
      </w:r>
      <w:r>
        <w:rPr>
          <w:rFonts w:hint="eastAsia"/>
          <w:color w:val="auto"/>
          <w:spacing w:val="5"/>
          <w:sz w:val="24"/>
          <w:szCs w:val="20"/>
        </w:rPr>
        <w:t xml:space="preserve">                                     </w:t>
      </w:r>
      <w:r>
        <w:rPr>
          <w:color w:val="auto"/>
          <w:spacing w:val="-3"/>
          <w:sz w:val="24"/>
          <w:szCs w:val="20"/>
        </w:rPr>
        <w:t>考核时间：</w:t>
      </w:r>
    </w:p>
    <w:tbl>
      <w:tblPr>
        <w:tblStyle w:val="142"/>
        <w:tblW w:w="94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889"/>
        <w:gridCol w:w="6300"/>
        <w:gridCol w:w="790"/>
        <w:gridCol w:w="712"/>
      </w:tblGrid>
      <w:tr w14:paraId="58ED3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741" w:type="dxa"/>
            <w:vAlign w:val="center"/>
          </w:tcPr>
          <w:p w14:paraId="7C51C89E">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pacing w:val="-3"/>
              </w:rPr>
            </w:pPr>
            <w:r>
              <w:rPr>
                <w:rFonts w:hint="eastAsia" w:ascii="黑体" w:hAnsi="黑体" w:eastAsia="黑体" w:cs="黑体"/>
                <w:color w:val="auto"/>
                <w:spacing w:val="-3"/>
              </w:rPr>
              <w:t>一级</w:t>
            </w:r>
          </w:p>
          <w:p w14:paraId="0CF3B69B">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rPr>
            </w:pPr>
            <w:r>
              <w:rPr>
                <w:rFonts w:hint="eastAsia" w:ascii="黑体" w:hAnsi="黑体" w:eastAsia="黑体" w:cs="黑体"/>
                <w:color w:val="auto"/>
                <w:spacing w:val="-3"/>
              </w:rPr>
              <w:t>指标</w:t>
            </w:r>
          </w:p>
        </w:tc>
        <w:tc>
          <w:tcPr>
            <w:tcW w:w="889" w:type="dxa"/>
            <w:vAlign w:val="center"/>
          </w:tcPr>
          <w:p w14:paraId="35382DD8">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pacing w:val="-3"/>
              </w:rPr>
            </w:pPr>
            <w:r>
              <w:rPr>
                <w:rFonts w:hint="eastAsia" w:ascii="黑体" w:hAnsi="黑体" w:eastAsia="黑体" w:cs="黑体"/>
                <w:color w:val="auto"/>
                <w:spacing w:val="-3"/>
              </w:rPr>
              <w:t>二级</w:t>
            </w:r>
          </w:p>
          <w:p w14:paraId="223E7A97">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rPr>
            </w:pPr>
            <w:r>
              <w:rPr>
                <w:rFonts w:hint="eastAsia" w:ascii="黑体" w:hAnsi="黑体" w:eastAsia="黑体" w:cs="黑体"/>
                <w:color w:val="auto"/>
                <w:spacing w:val="-3"/>
              </w:rPr>
              <w:t>指标</w:t>
            </w:r>
          </w:p>
        </w:tc>
        <w:tc>
          <w:tcPr>
            <w:tcW w:w="6300" w:type="dxa"/>
            <w:vAlign w:val="center"/>
          </w:tcPr>
          <w:p w14:paraId="6CB3ED56">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rPr>
            </w:pPr>
            <w:r>
              <w:rPr>
                <w:rFonts w:hint="eastAsia" w:ascii="黑体" w:hAnsi="黑体" w:eastAsia="黑体" w:cs="黑体"/>
                <w:color w:val="auto"/>
                <w:spacing w:val="-2"/>
              </w:rPr>
              <w:t>考评细则</w:t>
            </w:r>
          </w:p>
        </w:tc>
        <w:tc>
          <w:tcPr>
            <w:tcW w:w="790" w:type="dxa"/>
            <w:vAlign w:val="center"/>
          </w:tcPr>
          <w:p w14:paraId="55945361">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pacing w:val="-7"/>
              </w:rPr>
            </w:pPr>
            <w:r>
              <w:rPr>
                <w:rFonts w:hint="eastAsia" w:ascii="黑体" w:hAnsi="黑体" w:eastAsia="黑体" w:cs="黑体"/>
                <w:color w:val="auto"/>
                <w:spacing w:val="-7"/>
              </w:rPr>
              <w:t>扣分</w:t>
            </w:r>
          </w:p>
          <w:p w14:paraId="6089F70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lang w:val="en-US" w:eastAsia="zh-CN"/>
              </w:rPr>
            </w:pPr>
            <w:r>
              <w:rPr>
                <w:rFonts w:hint="eastAsia" w:ascii="黑体" w:hAnsi="黑体" w:eastAsia="黑体" w:cs="黑体"/>
                <w:color w:val="auto"/>
                <w:spacing w:val="-7"/>
                <w:lang w:val="en-US" w:eastAsia="zh-CN"/>
              </w:rPr>
              <w:t>罚款</w:t>
            </w:r>
          </w:p>
        </w:tc>
        <w:tc>
          <w:tcPr>
            <w:tcW w:w="712" w:type="dxa"/>
            <w:vAlign w:val="center"/>
          </w:tcPr>
          <w:p w14:paraId="7F7DEA0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rPr>
            </w:pPr>
            <w:r>
              <w:rPr>
                <w:rFonts w:hint="eastAsia" w:ascii="黑体" w:hAnsi="黑体" w:eastAsia="黑体" w:cs="黑体"/>
                <w:color w:val="auto"/>
                <w:spacing w:val="-7"/>
              </w:rPr>
              <w:t>备注</w:t>
            </w:r>
          </w:p>
        </w:tc>
      </w:tr>
      <w:tr w14:paraId="39E6F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741" w:type="dxa"/>
            <w:vMerge w:val="restart"/>
            <w:vAlign w:val="center"/>
          </w:tcPr>
          <w:p w14:paraId="684428C6">
            <w:pPr>
              <w:pStyle w:val="141"/>
              <w:keepNext w:val="0"/>
              <w:keepLines w:val="0"/>
              <w:pageBreakBefore w:val="0"/>
              <w:widowControl w:val="0"/>
              <w:kinsoku/>
              <w:wordWrap/>
              <w:overflowPunct/>
              <w:topLinePunct w:val="0"/>
              <w:autoSpaceDE/>
              <w:autoSpaceDN/>
              <w:bidi w:val="0"/>
              <w:adjustRightInd/>
              <w:snapToGrid/>
              <w:spacing w:before="78" w:line="300" w:lineRule="exact"/>
              <w:jc w:val="center"/>
              <w:rPr>
                <w:rFonts w:hint="eastAsia" w:ascii="黑体" w:hAnsi="黑体" w:eastAsia="黑体" w:cs="黑体"/>
                <w:color w:val="auto"/>
                <w:spacing w:val="-3"/>
              </w:rPr>
            </w:pPr>
            <w:r>
              <w:rPr>
                <w:rFonts w:hint="eastAsia" w:ascii="黑体" w:hAnsi="黑体" w:eastAsia="黑体" w:cs="黑体"/>
                <w:color w:val="auto"/>
                <w:spacing w:val="-3"/>
              </w:rPr>
              <w:t>流程</w:t>
            </w:r>
          </w:p>
          <w:p w14:paraId="32547225">
            <w:pPr>
              <w:pStyle w:val="141"/>
              <w:keepNext w:val="0"/>
              <w:keepLines w:val="0"/>
              <w:pageBreakBefore w:val="0"/>
              <w:widowControl w:val="0"/>
              <w:kinsoku/>
              <w:wordWrap/>
              <w:overflowPunct/>
              <w:topLinePunct w:val="0"/>
              <w:autoSpaceDE/>
              <w:autoSpaceDN/>
              <w:bidi w:val="0"/>
              <w:adjustRightInd/>
              <w:snapToGrid/>
              <w:spacing w:before="78" w:line="300" w:lineRule="exact"/>
              <w:jc w:val="center"/>
              <w:rPr>
                <w:rFonts w:hint="eastAsia" w:ascii="黑体" w:hAnsi="黑体" w:eastAsia="黑体" w:cs="黑体"/>
                <w:color w:val="auto"/>
              </w:rPr>
            </w:pPr>
            <w:r>
              <w:rPr>
                <w:rFonts w:hint="eastAsia" w:ascii="黑体" w:hAnsi="黑体" w:eastAsia="黑体" w:cs="黑体"/>
                <w:color w:val="auto"/>
                <w:spacing w:val="-3"/>
              </w:rPr>
              <w:t>管理</w:t>
            </w:r>
          </w:p>
        </w:tc>
        <w:tc>
          <w:tcPr>
            <w:tcW w:w="889" w:type="dxa"/>
            <w:vAlign w:val="center"/>
          </w:tcPr>
          <w:p w14:paraId="5256F7E3">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准时</w:t>
            </w:r>
          </w:p>
          <w:p w14:paraId="5E359D6E">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送货</w:t>
            </w:r>
          </w:p>
        </w:tc>
        <w:tc>
          <w:tcPr>
            <w:tcW w:w="6300" w:type="dxa"/>
            <w:vAlign w:val="center"/>
          </w:tcPr>
          <w:p w14:paraId="2FB99790">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val="en-US" w:eastAsia="zh-CN"/>
              </w:rPr>
            </w:pPr>
            <w:r>
              <w:rPr>
                <w:rFonts w:hint="eastAsia" w:ascii="仿宋_GB2312" w:hAnsi="仿宋_GB2312" w:eastAsia="仿宋_GB2312" w:cs="仿宋_GB2312"/>
                <w:color w:val="auto"/>
                <w:spacing w:val="-3"/>
                <w:lang w:eastAsia="zh-CN"/>
              </w:rPr>
              <w:t>未在早上</w:t>
            </w:r>
            <w:r>
              <w:rPr>
                <w:rFonts w:hint="eastAsia" w:ascii="仿宋_GB2312" w:hAnsi="仿宋_GB2312" w:eastAsia="仿宋_GB2312" w:cs="仿宋_GB2312"/>
                <w:color w:val="auto"/>
                <w:spacing w:val="-3"/>
                <w:lang w:val="en-US" w:eastAsia="zh-CN"/>
              </w:rPr>
              <w:t>8</w:t>
            </w:r>
            <w:r>
              <w:rPr>
                <w:rFonts w:hint="eastAsia" w:ascii="仿宋_GB2312" w:hAnsi="仿宋_GB2312" w:eastAsia="仿宋_GB2312" w:cs="仿宋_GB2312"/>
                <w:color w:val="auto"/>
                <w:spacing w:val="-3"/>
                <w:lang w:eastAsia="zh-CN"/>
              </w:rPr>
              <w:t>：</w:t>
            </w:r>
            <w:r>
              <w:rPr>
                <w:rFonts w:hint="eastAsia" w:ascii="仿宋_GB2312" w:hAnsi="仿宋_GB2312" w:eastAsia="仿宋_GB2312" w:cs="仿宋_GB2312"/>
                <w:color w:val="auto"/>
                <w:spacing w:val="-3"/>
                <w:lang w:val="en-US" w:eastAsia="zh-CN"/>
              </w:rPr>
              <w:t>3</w:t>
            </w:r>
            <w:r>
              <w:rPr>
                <w:rFonts w:hint="eastAsia" w:ascii="仿宋_GB2312" w:hAnsi="仿宋_GB2312" w:eastAsia="仿宋_GB2312" w:cs="仿宋_GB2312"/>
                <w:color w:val="auto"/>
                <w:spacing w:val="-3"/>
                <w:lang w:eastAsia="zh-CN"/>
              </w:rPr>
              <w:t>0前准时送达学校食堂，</w:t>
            </w:r>
            <w:r>
              <w:rPr>
                <w:rFonts w:hint="eastAsia" w:ascii="仿宋_GB2312" w:hAnsi="仿宋_GB2312" w:eastAsia="仿宋_GB2312" w:cs="仿宋_GB2312"/>
                <w:color w:val="auto"/>
                <w:spacing w:val="-3"/>
                <w:lang w:val="en-US" w:eastAsia="zh-CN"/>
              </w:rPr>
              <w:t>影响学生正常用餐</w:t>
            </w:r>
            <w:r>
              <w:rPr>
                <w:rFonts w:hint="eastAsia" w:ascii="仿宋_GB2312" w:hAnsi="仿宋_GB2312" w:eastAsia="仿宋_GB2312" w:cs="仿宋_GB2312"/>
                <w:color w:val="auto"/>
                <w:spacing w:val="-3"/>
                <w:lang w:eastAsia="zh-CN"/>
              </w:rPr>
              <w:t>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bookmarkStart w:id="50" w:name="OLE_LINK16"/>
            <w:r>
              <w:rPr>
                <w:rFonts w:hint="eastAsia" w:ascii="仿宋_GB2312" w:hAnsi="仿宋_GB2312" w:eastAsia="仿宋_GB2312" w:cs="仿宋_GB2312"/>
                <w:color w:val="auto"/>
                <w:spacing w:val="-3"/>
                <w:lang w:val="en-US" w:eastAsia="zh-CN"/>
              </w:rPr>
              <w:t>并向发标人支付违约金3000元。</w:t>
            </w:r>
            <w:bookmarkEnd w:id="50"/>
          </w:p>
        </w:tc>
        <w:tc>
          <w:tcPr>
            <w:tcW w:w="790" w:type="dxa"/>
          </w:tcPr>
          <w:p w14:paraId="640B5849">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321B1AD2">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28AEC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jc w:val="center"/>
        </w:trPr>
        <w:tc>
          <w:tcPr>
            <w:tcW w:w="741" w:type="dxa"/>
            <w:vMerge w:val="continue"/>
            <w:vAlign w:val="center"/>
          </w:tcPr>
          <w:p w14:paraId="6802A6D2">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29E43D2B">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足额</w:t>
            </w:r>
          </w:p>
          <w:p w14:paraId="6A6601B7">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配送</w:t>
            </w:r>
          </w:p>
        </w:tc>
        <w:tc>
          <w:tcPr>
            <w:tcW w:w="6300" w:type="dxa"/>
            <w:vAlign w:val="center"/>
          </w:tcPr>
          <w:p w14:paraId="1847349E">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val="en-US" w:eastAsia="zh-CN"/>
              </w:rPr>
            </w:pPr>
            <w:r>
              <w:rPr>
                <w:rFonts w:hint="eastAsia" w:ascii="仿宋_GB2312" w:hAnsi="仿宋_GB2312" w:eastAsia="仿宋_GB2312" w:cs="仿宋_GB2312"/>
                <w:color w:val="auto"/>
                <w:spacing w:val="-3"/>
                <w:lang w:eastAsia="zh-CN"/>
              </w:rPr>
              <w:t>发现某类食材缺斤少两的</w:t>
            </w:r>
            <w:bookmarkStart w:id="51" w:name="OLE_LINK18"/>
            <w:r>
              <w:rPr>
                <w:rFonts w:hint="eastAsia" w:ascii="仿宋_GB2312" w:hAnsi="仿宋_GB2312" w:eastAsia="仿宋_GB2312" w:cs="仿宋_GB2312"/>
                <w:color w:val="auto"/>
                <w:spacing w:val="-3"/>
                <w:lang w:val="en-US" w:eastAsia="zh-CN"/>
              </w:rPr>
              <w:t>(</w:t>
            </w:r>
            <w:r>
              <w:rPr>
                <w:rFonts w:hint="eastAsia" w:ascii="仿宋_GB2312" w:hAnsi="仿宋_GB2312" w:eastAsia="仿宋_GB2312" w:cs="仿宋_GB2312"/>
                <w:color w:val="auto"/>
                <w:spacing w:val="-3"/>
                <w:lang w:eastAsia="zh-CN"/>
              </w:rPr>
              <w:t>份量短缺达到该类食材配送总量5%以上</w:t>
            </w:r>
            <w:r>
              <w:rPr>
                <w:rFonts w:hint="eastAsia" w:ascii="仿宋_GB2312" w:hAnsi="仿宋_GB2312" w:eastAsia="仿宋_GB2312" w:cs="仿宋_GB2312"/>
                <w:color w:val="auto"/>
                <w:spacing w:val="-3"/>
                <w:lang w:val="en-US" w:eastAsia="zh-CN"/>
              </w:rPr>
              <w:t>)</w:t>
            </w:r>
            <w:r>
              <w:rPr>
                <w:rFonts w:hint="eastAsia" w:ascii="仿宋_GB2312" w:hAnsi="仿宋_GB2312" w:eastAsia="仿宋_GB2312" w:cs="仿宋_GB2312"/>
                <w:color w:val="auto"/>
                <w:spacing w:val="-3"/>
                <w:lang w:eastAsia="zh-CN"/>
              </w:rPr>
              <w:t>,</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bookmarkEnd w:id="51"/>
          </w:p>
        </w:tc>
        <w:tc>
          <w:tcPr>
            <w:tcW w:w="790" w:type="dxa"/>
          </w:tcPr>
          <w:p w14:paraId="7E19F942">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0ACC5A27">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34394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741" w:type="dxa"/>
            <w:vMerge w:val="continue"/>
            <w:vAlign w:val="center"/>
          </w:tcPr>
          <w:p w14:paraId="3F1DC964">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2B0A70D2">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服务</w:t>
            </w:r>
          </w:p>
          <w:p w14:paraId="5DA30280">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态度</w:t>
            </w:r>
          </w:p>
        </w:tc>
        <w:tc>
          <w:tcPr>
            <w:tcW w:w="6300" w:type="dxa"/>
            <w:vAlign w:val="center"/>
          </w:tcPr>
          <w:p w14:paraId="2E2B453C">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运送人员野蛮运装或无正当理由与食堂人员争执的,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 无正当理由不服从学校指挥管理的,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45F010C7">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5CC9A97A">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281BD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741" w:type="dxa"/>
            <w:vMerge w:val="continue"/>
            <w:vAlign w:val="center"/>
          </w:tcPr>
          <w:p w14:paraId="11EF5CF2">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51323556">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配送工</w:t>
            </w:r>
          </w:p>
          <w:p w14:paraId="4B1A641D">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作细则</w:t>
            </w:r>
          </w:p>
        </w:tc>
        <w:tc>
          <w:tcPr>
            <w:tcW w:w="6300" w:type="dxa"/>
            <w:vAlign w:val="center"/>
          </w:tcPr>
          <w:p w14:paraId="0C84A650">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未按学校每周的《</w:t>
            </w:r>
            <w:r>
              <w:rPr>
                <w:rFonts w:hint="eastAsia" w:ascii="仿宋_GB2312" w:hAnsi="仿宋_GB2312" w:eastAsia="仿宋_GB2312" w:cs="仿宋_GB2312"/>
                <w:color w:val="auto"/>
                <w:spacing w:val="-3"/>
                <w:lang w:val="en-US" w:eastAsia="zh-CN"/>
              </w:rPr>
              <w:t>一周食谱</w:t>
            </w:r>
            <w:r>
              <w:rPr>
                <w:rFonts w:hint="eastAsia" w:ascii="仿宋_GB2312" w:hAnsi="仿宋_GB2312" w:eastAsia="仿宋_GB2312" w:cs="仿宋_GB2312"/>
                <w:color w:val="auto"/>
                <w:spacing w:val="-3"/>
                <w:lang w:eastAsia="zh-CN"/>
              </w:rPr>
              <w:t>建议》配送食材的（</w:t>
            </w:r>
            <w:r>
              <w:rPr>
                <w:rFonts w:hint="eastAsia" w:ascii="仿宋_GB2312" w:hAnsi="仿宋_GB2312" w:eastAsia="仿宋_GB2312" w:cs="仿宋_GB2312"/>
                <w:color w:val="auto"/>
                <w:spacing w:val="-3"/>
                <w:lang w:val="en-US" w:eastAsia="zh-CN"/>
              </w:rPr>
              <w:t>除市场确实缺货外),每次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0BAC06CB">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722D8EF6">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38D88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jc w:val="center"/>
        </w:trPr>
        <w:tc>
          <w:tcPr>
            <w:tcW w:w="741" w:type="dxa"/>
            <w:vMerge w:val="continue"/>
            <w:vAlign w:val="center"/>
          </w:tcPr>
          <w:p w14:paraId="4F5E0E70">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0D11D15A">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单据</w:t>
            </w:r>
          </w:p>
          <w:p w14:paraId="040F4D9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清晰</w:t>
            </w:r>
          </w:p>
        </w:tc>
        <w:tc>
          <w:tcPr>
            <w:tcW w:w="6300" w:type="dxa"/>
            <w:vAlign w:val="center"/>
          </w:tcPr>
          <w:p w14:paraId="7029EEB4">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bookmarkStart w:id="52" w:name="OLE_LINK15"/>
            <w:r>
              <w:rPr>
                <w:rFonts w:hint="eastAsia" w:ascii="仿宋_GB2312" w:hAnsi="仿宋_GB2312" w:eastAsia="仿宋_GB2312" w:cs="仿宋_GB2312"/>
                <w:color w:val="auto"/>
                <w:spacing w:val="-3"/>
                <w:lang w:eastAsia="zh-CN"/>
              </w:rPr>
              <w:t>送</w:t>
            </w:r>
            <w:bookmarkEnd w:id="52"/>
            <w:r>
              <w:rPr>
                <w:rFonts w:hint="eastAsia" w:ascii="仿宋_GB2312" w:hAnsi="仿宋_GB2312" w:eastAsia="仿宋_GB2312" w:cs="仿宋_GB2312"/>
                <w:color w:val="auto"/>
                <w:spacing w:val="-3"/>
                <w:lang w:eastAsia="zh-CN"/>
              </w:rPr>
              <w:t>货单（结算凭证）项目不齐全，不清晰、</w:t>
            </w:r>
            <w:r>
              <w:rPr>
                <w:rFonts w:hint="eastAsia" w:ascii="仿宋_GB2312" w:hAnsi="仿宋_GB2312" w:eastAsia="仿宋_GB2312" w:cs="仿宋_GB2312"/>
                <w:color w:val="auto"/>
                <w:spacing w:val="-3"/>
                <w:lang w:val="en-US" w:eastAsia="zh-CN"/>
              </w:rPr>
              <w:t>没有送货人签名</w:t>
            </w:r>
            <w:r>
              <w:rPr>
                <w:rFonts w:hint="eastAsia" w:ascii="仿宋_GB2312" w:hAnsi="仿宋_GB2312" w:eastAsia="仿宋_GB2312" w:cs="仿宋_GB2312"/>
                <w:color w:val="auto"/>
                <w:spacing w:val="-3"/>
                <w:lang w:eastAsia="zh-CN"/>
              </w:rPr>
              <w:t>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0051B225">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76AB8EE1">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7CE78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jc w:val="center"/>
        </w:trPr>
        <w:tc>
          <w:tcPr>
            <w:tcW w:w="741" w:type="dxa"/>
            <w:vMerge w:val="continue"/>
            <w:vAlign w:val="center"/>
          </w:tcPr>
          <w:p w14:paraId="2B2F10FD">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7B911353">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eastAsia="zh-CN"/>
              </w:rPr>
            </w:pPr>
            <w:r>
              <w:rPr>
                <w:rFonts w:hint="eastAsia" w:ascii="楷体_GB2312" w:hAnsi="楷体_GB2312" w:eastAsia="楷体_GB2312" w:cs="楷体_GB2312"/>
                <w:b/>
                <w:bCs/>
                <w:color w:val="auto"/>
                <w:lang w:eastAsia="zh-CN"/>
              </w:rPr>
              <w:t>食材</w:t>
            </w:r>
          </w:p>
          <w:p w14:paraId="33B8CF53">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eastAsia="zh-CN"/>
              </w:rPr>
            </w:pPr>
            <w:r>
              <w:rPr>
                <w:rFonts w:hint="eastAsia" w:ascii="楷体_GB2312" w:hAnsi="楷体_GB2312" w:eastAsia="楷体_GB2312" w:cs="楷体_GB2312"/>
                <w:b/>
                <w:bCs/>
                <w:color w:val="auto"/>
                <w:lang w:eastAsia="zh-CN"/>
              </w:rPr>
              <w:t>留样</w:t>
            </w:r>
          </w:p>
        </w:tc>
        <w:tc>
          <w:tcPr>
            <w:tcW w:w="6300" w:type="dxa"/>
            <w:vAlign w:val="center"/>
          </w:tcPr>
          <w:p w14:paraId="201ECFA4">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不按规定对配送到学校食堂的食材抽取样品进行封存留样的，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030D0EC7">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69C48437">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6B620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jc w:val="center"/>
        </w:trPr>
        <w:tc>
          <w:tcPr>
            <w:tcW w:w="741" w:type="dxa"/>
            <w:vMerge w:val="continue"/>
            <w:tcBorders>
              <w:bottom w:val="single" w:color="auto" w:sz="4" w:space="0"/>
            </w:tcBorders>
            <w:vAlign w:val="center"/>
          </w:tcPr>
          <w:p w14:paraId="23BA1C38">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73BF3EF3">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配送过</w:t>
            </w:r>
          </w:p>
          <w:p w14:paraId="6B037BCD">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程管理</w:t>
            </w:r>
          </w:p>
        </w:tc>
        <w:tc>
          <w:tcPr>
            <w:tcW w:w="6300" w:type="dxa"/>
            <w:vAlign w:val="center"/>
          </w:tcPr>
          <w:p w14:paraId="6C6FF39C">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val="en-US" w:eastAsia="zh-CN"/>
              </w:rPr>
            </w:pPr>
            <w:r>
              <w:rPr>
                <w:rFonts w:hint="eastAsia" w:ascii="仿宋_GB2312" w:hAnsi="仿宋_GB2312" w:eastAsia="仿宋_GB2312" w:cs="仿宋_GB2312"/>
                <w:color w:val="auto"/>
                <w:spacing w:val="-3"/>
                <w:lang w:val="en-US" w:eastAsia="zh-CN"/>
              </w:rPr>
              <w:t>配送过程不严格，发现下游供应商直接供货的，每次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43FB0919">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1396A33D">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1466A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jc w:val="center"/>
        </w:trPr>
        <w:tc>
          <w:tcPr>
            <w:tcW w:w="741" w:type="dxa"/>
            <w:vMerge w:val="restart"/>
            <w:vAlign w:val="center"/>
          </w:tcPr>
          <w:p w14:paraId="661294F5">
            <w:pPr>
              <w:pStyle w:val="141"/>
              <w:keepNext w:val="0"/>
              <w:keepLines w:val="0"/>
              <w:pageBreakBefore w:val="0"/>
              <w:widowControl w:val="0"/>
              <w:kinsoku/>
              <w:wordWrap/>
              <w:overflowPunct/>
              <w:topLinePunct w:val="0"/>
              <w:autoSpaceDE/>
              <w:autoSpaceDN/>
              <w:bidi w:val="0"/>
              <w:adjustRightInd/>
              <w:snapToGrid/>
              <w:spacing w:before="130" w:line="300" w:lineRule="exact"/>
              <w:ind w:left="118"/>
              <w:jc w:val="center"/>
              <w:rPr>
                <w:rFonts w:hint="eastAsia" w:ascii="黑体" w:hAnsi="黑体" w:eastAsia="黑体" w:cs="黑体"/>
                <w:color w:val="auto"/>
                <w:spacing w:val="-3"/>
              </w:rPr>
            </w:pPr>
            <w:r>
              <w:rPr>
                <w:rFonts w:hint="eastAsia" w:ascii="黑体" w:hAnsi="黑体" w:eastAsia="黑体" w:cs="黑体"/>
                <w:color w:val="auto"/>
                <w:spacing w:val="-3"/>
              </w:rPr>
              <w:t>质量</w:t>
            </w:r>
          </w:p>
          <w:p w14:paraId="16DFC359">
            <w:pPr>
              <w:pStyle w:val="141"/>
              <w:keepNext w:val="0"/>
              <w:keepLines w:val="0"/>
              <w:pageBreakBefore w:val="0"/>
              <w:widowControl w:val="0"/>
              <w:kinsoku/>
              <w:wordWrap/>
              <w:overflowPunct/>
              <w:topLinePunct w:val="0"/>
              <w:autoSpaceDE/>
              <w:autoSpaceDN/>
              <w:bidi w:val="0"/>
              <w:adjustRightInd/>
              <w:snapToGrid/>
              <w:spacing w:before="130" w:line="300" w:lineRule="exact"/>
              <w:ind w:left="118"/>
              <w:jc w:val="center"/>
              <w:rPr>
                <w:rFonts w:hint="eastAsia" w:ascii="黑体" w:hAnsi="黑体" w:eastAsia="黑体" w:cs="黑体"/>
                <w:color w:val="auto"/>
              </w:rPr>
            </w:pPr>
            <w:r>
              <w:rPr>
                <w:rFonts w:hint="eastAsia" w:ascii="黑体" w:hAnsi="黑体" w:eastAsia="黑体" w:cs="黑体"/>
                <w:color w:val="auto"/>
                <w:spacing w:val="-3"/>
              </w:rPr>
              <w:t>管理</w:t>
            </w:r>
          </w:p>
        </w:tc>
        <w:tc>
          <w:tcPr>
            <w:tcW w:w="889" w:type="dxa"/>
            <w:vAlign w:val="center"/>
          </w:tcPr>
          <w:p w14:paraId="04DD0CB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食材</w:t>
            </w:r>
          </w:p>
          <w:p w14:paraId="0ADF669D">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质量</w:t>
            </w:r>
          </w:p>
        </w:tc>
        <w:tc>
          <w:tcPr>
            <w:tcW w:w="6300" w:type="dxa"/>
            <w:vAlign w:val="center"/>
          </w:tcPr>
          <w:p w14:paraId="06D3378B">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default" w:ascii="仿宋_GB2312" w:hAnsi="仿宋_GB2312" w:eastAsia="仿宋_GB2312" w:cs="仿宋_GB2312"/>
                <w:color w:val="auto"/>
                <w:spacing w:val="-3"/>
                <w:lang w:val="en-US" w:eastAsia="zh-CN"/>
              </w:rPr>
            </w:pPr>
            <w:r>
              <w:rPr>
                <w:rFonts w:hint="eastAsia" w:ascii="仿宋_GB2312" w:hAnsi="仿宋_GB2312" w:eastAsia="仿宋_GB2312" w:cs="仿宋_GB2312"/>
                <w:color w:val="auto"/>
                <w:spacing w:val="-3"/>
                <w:lang w:val="en-US" w:eastAsia="zh-CN"/>
              </w:rPr>
              <w:t>发现某类食材腐烂、发嗅、变质等</w:t>
            </w:r>
            <w:r>
              <w:rPr>
                <w:rFonts w:hint="eastAsia" w:ascii="仿宋_GB2312" w:hAnsi="仿宋_GB2312" w:eastAsia="仿宋_GB2312" w:cs="仿宋_GB2312"/>
                <w:color w:val="auto"/>
                <w:spacing w:val="-3"/>
                <w:lang w:eastAsia="zh-CN"/>
              </w:rPr>
              <w:t>（份量达到该类食材配送总量5%以上）,</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44510FBE">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1459C5DF">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28DEF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jc w:val="center"/>
        </w:trPr>
        <w:tc>
          <w:tcPr>
            <w:tcW w:w="741" w:type="dxa"/>
            <w:vMerge w:val="continue"/>
            <w:tcBorders>
              <w:bottom w:val="single" w:color="auto" w:sz="4" w:space="0"/>
            </w:tcBorders>
            <w:vAlign w:val="center"/>
          </w:tcPr>
          <w:p w14:paraId="59C5ED9B">
            <w:pPr>
              <w:pStyle w:val="141"/>
              <w:keepNext w:val="0"/>
              <w:keepLines w:val="0"/>
              <w:pageBreakBefore w:val="0"/>
              <w:widowControl w:val="0"/>
              <w:kinsoku/>
              <w:wordWrap/>
              <w:overflowPunct/>
              <w:topLinePunct w:val="0"/>
              <w:autoSpaceDE/>
              <w:autoSpaceDN/>
              <w:bidi w:val="0"/>
              <w:adjustRightInd/>
              <w:snapToGrid/>
              <w:spacing w:before="130" w:line="300" w:lineRule="exact"/>
              <w:ind w:left="118"/>
              <w:jc w:val="center"/>
              <w:rPr>
                <w:rFonts w:hint="eastAsia" w:ascii="黑体" w:hAnsi="黑体" w:eastAsia="黑体" w:cs="黑体"/>
                <w:color w:val="auto"/>
              </w:rPr>
            </w:pPr>
          </w:p>
        </w:tc>
        <w:tc>
          <w:tcPr>
            <w:tcW w:w="889" w:type="dxa"/>
            <w:tcBorders>
              <w:left w:val="single" w:color="auto" w:sz="4" w:space="0"/>
            </w:tcBorders>
            <w:vAlign w:val="center"/>
          </w:tcPr>
          <w:p w14:paraId="73D1A27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食材每</w:t>
            </w:r>
          </w:p>
          <w:p w14:paraId="43C9D131">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日评分</w:t>
            </w:r>
          </w:p>
          <w:p w14:paraId="7CAB7EE0">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汇总</w:t>
            </w:r>
          </w:p>
        </w:tc>
        <w:tc>
          <w:tcPr>
            <w:tcW w:w="6300" w:type="dxa"/>
            <w:vAlign w:val="center"/>
          </w:tcPr>
          <w:p w14:paraId="2796C641">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不提供</w:t>
            </w:r>
            <w:r>
              <w:rPr>
                <w:rFonts w:hint="eastAsia" w:ascii="仿宋_GB2312" w:hAnsi="仿宋_GB2312" w:eastAsia="仿宋_GB2312" w:cs="仿宋_GB2312"/>
                <w:color w:val="auto"/>
                <w:spacing w:val="-3"/>
                <w:lang w:val="en-US" w:eastAsia="zh-CN"/>
              </w:rPr>
              <w:t>当天食材</w:t>
            </w:r>
            <w:r>
              <w:rPr>
                <w:rFonts w:hint="eastAsia" w:ascii="仿宋_GB2312" w:hAnsi="仿宋_GB2312" w:eastAsia="仿宋_GB2312" w:cs="仿宋_GB2312"/>
                <w:color w:val="auto"/>
                <w:spacing w:val="-3"/>
                <w:lang w:eastAsia="zh-CN"/>
              </w:rPr>
              <w:t>有效的检测合格证的，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扣5分，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1855D14B">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vAlign w:val="top"/>
          </w:tcPr>
          <w:p w14:paraId="46A822AE">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18F0E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14:paraId="077B4105">
            <w:pPr>
              <w:pStyle w:val="141"/>
              <w:keepNext w:val="0"/>
              <w:keepLines w:val="0"/>
              <w:pageBreakBefore w:val="0"/>
              <w:widowControl w:val="0"/>
              <w:kinsoku/>
              <w:wordWrap/>
              <w:overflowPunct/>
              <w:topLinePunct w:val="0"/>
              <w:autoSpaceDE/>
              <w:autoSpaceDN/>
              <w:bidi w:val="0"/>
              <w:adjustRightInd/>
              <w:snapToGrid/>
              <w:spacing w:before="131" w:line="300" w:lineRule="exact"/>
              <w:ind w:left="117"/>
              <w:jc w:val="center"/>
              <w:rPr>
                <w:rFonts w:hint="eastAsia" w:ascii="黑体" w:hAnsi="黑体" w:eastAsia="黑体" w:cs="黑体"/>
                <w:color w:val="auto"/>
                <w:spacing w:val="-3"/>
              </w:rPr>
            </w:pPr>
            <w:r>
              <w:rPr>
                <w:rFonts w:hint="eastAsia" w:ascii="黑体" w:hAnsi="黑体" w:eastAsia="黑体" w:cs="黑体"/>
                <w:color w:val="auto"/>
                <w:spacing w:val="-3"/>
              </w:rPr>
              <w:t>科学</w:t>
            </w:r>
          </w:p>
          <w:p w14:paraId="0DD5F64E">
            <w:pPr>
              <w:pStyle w:val="141"/>
              <w:keepNext w:val="0"/>
              <w:keepLines w:val="0"/>
              <w:pageBreakBefore w:val="0"/>
              <w:widowControl w:val="0"/>
              <w:kinsoku/>
              <w:wordWrap/>
              <w:overflowPunct/>
              <w:topLinePunct w:val="0"/>
              <w:autoSpaceDE/>
              <w:autoSpaceDN/>
              <w:bidi w:val="0"/>
              <w:adjustRightInd/>
              <w:snapToGrid/>
              <w:spacing w:before="131" w:line="300" w:lineRule="exact"/>
              <w:ind w:left="117"/>
              <w:jc w:val="center"/>
              <w:rPr>
                <w:rFonts w:hint="eastAsia" w:ascii="黑体" w:hAnsi="黑体" w:eastAsia="黑体" w:cs="黑体"/>
                <w:color w:val="auto"/>
              </w:rPr>
            </w:pPr>
            <w:r>
              <w:rPr>
                <w:rFonts w:hint="eastAsia" w:ascii="黑体" w:hAnsi="黑体" w:eastAsia="黑体" w:cs="黑体"/>
                <w:color w:val="auto"/>
                <w:spacing w:val="-3"/>
              </w:rPr>
              <w:t>管理</w:t>
            </w:r>
          </w:p>
        </w:tc>
        <w:tc>
          <w:tcPr>
            <w:tcW w:w="889" w:type="dxa"/>
            <w:tcBorders>
              <w:left w:val="single" w:color="auto" w:sz="4" w:space="0"/>
            </w:tcBorders>
            <w:vAlign w:val="center"/>
          </w:tcPr>
          <w:p w14:paraId="7CEB9944">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应急</w:t>
            </w:r>
          </w:p>
          <w:p w14:paraId="36DB367E">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预案</w:t>
            </w:r>
          </w:p>
        </w:tc>
        <w:tc>
          <w:tcPr>
            <w:tcW w:w="6300" w:type="dxa"/>
            <w:vAlign w:val="center"/>
          </w:tcPr>
          <w:p w14:paraId="6E1817BD">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出现突发事件，惊慌失措，无应对方案处理的，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1C72DDAD">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153776BC">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0EC43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741" w:type="dxa"/>
            <w:vMerge w:val="continue"/>
            <w:tcBorders>
              <w:top w:val="single" w:color="auto" w:sz="4" w:space="0"/>
              <w:left w:val="single" w:color="auto" w:sz="4" w:space="0"/>
              <w:bottom w:val="single" w:color="auto" w:sz="4" w:space="0"/>
              <w:right w:val="single" w:color="auto" w:sz="4" w:space="0"/>
            </w:tcBorders>
          </w:tcPr>
          <w:p w14:paraId="4AAEDF91">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889" w:type="dxa"/>
            <w:tcBorders>
              <w:left w:val="single" w:color="auto" w:sz="4" w:space="0"/>
            </w:tcBorders>
            <w:vAlign w:val="center"/>
          </w:tcPr>
          <w:p w14:paraId="7A73F1FF">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eastAsia="zh-CN"/>
              </w:rPr>
            </w:pPr>
            <w:r>
              <w:rPr>
                <w:rFonts w:hint="eastAsia" w:ascii="楷体_GB2312" w:hAnsi="楷体_GB2312" w:eastAsia="楷体_GB2312" w:cs="楷体_GB2312"/>
                <w:b/>
                <w:bCs/>
                <w:color w:val="auto"/>
                <w:lang w:eastAsia="zh-CN"/>
              </w:rPr>
              <w:t>清洁</w:t>
            </w:r>
          </w:p>
          <w:p w14:paraId="104548B8">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eastAsia="zh-CN"/>
              </w:rPr>
            </w:pPr>
            <w:r>
              <w:rPr>
                <w:rFonts w:hint="eastAsia" w:ascii="楷体_GB2312" w:hAnsi="楷体_GB2312" w:eastAsia="楷体_GB2312" w:cs="楷体_GB2312"/>
                <w:b/>
                <w:bCs/>
                <w:color w:val="auto"/>
                <w:lang w:eastAsia="zh-CN"/>
              </w:rPr>
              <w:t>管理</w:t>
            </w:r>
          </w:p>
        </w:tc>
        <w:tc>
          <w:tcPr>
            <w:tcW w:w="6300" w:type="dxa"/>
            <w:vAlign w:val="center"/>
          </w:tcPr>
          <w:p w14:paraId="52443859">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经营场所、仓库、运输工具等应清洁卫生，发现脏、乱、差的，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50A74359">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464D46BF">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0FF09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jc w:val="center"/>
        </w:trPr>
        <w:tc>
          <w:tcPr>
            <w:tcW w:w="7930" w:type="dxa"/>
            <w:gridSpan w:val="3"/>
            <w:vAlign w:val="top"/>
          </w:tcPr>
          <w:p w14:paraId="40C2C4DF">
            <w:pPr>
              <w:pStyle w:val="141"/>
              <w:keepNext w:val="0"/>
              <w:keepLines w:val="0"/>
              <w:pageBreakBefore w:val="0"/>
              <w:widowControl w:val="0"/>
              <w:kinsoku/>
              <w:wordWrap/>
              <w:overflowPunct/>
              <w:topLinePunct w:val="0"/>
              <w:autoSpaceDE/>
              <w:autoSpaceDN/>
              <w:bidi w:val="0"/>
              <w:adjustRightInd/>
              <w:snapToGrid/>
              <w:spacing w:before="132" w:line="300" w:lineRule="exact"/>
              <w:ind w:left="3041"/>
              <w:jc w:val="left"/>
              <w:rPr>
                <w:color w:val="auto"/>
              </w:rPr>
            </w:pPr>
            <w:r>
              <w:rPr>
                <w:rFonts w:hint="eastAsia" w:ascii="黑体" w:hAnsi="黑体" w:eastAsia="黑体" w:cs="黑体"/>
                <w:color w:val="auto"/>
                <w:spacing w:val="-6"/>
              </w:rPr>
              <w:t>合计</w:t>
            </w:r>
          </w:p>
        </w:tc>
        <w:tc>
          <w:tcPr>
            <w:tcW w:w="790" w:type="dxa"/>
          </w:tcPr>
          <w:p w14:paraId="4D921639">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7F758424">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33866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7930" w:type="dxa"/>
            <w:gridSpan w:val="3"/>
            <w:vAlign w:val="top"/>
          </w:tcPr>
          <w:p w14:paraId="79985588">
            <w:pPr>
              <w:pStyle w:val="141"/>
              <w:keepNext w:val="0"/>
              <w:keepLines w:val="0"/>
              <w:pageBreakBefore w:val="0"/>
              <w:widowControl w:val="0"/>
              <w:kinsoku/>
              <w:wordWrap/>
              <w:overflowPunct/>
              <w:topLinePunct w:val="0"/>
              <w:autoSpaceDE/>
              <w:autoSpaceDN/>
              <w:bidi w:val="0"/>
              <w:adjustRightInd/>
              <w:snapToGrid/>
              <w:spacing w:before="129" w:line="300" w:lineRule="exact"/>
              <w:ind w:left="1307"/>
              <w:jc w:val="left"/>
              <w:rPr>
                <w:color w:val="auto"/>
                <w:lang w:eastAsia="zh-CN"/>
              </w:rPr>
            </w:pPr>
            <w:r>
              <w:rPr>
                <w:rFonts w:hint="eastAsia" w:ascii="黑体" w:hAnsi="黑体" w:eastAsia="黑体" w:cs="黑体"/>
                <w:color w:val="auto"/>
                <w:spacing w:val="-1"/>
                <w:lang w:eastAsia="zh-CN"/>
              </w:rPr>
              <w:t>总得分（总得分=100-合计的扣分值）</w:t>
            </w:r>
          </w:p>
        </w:tc>
        <w:tc>
          <w:tcPr>
            <w:tcW w:w="790" w:type="dxa"/>
          </w:tcPr>
          <w:p w14:paraId="02199AA8">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7F2664DE">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6E384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jc w:val="center"/>
        </w:trPr>
        <w:tc>
          <w:tcPr>
            <w:tcW w:w="741" w:type="dxa"/>
          </w:tcPr>
          <w:p w14:paraId="58A24BB6">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p w14:paraId="538AE7AD">
            <w:pPr>
              <w:pStyle w:val="141"/>
              <w:keepNext w:val="0"/>
              <w:keepLines w:val="0"/>
              <w:pageBreakBefore w:val="0"/>
              <w:widowControl w:val="0"/>
              <w:kinsoku/>
              <w:wordWrap/>
              <w:overflowPunct/>
              <w:topLinePunct w:val="0"/>
              <w:autoSpaceDE/>
              <w:autoSpaceDN/>
              <w:bidi w:val="0"/>
              <w:adjustRightInd/>
              <w:snapToGrid/>
              <w:spacing w:before="78" w:line="300" w:lineRule="exact"/>
              <w:jc w:val="center"/>
              <w:rPr>
                <w:color w:val="auto"/>
              </w:rPr>
            </w:pPr>
            <w:r>
              <w:rPr>
                <w:rFonts w:hint="eastAsia" w:ascii="黑体" w:hAnsi="黑体" w:eastAsia="黑体" w:cs="黑体"/>
                <w:color w:val="auto"/>
                <w:spacing w:val="-7"/>
              </w:rPr>
              <w:t>说明</w:t>
            </w:r>
          </w:p>
        </w:tc>
        <w:tc>
          <w:tcPr>
            <w:tcW w:w="8691" w:type="dxa"/>
            <w:gridSpan w:val="4"/>
            <w:vAlign w:val="center"/>
          </w:tcPr>
          <w:p w14:paraId="671106DF">
            <w:pPr>
              <w:pStyle w:val="141"/>
              <w:keepNext w:val="0"/>
              <w:keepLines w:val="0"/>
              <w:pageBreakBefore w:val="0"/>
              <w:widowControl w:val="0"/>
              <w:kinsoku/>
              <w:wordWrap/>
              <w:overflowPunct/>
              <w:topLinePunct w:val="0"/>
              <w:autoSpaceDE/>
              <w:autoSpaceDN/>
              <w:bidi w:val="0"/>
              <w:adjustRightInd/>
              <w:snapToGrid/>
              <w:spacing w:line="300" w:lineRule="exact"/>
              <w:ind w:left="113" w:right="108"/>
              <w:jc w:val="left"/>
              <w:rPr>
                <w:rFonts w:hint="eastAsia" w:eastAsia="宋体"/>
                <w:color w:val="auto"/>
                <w:lang w:eastAsia="zh-CN"/>
              </w:rPr>
            </w:pPr>
            <w:r>
              <w:rPr>
                <w:rFonts w:hint="eastAsia" w:ascii="仿宋_GB2312" w:hAnsi="仿宋_GB2312" w:eastAsia="仿宋_GB2312" w:cs="仿宋_GB2312"/>
                <w:color w:val="auto"/>
                <w:spacing w:val="-3"/>
                <w:sz w:val="24"/>
                <w:szCs w:val="24"/>
                <w:lang w:eastAsia="zh-CN"/>
              </w:rPr>
              <w:t>考核总得分为</w:t>
            </w:r>
            <w:r>
              <w:rPr>
                <w:rFonts w:hint="eastAsia" w:ascii="仿宋_GB2312" w:hAnsi="仿宋_GB2312" w:eastAsia="仿宋_GB2312" w:cs="仿宋_GB2312"/>
                <w:color w:val="auto"/>
                <w:spacing w:val="-49"/>
                <w:sz w:val="24"/>
                <w:szCs w:val="24"/>
                <w:lang w:eastAsia="zh-CN"/>
              </w:rPr>
              <w:t xml:space="preserve"> </w:t>
            </w:r>
            <w:r>
              <w:rPr>
                <w:rFonts w:hint="eastAsia" w:ascii="仿宋_GB2312" w:hAnsi="仿宋_GB2312" w:eastAsia="仿宋_GB2312" w:cs="仿宋_GB2312"/>
                <w:color w:val="auto"/>
                <w:spacing w:val="-3"/>
                <w:sz w:val="24"/>
                <w:szCs w:val="24"/>
                <w:lang w:val="en-US" w:eastAsia="zh-CN"/>
              </w:rPr>
              <w:t>8</w:t>
            </w:r>
            <w:r>
              <w:rPr>
                <w:rFonts w:hint="eastAsia" w:ascii="仿宋_GB2312" w:hAnsi="仿宋_GB2312" w:eastAsia="仿宋_GB2312" w:cs="仿宋_GB2312"/>
                <w:color w:val="auto"/>
                <w:spacing w:val="-3"/>
                <w:sz w:val="24"/>
                <w:szCs w:val="24"/>
                <w:lang w:eastAsia="zh-CN"/>
              </w:rPr>
              <w:t>0</w:t>
            </w:r>
            <w:r>
              <w:rPr>
                <w:rFonts w:hint="eastAsia" w:ascii="仿宋_GB2312" w:hAnsi="仿宋_GB2312" w:eastAsia="仿宋_GB2312" w:cs="仿宋_GB2312"/>
                <w:color w:val="auto"/>
                <w:spacing w:val="-48"/>
                <w:sz w:val="24"/>
                <w:szCs w:val="24"/>
                <w:lang w:eastAsia="zh-CN"/>
              </w:rPr>
              <w:t xml:space="preserve"> </w:t>
            </w:r>
            <w:r>
              <w:rPr>
                <w:rFonts w:hint="eastAsia" w:ascii="仿宋_GB2312" w:hAnsi="仿宋_GB2312" w:eastAsia="仿宋_GB2312" w:cs="仿宋_GB2312"/>
                <w:color w:val="auto"/>
                <w:spacing w:val="-3"/>
                <w:sz w:val="24"/>
                <w:szCs w:val="24"/>
                <w:lang w:eastAsia="zh-CN"/>
              </w:rPr>
              <w:t>分为合格，</w:t>
            </w:r>
            <w:r>
              <w:rPr>
                <w:rFonts w:hint="eastAsia" w:ascii="仿宋_GB2312" w:hAnsi="仿宋_GB2312" w:eastAsia="仿宋_GB2312" w:cs="仿宋_GB2312"/>
                <w:color w:val="auto"/>
                <w:sz w:val="24"/>
                <w:szCs w:val="24"/>
                <w:lang w:val="en-US" w:eastAsia="zh-CN"/>
              </w:rPr>
              <w:t>在教育局双减办每月</w:t>
            </w:r>
            <w:r>
              <w:rPr>
                <w:rFonts w:hint="eastAsia" w:ascii="仿宋_GB2312" w:hAnsi="仿宋_GB2312" w:eastAsia="仿宋_GB2312" w:cs="仿宋_GB2312"/>
                <w:color w:val="auto"/>
                <w:sz w:val="24"/>
                <w:szCs w:val="24"/>
              </w:rPr>
              <w:t>组织相关</w:t>
            </w:r>
            <w:r>
              <w:rPr>
                <w:rFonts w:hint="eastAsia" w:ascii="仿宋_GB2312" w:hAnsi="仿宋_GB2312" w:eastAsia="仿宋_GB2312" w:cs="仿宋_GB2312"/>
                <w:color w:val="auto"/>
                <w:sz w:val="24"/>
                <w:szCs w:val="24"/>
                <w:lang w:val="en-US" w:eastAsia="zh-CN"/>
              </w:rPr>
              <w:t>部门</w:t>
            </w:r>
            <w:r>
              <w:rPr>
                <w:rFonts w:hint="eastAsia" w:ascii="仿宋_GB2312" w:hAnsi="仿宋_GB2312" w:eastAsia="仿宋_GB2312" w:cs="仿宋_GB2312"/>
                <w:color w:val="auto"/>
                <w:sz w:val="24"/>
                <w:szCs w:val="24"/>
                <w:lang w:eastAsia="zh-CN"/>
              </w:rPr>
              <w:t>对食材配送企业</w:t>
            </w:r>
            <w:r>
              <w:rPr>
                <w:rFonts w:hint="eastAsia" w:ascii="仿宋_GB2312" w:hAnsi="仿宋_GB2312" w:eastAsia="仿宋_GB2312" w:cs="仿宋_GB2312"/>
                <w:color w:val="auto"/>
                <w:sz w:val="24"/>
                <w:szCs w:val="24"/>
              </w:rPr>
              <w:t>进行综合考核评议</w:t>
            </w:r>
            <w:r>
              <w:rPr>
                <w:rFonts w:hint="eastAsia" w:ascii="仿宋_GB2312" w:hAnsi="仿宋_GB2312" w:eastAsia="仿宋_GB2312" w:cs="仿宋_GB2312"/>
                <w:color w:val="auto"/>
                <w:sz w:val="24"/>
                <w:szCs w:val="24"/>
                <w:lang w:val="en-US" w:eastAsia="zh-CN"/>
              </w:rPr>
              <w:t>中</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每年有三次以上（含三次）得分低于80分</w:t>
            </w:r>
            <w:r>
              <w:rPr>
                <w:rFonts w:hint="eastAsia" w:ascii="仿宋_GB2312" w:hAnsi="仿宋_GB2312" w:eastAsia="仿宋_GB2312" w:cs="仿宋_GB2312"/>
                <w:color w:val="auto"/>
                <w:sz w:val="24"/>
                <w:szCs w:val="24"/>
              </w:rPr>
              <w:t>的</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教育局有权终</w:t>
            </w:r>
            <w:r>
              <w:rPr>
                <w:rFonts w:hint="eastAsia" w:ascii="仿宋_GB2312" w:hAnsi="仿宋_GB2312" w:eastAsia="仿宋_GB2312" w:cs="仿宋_GB2312"/>
                <w:color w:val="auto"/>
                <w:sz w:val="24"/>
                <w:szCs w:val="24"/>
              </w:rPr>
              <w:t>止与中标</w:t>
            </w:r>
            <w:r>
              <w:rPr>
                <w:rFonts w:hint="eastAsia" w:ascii="仿宋_GB2312" w:hAnsi="仿宋_GB2312" w:eastAsia="仿宋_GB2312" w:cs="仿宋_GB2312"/>
                <w:color w:val="auto"/>
                <w:sz w:val="24"/>
                <w:szCs w:val="24"/>
                <w:lang w:eastAsia="zh-CN"/>
              </w:rPr>
              <w:t>人</w:t>
            </w:r>
            <w:r>
              <w:rPr>
                <w:rFonts w:hint="eastAsia" w:ascii="仿宋_GB2312" w:hAnsi="仿宋_GB2312" w:eastAsia="仿宋_GB2312" w:cs="仿宋_GB2312"/>
                <w:color w:val="auto"/>
                <w:sz w:val="24"/>
                <w:szCs w:val="24"/>
              </w:rPr>
              <w:t>合作</w:t>
            </w:r>
            <w:r>
              <w:rPr>
                <w:rFonts w:hint="eastAsia" w:ascii="仿宋_GB2312" w:hAnsi="仿宋_GB2312" w:eastAsia="仿宋_GB2312" w:cs="仿宋_GB2312"/>
                <w:color w:val="auto"/>
                <w:sz w:val="24"/>
                <w:szCs w:val="24"/>
                <w:lang w:eastAsia="zh-CN"/>
              </w:rPr>
              <w:t>。</w:t>
            </w:r>
          </w:p>
        </w:tc>
      </w:tr>
    </w:tbl>
    <w:p w14:paraId="4FE64DC2">
      <w:pPr>
        <w:keepNext w:val="0"/>
        <w:keepLines w:val="0"/>
        <w:pageBreakBefore w:val="0"/>
        <w:widowControl w:val="0"/>
        <w:kinsoku/>
        <w:wordWrap/>
        <w:overflowPunct/>
        <w:topLinePunct w:val="0"/>
        <w:autoSpaceDE/>
        <w:autoSpaceDN/>
        <w:bidi w:val="0"/>
        <w:adjustRightInd/>
        <w:snapToGrid/>
        <w:spacing w:line="440" w:lineRule="exact"/>
        <w:rPr>
          <w:color w:val="auto"/>
        </w:rPr>
      </w:pPr>
      <w:r>
        <w:rPr>
          <w:rFonts w:hint="eastAsia"/>
          <w:color w:val="auto"/>
          <w:sz w:val="24"/>
          <w:lang w:val="en-US" w:eastAsia="zh-CN"/>
        </w:rPr>
        <w:t>考核人员</w:t>
      </w:r>
      <w:r>
        <w:rPr>
          <w:color w:val="auto"/>
          <w:sz w:val="24"/>
        </w:rPr>
        <w:t>签字：</w:t>
      </w:r>
    </w:p>
    <w:p w14:paraId="4258EFB2">
      <w:pPr>
        <w:rPr>
          <w:rFonts w:hint="eastAsia" w:ascii="Arial Unicode MS" w:hAnsi="Arial Unicode MS" w:eastAsia="Arial Unicode MS" w:cs="Arial Unicode MS"/>
          <w:color w:val="auto"/>
          <w:sz w:val="40"/>
          <w:szCs w:val="40"/>
          <w:highlight w:val="none"/>
        </w:rPr>
      </w:pPr>
    </w:p>
    <w:p w14:paraId="265D2FDE">
      <w:pPr>
        <w:spacing w:line="528" w:lineRule="exact"/>
        <w:jc w:val="left"/>
        <w:rPr>
          <w:rFonts w:hint="default" w:ascii="Arial Unicode MS" w:hAnsi="Arial Unicode MS" w:eastAsia="Arial Unicode MS" w:cs="Arial Unicode MS"/>
          <w:color w:val="auto"/>
          <w:sz w:val="40"/>
          <w:szCs w:val="40"/>
          <w:highlight w:val="none"/>
          <w:lang w:val="en-US" w:eastAsia="zh-CN"/>
        </w:rPr>
      </w:pPr>
      <w:r>
        <w:rPr>
          <w:rFonts w:hint="eastAsia" w:ascii="Arial Unicode MS" w:hAnsi="Arial Unicode MS" w:eastAsia="Arial Unicode MS" w:cs="Arial Unicode MS"/>
          <w:color w:val="auto"/>
          <w:sz w:val="40"/>
          <w:szCs w:val="40"/>
          <w:highlight w:val="none"/>
          <w:lang w:val="en-US" w:eastAsia="zh-CN"/>
        </w:rPr>
        <w:t>附件2：</w:t>
      </w:r>
    </w:p>
    <w:p w14:paraId="013A4238">
      <w:pPr>
        <w:spacing w:line="528" w:lineRule="exact"/>
        <w:jc w:val="center"/>
        <w:rPr>
          <w:rFonts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tbl>
      <w:tblPr>
        <w:tblStyle w:val="36"/>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5527C71E">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ign w:val="center"/>
          </w:tcPr>
          <w:p w14:paraId="1F98A8FB">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ign w:val="center"/>
          </w:tcPr>
          <w:p w14:paraId="6AC74C4D">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ign w:val="center"/>
          </w:tcPr>
          <w:p w14:paraId="66556C25">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ign w:val="center"/>
          </w:tcPr>
          <w:p w14:paraId="45B3F4B7">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noWrap/>
            <w:vAlign w:val="center"/>
          </w:tcPr>
          <w:p w14:paraId="0069411C">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ign w:val="center"/>
          </w:tcPr>
          <w:p w14:paraId="1CDC7F3D">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7EEA7A34">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40A810C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noWrap/>
            <w:vAlign w:val="center"/>
          </w:tcPr>
          <w:p w14:paraId="7A1ACF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1F8ED6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E36BC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ign w:val="center"/>
          </w:tcPr>
          <w:p w14:paraId="0CD903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134" w:type="dxa"/>
            <w:tcBorders>
              <w:top w:val="nil"/>
              <w:left w:val="nil"/>
              <w:bottom w:val="single" w:color="auto" w:sz="4" w:space="0"/>
              <w:right w:val="single" w:color="auto" w:sz="4" w:space="0"/>
            </w:tcBorders>
            <w:noWrap/>
            <w:vAlign w:val="center"/>
          </w:tcPr>
          <w:p w14:paraId="3C1C60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6FD24CF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184363E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noWrap/>
            <w:vAlign w:val="center"/>
          </w:tcPr>
          <w:p w14:paraId="1F89D8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630BF4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158697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6B08C0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2981C37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119198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07CEF1F">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77A709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1E20C78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D5E7F3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701" w:type="dxa"/>
            <w:tcBorders>
              <w:top w:val="nil"/>
              <w:left w:val="nil"/>
              <w:bottom w:val="single" w:color="auto" w:sz="4" w:space="0"/>
              <w:right w:val="single" w:color="auto" w:sz="4" w:space="0"/>
            </w:tcBorders>
            <w:noWrap/>
            <w:vAlign w:val="center"/>
          </w:tcPr>
          <w:p w14:paraId="5186493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134" w:type="dxa"/>
            <w:tcBorders>
              <w:top w:val="nil"/>
              <w:left w:val="nil"/>
              <w:bottom w:val="single" w:color="auto" w:sz="4" w:space="0"/>
              <w:right w:val="single" w:color="auto" w:sz="4" w:space="0"/>
            </w:tcBorders>
            <w:noWrap/>
            <w:vAlign w:val="center"/>
          </w:tcPr>
          <w:p w14:paraId="2EE902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20D10F4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C2F593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noWrap/>
            <w:vAlign w:val="center"/>
          </w:tcPr>
          <w:p w14:paraId="39D592E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0759E0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A03AD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701" w:type="dxa"/>
            <w:tcBorders>
              <w:top w:val="nil"/>
              <w:left w:val="nil"/>
              <w:bottom w:val="single" w:color="auto" w:sz="4" w:space="0"/>
              <w:right w:val="single" w:color="auto" w:sz="4" w:space="0"/>
            </w:tcBorders>
            <w:noWrap/>
            <w:vAlign w:val="center"/>
          </w:tcPr>
          <w:p w14:paraId="5CF5F2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134" w:type="dxa"/>
            <w:tcBorders>
              <w:top w:val="nil"/>
              <w:left w:val="nil"/>
              <w:bottom w:val="single" w:color="auto" w:sz="4" w:space="0"/>
              <w:right w:val="single" w:color="auto" w:sz="4" w:space="0"/>
            </w:tcBorders>
            <w:noWrap/>
            <w:vAlign w:val="center"/>
          </w:tcPr>
          <w:p w14:paraId="1626AD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7979738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9F8F1EC">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75BA333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1F837F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1241C8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701" w:type="dxa"/>
            <w:tcBorders>
              <w:top w:val="nil"/>
              <w:left w:val="nil"/>
              <w:bottom w:val="single" w:color="auto" w:sz="4" w:space="0"/>
              <w:right w:val="single" w:color="auto" w:sz="4" w:space="0"/>
            </w:tcBorders>
            <w:noWrap/>
            <w:vAlign w:val="center"/>
          </w:tcPr>
          <w:p w14:paraId="5B8D49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134" w:type="dxa"/>
            <w:tcBorders>
              <w:top w:val="nil"/>
              <w:left w:val="nil"/>
              <w:bottom w:val="single" w:color="auto" w:sz="4" w:space="0"/>
              <w:right w:val="single" w:color="auto" w:sz="4" w:space="0"/>
            </w:tcBorders>
            <w:noWrap/>
            <w:vAlign w:val="center"/>
          </w:tcPr>
          <w:p w14:paraId="62BE83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7CB2389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1C50E3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noWrap/>
            <w:vAlign w:val="center"/>
          </w:tcPr>
          <w:p w14:paraId="363133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305B64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4EA8BC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701" w:type="dxa"/>
            <w:tcBorders>
              <w:top w:val="nil"/>
              <w:left w:val="nil"/>
              <w:bottom w:val="single" w:color="auto" w:sz="4" w:space="0"/>
              <w:right w:val="single" w:color="auto" w:sz="4" w:space="0"/>
            </w:tcBorders>
            <w:noWrap/>
            <w:vAlign w:val="center"/>
          </w:tcPr>
          <w:p w14:paraId="7D6AB6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134" w:type="dxa"/>
            <w:tcBorders>
              <w:top w:val="nil"/>
              <w:left w:val="nil"/>
              <w:bottom w:val="single" w:color="auto" w:sz="4" w:space="0"/>
              <w:right w:val="single" w:color="auto" w:sz="4" w:space="0"/>
            </w:tcBorders>
            <w:noWrap/>
            <w:vAlign w:val="center"/>
          </w:tcPr>
          <w:p w14:paraId="4FC81A2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0A54409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D45C5EF">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50CF85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66D47C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1ED4FC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701" w:type="dxa"/>
            <w:tcBorders>
              <w:top w:val="nil"/>
              <w:left w:val="nil"/>
              <w:bottom w:val="single" w:color="auto" w:sz="4" w:space="0"/>
              <w:right w:val="single" w:color="auto" w:sz="4" w:space="0"/>
            </w:tcBorders>
            <w:noWrap/>
            <w:vAlign w:val="center"/>
          </w:tcPr>
          <w:p w14:paraId="62D8DA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134" w:type="dxa"/>
            <w:tcBorders>
              <w:top w:val="nil"/>
              <w:left w:val="nil"/>
              <w:bottom w:val="single" w:color="auto" w:sz="4" w:space="0"/>
              <w:right w:val="single" w:color="auto" w:sz="4" w:space="0"/>
            </w:tcBorders>
            <w:noWrap/>
            <w:vAlign w:val="center"/>
          </w:tcPr>
          <w:p w14:paraId="691212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718CB7C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A0FA21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noWrap/>
            <w:vAlign w:val="center"/>
          </w:tcPr>
          <w:p w14:paraId="1A8E23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1A6B3E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1873C8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701" w:type="dxa"/>
            <w:tcBorders>
              <w:top w:val="nil"/>
              <w:left w:val="nil"/>
              <w:bottom w:val="single" w:color="auto" w:sz="4" w:space="0"/>
              <w:right w:val="single" w:color="auto" w:sz="4" w:space="0"/>
            </w:tcBorders>
            <w:noWrap/>
            <w:vAlign w:val="center"/>
          </w:tcPr>
          <w:p w14:paraId="73381E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134" w:type="dxa"/>
            <w:tcBorders>
              <w:top w:val="nil"/>
              <w:left w:val="nil"/>
              <w:bottom w:val="single" w:color="auto" w:sz="4" w:space="0"/>
              <w:right w:val="single" w:color="auto" w:sz="4" w:space="0"/>
            </w:tcBorders>
            <w:noWrap/>
            <w:vAlign w:val="center"/>
          </w:tcPr>
          <w:p w14:paraId="1B061F5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A010D4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5C91E3A">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17A991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10D454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259A1D3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ign w:val="center"/>
          </w:tcPr>
          <w:p w14:paraId="02B1A1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134" w:type="dxa"/>
            <w:tcBorders>
              <w:top w:val="nil"/>
              <w:left w:val="nil"/>
              <w:bottom w:val="single" w:color="auto" w:sz="4" w:space="0"/>
              <w:right w:val="single" w:color="auto" w:sz="4" w:space="0"/>
            </w:tcBorders>
            <w:noWrap/>
            <w:vAlign w:val="center"/>
          </w:tcPr>
          <w:p w14:paraId="6C715F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57C028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2914D2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noWrap/>
            <w:vAlign w:val="center"/>
          </w:tcPr>
          <w:p w14:paraId="55C06C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79AA3A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72E743C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4B5227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27F0EC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54D1811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9AF008B">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5C213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132A30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15B6EEA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701" w:type="dxa"/>
            <w:tcBorders>
              <w:top w:val="nil"/>
              <w:left w:val="nil"/>
              <w:bottom w:val="single" w:color="auto" w:sz="4" w:space="0"/>
              <w:right w:val="single" w:color="auto" w:sz="4" w:space="0"/>
            </w:tcBorders>
            <w:noWrap/>
            <w:vAlign w:val="center"/>
          </w:tcPr>
          <w:p w14:paraId="1B53A5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134" w:type="dxa"/>
            <w:tcBorders>
              <w:top w:val="nil"/>
              <w:left w:val="nil"/>
              <w:bottom w:val="single" w:color="auto" w:sz="4" w:space="0"/>
              <w:right w:val="single" w:color="auto" w:sz="4" w:space="0"/>
            </w:tcBorders>
            <w:noWrap/>
            <w:vAlign w:val="center"/>
          </w:tcPr>
          <w:p w14:paraId="7C1E716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1423B5B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7A2390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noWrap/>
            <w:vAlign w:val="center"/>
          </w:tcPr>
          <w:p w14:paraId="296163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026DB1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445032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701" w:type="dxa"/>
            <w:tcBorders>
              <w:top w:val="nil"/>
              <w:left w:val="nil"/>
              <w:bottom w:val="single" w:color="auto" w:sz="4" w:space="0"/>
              <w:right w:val="single" w:color="auto" w:sz="4" w:space="0"/>
            </w:tcBorders>
            <w:noWrap/>
            <w:vAlign w:val="center"/>
          </w:tcPr>
          <w:p w14:paraId="5C1B09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134" w:type="dxa"/>
            <w:tcBorders>
              <w:top w:val="nil"/>
              <w:left w:val="nil"/>
              <w:bottom w:val="single" w:color="auto" w:sz="4" w:space="0"/>
              <w:right w:val="single" w:color="auto" w:sz="4" w:space="0"/>
            </w:tcBorders>
            <w:noWrap/>
            <w:vAlign w:val="center"/>
          </w:tcPr>
          <w:p w14:paraId="4C5A9D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57A3C9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7F4A15B">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5AA280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1BCFA9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9C5EC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701" w:type="dxa"/>
            <w:tcBorders>
              <w:top w:val="nil"/>
              <w:left w:val="nil"/>
              <w:bottom w:val="single" w:color="auto" w:sz="4" w:space="0"/>
              <w:right w:val="single" w:color="auto" w:sz="4" w:space="0"/>
            </w:tcBorders>
            <w:noWrap/>
            <w:vAlign w:val="center"/>
          </w:tcPr>
          <w:p w14:paraId="3CCF93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ign w:val="center"/>
          </w:tcPr>
          <w:p w14:paraId="7D04EB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62021B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3860C7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noWrap/>
            <w:vAlign w:val="center"/>
          </w:tcPr>
          <w:p w14:paraId="234BFD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0C99681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62B83D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277776D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4B7A8C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79A1B6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4A462B31">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3F64DC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080055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E0601E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701" w:type="dxa"/>
            <w:tcBorders>
              <w:top w:val="nil"/>
              <w:left w:val="nil"/>
              <w:bottom w:val="single" w:color="auto" w:sz="4" w:space="0"/>
              <w:right w:val="single" w:color="auto" w:sz="4" w:space="0"/>
            </w:tcBorders>
            <w:noWrap/>
            <w:vAlign w:val="center"/>
          </w:tcPr>
          <w:p w14:paraId="0534AE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33592E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1D82C2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E3E3C4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noWrap/>
            <w:vAlign w:val="center"/>
          </w:tcPr>
          <w:p w14:paraId="1890B6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20970F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5309C8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714BFA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59C2B3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64AE2E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017A620">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43793B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3D47EA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634064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ign w:val="center"/>
          </w:tcPr>
          <w:p w14:paraId="4594C7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31010D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AD396D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285023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noWrap/>
            <w:vAlign w:val="center"/>
          </w:tcPr>
          <w:p w14:paraId="5820A2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5D4EAA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3B0748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30E09D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33FEA6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DA240F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C8F2140">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4D926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5C5BF7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36C92FC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ign w:val="center"/>
          </w:tcPr>
          <w:p w14:paraId="31C5C5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442245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61BB49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806CA4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noWrap/>
            <w:vAlign w:val="center"/>
          </w:tcPr>
          <w:p w14:paraId="41EE0C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5C227D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0C10E5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701" w:type="dxa"/>
            <w:tcBorders>
              <w:top w:val="nil"/>
              <w:left w:val="nil"/>
              <w:bottom w:val="single" w:color="auto" w:sz="4" w:space="0"/>
              <w:right w:val="single" w:color="auto" w:sz="4" w:space="0"/>
            </w:tcBorders>
            <w:noWrap/>
            <w:vAlign w:val="center"/>
          </w:tcPr>
          <w:p w14:paraId="010840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3AE59D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232B07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0C041286">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42495B3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3A97D9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3F193E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noWrap/>
            <w:vAlign w:val="center"/>
          </w:tcPr>
          <w:p w14:paraId="447A965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ign w:val="center"/>
          </w:tcPr>
          <w:p w14:paraId="2D309C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82D705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538634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ign w:val="center"/>
          </w:tcPr>
          <w:p w14:paraId="34E7C4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69B7C5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2C7044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3E2C716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280D523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1DB2A9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FE786AD">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013822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5F2111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187BD5F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701" w:type="dxa"/>
            <w:tcBorders>
              <w:top w:val="nil"/>
              <w:left w:val="nil"/>
              <w:bottom w:val="single" w:color="auto" w:sz="4" w:space="0"/>
              <w:right w:val="single" w:color="auto" w:sz="4" w:space="0"/>
            </w:tcBorders>
            <w:noWrap/>
            <w:vAlign w:val="center"/>
          </w:tcPr>
          <w:p w14:paraId="104550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134" w:type="dxa"/>
            <w:tcBorders>
              <w:top w:val="nil"/>
              <w:left w:val="nil"/>
              <w:bottom w:val="single" w:color="auto" w:sz="4" w:space="0"/>
              <w:right w:val="single" w:color="auto" w:sz="4" w:space="0"/>
            </w:tcBorders>
            <w:noWrap/>
            <w:vAlign w:val="center"/>
          </w:tcPr>
          <w:p w14:paraId="382984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2D58713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68EF75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noWrap/>
            <w:vAlign w:val="center"/>
          </w:tcPr>
          <w:p w14:paraId="51BE54C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4DB4FD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4F87B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noWrap/>
            <w:vAlign w:val="center"/>
          </w:tcPr>
          <w:p w14:paraId="0E00A0B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134" w:type="dxa"/>
            <w:tcBorders>
              <w:top w:val="nil"/>
              <w:left w:val="nil"/>
              <w:bottom w:val="single" w:color="auto" w:sz="4" w:space="0"/>
              <w:right w:val="single" w:color="auto" w:sz="4" w:space="0"/>
            </w:tcBorders>
            <w:noWrap/>
            <w:vAlign w:val="center"/>
          </w:tcPr>
          <w:p w14:paraId="0376D7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7410BA0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16FDFC3">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5F4789E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2EA67D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30E08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701" w:type="dxa"/>
            <w:tcBorders>
              <w:top w:val="nil"/>
              <w:left w:val="nil"/>
              <w:bottom w:val="single" w:color="auto" w:sz="4" w:space="0"/>
              <w:right w:val="single" w:color="auto" w:sz="4" w:space="0"/>
            </w:tcBorders>
            <w:noWrap/>
            <w:vAlign w:val="center"/>
          </w:tcPr>
          <w:p w14:paraId="5BCAA4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134" w:type="dxa"/>
            <w:tcBorders>
              <w:top w:val="nil"/>
              <w:left w:val="nil"/>
              <w:bottom w:val="single" w:color="auto" w:sz="4" w:space="0"/>
              <w:right w:val="single" w:color="auto" w:sz="4" w:space="0"/>
            </w:tcBorders>
            <w:noWrap/>
            <w:vAlign w:val="center"/>
          </w:tcPr>
          <w:p w14:paraId="736E9B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09DC151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82A48F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noWrap/>
            <w:vAlign w:val="center"/>
          </w:tcPr>
          <w:p w14:paraId="648C04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4A01DC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756E9B6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42D1C9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134" w:type="dxa"/>
            <w:tcBorders>
              <w:top w:val="nil"/>
              <w:left w:val="nil"/>
              <w:bottom w:val="single" w:color="auto" w:sz="4" w:space="0"/>
              <w:right w:val="single" w:color="auto" w:sz="4" w:space="0"/>
            </w:tcBorders>
            <w:noWrap/>
            <w:vAlign w:val="center"/>
          </w:tcPr>
          <w:p w14:paraId="686A5F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16295AD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76EAAC5">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58562A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081B2E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18986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701" w:type="dxa"/>
            <w:tcBorders>
              <w:top w:val="nil"/>
              <w:left w:val="nil"/>
              <w:bottom w:val="single" w:color="auto" w:sz="4" w:space="0"/>
              <w:right w:val="single" w:color="auto" w:sz="4" w:space="0"/>
            </w:tcBorders>
            <w:noWrap/>
            <w:vAlign w:val="center"/>
          </w:tcPr>
          <w:p w14:paraId="667791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134" w:type="dxa"/>
            <w:tcBorders>
              <w:top w:val="nil"/>
              <w:left w:val="nil"/>
              <w:bottom w:val="single" w:color="auto" w:sz="4" w:space="0"/>
              <w:right w:val="single" w:color="auto" w:sz="4" w:space="0"/>
            </w:tcBorders>
            <w:noWrap/>
            <w:vAlign w:val="center"/>
          </w:tcPr>
          <w:p w14:paraId="77AB5D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6D8F101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2717DD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noWrap/>
            <w:vAlign w:val="center"/>
          </w:tcPr>
          <w:p w14:paraId="198D75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5C3A83F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30D2A7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646AB2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703CAD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C3B94A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958DDE3">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36D78F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0ED62F8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0AEE42D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noWrap/>
            <w:vAlign w:val="center"/>
          </w:tcPr>
          <w:p w14:paraId="6FB287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134" w:type="dxa"/>
            <w:tcBorders>
              <w:top w:val="nil"/>
              <w:left w:val="nil"/>
              <w:bottom w:val="single" w:color="auto" w:sz="4" w:space="0"/>
              <w:right w:val="single" w:color="auto" w:sz="4" w:space="0"/>
            </w:tcBorders>
            <w:noWrap/>
            <w:vAlign w:val="center"/>
          </w:tcPr>
          <w:p w14:paraId="3F14CB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8FBE6F3">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38B8C95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noWrap/>
            <w:vAlign w:val="center"/>
          </w:tcPr>
          <w:p w14:paraId="0CC316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29A10F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720E46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2BC167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6BBC38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4738AA12">
      <w:pPr>
        <w:spacing w:line="560" w:lineRule="exact"/>
        <w:rPr>
          <w:rFonts w:hAnsi="宋体"/>
          <w:color w:val="auto"/>
          <w:highlight w:val="none"/>
        </w:rPr>
        <w:sectPr>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bookmarkEnd w:id="48"/>
    <w:p w14:paraId="38713F0E">
      <w:pPr>
        <w:pStyle w:val="19"/>
        <w:jc w:val="center"/>
        <w:outlineLvl w:val="0"/>
        <w:rPr>
          <w:rFonts w:hAnsi="宋体"/>
          <w:b/>
          <w:color w:val="auto"/>
          <w:sz w:val="36"/>
          <w:szCs w:val="36"/>
          <w:highlight w:val="none"/>
        </w:rPr>
      </w:pPr>
      <w:bookmarkStart w:id="53" w:name="_Toc532545044"/>
      <w:bookmarkStart w:id="54" w:name="_Toc80092992"/>
      <w:r>
        <w:rPr>
          <w:rFonts w:hint="eastAsia" w:ascii="Times New Roman" w:hAnsi="Times New Roman"/>
          <w:b/>
          <w:color w:val="auto"/>
          <w:sz w:val="36"/>
          <w:highlight w:val="none"/>
        </w:rPr>
        <w:t>第三章</w:t>
      </w:r>
      <w:r>
        <w:rPr>
          <w:rFonts w:ascii="Times New Roman" w:hAnsi="Times New Roman"/>
          <w:b/>
          <w:color w:val="auto"/>
          <w:sz w:val="36"/>
          <w:highlight w:val="none"/>
        </w:rPr>
        <w:t xml:space="preserve">  </w:t>
      </w:r>
      <w:r>
        <w:rPr>
          <w:rFonts w:hint="eastAsia" w:ascii="Times New Roman" w:hAnsi="Times New Roman"/>
          <w:b/>
          <w:color w:val="auto"/>
          <w:sz w:val="36"/>
          <w:highlight w:val="none"/>
        </w:rPr>
        <w:t>供应商须知</w:t>
      </w:r>
      <w:bookmarkEnd w:id="53"/>
      <w:bookmarkEnd w:id="54"/>
    </w:p>
    <w:p w14:paraId="2FDA2726">
      <w:pPr>
        <w:pStyle w:val="19"/>
        <w:spacing w:line="720" w:lineRule="auto"/>
        <w:jc w:val="center"/>
        <w:outlineLvl w:val="1"/>
        <w:rPr>
          <w:rFonts w:ascii="Times New Roman" w:hAnsi="Times New Roman"/>
          <w:b/>
          <w:color w:val="auto"/>
          <w:sz w:val="30"/>
          <w:szCs w:val="30"/>
          <w:highlight w:val="none"/>
        </w:rPr>
      </w:pPr>
      <w:bookmarkStart w:id="55" w:name="_Toc80092993"/>
      <w:r>
        <w:rPr>
          <w:rFonts w:hint="eastAsia" w:ascii="Times New Roman" w:hAnsi="Times New Roman"/>
          <w:b/>
          <w:color w:val="auto"/>
          <w:sz w:val="30"/>
          <w:szCs w:val="30"/>
          <w:highlight w:val="none"/>
        </w:rPr>
        <w:t>第一节 供应商须知前附表</w:t>
      </w:r>
      <w:bookmarkEnd w:id="55"/>
    </w:p>
    <w:tbl>
      <w:tblPr>
        <w:tblStyle w:val="36"/>
        <w:tblW w:w="10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1"/>
        <w:gridCol w:w="1972"/>
        <w:gridCol w:w="7297"/>
      </w:tblGrid>
      <w:tr w14:paraId="1552EF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1A20A493">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条款号</w:t>
            </w:r>
          </w:p>
        </w:tc>
        <w:tc>
          <w:tcPr>
            <w:tcW w:w="1972" w:type="dxa"/>
            <w:tcBorders>
              <w:top w:val="single" w:color="auto" w:sz="4" w:space="0"/>
              <w:left w:val="single" w:color="auto" w:sz="4" w:space="0"/>
              <w:bottom w:val="single" w:color="auto" w:sz="4" w:space="0"/>
              <w:right w:val="single" w:color="auto" w:sz="4" w:space="0"/>
            </w:tcBorders>
            <w:vAlign w:val="center"/>
          </w:tcPr>
          <w:p w14:paraId="2E0CACCD">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4B8C277D">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编列内容</w:t>
            </w:r>
          </w:p>
        </w:tc>
      </w:tr>
      <w:tr w14:paraId="531B7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5D1A9DD0">
            <w:pPr>
              <w:spacing w:line="400" w:lineRule="exact"/>
              <w:rPr>
                <w:rFonts w:ascii="宋体" w:hAnsi="宋体" w:cs="宋体"/>
                <w:color w:val="auto"/>
                <w:szCs w:val="21"/>
                <w:highlight w:val="none"/>
              </w:rPr>
            </w:pPr>
            <w:r>
              <w:rPr>
                <w:rFonts w:hint="eastAsia" w:ascii="宋体" w:hAnsi="宋体" w:cs="宋体"/>
                <w:color w:val="auto"/>
                <w:szCs w:val="21"/>
                <w:highlight w:val="none"/>
              </w:rPr>
              <w:t>3</w:t>
            </w:r>
          </w:p>
        </w:tc>
        <w:tc>
          <w:tcPr>
            <w:tcW w:w="1972" w:type="dxa"/>
            <w:tcBorders>
              <w:top w:val="single" w:color="auto" w:sz="4" w:space="0"/>
              <w:left w:val="single" w:color="auto" w:sz="4" w:space="0"/>
              <w:bottom w:val="single" w:color="auto" w:sz="4" w:space="0"/>
              <w:right w:val="single" w:color="auto" w:sz="4" w:space="0"/>
            </w:tcBorders>
            <w:vAlign w:val="center"/>
          </w:tcPr>
          <w:p w14:paraId="7D8AF091">
            <w:pPr>
              <w:spacing w:line="400" w:lineRule="exact"/>
              <w:rPr>
                <w:rFonts w:ascii="宋体" w:hAnsi="宋体" w:cs="宋体"/>
                <w:color w:val="auto"/>
                <w:szCs w:val="21"/>
                <w:highlight w:val="none"/>
              </w:rPr>
            </w:pPr>
            <w:r>
              <w:rPr>
                <w:rFonts w:hint="eastAsia" w:ascii="宋体" w:hAnsi="宋体"/>
                <w:color w:val="auto"/>
                <w:szCs w:val="21"/>
                <w:highlight w:val="none"/>
              </w:rPr>
              <w:t>供应商的资格要求</w:t>
            </w:r>
          </w:p>
        </w:tc>
        <w:tc>
          <w:tcPr>
            <w:tcW w:w="7297" w:type="dxa"/>
            <w:tcBorders>
              <w:top w:val="single" w:color="auto" w:sz="4" w:space="0"/>
              <w:left w:val="single" w:color="auto" w:sz="4" w:space="0"/>
              <w:bottom w:val="single" w:color="auto" w:sz="4" w:space="0"/>
              <w:right w:val="single" w:color="auto" w:sz="4" w:space="0"/>
            </w:tcBorders>
            <w:vAlign w:val="center"/>
          </w:tcPr>
          <w:p w14:paraId="49D52B8B">
            <w:pPr>
              <w:pStyle w:val="13"/>
              <w:spacing w:line="400" w:lineRule="exact"/>
              <w:rPr>
                <w:rFonts w:ascii="宋体" w:hAnsi="宋体" w:cs="宋体"/>
                <w:color w:val="auto"/>
                <w:szCs w:val="21"/>
                <w:highlight w:val="none"/>
              </w:rPr>
            </w:pPr>
            <w:r>
              <w:rPr>
                <w:rFonts w:hint="eastAsia" w:ascii="宋体" w:hAnsi="宋体"/>
                <w:color w:val="auto"/>
                <w:szCs w:val="21"/>
                <w:highlight w:val="none"/>
              </w:rPr>
              <w:t>详见“招标公告”</w:t>
            </w:r>
          </w:p>
        </w:tc>
      </w:tr>
      <w:tr w14:paraId="00DCB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0D73879B">
            <w:pPr>
              <w:spacing w:line="400" w:lineRule="exact"/>
              <w:rPr>
                <w:rFonts w:ascii="宋体" w:hAnsi="宋体" w:cs="宋体"/>
                <w:color w:val="auto"/>
                <w:szCs w:val="21"/>
                <w:highlight w:val="none"/>
              </w:rPr>
            </w:pPr>
            <w:r>
              <w:rPr>
                <w:rFonts w:hint="eastAsia" w:ascii="宋体" w:hAnsi="宋体" w:cs="宋体"/>
                <w:color w:val="auto"/>
                <w:szCs w:val="21"/>
                <w:highlight w:val="none"/>
              </w:rPr>
              <w:t>6.1</w:t>
            </w:r>
          </w:p>
        </w:tc>
        <w:tc>
          <w:tcPr>
            <w:tcW w:w="1972" w:type="dxa"/>
            <w:tcBorders>
              <w:top w:val="single" w:color="auto" w:sz="4" w:space="0"/>
              <w:left w:val="single" w:color="auto" w:sz="4" w:space="0"/>
              <w:bottom w:val="single" w:color="auto" w:sz="4" w:space="0"/>
              <w:right w:val="single" w:color="auto" w:sz="4" w:space="0"/>
            </w:tcBorders>
            <w:vAlign w:val="center"/>
          </w:tcPr>
          <w:p w14:paraId="07AFDBB1">
            <w:pPr>
              <w:spacing w:line="400" w:lineRule="exact"/>
              <w:rPr>
                <w:rFonts w:ascii="宋体" w:hAnsi="宋体" w:cs="宋体"/>
                <w:color w:val="auto"/>
                <w:szCs w:val="21"/>
                <w:highlight w:val="none"/>
              </w:rPr>
            </w:pPr>
            <w:bookmarkStart w:id="56" w:name="_8.1"/>
            <w:bookmarkEnd w:id="56"/>
            <w:bookmarkStart w:id="57" w:name="_9.2"/>
            <w:bookmarkEnd w:id="57"/>
            <w:bookmarkStart w:id="58" w:name="_5"/>
            <w:bookmarkEnd w:id="58"/>
            <w:r>
              <w:rPr>
                <w:rFonts w:hint="eastAsia" w:ascii="宋体" w:hAnsi="宋体" w:cs="宋体"/>
                <w:color w:val="auto"/>
                <w:szCs w:val="21"/>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3DD7998B">
            <w:pPr>
              <w:pStyle w:val="13"/>
              <w:spacing w:line="400" w:lineRule="exact"/>
              <w:rPr>
                <w:rFonts w:ascii="宋体" w:hAnsi="宋体" w:cs="宋体"/>
                <w:color w:val="auto"/>
                <w:szCs w:val="21"/>
                <w:highlight w:val="none"/>
              </w:rPr>
            </w:pPr>
            <w:r>
              <w:rPr>
                <w:rFonts w:hint="eastAsia" w:ascii="宋体" w:hAnsi="宋体"/>
                <w:color w:val="auto"/>
                <w:szCs w:val="21"/>
                <w:highlight w:val="none"/>
              </w:rPr>
              <w:t>详见“招标公告”</w:t>
            </w:r>
            <w:r>
              <w:rPr>
                <w:rFonts w:hint="eastAsia" w:ascii="宋体" w:hAnsi="宋体" w:cs="宋体"/>
                <w:color w:val="auto"/>
                <w:szCs w:val="21"/>
                <w:highlight w:val="none"/>
              </w:rPr>
              <w:t>。</w:t>
            </w:r>
          </w:p>
        </w:tc>
      </w:tr>
      <w:tr w14:paraId="743712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5E7BCB16">
            <w:pPr>
              <w:spacing w:line="400" w:lineRule="exact"/>
              <w:rPr>
                <w:rFonts w:ascii="宋体" w:hAnsi="宋体" w:cs="宋体"/>
                <w:color w:val="auto"/>
                <w:szCs w:val="21"/>
                <w:highlight w:val="none"/>
              </w:rPr>
            </w:pPr>
            <w:r>
              <w:rPr>
                <w:rFonts w:hint="eastAsia" w:ascii="宋体" w:hAnsi="宋体" w:cs="宋体"/>
                <w:color w:val="auto"/>
                <w:szCs w:val="21"/>
                <w:highlight w:val="none"/>
              </w:rPr>
              <w:t>6.2</w:t>
            </w:r>
          </w:p>
        </w:tc>
        <w:tc>
          <w:tcPr>
            <w:tcW w:w="1972" w:type="dxa"/>
            <w:tcBorders>
              <w:top w:val="single" w:color="auto" w:sz="4" w:space="0"/>
              <w:left w:val="single" w:color="auto" w:sz="4" w:space="0"/>
              <w:bottom w:val="single" w:color="auto" w:sz="4" w:space="0"/>
              <w:right w:val="single" w:color="auto" w:sz="4" w:space="0"/>
            </w:tcBorders>
            <w:vAlign w:val="center"/>
          </w:tcPr>
          <w:p w14:paraId="4FBF2FE7">
            <w:pPr>
              <w:spacing w:line="400" w:lineRule="exact"/>
              <w:rPr>
                <w:rFonts w:ascii="宋体" w:hAnsi="宋体" w:cs="宋体"/>
                <w:color w:val="auto"/>
                <w:szCs w:val="21"/>
                <w:highlight w:val="none"/>
              </w:rPr>
            </w:pPr>
            <w:r>
              <w:rPr>
                <w:rFonts w:hint="eastAsia" w:ascii="宋体" w:hAnsi="宋体" w:cs="宋体"/>
                <w:color w:val="auto"/>
                <w:szCs w:val="21"/>
                <w:highlight w:val="none"/>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26069F3C">
            <w:pPr>
              <w:pStyle w:val="13"/>
              <w:spacing w:line="400" w:lineRule="exact"/>
              <w:rPr>
                <w:rFonts w:ascii="宋体" w:hAnsi="宋体" w:cs="宋体"/>
                <w:color w:val="auto"/>
                <w:szCs w:val="21"/>
                <w:highlight w:val="none"/>
              </w:rPr>
            </w:pPr>
            <w:r>
              <w:rPr>
                <w:rFonts w:hint="eastAsia" w:ascii="宋体" w:hAnsi="宋体" w:cs="宋体"/>
                <w:color w:val="auto"/>
                <w:szCs w:val="21"/>
                <w:highlight w:val="none"/>
                <w:lang w:val="en-US" w:eastAsia="zh-CN"/>
              </w:rPr>
              <w:t>接受</w:t>
            </w:r>
            <w:r>
              <w:rPr>
                <w:rFonts w:hint="eastAsia" w:ascii="宋体" w:hAnsi="宋体" w:cs="宋体"/>
                <w:color w:val="auto"/>
                <w:szCs w:val="21"/>
                <w:highlight w:val="none"/>
              </w:rPr>
              <w:t>联合体投标</w:t>
            </w:r>
            <w:r>
              <w:rPr>
                <w:rFonts w:hint="eastAsia" w:ascii="宋体" w:hAnsi="宋体"/>
                <w:color w:val="auto"/>
                <w:szCs w:val="21"/>
                <w:highlight w:val="none"/>
              </w:rPr>
              <w:t>。</w:t>
            </w:r>
          </w:p>
        </w:tc>
      </w:tr>
      <w:tr w14:paraId="1BA5B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51FE8E28">
            <w:pPr>
              <w:spacing w:line="400" w:lineRule="exact"/>
              <w:rPr>
                <w:rFonts w:ascii="宋体" w:hAnsi="宋体" w:cs="宋体"/>
                <w:color w:val="auto"/>
                <w:szCs w:val="21"/>
                <w:highlight w:val="none"/>
              </w:rPr>
            </w:pPr>
            <w:r>
              <w:rPr>
                <w:rFonts w:hint="eastAsia" w:ascii="宋体" w:hAnsi="宋体" w:cs="宋体"/>
                <w:color w:val="auto"/>
                <w:szCs w:val="21"/>
                <w:highlight w:val="none"/>
              </w:rPr>
              <w:t>7.2</w:t>
            </w:r>
          </w:p>
        </w:tc>
        <w:tc>
          <w:tcPr>
            <w:tcW w:w="1972" w:type="dxa"/>
            <w:tcBorders>
              <w:top w:val="single" w:color="auto" w:sz="4" w:space="0"/>
              <w:left w:val="single" w:color="auto" w:sz="4" w:space="0"/>
              <w:bottom w:val="single" w:color="auto" w:sz="4" w:space="0"/>
              <w:right w:val="single" w:color="auto" w:sz="4" w:space="0"/>
            </w:tcBorders>
            <w:vAlign w:val="center"/>
          </w:tcPr>
          <w:p w14:paraId="44BD9414">
            <w:pPr>
              <w:spacing w:line="400" w:lineRule="exact"/>
              <w:rPr>
                <w:rFonts w:ascii="宋体" w:hAnsi="宋体" w:cs="宋体"/>
                <w:color w:val="auto"/>
                <w:szCs w:val="21"/>
                <w:highlight w:val="none"/>
              </w:rPr>
            </w:pPr>
            <w:r>
              <w:rPr>
                <w:rFonts w:hint="eastAsia" w:ascii="宋体" w:hAnsi="宋体" w:cs="宋体"/>
                <w:color w:val="auto"/>
                <w:szCs w:val="21"/>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34667783">
            <w:pPr>
              <w:pStyle w:val="13"/>
              <w:spacing w:line="400" w:lineRule="exact"/>
              <w:rPr>
                <w:rFonts w:ascii="宋体" w:hAnsi="宋体" w:cs="宋体"/>
                <w:color w:val="auto"/>
                <w:szCs w:val="21"/>
                <w:highlight w:val="none"/>
              </w:rPr>
            </w:pPr>
            <w:bookmarkStart w:id="59" w:name="PO_3000001866_PM044"/>
            <w:r>
              <w:rPr>
                <w:rFonts w:hint="eastAsia" w:ascii="宋体" w:hAnsi="宋体" w:cs="宋体"/>
                <w:color w:val="auto"/>
                <w:szCs w:val="21"/>
                <w:highlight w:val="none"/>
              </w:rPr>
              <w:t>不允许分包</w:t>
            </w:r>
            <w:bookmarkEnd w:id="59"/>
          </w:p>
          <w:p w14:paraId="04D0F9E5">
            <w:pPr>
              <w:pStyle w:val="13"/>
              <w:spacing w:line="400" w:lineRule="exact"/>
              <w:rPr>
                <w:rFonts w:ascii="宋体" w:hAnsi="宋体" w:cs="宋体"/>
                <w:color w:val="auto"/>
                <w:szCs w:val="21"/>
                <w:highlight w:val="none"/>
              </w:rPr>
            </w:pPr>
            <w:r>
              <w:rPr>
                <w:rFonts w:hint="eastAsia" w:ascii="宋体" w:hAnsi="宋体" w:cs="宋体"/>
                <w:color w:val="auto"/>
                <w:szCs w:val="21"/>
                <w:highlight w:val="none"/>
              </w:rPr>
              <w:t>转包/分包内容：</w:t>
            </w:r>
            <w:r>
              <w:rPr>
                <w:rFonts w:hint="eastAsia" w:ascii="宋体" w:hAnsi="宋体" w:cs="宋体"/>
                <w:color w:val="auto"/>
                <w:szCs w:val="21"/>
                <w:highlight w:val="none"/>
                <w:u w:val="single"/>
              </w:rPr>
              <w:t xml:space="preserve">    /     </w:t>
            </w:r>
          </w:p>
          <w:p w14:paraId="04051BC9">
            <w:pPr>
              <w:pStyle w:val="13"/>
              <w:spacing w:line="400" w:lineRule="exact"/>
              <w:rPr>
                <w:rFonts w:ascii="宋体" w:hAnsi="宋体" w:cs="宋体"/>
                <w:color w:val="auto"/>
                <w:szCs w:val="21"/>
                <w:highlight w:val="none"/>
              </w:rPr>
            </w:pPr>
            <w:r>
              <w:rPr>
                <w:rFonts w:hint="eastAsia" w:ascii="宋体" w:hAnsi="宋体" w:cs="宋体"/>
                <w:color w:val="auto"/>
                <w:szCs w:val="21"/>
                <w:highlight w:val="none"/>
              </w:rPr>
              <w:t>转包/分包金额或者比例：</w:t>
            </w:r>
            <w:r>
              <w:rPr>
                <w:rFonts w:hint="eastAsia" w:ascii="宋体" w:hAnsi="宋体" w:cs="宋体"/>
                <w:color w:val="auto"/>
                <w:szCs w:val="21"/>
                <w:highlight w:val="none"/>
                <w:u w:val="single"/>
              </w:rPr>
              <w:t xml:space="preserve">    /    </w:t>
            </w:r>
          </w:p>
        </w:tc>
      </w:tr>
      <w:tr w14:paraId="2CBE5A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19EEF3F5">
            <w:pPr>
              <w:spacing w:line="400" w:lineRule="exact"/>
              <w:rPr>
                <w:rFonts w:ascii="宋体" w:hAnsi="宋体" w:cs="宋体"/>
                <w:color w:val="auto"/>
                <w:szCs w:val="21"/>
                <w:highlight w:val="none"/>
              </w:rPr>
            </w:pPr>
            <w:r>
              <w:rPr>
                <w:rFonts w:hint="eastAsia" w:ascii="宋体" w:hAnsi="宋体" w:cs="宋体"/>
                <w:color w:val="auto"/>
                <w:szCs w:val="21"/>
                <w:highlight w:val="none"/>
              </w:rPr>
              <w:t>11.3</w:t>
            </w:r>
          </w:p>
        </w:tc>
        <w:tc>
          <w:tcPr>
            <w:tcW w:w="1972" w:type="dxa"/>
            <w:tcBorders>
              <w:top w:val="single" w:color="auto" w:sz="4" w:space="0"/>
              <w:left w:val="single" w:color="auto" w:sz="4" w:space="0"/>
              <w:bottom w:val="single" w:color="auto" w:sz="4" w:space="0"/>
              <w:right w:val="single" w:color="auto" w:sz="4" w:space="0"/>
            </w:tcBorders>
            <w:vAlign w:val="center"/>
          </w:tcPr>
          <w:p w14:paraId="16BFDC12">
            <w:pPr>
              <w:spacing w:line="400" w:lineRule="exact"/>
              <w:rPr>
                <w:rFonts w:ascii="宋体" w:hAnsi="宋体" w:cs="宋体"/>
                <w:color w:val="auto"/>
                <w:szCs w:val="21"/>
                <w:highlight w:val="none"/>
              </w:rPr>
            </w:pPr>
            <w:r>
              <w:rPr>
                <w:rFonts w:hint="eastAsia" w:ascii="宋体" w:hAnsi="宋体" w:cs="宋体"/>
                <w:color w:val="auto"/>
                <w:szCs w:val="21"/>
                <w:highlight w:val="none"/>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49C203F4">
            <w:pPr>
              <w:spacing w:line="400" w:lineRule="exact"/>
              <w:rPr>
                <w:rFonts w:ascii="宋体" w:hAnsi="宋体" w:cs="宋体"/>
                <w:color w:val="auto"/>
                <w:szCs w:val="21"/>
                <w:highlight w:val="none"/>
              </w:rPr>
            </w:pPr>
            <w:r>
              <w:rPr>
                <w:rFonts w:hint="eastAsia" w:ascii="宋体" w:hAnsi="宋体" w:cs="宋体"/>
                <w:color w:val="auto"/>
                <w:szCs w:val="21"/>
                <w:highlight w:val="none"/>
              </w:rPr>
              <w:t>与本项目相关的政府采购业务澄清、更正及与之相关的事项将在采购公告中“六、其他补充事宜”中网上查询地址上发布</w:t>
            </w:r>
            <w:r>
              <w:rPr>
                <w:rFonts w:hint="eastAsia" w:ascii="宋体" w:hAnsi="宋体" w:cs="宋体"/>
                <w:color w:val="auto"/>
                <w:kern w:val="0"/>
                <w:szCs w:val="21"/>
                <w:highlight w:val="none"/>
              </w:rPr>
              <w:t>。</w:t>
            </w:r>
          </w:p>
        </w:tc>
      </w:tr>
      <w:tr w14:paraId="6804F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6776BFEC">
            <w:pPr>
              <w:spacing w:line="400" w:lineRule="exact"/>
              <w:rPr>
                <w:rFonts w:ascii="宋体" w:hAnsi="宋体" w:cs="宋体"/>
                <w:color w:val="auto"/>
                <w:szCs w:val="21"/>
                <w:highlight w:val="none"/>
              </w:rPr>
            </w:pPr>
            <w:r>
              <w:rPr>
                <w:rFonts w:hint="eastAsia" w:ascii="宋体" w:hAnsi="宋体" w:cs="宋体"/>
                <w:color w:val="auto"/>
                <w:szCs w:val="21"/>
                <w:highlight w:val="none"/>
              </w:rPr>
              <w:t>11.5</w:t>
            </w:r>
          </w:p>
        </w:tc>
        <w:tc>
          <w:tcPr>
            <w:tcW w:w="1972" w:type="dxa"/>
            <w:tcBorders>
              <w:top w:val="single" w:color="auto" w:sz="4" w:space="0"/>
              <w:left w:val="single" w:color="auto" w:sz="4" w:space="0"/>
              <w:bottom w:val="single" w:color="auto" w:sz="4" w:space="0"/>
              <w:right w:val="single" w:color="auto" w:sz="4" w:space="0"/>
            </w:tcBorders>
            <w:vAlign w:val="center"/>
          </w:tcPr>
          <w:p w14:paraId="2E25035B">
            <w:pPr>
              <w:spacing w:line="400" w:lineRule="exact"/>
              <w:rPr>
                <w:rFonts w:ascii="宋体" w:hAnsi="宋体" w:cs="宋体"/>
                <w:color w:val="auto"/>
                <w:szCs w:val="21"/>
                <w:highlight w:val="none"/>
              </w:rPr>
            </w:pPr>
            <w:r>
              <w:rPr>
                <w:rFonts w:hint="eastAsia" w:ascii="宋体" w:hAnsi="宋体" w:cs="宋体"/>
                <w:color w:val="auto"/>
                <w:szCs w:val="21"/>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002CDE04">
            <w:pPr>
              <w:snapToGrid w:val="0"/>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☑不组织召开开标前答疑会</w:t>
            </w:r>
          </w:p>
          <w:p w14:paraId="74602030">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□组织召开开标前答疑会</w:t>
            </w:r>
          </w:p>
          <w:p w14:paraId="18A7F8F3">
            <w:pPr>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会议开始时间：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分</w:t>
            </w:r>
            <w:r>
              <w:rPr>
                <w:rFonts w:hint="eastAsia" w:ascii="宋体" w:hAnsi="宋体" w:cs="宋体"/>
                <w:color w:val="auto"/>
                <w:szCs w:val="21"/>
                <w:highlight w:val="none"/>
              </w:rPr>
              <w:t>，逾期后果自负。会议地点：</w:t>
            </w:r>
            <w:r>
              <w:rPr>
                <w:rFonts w:hint="eastAsia" w:ascii="宋体" w:hAnsi="宋体" w:cs="宋体"/>
                <w:color w:val="auto"/>
                <w:szCs w:val="21"/>
                <w:highlight w:val="none"/>
                <w:u w:val="single"/>
              </w:rPr>
              <w:t xml:space="preserve">              </w:t>
            </w:r>
          </w:p>
        </w:tc>
      </w:tr>
      <w:tr w14:paraId="6AE5DE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left w:val="single" w:color="auto" w:sz="4" w:space="0"/>
              <w:right w:val="single" w:color="auto" w:sz="4" w:space="0"/>
            </w:tcBorders>
            <w:vAlign w:val="center"/>
          </w:tcPr>
          <w:p w14:paraId="5C96892B">
            <w:pPr>
              <w:spacing w:line="400" w:lineRule="exact"/>
              <w:rPr>
                <w:rFonts w:ascii="宋体" w:hAnsi="宋体" w:cs="宋体"/>
                <w:color w:val="auto"/>
                <w:szCs w:val="21"/>
                <w:highlight w:val="none"/>
              </w:rPr>
            </w:pPr>
            <w:r>
              <w:rPr>
                <w:rFonts w:hint="eastAsia" w:ascii="宋体" w:hAnsi="宋体" w:cs="宋体"/>
                <w:color w:val="auto"/>
                <w:szCs w:val="21"/>
                <w:highlight w:val="none"/>
              </w:rPr>
              <w:t>13.1</w:t>
            </w:r>
          </w:p>
        </w:tc>
        <w:tc>
          <w:tcPr>
            <w:tcW w:w="1972" w:type="dxa"/>
            <w:tcBorders>
              <w:top w:val="single" w:color="auto" w:sz="4" w:space="0"/>
              <w:left w:val="single" w:color="auto" w:sz="4" w:space="0"/>
              <w:bottom w:val="single" w:color="auto" w:sz="4" w:space="0"/>
              <w:right w:val="single" w:color="auto" w:sz="4" w:space="0"/>
            </w:tcBorders>
            <w:vAlign w:val="center"/>
          </w:tcPr>
          <w:p w14:paraId="3AD5D543">
            <w:pPr>
              <w:snapToGrid w:val="0"/>
              <w:spacing w:line="400" w:lineRule="exact"/>
              <w:jc w:val="left"/>
              <w:rPr>
                <w:rFonts w:ascii="宋体" w:hAnsi="宋体" w:cs="宋体"/>
                <w:color w:val="auto"/>
                <w:szCs w:val="21"/>
                <w:highlight w:val="none"/>
              </w:rPr>
            </w:pPr>
            <w:bookmarkStart w:id="60" w:name="_13.2"/>
            <w:bookmarkEnd w:id="60"/>
            <w:r>
              <w:rPr>
                <w:rFonts w:hint="eastAsia" w:ascii="宋体" w:hAnsi="宋体" w:cs="宋体"/>
                <w:color w:val="auto"/>
                <w:szCs w:val="21"/>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79C1BE88">
            <w:pPr>
              <w:snapToGrid w:val="0"/>
              <w:spacing w:line="400" w:lineRule="exact"/>
              <w:jc w:val="left"/>
              <w:rPr>
                <w:rFonts w:ascii="宋体" w:hAnsi="宋体" w:cs="宋体"/>
                <w:color w:val="auto"/>
                <w:szCs w:val="21"/>
                <w:highlight w:val="none"/>
              </w:rPr>
            </w:pPr>
            <w:r>
              <w:rPr>
                <w:rFonts w:hint="eastAsia" w:ascii="宋体" w:hAnsi="宋体" w:cs="Courier New"/>
                <w:b/>
                <w:color w:val="auto"/>
                <w:szCs w:val="21"/>
                <w:highlight w:val="none"/>
              </w:rPr>
              <w:t>资格证明文件：</w:t>
            </w:r>
          </w:p>
          <w:p w14:paraId="4F881012">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1、供应商为法人或者其他组织的，提供营业执照等证明文件（如营业执照或者事业单位法人证书或者</w:t>
            </w:r>
            <w:r>
              <w:rPr>
                <w:rStyle w:val="70"/>
                <w:rFonts w:hint="eastAsia"/>
                <w:color w:val="auto"/>
                <w:sz w:val="21"/>
                <w:szCs w:val="21"/>
                <w:highlight w:val="none"/>
              </w:rPr>
              <w:t>执业许可证</w:t>
            </w:r>
            <w:r>
              <w:rPr>
                <w:rFonts w:hint="eastAsia" w:ascii="宋体" w:hAnsi="宋体" w:cs="宋体"/>
                <w:color w:val="auto"/>
                <w:szCs w:val="21"/>
                <w:highlight w:val="none"/>
              </w:rPr>
              <w:t>等），供应商为自然人的，提供身份证复印件。（</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03CB3805">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2、投标人参加政府采购活动前3年内在经营活动中没有重大违法记录的书面声明。</w:t>
            </w:r>
            <w:r>
              <w:rPr>
                <w:rFonts w:hint="eastAsia" w:ascii="宋体" w:hAnsi="宋体" w:cs="宋体"/>
                <w:b/>
                <w:bCs/>
                <w:color w:val="auto"/>
                <w:szCs w:val="21"/>
                <w:highlight w:val="none"/>
              </w:rPr>
              <w:t>（格式后附，必</w:t>
            </w:r>
            <w:r>
              <w:rPr>
                <w:rFonts w:hint="eastAsia" w:ascii="宋体" w:hAnsi="宋体" w:cs="宋体"/>
                <w:b/>
                <w:color w:val="auto"/>
                <w:szCs w:val="21"/>
                <w:highlight w:val="none"/>
              </w:rPr>
              <w:t>须提供，否则作无效投标处理</w:t>
            </w:r>
            <w:r>
              <w:rPr>
                <w:rFonts w:hint="eastAsia" w:ascii="宋体" w:hAnsi="宋体" w:cs="宋体"/>
                <w:color w:val="auto"/>
                <w:szCs w:val="21"/>
                <w:highlight w:val="none"/>
              </w:rPr>
              <w:t>）</w:t>
            </w:r>
          </w:p>
          <w:p w14:paraId="4E62B75E">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玉林市</w:t>
            </w:r>
            <w:r>
              <w:rPr>
                <w:rFonts w:hint="eastAsia" w:ascii="宋体" w:hAnsi="宋体" w:cs="宋体"/>
                <w:color w:val="auto"/>
                <w:szCs w:val="21"/>
                <w:highlight w:val="none"/>
              </w:rPr>
              <w:t>政府采购项目投标资格承诺函。（格式后附，</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518982B3">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4、供应商直接控股、管理关系信息表。（</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4406AD95">
            <w:pPr>
              <w:numPr>
                <w:ilvl w:val="0"/>
                <w:numId w:val="0"/>
              </w:numPr>
              <w:snapToGrid w:val="0"/>
              <w:spacing w:line="400" w:lineRule="exact"/>
              <w:ind w:leftChars="0"/>
              <w:jc w:val="lef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投标资格声明。（</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27BA6EE8">
            <w:pPr>
              <w:snapToGrid w:val="0"/>
              <w:spacing w:line="400" w:lineRule="exact"/>
              <w:jc w:val="left"/>
              <w:rPr>
                <w:rFonts w:ascii="宋体" w:hAnsi="宋体" w:cs="宋体"/>
                <w:b/>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供应商根据招标公告对应的特定资格要求设置供应商提供的资格证明材料</w:t>
            </w:r>
            <w:r>
              <w:rPr>
                <w:rFonts w:hint="eastAsia" w:ascii="宋体" w:hAnsi="宋体" w:cs="宋体"/>
                <w:color w:val="auto"/>
                <w:szCs w:val="21"/>
                <w:highlight w:val="none"/>
                <w:lang w:eastAsia="zh-CN"/>
              </w:rPr>
              <w:t>：供应商须具备有效的《食品经营许可证》（许可证上主体业态</w:t>
            </w:r>
            <w:r>
              <w:rPr>
                <w:rFonts w:hint="eastAsia" w:ascii="宋体" w:hAnsi="宋体" w:cs="宋体"/>
                <w:color w:val="auto"/>
                <w:szCs w:val="21"/>
                <w:highlight w:val="none"/>
                <w:lang w:val="en-US" w:eastAsia="zh-CN"/>
              </w:rPr>
              <w:t>须是</w:t>
            </w:r>
            <w:r>
              <w:rPr>
                <w:rFonts w:hint="eastAsia" w:ascii="宋体" w:hAnsi="宋体" w:cs="宋体"/>
                <w:color w:val="auto"/>
                <w:szCs w:val="21"/>
                <w:highlight w:val="none"/>
                <w:lang w:eastAsia="zh-CN"/>
              </w:rPr>
              <w:t>餐饮服务经营者（集体用餐配送单位））</w:t>
            </w:r>
            <w:r>
              <w:rPr>
                <w:rFonts w:hint="eastAsia" w:ascii="宋体" w:hAnsi="宋体" w:cs="宋体"/>
                <w:color w:val="auto"/>
                <w:szCs w:val="21"/>
                <w:highlight w:val="none"/>
              </w:rPr>
              <w:t>；</w:t>
            </w:r>
            <w:r>
              <w:rPr>
                <w:rFonts w:hint="eastAsia" w:ascii="宋体" w:hAnsi="宋体" w:cs="宋体"/>
                <w:b/>
                <w:color w:val="auto"/>
                <w:szCs w:val="21"/>
                <w:highlight w:val="none"/>
              </w:rPr>
              <w:t>（必须提供，否则作无效投标处理）</w:t>
            </w:r>
          </w:p>
          <w:p w14:paraId="10E161ED">
            <w:pPr>
              <w:snapToGrid w:val="0"/>
              <w:spacing w:line="400" w:lineRule="exact"/>
              <w:jc w:val="left"/>
              <w:rPr>
                <w:rFonts w:ascii="宋体" w:hAnsi="宋体" w:cs="宋体"/>
                <w:color w:val="auto"/>
                <w:szCs w:val="21"/>
                <w:highlight w:val="none"/>
              </w:rPr>
            </w:pPr>
            <w:r>
              <w:rPr>
                <w:rFonts w:hint="eastAsia"/>
                <w:color w:val="auto"/>
                <w:highlight w:val="none"/>
                <w:lang w:val="en-US" w:eastAsia="zh-CN"/>
              </w:rPr>
              <w:t>7</w:t>
            </w:r>
            <w:r>
              <w:rPr>
                <w:rFonts w:hint="eastAsia" w:ascii="宋体" w:hAnsi="宋体" w:cs="宋体"/>
                <w:color w:val="auto"/>
                <w:szCs w:val="21"/>
                <w:highlight w:val="none"/>
              </w:rPr>
              <w:t>、除招标文件规定必须提供以外，供应商认为需要提供的其他证明材料。</w:t>
            </w:r>
          </w:p>
          <w:p w14:paraId="0BE39501">
            <w:pPr>
              <w:snapToGrid w:val="0"/>
              <w:spacing w:line="400" w:lineRule="exact"/>
              <w:ind w:firstLine="422" w:firstLineChars="200"/>
              <w:jc w:val="left"/>
              <w:rPr>
                <w:rFonts w:ascii="宋体" w:hAnsi="宋体" w:cs="宋体"/>
                <w:b/>
                <w:color w:val="auto"/>
                <w:szCs w:val="21"/>
                <w:highlight w:val="none"/>
              </w:rPr>
            </w:pPr>
            <w:r>
              <w:rPr>
                <w:rFonts w:hint="eastAsia" w:ascii="宋体" w:hAnsi="宋体" w:cs="宋体"/>
                <w:b/>
                <w:bCs/>
                <w:color w:val="auto"/>
                <w:szCs w:val="21"/>
                <w:highlight w:val="none"/>
              </w:rPr>
              <w:t>注：1</w:t>
            </w:r>
            <w:r>
              <w:rPr>
                <w:rFonts w:hint="eastAsia" w:ascii="宋体" w:hAnsi="宋体" w:cs="宋体"/>
                <w:b/>
                <w:bCs/>
                <w:color w:val="auto"/>
                <w:szCs w:val="21"/>
                <w:highlight w:val="none"/>
                <w:lang w:val="en-US" w:eastAsia="zh-CN"/>
              </w:rPr>
              <w:t>.</w:t>
            </w:r>
            <w:r>
              <w:rPr>
                <w:rFonts w:hint="eastAsia" w:ascii="宋体" w:hAnsi="宋体" w:cs="宋体"/>
                <w:b/>
                <w:bCs/>
                <w:color w:val="auto"/>
                <w:szCs w:val="21"/>
                <w:highlight w:val="none"/>
              </w:rPr>
              <w:t>以上标明“必须提供”的材料</w:t>
            </w:r>
            <w:r>
              <w:rPr>
                <w:rFonts w:hint="eastAsia" w:ascii="宋体" w:hAnsi="宋体" w:cs="宋体"/>
                <w:b/>
                <w:color w:val="auto"/>
                <w:szCs w:val="21"/>
                <w:highlight w:val="none"/>
              </w:rPr>
              <w:t>属于复印件的扫描件的</w:t>
            </w:r>
            <w:r>
              <w:rPr>
                <w:rFonts w:hint="eastAsia" w:ascii="宋体" w:hAnsi="宋体" w:cs="宋体"/>
                <w:b/>
                <w:bCs/>
                <w:color w:val="auto"/>
                <w:szCs w:val="21"/>
                <w:highlight w:val="none"/>
              </w:rPr>
              <w:t>，必须加盖供商电子公章，否则</w:t>
            </w:r>
            <w:r>
              <w:rPr>
                <w:rFonts w:hint="eastAsia" w:ascii="宋体" w:hAnsi="宋体" w:cs="宋体"/>
                <w:b/>
                <w:color w:val="auto"/>
                <w:szCs w:val="21"/>
                <w:highlight w:val="none"/>
              </w:rPr>
              <w:t>作无效投标处理。</w:t>
            </w:r>
          </w:p>
          <w:p w14:paraId="6E08CC87">
            <w:pPr>
              <w:snapToGrid w:val="0"/>
              <w:spacing w:line="400" w:lineRule="exact"/>
              <w:ind w:firstLine="422" w:firstLineChars="200"/>
              <w:jc w:val="left"/>
              <w:rPr>
                <w:rFonts w:ascii="宋体" w:hAnsi="宋体" w:cs="宋体"/>
                <w:b/>
                <w:bCs/>
                <w:color w:val="auto"/>
                <w:szCs w:val="21"/>
                <w:highlight w:val="none"/>
              </w:rPr>
            </w:pPr>
            <w:r>
              <w:rPr>
                <w:rFonts w:hint="eastAsia" w:ascii="宋体" w:hAnsi="宋体" w:cs="宋体"/>
                <w:b/>
                <w:color w:val="auto"/>
                <w:szCs w:val="21"/>
                <w:highlight w:val="none"/>
              </w:rPr>
              <w:t>2</w:t>
            </w:r>
            <w:r>
              <w:rPr>
                <w:rFonts w:hint="eastAsia" w:ascii="宋体" w:hAnsi="宋体" w:cs="宋体"/>
                <w:b/>
                <w:bCs/>
                <w:color w:val="auto"/>
                <w:szCs w:val="21"/>
                <w:highlight w:val="none"/>
              </w:rPr>
              <w:t>.投标资格声明必须加盖供应商公章，否则响应文件按无效响应处理。</w:t>
            </w:r>
          </w:p>
          <w:p w14:paraId="4592F55A">
            <w:pPr>
              <w:snapToGrid w:val="0"/>
              <w:spacing w:line="40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3.供应商直接控股、管理关系信息表必须加盖供应商公章，否则响应文件按无效响应处理。</w:t>
            </w:r>
          </w:p>
        </w:tc>
      </w:tr>
      <w:tr w14:paraId="399299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left w:val="single" w:color="auto" w:sz="4" w:space="0"/>
              <w:right w:val="single" w:color="auto" w:sz="4" w:space="0"/>
            </w:tcBorders>
            <w:vAlign w:val="center"/>
          </w:tcPr>
          <w:p w14:paraId="3902CE0B">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7344C040">
            <w:pPr>
              <w:snapToGrid w:val="0"/>
              <w:spacing w:line="400" w:lineRule="exact"/>
              <w:jc w:val="left"/>
              <w:rPr>
                <w:rFonts w:ascii="宋体" w:hAnsi="宋体" w:cs="宋体"/>
                <w:color w:val="auto"/>
                <w:szCs w:val="21"/>
                <w:highlight w:val="none"/>
              </w:rPr>
            </w:pPr>
            <w:bookmarkStart w:id="61" w:name="_13.3"/>
            <w:bookmarkEnd w:id="61"/>
            <w:r>
              <w:rPr>
                <w:rFonts w:hint="eastAsia" w:ascii="宋体" w:hAnsi="宋体" w:cs="宋体"/>
                <w:color w:val="auto"/>
                <w:szCs w:val="21"/>
                <w:highlight w:val="none"/>
              </w:rPr>
              <w:t>商务文件组成</w:t>
            </w:r>
          </w:p>
          <w:p w14:paraId="1A886928">
            <w:pPr>
              <w:spacing w:line="400" w:lineRule="exact"/>
              <w:rPr>
                <w:rFonts w:ascii="宋体" w:hAnsi="宋体" w:cs="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vAlign w:val="center"/>
          </w:tcPr>
          <w:p w14:paraId="46DA866A">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1、无串通投标行为的承诺函；（</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34DD5260">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6F33344E">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委托时必须提供，否则作无效投标处理</w:t>
            </w:r>
            <w:r>
              <w:rPr>
                <w:rFonts w:hint="eastAsia" w:ascii="宋体" w:hAnsi="宋体" w:cs="宋体"/>
                <w:color w:val="auto"/>
                <w:szCs w:val="21"/>
                <w:highlight w:val="none"/>
              </w:rPr>
              <w:t>）</w:t>
            </w:r>
          </w:p>
          <w:p w14:paraId="69AA2365">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olor w:val="auto"/>
                <w:szCs w:val="21"/>
                <w:highlight w:val="none"/>
              </w:rPr>
              <w:t>商务要求偏离表（格式后附）；（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5F68A84C">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olor w:val="auto"/>
                <w:szCs w:val="21"/>
                <w:highlight w:val="none"/>
              </w:rPr>
              <w:t>售后服务承诺（格式自拟）</w:t>
            </w:r>
            <w:r>
              <w:rPr>
                <w:rFonts w:hint="eastAsia" w:ascii="宋体" w:hAnsi="宋体" w:cs="宋体"/>
                <w:color w:val="auto"/>
                <w:szCs w:val="21"/>
                <w:highlight w:val="none"/>
              </w:rPr>
              <w:t>；</w:t>
            </w:r>
          </w:p>
          <w:p w14:paraId="5B8DDF68">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供应商情况介绍（格式自拟）</w:t>
            </w:r>
          </w:p>
          <w:p w14:paraId="358B1881">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7、除招标文件规定必须提供以外，供应商认为需要提供的其他证明材料。（供应商根据“第二章 采购需求”及“第四章 评标方法及评标标准”提供有关证明材料）。</w:t>
            </w:r>
          </w:p>
          <w:p w14:paraId="1D6CB32D">
            <w:pPr>
              <w:snapToGrid w:val="0"/>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注： 1.法定代表人授权委托书必须由法定代表人及委托代理人签字，并加盖供应商公章，否则作无效投标处理。</w:t>
            </w:r>
          </w:p>
          <w:p w14:paraId="423AADD6">
            <w:pPr>
              <w:snapToGrid w:val="0"/>
              <w:spacing w:line="400" w:lineRule="exact"/>
              <w:ind w:firstLine="422" w:firstLineChars="200"/>
              <w:jc w:val="left"/>
              <w:rPr>
                <w:rFonts w:ascii="宋体" w:hAnsi="宋体" w:cs="宋体"/>
                <w:b/>
                <w:color w:val="auto"/>
                <w:szCs w:val="21"/>
                <w:highlight w:val="none"/>
              </w:rPr>
            </w:pPr>
            <w:r>
              <w:rPr>
                <w:rFonts w:hint="eastAsia" w:ascii="宋体" w:hAnsi="宋体" w:cs="宋体"/>
                <w:b/>
                <w:bCs/>
                <w:color w:val="auto"/>
                <w:szCs w:val="21"/>
                <w:highlight w:val="none"/>
              </w:rPr>
              <w:t>2.</w:t>
            </w:r>
            <w:r>
              <w:rPr>
                <w:rFonts w:hint="eastAsia" w:ascii="宋体" w:hAnsi="宋体" w:cs="宋体"/>
                <w:color w:val="auto"/>
                <w:szCs w:val="21"/>
                <w:highlight w:val="none"/>
              </w:rPr>
              <w:t xml:space="preserve"> </w:t>
            </w:r>
            <w:r>
              <w:rPr>
                <w:rFonts w:hint="eastAsia" w:ascii="宋体" w:hAnsi="宋体" w:cs="宋体"/>
                <w:b/>
                <w:bCs/>
                <w:color w:val="auto"/>
                <w:szCs w:val="21"/>
                <w:highlight w:val="none"/>
              </w:rPr>
              <w:t>以上标明“必须提供”的材料</w:t>
            </w:r>
            <w:r>
              <w:rPr>
                <w:rFonts w:hint="eastAsia" w:ascii="宋体" w:hAnsi="宋体" w:cs="宋体"/>
                <w:b/>
                <w:color w:val="auto"/>
                <w:szCs w:val="21"/>
                <w:highlight w:val="none"/>
              </w:rPr>
              <w:t>属于复印件的扫描件的</w:t>
            </w:r>
            <w:r>
              <w:rPr>
                <w:rFonts w:hint="eastAsia" w:ascii="宋体" w:hAnsi="宋体" w:cs="宋体"/>
                <w:b/>
                <w:bCs/>
                <w:color w:val="auto"/>
                <w:szCs w:val="21"/>
                <w:highlight w:val="none"/>
              </w:rPr>
              <w:t>，必须加盖供应商电子公章，否则</w:t>
            </w:r>
            <w:r>
              <w:rPr>
                <w:rFonts w:hint="eastAsia" w:ascii="宋体" w:hAnsi="宋体" w:cs="宋体"/>
                <w:b/>
                <w:color w:val="auto"/>
                <w:szCs w:val="21"/>
                <w:highlight w:val="none"/>
              </w:rPr>
              <w:t>作无效投标处理</w:t>
            </w:r>
            <w:r>
              <w:rPr>
                <w:rFonts w:hint="eastAsia" w:ascii="宋体" w:hAnsi="宋体" w:cs="宋体"/>
                <w:b/>
                <w:bCs/>
                <w:color w:val="auto"/>
                <w:szCs w:val="21"/>
                <w:highlight w:val="none"/>
              </w:rPr>
              <w:t>。</w:t>
            </w:r>
          </w:p>
        </w:tc>
      </w:tr>
      <w:tr w14:paraId="74874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vMerge w:val="restart"/>
            <w:tcBorders>
              <w:left w:val="single" w:color="auto" w:sz="4" w:space="0"/>
              <w:right w:val="single" w:color="auto" w:sz="4" w:space="0"/>
            </w:tcBorders>
            <w:vAlign w:val="center"/>
          </w:tcPr>
          <w:p w14:paraId="7BAFEF80">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2C27EFEC">
            <w:pPr>
              <w:snapToGrid w:val="0"/>
              <w:spacing w:line="400" w:lineRule="exact"/>
              <w:jc w:val="left"/>
              <w:rPr>
                <w:rFonts w:ascii="宋体" w:hAnsi="宋体" w:cs="宋体"/>
                <w:color w:val="auto"/>
                <w:szCs w:val="21"/>
                <w:highlight w:val="none"/>
              </w:rPr>
            </w:pPr>
            <w:bookmarkStart w:id="62" w:name="_13.4"/>
            <w:bookmarkEnd w:id="62"/>
            <w:r>
              <w:rPr>
                <w:rFonts w:hint="eastAsia" w:ascii="宋体" w:hAnsi="宋体" w:cs="宋体"/>
                <w:color w:val="auto"/>
                <w:szCs w:val="21"/>
                <w:highlight w:val="none"/>
              </w:rPr>
              <w:t>技术文件组成</w:t>
            </w:r>
          </w:p>
          <w:p w14:paraId="4B7EE87A">
            <w:pPr>
              <w:spacing w:line="400" w:lineRule="exact"/>
              <w:rPr>
                <w:rFonts w:ascii="宋体" w:hAnsi="宋体" w:cs="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vAlign w:val="center"/>
          </w:tcPr>
          <w:p w14:paraId="3FE5BA2C">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olor w:val="auto"/>
                <w:szCs w:val="21"/>
                <w:highlight w:val="none"/>
              </w:rPr>
              <w:t>技术要求偏离表（格式后附）</w:t>
            </w:r>
            <w:r>
              <w:rPr>
                <w:rFonts w:hint="eastAsia" w:ascii="宋体" w:hAnsi="宋体" w:cs="宋体"/>
                <w:color w:val="auto"/>
                <w:szCs w:val="21"/>
                <w:highlight w:val="none"/>
              </w:rPr>
              <w:t>；（</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3C1684C4">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olor w:val="auto"/>
                <w:szCs w:val="21"/>
                <w:highlight w:val="none"/>
              </w:rPr>
              <w:t>服务实施方案（格式自拟）；</w:t>
            </w:r>
          </w:p>
          <w:p w14:paraId="0F687C4E">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olor w:val="auto"/>
                <w:szCs w:val="21"/>
                <w:highlight w:val="none"/>
              </w:rPr>
              <w:t>项目实施人员一览表（格式后附）；</w:t>
            </w:r>
          </w:p>
          <w:p w14:paraId="32F96318">
            <w:pPr>
              <w:snapToGrid w:val="0"/>
              <w:spacing w:line="400" w:lineRule="exact"/>
              <w:jc w:val="left"/>
              <w:rPr>
                <w:rFonts w:ascii="宋体" w:hAnsi="宋体" w:cs="宋体"/>
                <w:bCs/>
                <w:color w:val="auto"/>
                <w:szCs w:val="21"/>
                <w:highlight w:val="none"/>
              </w:rPr>
            </w:pPr>
            <w:r>
              <w:rPr>
                <w:rFonts w:hint="eastAsia" w:ascii="宋体" w:hAnsi="宋体" w:cs="宋体"/>
                <w:color w:val="auto"/>
                <w:szCs w:val="21"/>
                <w:highlight w:val="none"/>
              </w:rPr>
              <w:t>4、除招标文件规定必须提供以外，供应商需要说明的其他文件和说明。</w:t>
            </w:r>
          </w:p>
          <w:p w14:paraId="5917E906">
            <w:pPr>
              <w:snapToGrid w:val="0"/>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cs="宋体"/>
                <w:b/>
                <w:bCs/>
                <w:color w:val="auto"/>
                <w:szCs w:val="21"/>
                <w:highlight w:val="none"/>
              </w:rPr>
              <w:t>，必须加盖供应商电子公章，否则</w:t>
            </w:r>
            <w:r>
              <w:rPr>
                <w:rFonts w:hint="eastAsia" w:ascii="宋体" w:hAnsi="宋体" w:cs="宋体"/>
                <w:b/>
                <w:color w:val="auto"/>
                <w:szCs w:val="21"/>
                <w:highlight w:val="none"/>
              </w:rPr>
              <w:t>作无效投标处理</w:t>
            </w:r>
            <w:r>
              <w:rPr>
                <w:rFonts w:hint="eastAsia" w:ascii="宋体" w:hAnsi="宋体" w:cs="宋体"/>
                <w:b/>
                <w:bCs/>
                <w:color w:val="auto"/>
                <w:szCs w:val="21"/>
                <w:highlight w:val="none"/>
              </w:rPr>
              <w:t>。</w:t>
            </w:r>
          </w:p>
        </w:tc>
      </w:tr>
      <w:tr w14:paraId="007EE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vMerge w:val="continue"/>
            <w:tcBorders>
              <w:left w:val="single" w:color="auto" w:sz="4" w:space="0"/>
              <w:bottom w:val="single" w:color="auto" w:sz="4" w:space="0"/>
              <w:right w:val="single" w:color="auto" w:sz="4" w:space="0"/>
            </w:tcBorders>
            <w:vAlign w:val="center"/>
          </w:tcPr>
          <w:p w14:paraId="2EE0D24A">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00D232D2">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02E76065">
            <w:pPr>
              <w:tabs>
                <w:tab w:val="left" w:pos="459"/>
              </w:tabs>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（必须提供，否则作无效投标处理）</w:t>
            </w:r>
          </w:p>
          <w:p w14:paraId="29B0D3DC">
            <w:pPr>
              <w:tabs>
                <w:tab w:val="left" w:pos="459"/>
              </w:tabs>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2、开标一览表；（</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3F659378">
            <w:pPr>
              <w:widowControl/>
              <w:kinsoku w:val="0"/>
              <w:autoSpaceDE w:val="0"/>
              <w:autoSpaceDN w:val="0"/>
              <w:adjustRightInd w:val="0"/>
              <w:snapToGrid w:val="0"/>
              <w:spacing w:line="400" w:lineRule="exact"/>
              <w:textAlignment w:val="baseline"/>
              <w:rPr>
                <w:rFonts w:ascii="宋体" w:hAnsi="宋体" w:cs="宋体"/>
                <w:color w:val="auto"/>
                <w:szCs w:val="21"/>
                <w:highlight w:val="none"/>
              </w:rPr>
            </w:pPr>
            <w:r>
              <w:rPr>
                <w:rFonts w:hint="eastAsia" w:ascii="宋体" w:hAnsi="宋体" w:cs="宋体"/>
                <w:color w:val="auto"/>
                <w:szCs w:val="21"/>
                <w:highlight w:val="none"/>
              </w:rPr>
              <w:t>3、投标人针对报价需要说明的其他文件（如中小企业声明函、残疾人福利性单位声明函、监狱企业声明函等） 和说明（格式自拟）（如有请提供）</w:t>
            </w:r>
          </w:p>
        </w:tc>
      </w:tr>
      <w:tr w14:paraId="374DD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1D409F1E">
            <w:pPr>
              <w:spacing w:line="400" w:lineRule="exact"/>
              <w:rPr>
                <w:rFonts w:ascii="宋体" w:hAnsi="宋体" w:cs="宋体"/>
                <w:color w:val="auto"/>
                <w:szCs w:val="21"/>
                <w:highlight w:val="none"/>
              </w:rPr>
            </w:pPr>
            <w:r>
              <w:rPr>
                <w:rFonts w:hint="eastAsia" w:ascii="宋体" w:hAnsi="宋体" w:cs="宋体"/>
                <w:color w:val="auto"/>
                <w:szCs w:val="21"/>
                <w:highlight w:val="none"/>
              </w:rPr>
              <w:t>16.2</w:t>
            </w:r>
          </w:p>
        </w:tc>
        <w:tc>
          <w:tcPr>
            <w:tcW w:w="1972" w:type="dxa"/>
            <w:tcBorders>
              <w:top w:val="single" w:color="auto" w:sz="4" w:space="0"/>
              <w:left w:val="single" w:color="auto" w:sz="4" w:space="0"/>
              <w:bottom w:val="single" w:color="auto" w:sz="4" w:space="0"/>
              <w:right w:val="single" w:color="auto" w:sz="4" w:space="0"/>
            </w:tcBorders>
            <w:vAlign w:val="center"/>
          </w:tcPr>
          <w:p w14:paraId="519FDFB2">
            <w:pPr>
              <w:spacing w:line="400" w:lineRule="exact"/>
              <w:rPr>
                <w:rFonts w:ascii="宋体" w:hAnsi="宋体" w:cs="宋体"/>
                <w:color w:val="auto"/>
                <w:szCs w:val="21"/>
                <w:highlight w:val="none"/>
              </w:rPr>
            </w:pPr>
            <w:bookmarkStart w:id="63" w:name="_16.2"/>
            <w:bookmarkEnd w:id="63"/>
            <w:r>
              <w:rPr>
                <w:rFonts w:hint="eastAsia" w:ascii="宋体" w:hAnsi="宋体" w:cs="宋体"/>
                <w:color w:val="auto"/>
                <w:szCs w:val="21"/>
                <w:highlight w:val="none"/>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6DF9E285">
            <w:pPr>
              <w:snapToGrid w:val="0"/>
              <w:spacing w:line="400" w:lineRule="exact"/>
              <w:rPr>
                <w:rFonts w:ascii="宋体" w:hAnsi="宋体" w:cs="宋体"/>
                <w:b/>
                <w:color w:val="auto"/>
                <w:szCs w:val="21"/>
                <w:highlight w:val="none"/>
              </w:rPr>
            </w:pPr>
            <w:r>
              <w:rPr>
                <w:rFonts w:hint="eastAsia" w:ascii="宋体" w:hAnsi="宋体"/>
                <w:color w:val="auto"/>
                <w:szCs w:val="21"/>
                <w:highlight w:val="none"/>
              </w:rPr>
              <w:t>投标报价是履行合同的最终价格，</w:t>
            </w:r>
            <w:r>
              <w:rPr>
                <w:rFonts w:hint="eastAsia" w:ascii="宋体" w:hAnsi="宋体" w:cs="宋体"/>
                <w:color w:val="auto"/>
                <w:szCs w:val="21"/>
                <w:highlight w:val="none"/>
              </w:rPr>
              <w:t>即满足全部采购需求所应提供的服务的价格；包括投标服务的成本、运输（含保险）（如有）、技术服务、培训、税费等所有费用。</w:t>
            </w:r>
            <w:r>
              <w:rPr>
                <w:rFonts w:hint="eastAsia" w:ascii="宋体" w:hAnsi="宋体" w:cs="宋体"/>
                <w:b/>
                <w:bCs/>
                <w:color w:val="auto"/>
                <w:szCs w:val="21"/>
                <w:highlight w:val="none"/>
              </w:rPr>
              <w:t>（采购需求另有约定的，从其约定）</w:t>
            </w:r>
          </w:p>
        </w:tc>
      </w:tr>
      <w:tr w14:paraId="10CC41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0BBDF38B">
            <w:pPr>
              <w:spacing w:line="400" w:lineRule="exact"/>
              <w:rPr>
                <w:rFonts w:ascii="宋体" w:hAnsi="宋体" w:cs="宋体"/>
                <w:color w:val="auto"/>
                <w:szCs w:val="21"/>
                <w:highlight w:val="none"/>
              </w:rPr>
            </w:pPr>
            <w:r>
              <w:rPr>
                <w:rFonts w:hint="eastAsia" w:ascii="宋体" w:hAnsi="宋体" w:cs="宋体"/>
                <w:color w:val="auto"/>
                <w:szCs w:val="21"/>
                <w:highlight w:val="none"/>
              </w:rPr>
              <w:t>17.2</w:t>
            </w:r>
          </w:p>
        </w:tc>
        <w:tc>
          <w:tcPr>
            <w:tcW w:w="1972" w:type="dxa"/>
            <w:tcBorders>
              <w:top w:val="single" w:color="auto" w:sz="4" w:space="0"/>
              <w:left w:val="single" w:color="auto" w:sz="4" w:space="0"/>
              <w:bottom w:val="single" w:color="auto" w:sz="4" w:space="0"/>
              <w:right w:val="single" w:color="auto" w:sz="4" w:space="0"/>
            </w:tcBorders>
            <w:vAlign w:val="center"/>
          </w:tcPr>
          <w:p w14:paraId="36B8D4A3">
            <w:pPr>
              <w:spacing w:line="400" w:lineRule="exact"/>
              <w:rPr>
                <w:rFonts w:ascii="宋体" w:hAnsi="宋体" w:cs="宋体"/>
                <w:color w:val="auto"/>
                <w:szCs w:val="21"/>
                <w:highlight w:val="none"/>
              </w:rPr>
            </w:pPr>
            <w:bookmarkStart w:id="64" w:name="_17.1"/>
            <w:bookmarkEnd w:id="64"/>
            <w:r>
              <w:rPr>
                <w:rFonts w:hint="eastAsia" w:ascii="宋体" w:hAnsi="宋体" w:cs="宋体"/>
                <w:color w:val="auto"/>
                <w:szCs w:val="21"/>
                <w:highlight w:val="none"/>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753B30C9">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自投标截止之日起</w:t>
            </w:r>
            <w:r>
              <w:rPr>
                <w:rFonts w:hint="eastAsia" w:ascii="宋体" w:hAnsi="宋体" w:cs="宋体"/>
                <w:color w:val="auto"/>
                <w:szCs w:val="21"/>
                <w:highlight w:val="none"/>
                <w:u w:val="single"/>
              </w:rPr>
              <w:t xml:space="preserve"> </w:t>
            </w:r>
            <w:bookmarkStart w:id="65" w:name="PO_3000001866_PM046"/>
            <w:r>
              <w:rPr>
                <w:rFonts w:hint="eastAsia" w:ascii="宋体" w:hAnsi="宋体" w:cs="宋体"/>
                <w:color w:val="auto"/>
                <w:szCs w:val="21"/>
                <w:highlight w:val="none"/>
                <w:u w:val="single"/>
              </w:rPr>
              <w:t>60</w:t>
            </w:r>
            <w:bookmarkEnd w:id="65"/>
            <w:r>
              <w:rPr>
                <w:rFonts w:hint="eastAsia" w:ascii="宋体" w:hAnsi="宋体" w:cs="宋体"/>
                <w:color w:val="auto"/>
                <w:szCs w:val="21"/>
                <w:highlight w:val="none"/>
              </w:rPr>
              <w:t>日。</w:t>
            </w:r>
          </w:p>
        </w:tc>
      </w:tr>
      <w:tr w14:paraId="10F84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2DB81C2F">
            <w:pPr>
              <w:spacing w:line="400" w:lineRule="exact"/>
              <w:rPr>
                <w:rFonts w:ascii="宋体" w:hAnsi="宋体" w:cs="宋体"/>
                <w:color w:val="auto"/>
                <w:szCs w:val="21"/>
                <w:highlight w:val="none"/>
              </w:rPr>
            </w:pPr>
            <w:r>
              <w:rPr>
                <w:rFonts w:hint="eastAsia" w:ascii="宋体" w:hAnsi="宋体" w:cs="宋体"/>
                <w:color w:val="auto"/>
                <w:szCs w:val="21"/>
                <w:highlight w:val="none"/>
              </w:rPr>
              <w:t>18</w:t>
            </w:r>
          </w:p>
        </w:tc>
        <w:tc>
          <w:tcPr>
            <w:tcW w:w="1972" w:type="dxa"/>
            <w:tcBorders>
              <w:top w:val="single" w:color="auto" w:sz="4" w:space="0"/>
              <w:left w:val="single" w:color="auto" w:sz="4" w:space="0"/>
              <w:bottom w:val="single" w:color="auto" w:sz="4" w:space="0"/>
              <w:right w:val="single" w:color="auto" w:sz="4" w:space="0"/>
            </w:tcBorders>
            <w:vAlign w:val="center"/>
          </w:tcPr>
          <w:p w14:paraId="36D8AEAE">
            <w:pPr>
              <w:spacing w:line="400" w:lineRule="exact"/>
              <w:rPr>
                <w:rFonts w:ascii="宋体" w:hAnsi="宋体" w:cs="宋体"/>
                <w:color w:val="auto"/>
                <w:szCs w:val="21"/>
                <w:highlight w:val="none"/>
              </w:rPr>
            </w:pPr>
            <w:bookmarkStart w:id="66" w:name="_18"/>
            <w:bookmarkEnd w:id="66"/>
            <w:r>
              <w:rPr>
                <w:rFonts w:hint="eastAsia" w:ascii="宋体" w:hAnsi="宋体" w:cs="宋体"/>
                <w:color w:val="auto"/>
                <w:szCs w:val="21"/>
                <w:highlight w:val="none"/>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3EC44DB7">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本项目不收取投标保证金。</w:t>
            </w:r>
          </w:p>
        </w:tc>
      </w:tr>
      <w:tr w14:paraId="3DB50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3D3E1D58">
            <w:pPr>
              <w:spacing w:line="400" w:lineRule="exact"/>
              <w:rPr>
                <w:rFonts w:ascii="宋体" w:hAnsi="宋体" w:cs="宋体"/>
                <w:color w:val="auto"/>
                <w:szCs w:val="21"/>
                <w:highlight w:val="none"/>
              </w:rPr>
            </w:pPr>
            <w:r>
              <w:rPr>
                <w:rFonts w:hint="eastAsia" w:ascii="宋体" w:hAnsi="宋体" w:cs="宋体"/>
                <w:color w:val="auto"/>
                <w:szCs w:val="21"/>
                <w:highlight w:val="none"/>
              </w:rPr>
              <w:t>19.1</w:t>
            </w:r>
          </w:p>
        </w:tc>
        <w:tc>
          <w:tcPr>
            <w:tcW w:w="1972" w:type="dxa"/>
            <w:vMerge w:val="restart"/>
            <w:tcBorders>
              <w:top w:val="single" w:color="auto" w:sz="4" w:space="0"/>
              <w:left w:val="single" w:color="auto" w:sz="4" w:space="0"/>
              <w:right w:val="single" w:color="auto" w:sz="4" w:space="0"/>
            </w:tcBorders>
            <w:vAlign w:val="center"/>
          </w:tcPr>
          <w:p w14:paraId="4A085820">
            <w:pPr>
              <w:spacing w:line="400" w:lineRule="exact"/>
              <w:rPr>
                <w:rFonts w:ascii="宋体" w:hAnsi="宋体" w:cs="宋体"/>
                <w:color w:val="auto"/>
                <w:szCs w:val="21"/>
                <w:highlight w:val="none"/>
              </w:rPr>
            </w:pPr>
            <w:r>
              <w:rPr>
                <w:rFonts w:hint="eastAsia" w:ascii="宋体" w:hAnsi="宋体" w:cs="宋体"/>
                <w:color w:val="auto"/>
                <w:szCs w:val="21"/>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49A2DC19">
            <w:pPr>
              <w:spacing w:line="400" w:lineRule="exact"/>
              <w:rPr>
                <w:rFonts w:ascii="宋体" w:hAnsi="宋体"/>
                <w:color w:val="auto"/>
                <w:szCs w:val="21"/>
                <w:highlight w:val="none"/>
              </w:rPr>
            </w:pPr>
            <w:r>
              <w:rPr>
                <w:rFonts w:hint="eastAsia" w:ascii="宋体" w:hAnsi="宋体"/>
                <w:color w:val="auto"/>
                <w:szCs w:val="21"/>
                <w:highlight w:val="none"/>
              </w:rPr>
              <w:t>投标人应按本招标文件规定的格式和顺序编制、装订投标文件并标注页码，投标文件内容不完整、编排混乱导致投标文件被误读、漏读或者查找不到相关内容的，由此引发的后果由投标人承担.</w:t>
            </w:r>
          </w:p>
        </w:tc>
      </w:tr>
      <w:tr w14:paraId="0CAE91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050C13D8">
            <w:pPr>
              <w:spacing w:line="400" w:lineRule="exact"/>
              <w:rPr>
                <w:rFonts w:ascii="宋体" w:hAnsi="宋体" w:cs="宋体"/>
                <w:color w:val="auto"/>
                <w:szCs w:val="21"/>
                <w:highlight w:val="none"/>
              </w:rPr>
            </w:pPr>
            <w:r>
              <w:rPr>
                <w:rFonts w:hint="eastAsia" w:ascii="宋体" w:hAnsi="宋体" w:cs="宋体"/>
                <w:color w:val="auto"/>
                <w:szCs w:val="21"/>
                <w:highlight w:val="none"/>
              </w:rPr>
              <w:t>19.2</w:t>
            </w:r>
          </w:p>
        </w:tc>
        <w:tc>
          <w:tcPr>
            <w:tcW w:w="1972" w:type="dxa"/>
            <w:vMerge w:val="continue"/>
            <w:tcBorders>
              <w:left w:val="single" w:color="auto" w:sz="4" w:space="0"/>
              <w:bottom w:val="single" w:color="auto" w:sz="4" w:space="0"/>
              <w:right w:val="single" w:color="auto" w:sz="4" w:space="0"/>
            </w:tcBorders>
            <w:vAlign w:val="center"/>
          </w:tcPr>
          <w:p w14:paraId="5B5BE088">
            <w:pPr>
              <w:spacing w:line="400" w:lineRule="exact"/>
              <w:rPr>
                <w:rFonts w:ascii="宋体" w:hAnsi="宋体" w:cs="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vAlign w:val="center"/>
          </w:tcPr>
          <w:p w14:paraId="6031BB9F">
            <w:pPr>
              <w:spacing w:line="400" w:lineRule="exact"/>
              <w:rPr>
                <w:rFonts w:ascii="宋体" w:hAnsi="宋体" w:cs="宋体"/>
                <w:b/>
                <w:color w:val="auto"/>
                <w:szCs w:val="21"/>
                <w:highlight w:val="none"/>
                <w:u w:val="single"/>
              </w:rPr>
            </w:pPr>
            <w:r>
              <w:rPr>
                <w:rFonts w:hint="eastAsia" w:ascii="宋体" w:hAnsi="宋体"/>
                <w:color w:val="auto"/>
                <w:szCs w:val="21"/>
                <w:highlight w:val="none"/>
              </w:rPr>
              <w:t>投标文件应按报价文件、资格证明文件、商务文件、技术文件分别编制，</w:t>
            </w:r>
            <w:r>
              <w:rPr>
                <w:rFonts w:hint="eastAsia" w:ascii="宋体" w:hAnsi="宋体" w:cs="宋体"/>
                <w:color w:val="auto"/>
                <w:szCs w:val="21"/>
                <w:highlight w:val="none"/>
                <w:lang w:bidi="ar"/>
              </w:rPr>
              <w:t>并按“</w:t>
            </w:r>
            <w:r>
              <w:rPr>
                <w:rFonts w:hint="eastAsia" w:ascii="宋体" w:hAnsi="宋体" w:cs="宋体"/>
                <w:color w:val="auto"/>
                <w:szCs w:val="21"/>
                <w:highlight w:val="none"/>
                <w:lang w:eastAsia="zh-CN" w:bidi="ar"/>
              </w:rPr>
              <w:t>广西政府采购云</w:t>
            </w:r>
            <w:r>
              <w:rPr>
                <w:rFonts w:hint="eastAsia" w:ascii="宋体" w:hAnsi="宋体" w:cs="宋体"/>
                <w:color w:val="auto"/>
                <w:szCs w:val="21"/>
                <w:highlight w:val="none"/>
                <w:lang w:bidi="ar"/>
              </w:rPr>
              <w:t>”平台的要求编制、加密、上传</w:t>
            </w:r>
            <w:r>
              <w:rPr>
                <w:rFonts w:hint="eastAsia" w:ascii="宋体" w:hAnsi="宋体" w:cs="宋体"/>
                <w:color w:val="auto"/>
                <w:szCs w:val="21"/>
                <w:highlight w:val="none"/>
              </w:rPr>
              <w:t>。</w:t>
            </w:r>
          </w:p>
        </w:tc>
      </w:tr>
      <w:tr w14:paraId="4DA06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6B280DB7">
            <w:pPr>
              <w:spacing w:line="400" w:lineRule="exact"/>
              <w:rPr>
                <w:rFonts w:ascii="宋体" w:hAnsi="宋体" w:cs="宋体"/>
                <w:color w:val="auto"/>
                <w:szCs w:val="21"/>
                <w:highlight w:val="none"/>
              </w:rPr>
            </w:pPr>
            <w:r>
              <w:rPr>
                <w:rFonts w:hint="eastAsia" w:ascii="宋体" w:hAnsi="宋体" w:cs="宋体"/>
                <w:color w:val="auto"/>
                <w:szCs w:val="21"/>
                <w:highlight w:val="none"/>
              </w:rPr>
              <w:t>20.1</w:t>
            </w:r>
          </w:p>
        </w:tc>
        <w:tc>
          <w:tcPr>
            <w:tcW w:w="1972" w:type="dxa"/>
            <w:tcBorders>
              <w:top w:val="single" w:color="auto" w:sz="4" w:space="0"/>
              <w:left w:val="single" w:color="auto" w:sz="4" w:space="0"/>
              <w:bottom w:val="single" w:color="auto" w:sz="4" w:space="0"/>
              <w:right w:val="single" w:color="auto" w:sz="4" w:space="0"/>
            </w:tcBorders>
            <w:vAlign w:val="center"/>
          </w:tcPr>
          <w:p w14:paraId="32F2E45A">
            <w:pPr>
              <w:spacing w:line="400" w:lineRule="exact"/>
              <w:rPr>
                <w:rFonts w:ascii="宋体" w:hAnsi="宋体" w:cs="宋体"/>
                <w:color w:val="auto"/>
                <w:szCs w:val="21"/>
                <w:highlight w:val="none"/>
              </w:rPr>
            </w:pPr>
            <w:r>
              <w:rPr>
                <w:rFonts w:hint="eastAsia" w:ascii="宋体" w:hAnsi="宋体" w:cs="宋体"/>
                <w:color w:val="auto"/>
                <w:szCs w:val="21"/>
                <w:highlight w:val="none"/>
              </w:rPr>
              <w:t>投标文件的加密、解密</w:t>
            </w:r>
          </w:p>
        </w:tc>
        <w:tc>
          <w:tcPr>
            <w:tcW w:w="7297" w:type="dxa"/>
            <w:tcBorders>
              <w:top w:val="single" w:color="auto" w:sz="4" w:space="0"/>
              <w:left w:val="single" w:color="auto" w:sz="4" w:space="0"/>
              <w:bottom w:val="single" w:color="auto" w:sz="4" w:space="0"/>
              <w:right w:val="single" w:color="auto" w:sz="4" w:space="0"/>
            </w:tcBorders>
            <w:vAlign w:val="center"/>
          </w:tcPr>
          <w:p w14:paraId="67B68F13">
            <w:pPr>
              <w:spacing w:line="400" w:lineRule="exact"/>
              <w:rPr>
                <w:rFonts w:ascii="宋体" w:hAnsi="宋体"/>
                <w:color w:val="auto"/>
                <w:szCs w:val="21"/>
                <w:highlight w:val="none"/>
              </w:rPr>
            </w:pPr>
            <w:r>
              <w:rPr>
                <w:rFonts w:hint="eastAsia" w:ascii="宋体" w:hAnsi="宋体"/>
                <w:color w:val="auto"/>
                <w:szCs w:val="21"/>
                <w:highlight w:val="none"/>
              </w:rPr>
              <w:t>电子投标文件应在制作完成后，投标人应按“</w:t>
            </w:r>
            <w:r>
              <w:rPr>
                <w:rFonts w:hint="eastAsia" w:ascii="宋体" w:hAnsi="宋体"/>
                <w:color w:val="auto"/>
                <w:szCs w:val="21"/>
                <w:highlight w:val="none"/>
                <w:lang w:eastAsia="zh-CN"/>
              </w:rPr>
              <w:t>广西政府采购云</w:t>
            </w:r>
            <w:r>
              <w:rPr>
                <w:rFonts w:hint="eastAsia" w:ascii="宋体" w:hAnsi="宋体"/>
                <w:color w:val="auto"/>
                <w:szCs w:val="21"/>
                <w:highlight w:val="none"/>
              </w:rPr>
              <w:t>”平台的要求进行加密，并在规定时间内解密，否则，由此产生的后果由投标人自行负责。</w:t>
            </w:r>
          </w:p>
        </w:tc>
      </w:tr>
      <w:tr w14:paraId="39A903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71" w:type="dxa"/>
            <w:vMerge w:val="restart"/>
            <w:tcBorders>
              <w:top w:val="single" w:color="auto" w:sz="4" w:space="0"/>
              <w:left w:val="single" w:color="auto" w:sz="4" w:space="0"/>
              <w:right w:val="single" w:color="auto" w:sz="4" w:space="0"/>
            </w:tcBorders>
            <w:vAlign w:val="center"/>
          </w:tcPr>
          <w:p w14:paraId="182A31A3">
            <w:pPr>
              <w:spacing w:line="400" w:lineRule="exact"/>
              <w:rPr>
                <w:rFonts w:ascii="宋体" w:hAnsi="宋体" w:cs="宋体"/>
                <w:color w:val="auto"/>
                <w:szCs w:val="21"/>
                <w:highlight w:val="none"/>
              </w:rPr>
            </w:pPr>
            <w:r>
              <w:rPr>
                <w:rFonts w:hint="eastAsia" w:ascii="宋体" w:hAnsi="宋体" w:cs="宋体"/>
                <w:color w:val="auto"/>
                <w:szCs w:val="21"/>
                <w:highlight w:val="none"/>
              </w:rPr>
              <w:t>21.1</w:t>
            </w:r>
          </w:p>
        </w:tc>
        <w:tc>
          <w:tcPr>
            <w:tcW w:w="1972" w:type="dxa"/>
            <w:tcBorders>
              <w:top w:val="single" w:color="auto" w:sz="4" w:space="0"/>
              <w:left w:val="single" w:color="auto" w:sz="4" w:space="0"/>
              <w:bottom w:val="single" w:color="auto" w:sz="4" w:space="0"/>
              <w:right w:val="single" w:color="auto" w:sz="4" w:space="0"/>
            </w:tcBorders>
            <w:vAlign w:val="center"/>
          </w:tcPr>
          <w:p w14:paraId="0F4539E1">
            <w:pPr>
              <w:spacing w:line="400" w:lineRule="exact"/>
              <w:rPr>
                <w:rFonts w:ascii="宋体" w:hAnsi="宋体" w:cs="宋体"/>
                <w:color w:val="auto"/>
                <w:szCs w:val="21"/>
                <w:highlight w:val="none"/>
              </w:rPr>
            </w:pPr>
            <w:bookmarkStart w:id="67" w:name="_21.1"/>
            <w:bookmarkEnd w:id="67"/>
            <w:r>
              <w:rPr>
                <w:rFonts w:hint="eastAsia" w:ascii="宋体" w:hAnsi="宋体" w:cs="宋体"/>
                <w:color w:val="auto"/>
                <w:szCs w:val="21"/>
                <w:highlight w:val="none"/>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4E2D0FD2">
            <w:pPr>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详见招标公告</w:t>
            </w:r>
          </w:p>
        </w:tc>
      </w:tr>
      <w:tr w14:paraId="1BADF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71" w:type="dxa"/>
            <w:vMerge w:val="continue"/>
            <w:tcBorders>
              <w:left w:val="single" w:color="auto" w:sz="4" w:space="0"/>
              <w:right w:val="single" w:color="auto" w:sz="4" w:space="0"/>
            </w:tcBorders>
            <w:vAlign w:val="center"/>
          </w:tcPr>
          <w:p w14:paraId="6A1A5C07">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48156B20">
            <w:pPr>
              <w:spacing w:line="400" w:lineRule="exact"/>
              <w:rPr>
                <w:rFonts w:ascii="宋体" w:hAnsi="宋体" w:cs="宋体"/>
                <w:color w:val="auto"/>
                <w:szCs w:val="21"/>
                <w:highlight w:val="none"/>
              </w:rPr>
            </w:pPr>
            <w:r>
              <w:rPr>
                <w:rFonts w:hint="eastAsia" w:ascii="宋体" w:hAnsi="宋体" w:cs="宋体"/>
                <w:color w:val="auto"/>
                <w:szCs w:val="21"/>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5B7DFB2A">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详见招标公告</w:t>
            </w:r>
          </w:p>
        </w:tc>
      </w:tr>
      <w:tr w14:paraId="429A47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71" w:type="dxa"/>
            <w:vMerge w:val="continue"/>
            <w:tcBorders>
              <w:left w:val="single" w:color="auto" w:sz="4" w:space="0"/>
              <w:right w:val="single" w:color="auto" w:sz="4" w:space="0"/>
            </w:tcBorders>
            <w:vAlign w:val="center"/>
          </w:tcPr>
          <w:p w14:paraId="69848EE2">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0E8F6BF6">
            <w:pPr>
              <w:spacing w:line="400" w:lineRule="exact"/>
              <w:rPr>
                <w:rFonts w:ascii="宋体" w:hAnsi="宋体" w:cs="宋体"/>
                <w:color w:val="auto"/>
                <w:szCs w:val="21"/>
                <w:highlight w:val="none"/>
              </w:rPr>
            </w:pPr>
            <w:r>
              <w:rPr>
                <w:rFonts w:hint="eastAsia" w:ascii="宋体" w:hAnsi="宋体" w:cs="宋体"/>
                <w:color w:val="auto"/>
                <w:szCs w:val="21"/>
                <w:highlight w:val="none"/>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7974B412">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详见招标公告</w:t>
            </w:r>
          </w:p>
        </w:tc>
      </w:tr>
      <w:tr w14:paraId="7B8815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71" w:type="dxa"/>
            <w:vMerge w:val="continue"/>
            <w:tcBorders>
              <w:left w:val="single" w:color="auto" w:sz="4" w:space="0"/>
              <w:right w:val="single" w:color="auto" w:sz="4" w:space="0"/>
            </w:tcBorders>
            <w:vAlign w:val="center"/>
          </w:tcPr>
          <w:p w14:paraId="1E0FA86A">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1BA841DA">
            <w:pPr>
              <w:spacing w:line="400" w:lineRule="exact"/>
              <w:rPr>
                <w:rFonts w:ascii="宋体" w:hAnsi="宋体" w:cs="宋体"/>
                <w:color w:val="auto"/>
                <w:szCs w:val="21"/>
                <w:highlight w:val="none"/>
              </w:rPr>
            </w:pPr>
            <w:r>
              <w:rPr>
                <w:rFonts w:hint="eastAsia" w:ascii="宋体" w:hAnsi="宋体" w:cs="宋体"/>
                <w:color w:val="auto"/>
                <w:szCs w:val="21"/>
                <w:highlight w:val="none"/>
              </w:rPr>
              <w:t>供应商递交投标样品截止时间及地点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1EC5983E">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时间：</w:t>
            </w:r>
            <w:r>
              <w:rPr>
                <w:rFonts w:hint="eastAsia" w:ascii="宋体" w:hAnsi="宋体" w:cs="宋体"/>
                <w:bCs/>
                <w:color w:val="auto"/>
                <w:szCs w:val="21"/>
                <w:highlight w:val="none"/>
                <w:u w:val="single"/>
              </w:rPr>
              <w:t xml:space="preserve">  /  年 / 月 / 日  /  时  /  分</w:t>
            </w:r>
            <w:r>
              <w:rPr>
                <w:rFonts w:hint="eastAsia" w:ascii="宋体" w:hAnsi="宋体" w:cs="宋体"/>
                <w:bCs/>
                <w:color w:val="auto"/>
                <w:szCs w:val="21"/>
                <w:highlight w:val="none"/>
              </w:rPr>
              <w:t>（北京时间）</w:t>
            </w:r>
          </w:p>
          <w:p w14:paraId="45A8B8C6">
            <w:pPr>
              <w:snapToGrid w:val="0"/>
              <w:spacing w:line="400" w:lineRule="exact"/>
              <w:rPr>
                <w:rFonts w:ascii="宋体" w:hAnsi="宋体" w:cs="宋体"/>
                <w:color w:val="auto"/>
                <w:szCs w:val="21"/>
                <w:highlight w:val="none"/>
              </w:rPr>
            </w:pPr>
            <w:r>
              <w:rPr>
                <w:rFonts w:hint="eastAsia" w:ascii="宋体" w:hAnsi="宋体" w:cs="宋体"/>
                <w:bCs/>
                <w:color w:val="auto"/>
                <w:szCs w:val="21"/>
                <w:highlight w:val="none"/>
              </w:rPr>
              <w:t>地点：</w:t>
            </w:r>
            <w:r>
              <w:rPr>
                <w:rFonts w:hint="eastAsia" w:ascii="宋体" w:hAnsi="宋体" w:cs="宋体"/>
                <w:bCs/>
                <w:color w:val="auto"/>
                <w:szCs w:val="21"/>
                <w:highlight w:val="none"/>
                <w:u w:val="single"/>
              </w:rPr>
              <w:t xml:space="preserve">          /                      </w:t>
            </w:r>
          </w:p>
        </w:tc>
      </w:tr>
      <w:tr w14:paraId="76A57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2F867DC9">
            <w:pPr>
              <w:spacing w:line="400" w:lineRule="exact"/>
              <w:rPr>
                <w:rFonts w:ascii="宋体" w:hAnsi="宋体" w:cs="宋体"/>
                <w:color w:val="auto"/>
                <w:szCs w:val="21"/>
                <w:highlight w:val="none"/>
              </w:rPr>
            </w:pPr>
            <w:r>
              <w:rPr>
                <w:rFonts w:hint="eastAsia" w:ascii="宋体" w:hAnsi="宋体" w:cs="宋体"/>
                <w:color w:val="auto"/>
                <w:szCs w:val="21"/>
                <w:highlight w:val="none"/>
              </w:rPr>
              <w:t>23</w:t>
            </w:r>
          </w:p>
        </w:tc>
        <w:tc>
          <w:tcPr>
            <w:tcW w:w="1972" w:type="dxa"/>
            <w:tcBorders>
              <w:top w:val="single" w:color="auto" w:sz="4" w:space="0"/>
              <w:left w:val="single" w:color="auto" w:sz="4" w:space="0"/>
              <w:bottom w:val="single" w:color="auto" w:sz="4" w:space="0"/>
              <w:right w:val="single" w:color="auto" w:sz="4" w:space="0"/>
            </w:tcBorders>
            <w:vAlign w:val="center"/>
          </w:tcPr>
          <w:p w14:paraId="0FB2D63E">
            <w:pPr>
              <w:spacing w:line="400" w:lineRule="exact"/>
              <w:rPr>
                <w:rFonts w:ascii="宋体" w:hAnsi="宋体" w:cs="宋体"/>
                <w:color w:val="auto"/>
                <w:szCs w:val="21"/>
                <w:highlight w:val="none"/>
              </w:rPr>
            </w:pPr>
            <w:bookmarkStart w:id="68" w:name="_23"/>
            <w:bookmarkEnd w:id="68"/>
            <w:r>
              <w:rPr>
                <w:rFonts w:hint="eastAsia" w:ascii="宋体" w:hAnsi="宋体" w:cs="宋体"/>
                <w:color w:val="auto"/>
                <w:szCs w:val="21"/>
                <w:highlight w:val="none"/>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09A9D5C8">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详见招标公告 </w:t>
            </w:r>
          </w:p>
        </w:tc>
      </w:tr>
      <w:tr w14:paraId="77E35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71" w:type="dxa"/>
            <w:vMerge w:val="restart"/>
            <w:tcBorders>
              <w:top w:val="single" w:color="auto" w:sz="4" w:space="0"/>
              <w:left w:val="single" w:color="auto" w:sz="4" w:space="0"/>
              <w:right w:val="single" w:color="auto" w:sz="4" w:space="0"/>
            </w:tcBorders>
            <w:vAlign w:val="center"/>
          </w:tcPr>
          <w:p w14:paraId="0C86E198">
            <w:pPr>
              <w:spacing w:line="400" w:lineRule="exact"/>
              <w:rPr>
                <w:rFonts w:ascii="宋体" w:hAnsi="宋体" w:cs="宋体"/>
                <w:color w:val="auto"/>
                <w:szCs w:val="21"/>
                <w:highlight w:val="none"/>
              </w:rPr>
            </w:pPr>
            <w:r>
              <w:rPr>
                <w:rFonts w:hint="eastAsia" w:ascii="宋体" w:hAnsi="宋体" w:cs="宋体"/>
                <w:color w:val="auto"/>
                <w:szCs w:val="21"/>
                <w:highlight w:val="none"/>
              </w:rPr>
              <w:t>25.3（2）</w:t>
            </w:r>
          </w:p>
        </w:tc>
        <w:tc>
          <w:tcPr>
            <w:tcW w:w="1972" w:type="dxa"/>
            <w:tcBorders>
              <w:top w:val="single" w:color="auto" w:sz="4" w:space="0"/>
              <w:left w:val="single" w:color="auto" w:sz="4" w:space="0"/>
              <w:bottom w:val="single" w:color="auto" w:sz="4" w:space="0"/>
              <w:right w:val="single" w:color="auto" w:sz="4" w:space="0"/>
            </w:tcBorders>
            <w:vAlign w:val="center"/>
          </w:tcPr>
          <w:p w14:paraId="080E8E26">
            <w:pPr>
              <w:spacing w:line="400" w:lineRule="exact"/>
              <w:rPr>
                <w:rFonts w:ascii="宋体" w:hAnsi="宋体" w:cs="宋体"/>
                <w:color w:val="auto"/>
                <w:szCs w:val="21"/>
                <w:highlight w:val="none"/>
              </w:rPr>
            </w:pPr>
            <w:bookmarkStart w:id="69" w:name="_25.3"/>
            <w:bookmarkEnd w:id="69"/>
            <w:r>
              <w:rPr>
                <w:rFonts w:hint="eastAsia" w:ascii="宋体" w:hAnsi="宋体" w:cs="宋体"/>
                <w:color w:val="auto"/>
                <w:szCs w:val="21"/>
                <w:highlight w:val="none"/>
              </w:rPr>
              <w:t>供应商信用查询渠道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21331815">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采购人或者采购代理机构在资格审查结束前，对供应商进行信用查询。</w:t>
            </w:r>
          </w:p>
          <w:p w14:paraId="0673C9F2">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查询渠道：“信用中国”网站(www.creditchina.gov.cn) 、中国政府采购网(www.ccgp.gov.cn)。</w:t>
            </w:r>
          </w:p>
        </w:tc>
      </w:tr>
      <w:tr w14:paraId="15B928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71" w:type="dxa"/>
            <w:vMerge w:val="continue"/>
            <w:tcBorders>
              <w:left w:val="single" w:color="auto" w:sz="4" w:space="0"/>
              <w:right w:val="single" w:color="auto" w:sz="4" w:space="0"/>
            </w:tcBorders>
            <w:vAlign w:val="center"/>
          </w:tcPr>
          <w:p w14:paraId="05D8AB7C">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20359DAC">
            <w:pPr>
              <w:spacing w:line="400" w:lineRule="exact"/>
              <w:rPr>
                <w:rFonts w:ascii="宋体" w:hAnsi="宋体" w:cs="宋体"/>
                <w:color w:val="auto"/>
                <w:szCs w:val="21"/>
                <w:highlight w:val="none"/>
              </w:rPr>
            </w:pPr>
            <w:r>
              <w:rPr>
                <w:rFonts w:hint="eastAsia" w:ascii="宋体" w:hAnsi="宋体" w:cs="宋体"/>
                <w:color w:val="auto"/>
                <w:szCs w:val="21"/>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7403566C">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资格审查结束前</w:t>
            </w:r>
          </w:p>
        </w:tc>
      </w:tr>
      <w:tr w14:paraId="7A1B3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71" w:type="dxa"/>
            <w:vMerge w:val="continue"/>
            <w:tcBorders>
              <w:left w:val="single" w:color="auto" w:sz="4" w:space="0"/>
              <w:right w:val="single" w:color="auto" w:sz="4" w:space="0"/>
            </w:tcBorders>
            <w:vAlign w:val="center"/>
          </w:tcPr>
          <w:p w14:paraId="0B9BF8E8">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71BACF36">
            <w:pPr>
              <w:spacing w:line="400" w:lineRule="exact"/>
              <w:rPr>
                <w:rFonts w:ascii="宋体" w:hAnsi="宋体" w:cs="宋体"/>
                <w:color w:val="auto"/>
                <w:szCs w:val="21"/>
                <w:highlight w:val="none"/>
              </w:rPr>
            </w:pPr>
            <w:r>
              <w:rPr>
                <w:rFonts w:hint="eastAsia" w:ascii="宋体" w:hAnsi="宋体" w:cs="宋体"/>
                <w:color w:val="auto"/>
                <w:szCs w:val="21"/>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1DD5A1D2">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在查询网站中直接截图查询记录，截图作为在“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”平台作为附件上传保存。</w:t>
            </w:r>
          </w:p>
        </w:tc>
      </w:tr>
      <w:tr w14:paraId="48C037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71" w:type="dxa"/>
            <w:vMerge w:val="continue"/>
            <w:tcBorders>
              <w:left w:val="single" w:color="auto" w:sz="4" w:space="0"/>
              <w:bottom w:val="single" w:color="auto" w:sz="4" w:space="0"/>
              <w:right w:val="single" w:color="auto" w:sz="4" w:space="0"/>
            </w:tcBorders>
            <w:vAlign w:val="center"/>
          </w:tcPr>
          <w:p w14:paraId="43350B43">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6EE23E09">
            <w:pPr>
              <w:spacing w:line="400" w:lineRule="exact"/>
              <w:rPr>
                <w:rFonts w:ascii="宋体" w:hAnsi="宋体" w:cs="宋体"/>
                <w:color w:val="auto"/>
                <w:szCs w:val="21"/>
                <w:highlight w:val="none"/>
              </w:rPr>
            </w:pPr>
            <w:r>
              <w:rPr>
                <w:rFonts w:hint="eastAsia" w:ascii="宋体" w:hAnsi="宋体" w:cs="宋体"/>
                <w:color w:val="auto"/>
                <w:szCs w:val="21"/>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60BF3D9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B974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71" w:type="dxa"/>
            <w:tcBorders>
              <w:top w:val="single" w:color="auto" w:sz="4" w:space="0"/>
              <w:left w:val="single" w:color="auto" w:sz="4" w:space="0"/>
              <w:bottom w:val="single" w:color="auto" w:sz="4" w:space="0"/>
              <w:right w:val="single" w:color="auto" w:sz="4" w:space="0"/>
            </w:tcBorders>
            <w:vAlign w:val="center"/>
          </w:tcPr>
          <w:p w14:paraId="4004193E">
            <w:pPr>
              <w:spacing w:line="400" w:lineRule="exact"/>
              <w:rPr>
                <w:rFonts w:ascii="宋体" w:hAnsi="宋体" w:cs="宋体"/>
                <w:color w:val="auto"/>
                <w:szCs w:val="21"/>
                <w:highlight w:val="none"/>
              </w:rPr>
            </w:pPr>
            <w:r>
              <w:rPr>
                <w:rFonts w:hint="eastAsia" w:ascii="宋体" w:hAnsi="宋体" w:cs="宋体"/>
                <w:color w:val="auto"/>
                <w:szCs w:val="21"/>
                <w:highlight w:val="none"/>
              </w:rPr>
              <w:t>26</w:t>
            </w:r>
          </w:p>
        </w:tc>
        <w:tc>
          <w:tcPr>
            <w:tcW w:w="1972" w:type="dxa"/>
            <w:tcBorders>
              <w:top w:val="single" w:color="auto" w:sz="4" w:space="0"/>
              <w:left w:val="single" w:color="auto" w:sz="4" w:space="0"/>
              <w:bottom w:val="single" w:color="auto" w:sz="4" w:space="0"/>
              <w:right w:val="single" w:color="auto" w:sz="4" w:space="0"/>
            </w:tcBorders>
            <w:vAlign w:val="center"/>
          </w:tcPr>
          <w:p w14:paraId="78768829">
            <w:pPr>
              <w:spacing w:line="400" w:lineRule="exact"/>
              <w:rPr>
                <w:rFonts w:ascii="宋体" w:hAnsi="宋体" w:cs="宋体"/>
                <w:color w:val="auto"/>
                <w:szCs w:val="21"/>
                <w:highlight w:val="none"/>
              </w:rPr>
            </w:pPr>
            <w:r>
              <w:rPr>
                <w:rFonts w:hint="eastAsia" w:ascii="宋体" w:hAnsi="宋体"/>
                <w:color w:val="auto"/>
                <w:szCs w:val="21"/>
                <w:highlight w:val="none"/>
              </w:rPr>
              <w:t>评标委员会的人数</w:t>
            </w:r>
          </w:p>
        </w:tc>
        <w:tc>
          <w:tcPr>
            <w:tcW w:w="7297" w:type="dxa"/>
            <w:tcBorders>
              <w:top w:val="single" w:color="auto" w:sz="4" w:space="0"/>
              <w:left w:val="single" w:color="auto" w:sz="4" w:space="0"/>
              <w:bottom w:val="single" w:color="auto" w:sz="4" w:space="0"/>
              <w:right w:val="single" w:color="auto" w:sz="4" w:space="0"/>
            </w:tcBorders>
            <w:vAlign w:val="center"/>
          </w:tcPr>
          <w:p w14:paraId="71D23F50">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人</w:t>
            </w:r>
          </w:p>
        </w:tc>
      </w:tr>
      <w:tr w14:paraId="48057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02C6F669">
            <w:pPr>
              <w:spacing w:line="400" w:lineRule="exact"/>
              <w:rPr>
                <w:rFonts w:ascii="宋体" w:hAnsi="宋体" w:cs="宋体"/>
                <w:color w:val="auto"/>
                <w:szCs w:val="21"/>
                <w:highlight w:val="none"/>
              </w:rPr>
            </w:pPr>
            <w:r>
              <w:rPr>
                <w:rFonts w:hint="eastAsia" w:ascii="宋体" w:hAnsi="宋体" w:cs="宋体"/>
                <w:color w:val="auto"/>
                <w:szCs w:val="21"/>
                <w:highlight w:val="none"/>
              </w:rPr>
              <w:t>29.1</w:t>
            </w:r>
          </w:p>
        </w:tc>
        <w:tc>
          <w:tcPr>
            <w:tcW w:w="1972" w:type="dxa"/>
            <w:tcBorders>
              <w:top w:val="single" w:color="auto" w:sz="4" w:space="0"/>
              <w:left w:val="single" w:color="auto" w:sz="4" w:space="0"/>
              <w:bottom w:val="single" w:color="auto" w:sz="4" w:space="0"/>
              <w:right w:val="single" w:color="auto" w:sz="4" w:space="0"/>
            </w:tcBorders>
            <w:vAlign w:val="center"/>
          </w:tcPr>
          <w:p w14:paraId="5D06DBD3">
            <w:pPr>
              <w:spacing w:line="400" w:lineRule="exact"/>
              <w:rPr>
                <w:rFonts w:ascii="宋体" w:hAnsi="宋体" w:cs="宋体"/>
                <w:color w:val="auto"/>
                <w:szCs w:val="21"/>
                <w:highlight w:val="none"/>
              </w:rPr>
            </w:pPr>
            <w:bookmarkStart w:id="70" w:name="_26"/>
            <w:bookmarkEnd w:id="70"/>
            <w:bookmarkStart w:id="71" w:name="_28.3"/>
            <w:bookmarkEnd w:id="71"/>
            <w:r>
              <w:rPr>
                <w:rFonts w:hint="eastAsia" w:ascii="宋体" w:hAnsi="宋体" w:cs="宋体"/>
                <w:color w:val="auto"/>
                <w:szCs w:val="21"/>
                <w:highlight w:val="none"/>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58E44814">
            <w:pPr>
              <w:autoSpaceDE w:val="0"/>
              <w:autoSpaceDN w:val="0"/>
              <w:snapToGrid w:val="0"/>
              <w:spacing w:line="400" w:lineRule="exact"/>
              <w:textAlignment w:val="bottom"/>
              <w:rPr>
                <w:rFonts w:ascii="宋体" w:hAnsi="宋体" w:cs="宋体"/>
                <w:b/>
                <w:bCs/>
                <w:color w:val="auto"/>
                <w:szCs w:val="21"/>
                <w:highlight w:val="none"/>
              </w:rPr>
            </w:pPr>
            <w:r>
              <w:rPr>
                <w:rFonts w:hint="eastAsia" w:ascii="宋体" w:hAnsi="宋体" w:cs="宋体"/>
                <w:b/>
                <w:bCs/>
                <w:color w:val="auto"/>
                <w:szCs w:val="21"/>
                <w:highlight w:val="none"/>
              </w:rPr>
              <w:t>☑综合评分法</w:t>
            </w:r>
          </w:p>
          <w:p w14:paraId="1CE0313D">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□最低评标价法</w:t>
            </w:r>
          </w:p>
        </w:tc>
      </w:tr>
      <w:tr w14:paraId="25E059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1" w:type="dxa"/>
            <w:tcBorders>
              <w:top w:val="single" w:color="auto" w:sz="4" w:space="0"/>
              <w:left w:val="single" w:color="auto" w:sz="4" w:space="0"/>
              <w:right w:val="single" w:color="auto" w:sz="4" w:space="0"/>
            </w:tcBorders>
            <w:vAlign w:val="center"/>
          </w:tcPr>
          <w:p w14:paraId="05B22F26">
            <w:pPr>
              <w:spacing w:line="400" w:lineRule="exact"/>
              <w:rPr>
                <w:rFonts w:ascii="宋体" w:hAnsi="宋体" w:cs="宋体"/>
                <w:color w:val="auto"/>
                <w:szCs w:val="21"/>
                <w:highlight w:val="none"/>
              </w:rPr>
            </w:pPr>
            <w:r>
              <w:rPr>
                <w:rFonts w:hint="eastAsia" w:ascii="宋体" w:hAnsi="宋体" w:cs="宋体"/>
                <w:color w:val="auto"/>
                <w:szCs w:val="21"/>
                <w:highlight w:val="none"/>
              </w:rPr>
              <w:t>29.2</w:t>
            </w:r>
          </w:p>
        </w:tc>
        <w:tc>
          <w:tcPr>
            <w:tcW w:w="1972" w:type="dxa"/>
            <w:tcBorders>
              <w:top w:val="single" w:color="auto" w:sz="4" w:space="0"/>
              <w:left w:val="single" w:color="auto" w:sz="4" w:space="0"/>
              <w:right w:val="single" w:color="auto" w:sz="4" w:space="0"/>
            </w:tcBorders>
            <w:vAlign w:val="center"/>
          </w:tcPr>
          <w:p w14:paraId="693EF154">
            <w:pPr>
              <w:spacing w:line="400" w:lineRule="exact"/>
              <w:rPr>
                <w:rFonts w:ascii="宋体" w:hAnsi="宋体" w:cs="宋体"/>
                <w:color w:val="auto"/>
                <w:szCs w:val="21"/>
                <w:highlight w:val="none"/>
              </w:rPr>
            </w:pPr>
            <w:bookmarkStart w:id="72" w:name="_29.2.2（2）"/>
            <w:bookmarkEnd w:id="72"/>
            <w:r>
              <w:rPr>
                <w:rFonts w:hint="eastAsia" w:ascii="宋体" w:hAnsi="宋体" w:cs="宋体"/>
                <w:color w:val="auto"/>
                <w:szCs w:val="21"/>
                <w:highlight w:val="none"/>
              </w:rPr>
              <w:t>允许负偏离项</w:t>
            </w:r>
          </w:p>
        </w:tc>
        <w:tc>
          <w:tcPr>
            <w:tcW w:w="7297" w:type="dxa"/>
            <w:tcBorders>
              <w:top w:val="single" w:color="auto" w:sz="4" w:space="0"/>
              <w:left w:val="single" w:color="auto" w:sz="4" w:space="0"/>
              <w:right w:val="single" w:color="auto" w:sz="4" w:space="0"/>
            </w:tcBorders>
            <w:vAlign w:val="center"/>
          </w:tcPr>
          <w:p w14:paraId="419F326E">
            <w:pPr>
              <w:snapToGrid w:val="0"/>
              <w:spacing w:line="276" w:lineRule="auto"/>
              <w:rPr>
                <w:rFonts w:ascii="宋体" w:hAnsi="宋体"/>
                <w:color w:val="auto"/>
                <w:sz w:val="21"/>
                <w:szCs w:val="21"/>
                <w:highlight w:val="none"/>
              </w:rPr>
            </w:pPr>
            <w:r>
              <w:rPr>
                <w:rFonts w:hint="eastAsia" w:ascii="宋体" w:hAnsi="宋体" w:cs="宋体"/>
                <w:color w:val="auto"/>
                <w:szCs w:val="21"/>
                <w:highlight w:val="none"/>
              </w:rPr>
              <w:t>商务要求</w:t>
            </w:r>
            <w:r>
              <w:rPr>
                <w:rFonts w:hint="eastAsia" w:ascii="宋体" w:hAnsi="宋体"/>
                <w:color w:val="auto"/>
                <w:szCs w:val="21"/>
                <w:highlight w:val="none"/>
              </w:rPr>
              <w:t>评审中允许负偏离的</w:t>
            </w:r>
            <w:r>
              <w:rPr>
                <w:rFonts w:hint="eastAsia" w:ascii="宋体" w:hAnsi="宋体"/>
                <w:color w:val="auto"/>
                <w:szCs w:val="21"/>
                <w:highlight w:val="none"/>
                <w:lang w:val="en-US" w:eastAsia="zh-CN"/>
              </w:rPr>
              <w:t>非</w:t>
            </w:r>
            <w:r>
              <w:rPr>
                <w:rFonts w:hint="eastAsia" w:ascii="宋体" w:hAnsi="宋体"/>
                <w:color w:val="auto"/>
                <w:szCs w:val="21"/>
                <w:highlight w:val="none"/>
              </w:rPr>
              <w:t>实质性条款数为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0</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项</w:t>
            </w:r>
            <w:r>
              <w:rPr>
                <w:rFonts w:hint="eastAsia" w:ascii="宋体" w:hAnsi="宋体"/>
                <w:color w:val="auto"/>
                <w:sz w:val="21"/>
                <w:szCs w:val="21"/>
                <w:highlight w:val="none"/>
              </w:rPr>
              <w:t>。</w:t>
            </w:r>
          </w:p>
          <w:p w14:paraId="448A44D4">
            <w:pPr>
              <w:snapToGrid w:val="0"/>
              <w:spacing w:line="400" w:lineRule="exact"/>
              <w:rPr>
                <w:rFonts w:ascii="宋体" w:hAnsi="宋体" w:cs="宋体"/>
                <w:color w:val="auto"/>
                <w:szCs w:val="21"/>
                <w:highlight w:val="none"/>
              </w:rPr>
            </w:pPr>
            <w:r>
              <w:rPr>
                <w:rFonts w:hint="eastAsia" w:ascii="宋体" w:hAnsi="宋体" w:cs="宋体"/>
                <w:color w:val="auto"/>
                <w:sz w:val="21"/>
                <w:szCs w:val="21"/>
                <w:highlight w:val="none"/>
              </w:rPr>
              <w:t>技术要求</w:t>
            </w:r>
            <w:r>
              <w:rPr>
                <w:rFonts w:hint="eastAsia" w:ascii="宋体" w:hAnsi="宋体"/>
                <w:color w:val="auto"/>
                <w:sz w:val="21"/>
                <w:szCs w:val="21"/>
                <w:highlight w:val="none"/>
              </w:rPr>
              <w:t>评审中允许负偏离的</w:t>
            </w:r>
            <w:r>
              <w:rPr>
                <w:rFonts w:hint="eastAsia" w:ascii="宋体" w:hAnsi="宋体"/>
                <w:color w:val="auto"/>
                <w:szCs w:val="21"/>
                <w:highlight w:val="none"/>
                <w:lang w:val="en-US" w:eastAsia="zh-CN"/>
              </w:rPr>
              <w:t>非</w:t>
            </w:r>
            <w:r>
              <w:rPr>
                <w:rFonts w:hint="eastAsia" w:ascii="宋体" w:hAnsi="宋体"/>
                <w:color w:val="auto"/>
                <w:szCs w:val="21"/>
                <w:highlight w:val="none"/>
              </w:rPr>
              <w:t>实质性条款</w:t>
            </w:r>
            <w:r>
              <w:rPr>
                <w:rFonts w:hint="eastAsia" w:ascii="宋体" w:hAnsi="宋体"/>
                <w:color w:val="auto"/>
                <w:sz w:val="21"/>
                <w:szCs w:val="21"/>
                <w:highlight w:val="none"/>
              </w:rPr>
              <w:t>数为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0</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项</w:t>
            </w:r>
            <w:r>
              <w:rPr>
                <w:rFonts w:hint="eastAsia" w:ascii="宋体" w:hAnsi="宋体" w:cs="宋体"/>
                <w:color w:val="auto"/>
                <w:sz w:val="21"/>
                <w:szCs w:val="21"/>
                <w:highlight w:val="none"/>
              </w:rPr>
              <w:t>。</w:t>
            </w:r>
          </w:p>
        </w:tc>
      </w:tr>
      <w:tr w14:paraId="7E484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7BBDBFF5">
            <w:pPr>
              <w:spacing w:line="400" w:lineRule="exact"/>
              <w:rPr>
                <w:rFonts w:ascii="宋体" w:hAnsi="宋体" w:cs="宋体"/>
                <w:color w:val="auto"/>
                <w:szCs w:val="21"/>
                <w:highlight w:val="none"/>
              </w:rPr>
            </w:pPr>
            <w:r>
              <w:rPr>
                <w:rFonts w:hint="eastAsia" w:ascii="宋体" w:hAnsi="宋体" w:cs="宋体"/>
                <w:color w:val="auto"/>
                <w:szCs w:val="21"/>
                <w:highlight w:val="none"/>
              </w:rPr>
              <w:t>30.1</w:t>
            </w:r>
          </w:p>
        </w:tc>
        <w:tc>
          <w:tcPr>
            <w:tcW w:w="1972" w:type="dxa"/>
            <w:tcBorders>
              <w:top w:val="single" w:color="auto" w:sz="4" w:space="0"/>
              <w:left w:val="single" w:color="auto" w:sz="4" w:space="0"/>
              <w:bottom w:val="single" w:color="auto" w:sz="4" w:space="0"/>
              <w:right w:val="single" w:color="auto" w:sz="4" w:space="0"/>
            </w:tcBorders>
            <w:vAlign w:val="center"/>
          </w:tcPr>
          <w:p w14:paraId="4E37A7D9">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 xml:space="preserve">确定中标供应商时，出现中标候选人分数并列的情形，确定中标供应商方式 </w:t>
            </w:r>
          </w:p>
        </w:tc>
        <w:tc>
          <w:tcPr>
            <w:tcW w:w="7297" w:type="dxa"/>
            <w:tcBorders>
              <w:top w:val="single" w:color="auto" w:sz="4" w:space="0"/>
              <w:left w:val="single" w:color="auto" w:sz="4" w:space="0"/>
              <w:bottom w:val="single" w:color="auto" w:sz="4" w:space="0"/>
              <w:right w:val="single" w:color="auto" w:sz="4" w:space="0"/>
            </w:tcBorders>
            <w:vAlign w:val="center"/>
          </w:tcPr>
          <w:p w14:paraId="3A516105">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 xml:space="preserve">□采用最低评标价法的，投标文件满足招标文件全部实质性要求且投标报价最低的供应商为排名第一的中标候选人； </w:t>
            </w:r>
          </w:p>
          <w:p w14:paraId="1392F6D9">
            <w:pPr>
              <w:autoSpaceDE w:val="0"/>
              <w:autoSpaceDN w:val="0"/>
              <w:snapToGrid w:val="0"/>
              <w:spacing w:line="400" w:lineRule="exact"/>
              <w:textAlignment w:val="bottom"/>
              <w:rPr>
                <w:rFonts w:ascii="宋体" w:hAnsi="宋体" w:cs="宋体"/>
                <w:b/>
                <w:color w:val="auto"/>
                <w:szCs w:val="21"/>
                <w:highlight w:val="none"/>
              </w:rPr>
            </w:pPr>
            <w:r>
              <w:rPr>
                <w:rFonts w:hint="eastAsia" w:ascii="宋体" w:hAnsi="宋体" w:cs="宋体"/>
                <w:b/>
                <w:bCs/>
                <w:color w:val="auto"/>
                <w:szCs w:val="21"/>
                <w:highlight w:val="none"/>
              </w:rPr>
              <w:t>☑采用综合评分法的，按投标报价由低到高顺序排列。得分且投标报价相同的并列。投标文件满足招标文件全部实质性要求，且按照评审因素的量化指标评审得分最高的供应商为排名第一的中标候选人。</w:t>
            </w:r>
          </w:p>
        </w:tc>
      </w:tr>
      <w:tr w14:paraId="2ABC6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1" w:type="dxa"/>
            <w:tcBorders>
              <w:top w:val="single" w:color="auto" w:sz="4" w:space="0"/>
              <w:left w:val="single" w:color="auto" w:sz="4" w:space="0"/>
              <w:bottom w:val="single" w:color="auto" w:sz="4" w:space="0"/>
              <w:right w:val="single" w:color="auto" w:sz="4" w:space="0"/>
            </w:tcBorders>
            <w:vAlign w:val="center"/>
          </w:tcPr>
          <w:p w14:paraId="7DC8ADEB">
            <w:pPr>
              <w:spacing w:line="400" w:lineRule="exact"/>
              <w:rPr>
                <w:rFonts w:ascii="宋体" w:hAnsi="宋体" w:cs="宋体"/>
                <w:color w:val="auto"/>
                <w:szCs w:val="21"/>
                <w:highlight w:val="none"/>
              </w:rPr>
            </w:pPr>
            <w:r>
              <w:rPr>
                <w:rFonts w:hint="eastAsia" w:ascii="宋体" w:hAnsi="宋体" w:cs="宋体"/>
                <w:color w:val="auto"/>
                <w:szCs w:val="21"/>
                <w:highlight w:val="none"/>
              </w:rPr>
              <w:t>35.1</w:t>
            </w:r>
          </w:p>
        </w:tc>
        <w:tc>
          <w:tcPr>
            <w:tcW w:w="1972" w:type="dxa"/>
            <w:tcBorders>
              <w:top w:val="single" w:color="auto" w:sz="4" w:space="0"/>
              <w:left w:val="single" w:color="auto" w:sz="4" w:space="0"/>
              <w:bottom w:val="single" w:color="auto" w:sz="4" w:space="0"/>
              <w:right w:val="single" w:color="auto" w:sz="4" w:space="0"/>
            </w:tcBorders>
            <w:vAlign w:val="center"/>
          </w:tcPr>
          <w:p w14:paraId="6A7F6E6F">
            <w:pPr>
              <w:spacing w:line="400" w:lineRule="exact"/>
              <w:rPr>
                <w:rFonts w:ascii="宋体" w:hAnsi="宋体" w:cs="宋体"/>
                <w:color w:val="auto"/>
                <w:szCs w:val="21"/>
                <w:highlight w:val="none"/>
              </w:rPr>
            </w:pPr>
            <w:bookmarkStart w:id="73" w:name="_39.1"/>
            <w:bookmarkEnd w:id="73"/>
            <w:r>
              <w:rPr>
                <w:rFonts w:hint="eastAsia" w:ascii="宋体" w:hAnsi="宋体" w:cs="宋体"/>
                <w:color w:val="auto"/>
                <w:szCs w:val="21"/>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7EE73C06">
            <w:pPr>
              <w:autoSpaceDE w:val="0"/>
              <w:autoSpaceDN w:val="0"/>
              <w:snapToGrid w:val="0"/>
              <w:spacing w:line="400" w:lineRule="exact"/>
              <w:jc w:val="left"/>
              <w:textAlignment w:val="bottom"/>
              <w:rPr>
                <w:rFonts w:ascii="宋体" w:hAnsi="宋体" w:cs="宋体"/>
                <w:color w:val="auto"/>
                <w:szCs w:val="21"/>
                <w:highlight w:val="none"/>
              </w:rPr>
            </w:pPr>
            <w:r>
              <w:rPr>
                <w:rFonts w:hint="eastAsia" w:ascii="宋体" w:hAnsi="宋体" w:cs="宋体"/>
                <w:color w:val="auto"/>
                <w:szCs w:val="21"/>
                <w:highlight w:val="none"/>
              </w:rPr>
              <w:t>本项目不收取履约保证金。</w:t>
            </w:r>
          </w:p>
        </w:tc>
      </w:tr>
      <w:tr w14:paraId="2F4A07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0D9AB7EC">
            <w:pPr>
              <w:spacing w:line="400" w:lineRule="exact"/>
              <w:rPr>
                <w:rFonts w:ascii="宋体" w:hAnsi="宋体" w:cs="宋体"/>
                <w:color w:val="auto"/>
                <w:szCs w:val="21"/>
                <w:highlight w:val="none"/>
              </w:rPr>
            </w:pPr>
            <w:r>
              <w:rPr>
                <w:rFonts w:hint="eastAsia" w:ascii="宋体" w:hAnsi="宋体" w:cs="宋体"/>
                <w:color w:val="auto"/>
                <w:szCs w:val="21"/>
                <w:highlight w:val="none"/>
              </w:rPr>
              <w:t>36.1</w:t>
            </w:r>
          </w:p>
        </w:tc>
        <w:tc>
          <w:tcPr>
            <w:tcW w:w="1972" w:type="dxa"/>
            <w:tcBorders>
              <w:top w:val="single" w:color="auto" w:sz="4" w:space="0"/>
              <w:left w:val="single" w:color="auto" w:sz="4" w:space="0"/>
              <w:bottom w:val="single" w:color="auto" w:sz="4" w:space="0"/>
              <w:right w:val="single" w:color="auto" w:sz="4" w:space="0"/>
            </w:tcBorders>
            <w:vAlign w:val="center"/>
          </w:tcPr>
          <w:p w14:paraId="6C34EA39">
            <w:pPr>
              <w:spacing w:line="400" w:lineRule="exact"/>
              <w:rPr>
                <w:rFonts w:ascii="宋体" w:hAnsi="宋体" w:cs="宋体"/>
                <w:color w:val="auto"/>
                <w:szCs w:val="21"/>
                <w:highlight w:val="none"/>
              </w:rPr>
            </w:pPr>
            <w:bookmarkStart w:id="74" w:name="_40.1"/>
            <w:bookmarkEnd w:id="74"/>
            <w:r>
              <w:rPr>
                <w:rFonts w:hint="eastAsia" w:ascii="宋体" w:hAnsi="宋体" w:cs="宋体"/>
                <w:color w:val="auto"/>
                <w:szCs w:val="21"/>
                <w:highlight w:val="none"/>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16C97610">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电子采购合同需要供应商通过有效CA证书进行电子签署</w:t>
            </w:r>
          </w:p>
        </w:tc>
      </w:tr>
      <w:tr w14:paraId="52BDA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71" w:type="dxa"/>
            <w:vMerge w:val="restart"/>
            <w:tcBorders>
              <w:top w:val="single" w:color="auto" w:sz="4" w:space="0"/>
              <w:left w:val="single" w:color="auto" w:sz="4" w:space="0"/>
              <w:right w:val="single" w:color="auto" w:sz="4" w:space="0"/>
            </w:tcBorders>
            <w:vAlign w:val="center"/>
          </w:tcPr>
          <w:p w14:paraId="2049CA6B">
            <w:pPr>
              <w:spacing w:line="400" w:lineRule="exact"/>
              <w:rPr>
                <w:rFonts w:ascii="宋体" w:hAnsi="宋体" w:cs="宋体"/>
                <w:color w:val="auto"/>
                <w:szCs w:val="21"/>
                <w:highlight w:val="none"/>
              </w:rPr>
            </w:pPr>
            <w:r>
              <w:rPr>
                <w:rFonts w:hint="eastAsia" w:ascii="宋体" w:hAnsi="宋体" w:cs="宋体"/>
                <w:color w:val="auto"/>
                <w:szCs w:val="21"/>
                <w:highlight w:val="none"/>
              </w:rPr>
              <w:t>38.2.1</w:t>
            </w:r>
          </w:p>
        </w:tc>
        <w:tc>
          <w:tcPr>
            <w:tcW w:w="1972" w:type="dxa"/>
            <w:tcBorders>
              <w:top w:val="single" w:color="auto" w:sz="4" w:space="0"/>
              <w:left w:val="single" w:color="auto" w:sz="4" w:space="0"/>
              <w:bottom w:val="single" w:color="auto" w:sz="4" w:space="0"/>
              <w:right w:val="single" w:color="auto" w:sz="4" w:space="0"/>
            </w:tcBorders>
            <w:vAlign w:val="center"/>
          </w:tcPr>
          <w:p w14:paraId="15D9788C">
            <w:pPr>
              <w:spacing w:line="400" w:lineRule="exact"/>
              <w:rPr>
                <w:rFonts w:ascii="宋体" w:hAnsi="宋体" w:cs="宋体"/>
                <w:color w:val="auto"/>
                <w:szCs w:val="21"/>
                <w:highlight w:val="none"/>
              </w:rPr>
            </w:pPr>
            <w:r>
              <w:rPr>
                <w:rFonts w:hint="eastAsia" w:ascii="宋体" w:hAnsi="宋体" w:cs="宋体"/>
                <w:color w:val="auto"/>
                <w:szCs w:val="21"/>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31A6B39A">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以书面形式</w:t>
            </w:r>
          </w:p>
        </w:tc>
      </w:tr>
      <w:tr w14:paraId="0A5DF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71" w:type="dxa"/>
            <w:vMerge w:val="continue"/>
            <w:tcBorders>
              <w:left w:val="single" w:color="auto" w:sz="4" w:space="0"/>
              <w:right w:val="single" w:color="auto" w:sz="4" w:space="0"/>
            </w:tcBorders>
            <w:vAlign w:val="center"/>
          </w:tcPr>
          <w:p w14:paraId="5DD68851">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377C7919">
            <w:pPr>
              <w:spacing w:line="400" w:lineRule="exact"/>
              <w:rPr>
                <w:rFonts w:ascii="宋体" w:hAnsi="宋体" w:cs="宋体"/>
                <w:color w:val="auto"/>
                <w:szCs w:val="21"/>
                <w:highlight w:val="none"/>
              </w:rPr>
            </w:pPr>
            <w:r>
              <w:rPr>
                <w:rFonts w:hint="eastAsia" w:ascii="宋体" w:hAnsi="宋体" w:cs="宋体"/>
                <w:color w:val="auto"/>
                <w:szCs w:val="21"/>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21B1FBF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u w:val="single"/>
              </w:rPr>
              <w:t>（1）</w:t>
            </w:r>
            <w:bookmarkStart w:id="75" w:name="PO_3000001866_PM031_3"/>
            <w:r>
              <w:rPr>
                <w:rFonts w:hint="eastAsia" w:ascii="宋体" w:hAnsi="宋体" w:cs="宋体"/>
                <w:color w:val="auto"/>
                <w:szCs w:val="21"/>
                <w:highlight w:val="none"/>
                <w:u w:val="single"/>
              </w:rPr>
              <w:t>广西建设工程机电设备招标中心有限公司</w:t>
            </w:r>
            <w:bookmarkEnd w:id="75"/>
            <w:r>
              <w:rPr>
                <w:rFonts w:hint="eastAsia" w:ascii="宋体" w:hAnsi="宋体" w:cs="宋体"/>
                <w:color w:val="auto"/>
                <w:szCs w:val="21"/>
                <w:highlight w:val="none"/>
              </w:rPr>
              <w:t>部门；</w:t>
            </w:r>
          </w:p>
          <w:p w14:paraId="24EA9D81">
            <w:pPr>
              <w:snapToGrid w:val="0"/>
              <w:spacing w:line="400" w:lineRule="exact"/>
              <w:rPr>
                <w:rFonts w:hint="default" w:ascii="宋体" w:hAnsi="宋体" w:eastAsia="宋体" w:cs="宋体"/>
                <w:color w:val="auto"/>
                <w:szCs w:val="21"/>
                <w:highlight w:val="none"/>
                <w:lang w:val="en-US" w:eastAsia="zh-CN"/>
              </w:rPr>
            </w:pPr>
            <w:r>
              <w:rPr>
                <w:rFonts w:hint="eastAsia" w:ascii="宋体" w:hAnsi="宋体"/>
                <w:color w:val="auto"/>
                <w:szCs w:val="21"/>
                <w:highlight w:val="none"/>
              </w:rPr>
              <w:t>质疑联系人：</w:t>
            </w:r>
            <w:r>
              <w:rPr>
                <w:rFonts w:hint="eastAsia" w:ascii="宋体" w:hAnsi="宋体"/>
                <w:color w:val="auto"/>
                <w:szCs w:val="21"/>
                <w:highlight w:val="none"/>
                <w:lang w:eastAsia="zh-CN"/>
              </w:rPr>
              <w:t>王剑、黄艳颀</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0771-5824250</w:t>
            </w:r>
            <w:r>
              <w:rPr>
                <w:rFonts w:hint="eastAsia" w:ascii="宋体" w:hAnsi="宋体" w:cs="宋体"/>
                <w:color w:val="auto"/>
                <w:szCs w:val="21"/>
                <w:highlight w:val="none"/>
                <w:lang w:val="en-US" w:eastAsia="zh-CN"/>
              </w:rPr>
              <w:t xml:space="preserve">  邮箱：gxjdhyq@qq.com</w:t>
            </w:r>
          </w:p>
          <w:p w14:paraId="2EADAC20">
            <w:pPr>
              <w:snapToGrid w:val="0"/>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通讯地址：</w:t>
            </w:r>
            <w:r>
              <w:rPr>
                <w:rFonts w:hint="eastAsia" w:ascii="宋体" w:hAnsi="宋体"/>
                <w:color w:val="auto"/>
                <w:szCs w:val="21"/>
                <w:highlight w:val="none"/>
              </w:rPr>
              <w:t>广西</w:t>
            </w:r>
            <w:r>
              <w:rPr>
                <w:rFonts w:hint="eastAsia" w:ascii="宋体" w:hAnsi="宋体"/>
                <w:color w:val="auto"/>
                <w:szCs w:val="21"/>
                <w:highlight w:val="none"/>
                <w:lang w:eastAsia="zh-CN"/>
              </w:rPr>
              <w:t>广西南宁市青秀区枫林路18号宏桂大厦裙楼三层</w:t>
            </w:r>
          </w:p>
          <w:p w14:paraId="3A26D21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u w:val="single"/>
              </w:rPr>
              <w:t>（2）</w:t>
            </w:r>
            <w:r>
              <w:rPr>
                <w:rFonts w:hint="eastAsia" w:ascii="宋体" w:hAnsi="宋体" w:cs="宋体"/>
                <w:color w:val="auto"/>
                <w:szCs w:val="21"/>
                <w:highlight w:val="none"/>
                <w:u w:val="single"/>
                <w:lang w:eastAsia="zh-CN"/>
              </w:rPr>
              <w:t>陆川县教育局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部门；</w:t>
            </w:r>
          </w:p>
          <w:p w14:paraId="5E56F44E">
            <w:pPr>
              <w:snapToGrid w:val="0"/>
              <w:spacing w:line="400" w:lineRule="exact"/>
              <w:rPr>
                <w:rFonts w:ascii="宋体" w:hAnsi="宋体" w:cs="宋体"/>
                <w:color w:val="auto"/>
                <w:szCs w:val="21"/>
                <w:highlight w:val="yellow"/>
              </w:rPr>
            </w:pPr>
            <w:r>
              <w:rPr>
                <w:rFonts w:hint="eastAsia" w:ascii="宋体" w:hAnsi="宋体" w:cs="宋体"/>
                <w:color w:val="auto"/>
                <w:szCs w:val="21"/>
                <w:highlight w:val="yellow"/>
              </w:rPr>
              <w:t>联系电话：</w:t>
            </w:r>
            <w:r>
              <w:rPr>
                <w:rFonts w:hint="eastAsia" w:ascii="宋体" w:hAnsi="宋体" w:cs="宋体"/>
                <w:color w:val="auto"/>
                <w:szCs w:val="21"/>
                <w:highlight w:val="yellow"/>
                <w:u w:val="single"/>
              </w:rPr>
              <w:t xml:space="preserve">   </w:t>
            </w:r>
            <w:r>
              <w:rPr>
                <w:rFonts w:hint="eastAsia" w:ascii="宋体" w:hAnsi="宋体" w:cs="宋体"/>
                <w:color w:val="auto"/>
                <w:szCs w:val="21"/>
                <w:highlight w:val="yellow"/>
                <w:u w:val="single"/>
                <w:lang w:val="en-US" w:eastAsia="zh-CN"/>
              </w:rPr>
              <w:t xml:space="preserve"> </w:t>
            </w:r>
            <w:r>
              <w:rPr>
                <w:rFonts w:hint="eastAsia" w:ascii="宋体" w:hAnsi="宋体" w:cs="宋体"/>
                <w:color w:val="auto"/>
                <w:szCs w:val="21"/>
                <w:highlight w:val="yellow"/>
                <w:u w:val="single"/>
              </w:rPr>
              <w:t xml:space="preserve">  </w:t>
            </w:r>
            <w:r>
              <w:rPr>
                <w:rFonts w:hint="eastAsia" w:ascii="宋体" w:hAnsi="宋体" w:cs="宋体"/>
                <w:color w:val="auto"/>
                <w:szCs w:val="21"/>
                <w:highlight w:val="yellow"/>
              </w:rPr>
              <w:t>，</w:t>
            </w:r>
          </w:p>
          <w:p w14:paraId="1FF45278">
            <w:pPr>
              <w:snapToGrid w:val="0"/>
              <w:spacing w:line="400" w:lineRule="exact"/>
              <w:rPr>
                <w:rFonts w:hint="default" w:ascii="宋体" w:hAnsi="宋体" w:cs="宋体"/>
                <w:color w:val="auto"/>
                <w:szCs w:val="21"/>
                <w:highlight w:val="none"/>
                <w:lang w:val="en-US"/>
              </w:rPr>
            </w:pPr>
            <w:r>
              <w:rPr>
                <w:rFonts w:hint="eastAsia" w:ascii="宋体" w:hAnsi="宋体" w:cs="宋体"/>
                <w:color w:val="auto"/>
                <w:szCs w:val="21"/>
                <w:highlight w:val="yellow"/>
              </w:rPr>
              <w:t xml:space="preserve">通讯地址： </w:t>
            </w:r>
            <w:r>
              <w:rPr>
                <w:rFonts w:hint="eastAsia" w:ascii="宋体" w:hAnsi="宋体" w:cs="宋体"/>
                <w:color w:val="auto"/>
                <w:szCs w:val="21"/>
                <w:highlight w:val="yellow"/>
                <w:u w:val="single"/>
                <w:lang w:val="en-US" w:eastAsia="zh-CN"/>
              </w:rPr>
              <w:t xml:space="preserve">      </w:t>
            </w:r>
          </w:p>
        </w:tc>
      </w:tr>
      <w:tr w14:paraId="4B3053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71" w:type="dxa"/>
            <w:vMerge w:val="continue"/>
            <w:tcBorders>
              <w:left w:val="single" w:color="auto" w:sz="4" w:space="0"/>
              <w:bottom w:val="single" w:color="auto" w:sz="4" w:space="0"/>
              <w:right w:val="single" w:color="auto" w:sz="4" w:space="0"/>
            </w:tcBorders>
            <w:vAlign w:val="center"/>
          </w:tcPr>
          <w:p w14:paraId="4E6F9753">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20B127FD">
            <w:pPr>
              <w:spacing w:line="400" w:lineRule="exact"/>
              <w:rPr>
                <w:rFonts w:ascii="宋体" w:hAnsi="宋体" w:cs="宋体"/>
                <w:color w:val="auto"/>
                <w:szCs w:val="21"/>
                <w:highlight w:val="none"/>
              </w:rPr>
            </w:pPr>
            <w:r>
              <w:rPr>
                <w:rFonts w:hint="eastAsia" w:ascii="宋体" w:hAnsi="宋体" w:cs="宋体"/>
                <w:color w:val="auto"/>
                <w:szCs w:val="21"/>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0654B3E8">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质疑期内每个工作日</w:t>
            </w:r>
            <w:r>
              <w:rPr>
                <w:rFonts w:hint="eastAsia" w:ascii="宋体" w:hAnsi="宋体" w:cs="宋体"/>
                <w:color w:val="auto"/>
                <w:szCs w:val="21"/>
                <w:highlight w:val="none"/>
                <w:u w:val="single"/>
              </w:rPr>
              <w:t xml:space="preserve"> 8</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分到</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时</w:t>
            </w:r>
            <w:r>
              <w:rPr>
                <w:rFonts w:hint="eastAsia" w:ascii="宋体" w:hAnsi="宋体" w:cs="宋体"/>
                <w:color w:val="auto"/>
                <w:szCs w:val="21"/>
                <w:highlight w:val="none"/>
                <w:u w:val="single"/>
              </w:rPr>
              <w:t>00</w:t>
            </w:r>
            <w:r>
              <w:rPr>
                <w:rFonts w:hint="eastAsia" w:ascii="宋体" w:hAnsi="宋体" w:cs="宋体"/>
                <w:color w:val="auto"/>
                <w:szCs w:val="21"/>
                <w:highlight w:val="none"/>
              </w:rPr>
              <w:t>分，</w:t>
            </w:r>
            <w:r>
              <w:rPr>
                <w:rFonts w:hint="eastAsia" w:ascii="宋体" w:hAnsi="宋体" w:cs="宋体"/>
                <w:color w:val="auto"/>
                <w:szCs w:val="21"/>
                <w:highlight w:val="none"/>
                <w:u w:val="single"/>
              </w:rPr>
              <w:t xml:space="preserve">15 </w:t>
            </w:r>
            <w:r>
              <w:rPr>
                <w:rFonts w:hint="eastAsia" w:ascii="宋体" w:hAnsi="宋体" w:cs="宋体"/>
                <w:color w:val="auto"/>
                <w:szCs w:val="21"/>
                <w:highlight w:val="none"/>
              </w:rPr>
              <w:t>时</w:t>
            </w:r>
            <w:r>
              <w:rPr>
                <w:rFonts w:hint="eastAsia" w:ascii="宋体" w:hAnsi="宋体" w:cs="宋体"/>
                <w:color w:val="auto"/>
                <w:szCs w:val="21"/>
                <w:highlight w:val="none"/>
                <w:u w:val="single"/>
              </w:rPr>
              <w:t>00</w:t>
            </w:r>
            <w:r>
              <w:rPr>
                <w:rFonts w:hint="eastAsia" w:ascii="宋体" w:hAnsi="宋体" w:cs="宋体"/>
                <w:color w:val="auto"/>
                <w:szCs w:val="21"/>
                <w:highlight w:val="none"/>
              </w:rPr>
              <w:t>分到</w:t>
            </w:r>
            <w:r>
              <w:rPr>
                <w:rFonts w:hint="eastAsia" w:ascii="宋体" w:hAnsi="宋体" w:cs="宋体"/>
                <w:color w:val="auto"/>
                <w:szCs w:val="21"/>
                <w:highlight w:val="none"/>
                <w:u w:val="single"/>
              </w:rPr>
              <w:t>18</w:t>
            </w:r>
            <w:r>
              <w:rPr>
                <w:rFonts w:hint="eastAsia" w:ascii="宋体" w:hAnsi="宋体" w:cs="宋体"/>
                <w:color w:val="auto"/>
                <w:szCs w:val="21"/>
                <w:highlight w:val="none"/>
              </w:rPr>
              <w:t>时</w:t>
            </w:r>
            <w:r>
              <w:rPr>
                <w:rFonts w:hint="eastAsia" w:ascii="宋体" w:hAnsi="宋体" w:cs="宋体"/>
                <w:color w:val="auto"/>
                <w:szCs w:val="21"/>
                <w:highlight w:val="none"/>
                <w:u w:val="single"/>
              </w:rPr>
              <w:t>00</w:t>
            </w:r>
            <w:r>
              <w:rPr>
                <w:rFonts w:hint="eastAsia" w:ascii="宋体" w:hAnsi="宋体" w:cs="宋体"/>
                <w:color w:val="auto"/>
                <w:szCs w:val="21"/>
                <w:highlight w:val="none"/>
              </w:rPr>
              <w:t>分</w:t>
            </w:r>
          </w:p>
        </w:tc>
      </w:tr>
      <w:tr w14:paraId="4730D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971" w:type="dxa"/>
            <w:tcBorders>
              <w:left w:val="single" w:color="auto" w:sz="4" w:space="0"/>
              <w:bottom w:val="single" w:color="auto" w:sz="4" w:space="0"/>
              <w:right w:val="single" w:color="auto" w:sz="4" w:space="0"/>
            </w:tcBorders>
            <w:vAlign w:val="center"/>
          </w:tcPr>
          <w:p w14:paraId="29498FCC">
            <w:pPr>
              <w:spacing w:line="400" w:lineRule="exact"/>
              <w:rPr>
                <w:rFonts w:ascii="宋体" w:hAnsi="宋体" w:cs="宋体"/>
                <w:color w:val="auto"/>
                <w:szCs w:val="21"/>
                <w:highlight w:val="none"/>
              </w:rPr>
            </w:pPr>
            <w:r>
              <w:rPr>
                <w:rFonts w:hint="eastAsia" w:ascii="宋体" w:hAnsi="宋体" w:cs="宋体"/>
                <w:color w:val="auto"/>
                <w:szCs w:val="21"/>
                <w:highlight w:val="none"/>
              </w:rPr>
              <w:t>38.3.1</w:t>
            </w:r>
          </w:p>
        </w:tc>
        <w:tc>
          <w:tcPr>
            <w:tcW w:w="1972" w:type="dxa"/>
            <w:tcBorders>
              <w:top w:val="single" w:color="auto" w:sz="4" w:space="0"/>
              <w:left w:val="single" w:color="auto" w:sz="4" w:space="0"/>
              <w:bottom w:val="single" w:color="auto" w:sz="4" w:space="0"/>
              <w:right w:val="single" w:color="auto" w:sz="4" w:space="0"/>
            </w:tcBorders>
            <w:vAlign w:val="center"/>
          </w:tcPr>
          <w:p w14:paraId="58DD0420">
            <w:pPr>
              <w:spacing w:line="400" w:lineRule="exact"/>
              <w:rPr>
                <w:rFonts w:ascii="宋体" w:hAnsi="宋体" w:cs="宋体"/>
                <w:color w:val="auto"/>
                <w:szCs w:val="21"/>
                <w:highlight w:val="none"/>
              </w:rPr>
            </w:pPr>
            <w:r>
              <w:rPr>
                <w:rFonts w:hint="eastAsia" w:ascii="宋体" w:hAnsi="宋体" w:cs="宋体"/>
                <w:color w:val="auto"/>
                <w:szCs w:val="21"/>
                <w:highlight w:val="none"/>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2310A824">
            <w:pPr>
              <w:snapToGrid w:val="0"/>
              <w:spacing w:line="380" w:lineRule="exact"/>
              <w:rPr>
                <w:rFonts w:hAnsi="宋体"/>
                <w:color w:val="auto"/>
                <w:highlight w:val="none"/>
              </w:rPr>
            </w:pPr>
            <w:r>
              <w:rPr>
                <w:rFonts w:hint="eastAsia" w:hAnsi="宋体"/>
                <w:color w:val="auto"/>
                <w:highlight w:val="none"/>
              </w:rPr>
              <w:t>1、受理方式：纸质方式受理，投诉书正、副本（经过质疑的事项才可投诉）。</w:t>
            </w:r>
          </w:p>
          <w:p w14:paraId="553C2CC4">
            <w:pPr>
              <w:snapToGrid w:val="0"/>
              <w:spacing w:line="380" w:lineRule="exact"/>
              <w:rPr>
                <w:rFonts w:hAnsi="宋体"/>
                <w:color w:val="auto"/>
                <w:highlight w:val="none"/>
              </w:rPr>
            </w:pPr>
            <w:r>
              <w:rPr>
                <w:rFonts w:hint="eastAsia" w:hAnsi="宋体"/>
                <w:color w:val="auto"/>
                <w:highlight w:val="none"/>
              </w:rPr>
              <w:t>2、名称：陆川县财政局政府采购监督管理股</w:t>
            </w:r>
          </w:p>
          <w:p w14:paraId="0DE90474">
            <w:pPr>
              <w:snapToGrid w:val="0"/>
              <w:spacing w:line="380" w:lineRule="exact"/>
              <w:rPr>
                <w:rFonts w:ascii="宋体" w:hAnsi="宋体" w:cs="宋体"/>
                <w:color w:val="auto"/>
                <w:szCs w:val="21"/>
                <w:highlight w:val="none"/>
              </w:rPr>
            </w:pPr>
            <w:r>
              <w:rPr>
                <w:rFonts w:hint="eastAsia" w:hAnsi="宋体"/>
                <w:color w:val="auto"/>
                <w:highlight w:val="none"/>
              </w:rPr>
              <w:t>联系电话：0775-7235528</w:t>
            </w:r>
          </w:p>
        </w:tc>
      </w:tr>
      <w:tr w14:paraId="34A457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971" w:type="dxa"/>
            <w:vMerge w:val="restart"/>
            <w:tcBorders>
              <w:top w:val="single" w:color="auto" w:sz="4" w:space="0"/>
              <w:left w:val="single" w:color="auto" w:sz="4" w:space="0"/>
              <w:right w:val="single" w:color="auto" w:sz="4" w:space="0"/>
            </w:tcBorders>
            <w:vAlign w:val="center"/>
          </w:tcPr>
          <w:p w14:paraId="6C0D48AC">
            <w:pPr>
              <w:spacing w:line="400" w:lineRule="exact"/>
              <w:rPr>
                <w:rFonts w:ascii="宋体" w:hAnsi="宋体" w:cs="宋体"/>
                <w:color w:val="auto"/>
                <w:szCs w:val="21"/>
                <w:highlight w:val="none"/>
              </w:rPr>
            </w:pPr>
            <w:r>
              <w:rPr>
                <w:rFonts w:hint="eastAsia" w:ascii="宋体" w:hAnsi="宋体" w:cs="宋体"/>
                <w:color w:val="auto"/>
                <w:szCs w:val="21"/>
                <w:highlight w:val="none"/>
              </w:rPr>
              <w:t>39.1</w:t>
            </w:r>
          </w:p>
        </w:tc>
        <w:tc>
          <w:tcPr>
            <w:tcW w:w="1972" w:type="dxa"/>
            <w:tcBorders>
              <w:top w:val="single" w:color="auto" w:sz="4" w:space="0"/>
              <w:left w:val="single" w:color="auto" w:sz="4" w:space="0"/>
              <w:bottom w:val="single" w:color="auto" w:sz="4" w:space="0"/>
              <w:right w:val="single" w:color="auto" w:sz="4" w:space="0"/>
            </w:tcBorders>
            <w:vAlign w:val="center"/>
          </w:tcPr>
          <w:p w14:paraId="44531261">
            <w:pPr>
              <w:spacing w:line="400" w:lineRule="exact"/>
              <w:rPr>
                <w:rFonts w:ascii="宋体" w:hAnsi="宋体" w:cs="宋体"/>
                <w:color w:val="auto"/>
                <w:szCs w:val="21"/>
                <w:highlight w:val="none"/>
              </w:rPr>
            </w:pPr>
            <w:bookmarkStart w:id="76" w:name="_41"/>
            <w:bookmarkEnd w:id="76"/>
            <w:bookmarkStart w:id="77" w:name="_42"/>
            <w:bookmarkEnd w:id="77"/>
            <w:r>
              <w:rPr>
                <w:rFonts w:hint="eastAsia" w:ascii="宋体" w:hAnsi="宋体" w:cs="宋体"/>
                <w:color w:val="auto"/>
                <w:szCs w:val="21"/>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2325F36F">
            <w:pPr>
              <w:pStyle w:val="19"/>
              <w:snapToGrid w:val="0"/>
              <w:spacing w:line="400" w:lineRule="exact"/>
              <w:rPr>
                <w:rFonts w:hAnsi="宋体" w:cs="宋体"/>
                <w:color w:val="auto"/>
                <w:szCs w:val="21"/>
                <w:highlight w:val="none"/>
              </w:rPr>
            </w:pPr>
            <w:r>
              <w:rPr>
                <w:rFonts w:hint="eastAsia" w:hAnsi="宋体" w:cs="宋体"/>
                <w:color w:val="auto"/>
                <w:szCs w:val="21"/>
                <w:highlight w:val="none"/>
              </w:rPr>
              <w:t>☑本项目代理服务费由</w:t>
            </w:r>
            <w:r>
              <w:rPr>
                <w:rFonts w:hint="eastAsia" w:hAnsi="宋体" w:cs="宋体"/>
                <w:color w:val="auto"/>
                <w:szCs w:val="21"/>
                <w:highlight w:val="none"/>
                <w:u w:val="single"/>
              </w:rPr>
              <w:t>中标供应商</w:t>
            </w:r>
            <w:r>
              <w:rPr>
                <w:rFonts w:hint="eastAsia" w:hAnsi="宋体" w:cs="宋体"/>
                <w:color w:val="auto"/>
                <w:szCs w:val="21"/>
                <w:highlight w:val="none"/>
              </w:rPr>
              <w:t>在领取中标通知书前，一次性向采购代理机构支付。</w:t>
            </w:r>
          </w:p>
        </w:tc>
      </w:tr>
      <w:tr w14:paraId="26B807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971" w:type="dxa"/>
            <w:vMerge w:val="continue"/>
            <w:tcBorders>
              <w:left w:val="single" w:color="auto" w:sz="4" w:space="0"/>
              <w:right w:val="single" w:color="auto" w:sz="4" w:space="0"/>
            </w:tcBorders>
            <w:vAlign w:val="center"/>
          </w:tcPr>
          <w:p w14:paraId="3B15BAAE">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3AE33146">
            <w:pPr>
              <w:spacing w:line="400" w:lineRule="exact"/>
              <w:rPr>
                <w:rFonts w:ascii="宋体" w:hAnsi="宋体" w:cs="宋体"/>
                <w:color w:val="auto"/>
                <w:szCs w:val="21"/>
                <w:highlight w:val="none"/>
              </w:rPr>
            </w:pPr>
            <w:r>
              <w:rPr>
                <w:rFonts w:hint="eastAsia" w:ascii="宋体" w:hAnsi="宋体" w:cs="宋体"/>
                <w:color w:val="auto"/>
                <w:szCs w:val="21"/>
                <w:highlight w:val="none"/>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42835D8D">
            <w:pPr>
              <w:snapToGrid w:val="0"/>
              <w:spacing w:line="390" w:lineRule="exact"/>
              <w:jc w:val="left"/>
              <w:rPr>
                <w:rFonts w:ascii="宋体" w:hAnsi="宋体" w:cs="宋体"/>
                <w:color w:val="auto"/>
                <w:szCs w:val="21"/>
                <w:highlight w:val="none"/>
                <w:u w:val="single"/>
              </w:rPr>
            </w:pPr>
            <w:r>
              <w:rPr>
                <w:rFonts w:hint="eastAsia" w:ascii="宋体" w:hAnsi="宋体" w:cs="宋体"/>
                <w:color w:val="auto"/>
                <w:szCs w:val="21"/>
                <w:highlight w:val="none"/>
              </w:rPr>
              <w:t>☑以分标（中标金额）为计费额，参照国家计委《招标代理服务收费管理暂行办法》（计价格[2002]1980号）规定标准</w:t>
            </w:r>
            <w:r>
              <w:rPr>
                <w:rFonts w:hint="eastAsia" w:ascii="宋体" w:hAnsi="宋体" w:cs="宋体"/>
                <w:color w:val="auto"/>
                <w:szCs w:val="21"/>
                <w:highlight w:val="none"/>
                <w:lang w:val="en-US" w:eastAsia="zh-CN"/>
              </w:rPr>
              <w:t>下浮30%</w:t>
            </w:r>
            <w:r>
              <w:rPr>
                <w:rFonts w:hint="eastAsia" w:ascii="宋体" w:hAnsi="宋体" w:cs="宋体"/>
                <w:color w:val="auto"/>
                <w:szCs w:val="21"/>
                <w:highlight w:val="none"/>
              </w:rPr>
              <w:t>计取。</w:t>
            </w:r>
          </w:p>
        </w:tc>
      </w:tr>
      <w:tr w14:paraId="4C72B6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971" w:type="dxa"/>
            <w:vMerge w:val="continue"/>
            <w:tcBorders>
              <w:left w:val="single" w:color="auto" w:sz="4" w:space="0"/>
              <w:bottom w:val="single" w:color="auto" w:sz="4" w:space="0"/>
              <w:right w:val="single" w:color="auto" w:sz="4" w:space="0"/>
            </w:tcBorders>
            <w:vAlign w:val="center"/>
          </w:tcPr>
          <w:p w14:paraId="5AA74CD9">
            <w:pPr>
              <w:spacing w:line="400" w:lineRule="exact"/>
              <w:rPr>
                <w:rFonts w:ascii="宋体" w:hAnsi="宋体" w:cs="宋体"/>
                <w:color w:val="auto"/>
                <w:szCs w:val="21"/>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42152F11">
            <w:pPr>
              <w:spacing w:line="400" w:lineRule="exact"/>
              <w:rPr>
                <w:rFonts w:ascii="宋体" w:hAnsi="宋体" w:cs="宋体"/>
                <w:color w:val="auto"/>
                <w:szCs w:val="21"/>
                <w:highlight w:val="none"/>
              </w:rPr>
            </w:pPr>
            <w:r>
              <w:rPr>
                <w:rFonts w:hint="eastAsia" w:ascii="宋体" w:hAnsi="宋体" w:cs="宋体"/>
                <w:color w:val="auto"/>
                <w:szCs w:val="21"/>
                <w:highlight w:val="none"/>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0666D138">
            <w:pPr>
              <w:pStyle w:val="19"/>
              <w:snapToGrid w:val="0"/>
              <w:spacing w:line="400" w:lineRule="exact"/>
              <w:rPr>
                <w:rFonts w:hAnsi="宋体" w:cs="宋体"/>
                <w:color w:val="auto"/>
                <w:szCs w:val="21"/>
                <w:highlight w:val="none"/>
              </w:rPr>
            </w:pPr>
            <w:r>
              <w:rPr>
                <w:rFonts w:hint="eastAsia" w:hAnsi="宋体" w:cs="宋体"/>
                <w:color w:val="auto"/>
                <w:szCs w:val="21"/>
                <w:highlight w:val="none"/>
              </w:rPr>
              <w:t>账户名称：广西建设工程机电设备招标中心有限公司</w:t>
            </w:r>
          </w:p>
          <w:p w14:paraId="1340EF71">
            <w:pPr>
              <w:pStyle w:val="19"/>
              <w:snapToGrid w:val="0"/>
              <w:spacing w:line="400" w:lineRule="exact"/>
              <w:rPr>
                <w:rFonts w:hAnsi="宋体" w:cs="宋体"/>
                <w:color w:val="auto"/>
                <w:szCs w:val="21"/>
                <w:highlight w:val="none"/>
              </w:rPr>
            </w:pPr>
            <w:r>
              <w:rPr>
                <w:rFonts w:hint="eastAsia" w:hAnsi="宋体" w:cs="宋体"/>
                <w:color w:val="auto"/>
                <w:szCs w:val="21"/>
                <w:highlight w:val="none"/>
              </w:rPr>
              <w:t xml:space="preserve">开户银行：招商银行南宁分行营业部 </w:t>
            </w:r>
          </w:p>
          <w:p w14:paraId="3B23BB45">
            <w:pPr>
              <w:pStyle w:val="19"/>
              <w:snapToGrid w:val="0"/>
              <w:spacing w:line="400" w:lineRule="exact"/>
              <w:rPr>
                <w:rFonts w:hAnsi="宋体" w:cs="宋体"/>
                <w:color w:val="auto"/>
                <w:szCs w:val="21"/>
                <w:highlight w:val="none"/>
              </w:rPr>
            </w:pPr>
            <w:r>
              <w:rPr>
                <w:rFonts w:hint="eastAsia" w:hAnsi="宋体" w:cs="宋体"/>
                <w:color w:val="auto"/>
                <w:szCs w:val="21"/>
                <w:highlight w:val="none"/>
              </w:rPr>
              <w:t>银行账号： 771901423310201</w:t>
            </w:r>
          </w:p>
          <w:p w14:paraId="7989981E">
            <w:pPr>
              <w:pStyle w:val="19"/>
              <w:snapToGrid w:val="0"/>
              <w:spacing w:line="400" w:lineRule="exact"/>
              <w:rPr>
                <w:rFonts w:hAnsi="宋体" w:cs="宋体"/>
                <w:color w:val="auto"/>
                <w:szCs w:val="21"/>
                <w:highlight w:val="none"/>
              </w:rPr>
            </w:pPr>
            <w:r>
              <w:rPr>
                <w:rFonts w:hint="eastAsia" w:hAnsi="宋体" w:cs="宋体"/>
                <w:color w:val="auto"/>
                <w:szCs w:val="21"/>
                <w:highlight w:val="none"/>
              </w:rPr>
              <w:t>开户行行号：308611000032</w:t>
            </w:r>
          </w:p>
        </w:tc>
      </w:tr>
      <w:tr w14:paraId="581762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5F31DCB5">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40.1</w:t>
            </w:r>
          </w:p>
        </w:tc>
        <w:tc>
          <w:tcPr>
            <w:tcW w:w="1972" w:type="dxa"/>
            <w:tcBorders>
              <w:top w:val="single" w:color="auto" w:sz="4" w:space="0"/>
              <w:left w:val="single" w:color="auto" w:sz="4" w:space="0"/>
              <w:bottom w:val="single" w:color="auto" w:sz="4" w:space="0"/>
              <w:right w:val="single" w:color="auto" w:sz="4" w:space="0"/>
            </w:tcBorders>
            <w:vAlign w:val="center"/>
          </w:tcPr>
          <w:p w14:paraId="0F5377DC">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4C3CEB5E">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解释权：构成本招标文件的各个组成文件应互为解释，互为说明；除招标文件中有特别规定外，仅适用于招标投标阶段的规定，按更正公告（澄清公告）、招标公告、采购需求、供应商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p w14:paraId="5F40F0F3">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法律责任：</w:t>
            </w:r>
          </w:p>
          <w:p w14:paraId="53D31576">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60049661">
            <w:pPr>
              <w:spacing w:line="400" w:lineRule="exact"/>
              <w:rPr>
                <w:rFonts w:ascii="宋体" w:hAnsi="宋体" w:cs="宋体"/>
                <w:bCs/>
                <w:color w:val="auto"/>
                <w:szCs w:val="21"/>
                <w:highlight w:val="none"/>
              </w:rPr>
            </w:pPr>
            <w:r>
              <w:rPr>
                <w:rFonts w:hint="eastAsia" w:ascii="宋体" w:hAnsi="宋体" w:cs="宋体"/>
                <w:bCs/>
                <w:color w:val="auto"/>
                <w:szCs w:val="21"/>
                <w:highlight w:val="none"/>
              </w:rPr>
              <w:t>2.本项目采购代理机构应严格按照“</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”平台项目采购全流程电子化电子开评标规程执行项目采购活动，代理机构在“</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01F56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1" w:type="dxa"/>
            <w:tcBorders>
              <w:top w:val="single" w:color="auto" w:sz="4" w:space="0"/>
              <w:left w:val="single" w:color="auto" w:sz="4" w:space="0"/>
              <w:bottom w:val="single" w:color="auto" w:sz="4" w:space="0"/>
              <w:right w:val="single" w:color="auto" w:sz="4" w:space="0"/>
            </w:tcBorders>
            <w:vAlign w:val="center"/>
          </w:tcPr>
          <w:p w14:paraId="70B72B3E">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40.2</w:t>
            </w:r>
          </w:p>
        </w:tc>
        <w:tc>
          <w:tcPr>
            <w:tcW w:w="1972" w:type="dxa"/>
            <w:tcBorders>
              <w:top w:val="single" w:color="auto" w:sz="4" w:space="0"/>
              <w:left w:val="single" w:color="auto" w:sz="4" w:space="0"/>
              <w:bottom w:val="single" w:color="auto" w:sz="4" w:space="0"/>
              <w:right w:val="single" w:color="auto" w:sz="4" w:space="0"/>
            </w:tcBorders>
            <w:vAlign w:val="center"/>
          </w:tcPr>
          <w:p w14:paraId="0D3D2D6C">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61D905FC">
            <w:pPr>
              <w:pStyle w:val="19"/>
              <w:snapToGrid w:val="0"/>
              <w:spacing w:line="400" w:lineRule="exact"/>
              <w:rPr>
                <w:rFonts w:hAnsi="宋体" w:cs="宋体"/>
                <w:bCs/>
                <w:color w:val="auto"/>
                <w:highlight w:val="none"/>
              </w:rPr>
            </w:pPr>
            <w:r>
              <w:rPr>
                <w:rFonts w:hint="eastAsia" w:hAnsi="宋体" w:cs="宋体"/>
                <w:bCs/>
                <w:color w:val="auto"/>
                <w:highlight w:val="none"/>
              </w:rPr>
              <w:t>1、本招标文件中描述投标人的“公章”是指根据我国对公章的管理规定，用投标人法定主体行为名称制作的印章</w:t>
            </w:r>
            <w:r>
              <w:rPr>
                <w:rFonts w:hint="eastAsia" w:hAnsi="宋体" w:cs="宋体"/>
                <w:color w:val="auto"/>
                <w:highlight w:val="none"/>
              </w:rPr>
              <w:t>（含电子印章）</w:t>
            </w:r>
            <w:r>
              <w:rPr>
                <w:rFonts w:hint="eastAsia" w:hAnsi="宋体" w:cs="宋体"/>
                <w:bCs/>
                <w:color w:val="auto"/>
                <w:highlight w:val="none"/>
              </w:rPr>
              <w:t>，除本招标文件有特殊规定外，投标人的财务章、部门章、分公司章、工会章、合同章、投标专用章、业务专用章及银行的转账章、现金收讫章、现金付讫章等其他形式印章均不能代替公章。</w:t>
            </w:r>
          </w:p>
          <w:p w14:paraId="21C4151F">
            <w:pPr>
              <w:pStyle w:val="19"/>
              <w:snapToGrid w:val="0"/>
              <w:spacing w:line="400" w:lineRule="exact"/>
              <w:rPr>
                <w:rFonts w:hAnsi="宋体" w:cs="宋体"/>
                <w:bCs/>
                <w:color w:val="auto"/>
                <w:highlight w:val="none"/>
              </w:rPr>
            </w:pPr>
            <w:r>
              <w:rPr>
                <w:rFonts w:hint="eastAsia" w:hAnsi="宋体" w:cs="宋体"/>
                <w:bCs/>
                <w:color w:val="auto"/>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637432C6">
            <w:pPr>
              <w:pStyle w:val="19"/>
              <w:snapToGrid w:val="0"/>
              <w:spacing w:line="400" w:lineRule="exact"/>
              <w:rPr>
                <w:rFonts w:hAnsi="宋体" w:cs="宋体"/>
                <w:bCs/>
                <w:color w:val="auto"/>
                <w:highlight w:val="none"/>
              </w:rPr>
            </w:pPr>
            <w:r>
              <w:rPr>
                <w:rFonts w:hint="eastAsia" w:hAnsi="宋体" w:cs="宋体"/>
                <w:bCs/>
                <w:color w:val="auto"/>
                <w:highlight w:val="none"/>
              </w:rPr>
              <w:t>3、本招标文件中描述投标人的“签字”是指投标人的法定代表人或者委托代理人</w:t>
            </w:r>
            <w:r>
              <w:rPr>
                <w:rFonts w:hint="eastAsia" w:hAnsi="宋体" w:cs="宋体"/>
                <w:color w:val="auto"/>
                <w:highlight w:val="none"/>
              </w:rPr>
              <w:t>在文件规定签署处签名（含电子签名）的行为，私章、印鉴等其他形式均不能代替签字</w:t>
            </w:r>
            <w:r>
              <w:rPr>
                <w:rFonts w:hint="eastAsia" w:hAnsi="宋体" w:cs="宋体"/>
                <w:bCs/>
                <w:color w:val="auto"/>
                <w:highlight w:val="none"/>
              </w:rPr>
              <w:t>。</w:t>
            </w:r>
          </w:p>
          <w:p w14:paraId="2102F807">
            <w:pPr>
              <w:pStyle w:val="19"/>
              <w:snapToGrid w:val="0"/>
              <w:spacing w:line="400" w:lineRule="exact"/>
              <w:rPr>
                <w:rFonts w:hAnsi="宋体" w:cs="宋体"/>
                <w:bCs/>
                <w:color w:val="auto"/>
                <w:highlight w:val="none"/>
              </w:rPr>
            </w:pPr>
            <w:r>
              <w:rPr>
                <w:rFonts w:hint="eastAsia" w:hAnsi="宋体" w:cs="宋体"/>
                <w:bCs/>
                <w:color w:val="auto"/>
                <w:highlight w:val="none"/>
              </w:rPr>
              <w:t>4、自然人投标的，招标文件规定盖公章处由自然人摁手指指印。</w:t>
            </w:r>
          </w:p>
          <w:p w14:paraId="2C4958E5">
            <w:pPr>
              <w:spacing w:line="400" w:lineRule="exact"/>
              <w:jc w:val="left"/>
              <w:rPr>
                <w:rFonts w:ascii="宋体" w:hAnsi="宋体" w:cs="宋体"/>
                <w:bCs/>
                <w:color w:val="auto"/>
                <w:szCs w:val="21"/>
                <w:highlight w:val="none"/>
              </w:rPr>
            </w:pPr>
            <w:r>
              <w:rPr>
                <w:rFonts w:hint="eastAsia" w:ascii="宋体" w:hAnsi="宋体" w:cs="宋体"/>
                <w:bCs/>
                <w:color w:val="auto"/>
                <w:szCs w:val="21"/>
                <w:highlight w:val="none"/>
              </w:rPr>
              <w:t>5、本招标文件所称的“以上”“以下”“以内”“届满”，包括本数；所称的“不满”“超过”“以外”，不包括本数。</w:t>
            </w:r>
          </w:p>
        </w:tc>
      </w:tr>
    </w:tbl>
    <w:p w14:paraId="0E25ABE0">
      <w:pPr>
        <w:pStyle w:val="3"/>
        <w:rPr>
          <w:color w:val="auto"/>
          <w:highlight w:val="none"/>
        </w:rPr>
        <w:sectPr>
          <w:footerReference r:id="rId7" w:type="default"/>
          <w:pgSz w:w="11906" w:h="16838"/>
          <w:pgMar w:top="1134" w:right="1134" w:bottom="1134" w:left="1134" w:header="720" w:footer="720" w:gutter="0"/>
          <w:pgNumType w:fmt="decimal"/>
          <w:cols w:space="720" w:num="1"/>
          <w:docGrid w:type="lines" w:linePitch="331" w:charSpace="0"/>
        </w:sectPr>
      </w:pPr>
    </w:p>
    <w:p w14:paraId="168334C5">
      <w:pPr>
        <w:pStyle w:val="3"/>
        <w:jc w:val="center"/>
        <w:rPr>
          <w:color w:val="auto"/>
          <w:highlight w:val="none"/>
        </w:rPr>
      </w:pPr>
      <w:bookmarkStart w:id="78" w:name="_Toc80092994"/>
      <w:r>
        <w:rPr>
          <w:rFonts w:hint="eastAsia"/>
          <w:color w:val="auto"/>
          <w:highlight w:val="none"/>
        </w:rPr>
        <w:t>第二节 供应商须知正文</w:t>
      </w:r>
      <w:bookmarkEnd w:id="78"/>
    </w:p>
    <w:p w14:paraId="306CE8C2">
      <w:pPr>
        <w:pStyle w:val="5"/>
        <w:keepNext w:val="0"/>
        <w:keepLines w:val="0"/>
        <w:spacing w:line="400" w:lineRule="exact"/>
        <w:ind w:firstLine="0" w:firstLineChars="0"/>
        <w:jc w:val="center"/>
        <w:rPr>
          <w:rFonts w:ascii="宋体" w:hAnsi="宋体" w:cs="宋体"/>
          <w:color w:val="auto"/>
          <w:sz w:val="24"/>
          <w:szCs w:val="24"/>
          <w:highlight w:val="none"/>
        </w:rPr>
      </w:pPr>
      <w:r>
        <w:rPr>
          <w:rFonts w:hint="eastAsia" w:ascii="宋体" w:hAnsi="宋体" w:cs="宋体"/>
          <w:color w:val="auto"/>
          <w:sz w:val="24"/>
          <w:szCs w:val="24"/>
          <w:highlight w:val="none"/>
        </w:rPr>
        <w:t>一、总  则</w:t>
      </w:r>
    </w:p>
    <w:p w14:paraId="015BA5A6">
      <w:pPr>
        <w:pStyle w:val="7"/>
        <w:keepNext w:val="0"/>
        <w:keepLines w:val="0"/>
        <w:spacing w:before="0" w:after="0" w:line="400" w:lineRule="exact"/>
        <w:ind w:left="420" w:leftChars="200"/>
        <w:rPr>
          <w:rFonts w:ascii="宋体" w:hAnsi="宋体" w:cs="宋体"/>
          <w:color w:val="auto"/>
          <w:sz w:val="21"/>
          <w:szCs w:val="21"/>
          <w:highlight w:val="none"/>
        </w:rPr>
      </w:pPr>
      <w:bookmarkStart w:id="79" w:name="_Toc254970527"/>
      <w:bookmarkStart w:id="80" w:name="_Toc254970668"/>
      <w:r>
        <w:rPr>
          <w:rFonts w:hint="eastAsia" w:ascii="宋体" w:hAnsi="宋体" w:cs="宋体"/>
          <w:color w:val="auto"/>
          <w:sz w:val="21"/>
          <w:szCs w:val="21"/>
          <w:highlight w:val="none"/>
        </w:rPr>
        <w:t>1.适用范围</w:t>
      </w:r>
      <w:bookmarkEnd w:id="79"/>
      <w:bookmarkEnd w:id="80"/>
    </w:p>
    <w:p w14:paraId="04A84A1C">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1876819">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1E9F5226">
      <w:pPr>
        <w:pStyle w:val="7"/>
        <w:keepNext w:val="0"/>
        <w:keepLines w:val="0"/>
        <w:spacing w:before="0" w:after="0" w:line="400" w:lineRule="exact"/>
        <w:ind w:left="420" w:leftChars="200"/>
        <w:rPr>
          <w:rFonts w:ascii="宋体" w:hAnsi="宋体" w:cs="宋体"/>
          <w:color w:val="auto"/>
          <w:sz w:val="21"/>
          <w:szCs w:val="21"/>
          <w:highlight w:val="none"/>
        </w:rPr>
      </w:pPr>
      <w:bookmarkStart w:id="81" w:name="_Toc254970669"/>
      <w:bookmarkStart w:id="82" w:name="_Toc254970528"/>
      <w:r>
        <w:rPr>
          <w:rFonts w:hint="eastAsia" w:ascii="宋体" w:hAnsi="宋体" w:cs="宋体"/>
          <w:color w:val="auto"/>
          <w:sz w:val="21"/>
          <w:szCs w:val="21"/>
          <w:highlight w:val="none"/>
        </w:rPr>
        <w:t>2.定义</w:t>
      </w:r>
      <w:bookmarkEnd w:id="81"/>
      <w:bookmarkEnd w:id="82"/>
    </w:p>
    <w:p w14:paraId="36B6718D">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2.1“采购人”是指依法进行政府采购的国家机关、事业单位、团体组织。</w:t>
      </w:r>
    </w:p>
    <w:p w14:paraId="52495A73">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2.2“采购代理机构”是指政府采购集中采购机构和集中采购机构以外的采购代理机构。</w:t>
      </w:r>
    </w:p>
    <w:p w14:paraId="564D50D4">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2.3“供应商”是指向采购人提供货物、工程或者服务的法人、其他组织或者自然人。</w:t>
      </w:r>
    </w:p>
    <w:p w14:paraId="4D411F8B">
      <w:pPr>
        <w:pStyle w:val="8"/>
        <w:spacing w:line="400" w:lineRule="exact"/>
        <w:rPr>
          <w:rFonts w:ascii="宋体" w:hAnsi="宋体" w:cs="宋体"/>
          <w:color w:val="auto"/>
          <w:szCs w:val="21"/>
          <w:highlight w:val="none"/>
        </w:rPr>
      </w:pPr>
      <w:r>
        <w:rPr>
          <w:rFonts w:hint="eastAsia" w:ascii="宋体" w:hAnsi="宋体" w:cs="宋体"/>
          <w:color w:val="auto"/>
          <w:szCs w:val="21"/>
          <w:highlight w:val="none"/>
        </w:rPr>
        <w:t>2.4“投标人”是指响应招标、参加投标竞争的法人、其他组织或者自然人。</w:t>
      </w:r>
    </w:p>
    <w:p w14:paraId="44D86931">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2.5“货物”是指各种形态和种类的物品，包括原材料、燃料、设备、产品等；“服务”是指除货物和工程以外的其他政府采购对象。</w:t>
      </w:r>
    </w:p>
    <w:p w14:paraId="6CE933AF">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2AC1A5BB">
      <w:pPr>
        <w:pStyle w:val="7"/>
        <w:keepNext w:val="0"/>
        <w:keepLines w:val="0"/>
        <w:spacing w:before="0" w:after="0" w:line="400" w:lineRule="exact"/>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2.7“书面形式”是指合同书、信件和数据电文（包括电报、电传、传真、电子数据交换和电子邮件）等可以有形地表现所载内容的形式。</w:t>
      </w:r>
    </w:p>
    <w:p w14:paraId="1F9E1AF5">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2.8“实质性要求”是指招标文件中已经指明不满足则投标无效的条款，或者不能负偏离的条款，或者采购需求中带“▲”的条款。</w:t>
      </w:r>
    </w:p>
    <w:p w14:paraId="51572223">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2.9 “正偏离”，是指投标文件对招标文件“采购需求”中有关条款作出的响应优于条款要求并有利于采购人的情形。</w:t>
      </w:r>
    </w:p>
    <w:p w14:paraId="2B4AF46C">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2.10“负偏离”，是指投标文件对招标文件“采购需求”中有关条款作出的响应不满足条款要求，导致采购人要求不能得到满足的情形。</w:t>
      </w:r>
    </w:p>
    <w:p w14:paraId="34E8E33B">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bookmarkStart w:id="83" w:name="_Toc254970670"/>
      <w:bookmarkStart w:id="84" w:name="_Toc254970529"/>
    </w:p>
    <w:p w14:paraId="7F984A1B">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w:t>
      </w:r>
      <w:bookmarkEnd w:id="83"/>
      <w:bookmarkEnd w:id="84"/>
      <w:r>
        <w:rPr>
          <w:rFonts w:hint="eastAsia" w:ascii="宋体" w:hAnsi="宋体" w:cs="宋体"/>
          <w:color w:val="auto"/>
          <w:sz w:val="21"/>
          <w:szCs w:val="21"/>
          <w:highlight w:val="none"/>
        </w:rPr>
        <w:t>投标人的资格要求</w:t>
      </w:r>
    </w:p>
    <w:p w14:paraId="4425C47C">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66AD46DE">
      <w:pPr>
        <w:pStyle w:val="7"/>
        <w:keepNext w:val="0"/>
        <w:keepLines w:val="0"/>
        <w:spacing w:before="0" w:after="0" w:line="400" w:lineRule="exact"/>
        <w:ind w:left="420" w:leftChars="200"/>
        <w:rPr>
          <w:rFonts w:ascii="宋体" w:hAnsi="宋体" w:cs="宋体"/>
          <w:color w:val="auto"/>
          <w:sz w:val="21"/>
          <w:szCs w:val="21"/>
          <w:highlight w:val="none"/>
        </w:rPr>
      </w:pPr>
      <w:bookmarkStart w:id="85" w:name="_Toc254970530"/>
      <w:bookmarkStart w:id="86" w:name="_Toc254970671"/>
      <w:r>
        <w:rPr>
          <w:rFonts w:hint="eastAsia" w:ascii="宋体" w:hAnsi="宋体" w:cs="宋体"/>
          <w:color w:val="auto"/>
          <w:sz w:val="21"/>
          <w:szCs w:val="21"/>
          <w:highlight w:val="none"/>
        </w:rPr>
        <w:t>4.投标委托</w:t>
      </w:r>
      <w:bookmarkEnd w:id="85"/>
      <w:bookmarkEnd w:id="86"/>
    </w:p>
    <w:p w14:paraId="5FCC197E">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47D1D110">
      <w:pPr>
        <w:pStyle w:val="7"/>
        <w:keepNext w:val="0"/>
        <w:keepLines w:val="0"/>
        <w:spacing w:before="0" w:after="0" w:line="400" w:lineRule="exact"/>
        <w:ind w:left="420" w:leftChars="200"/>
        <w:rPr>
          <w:rFonts w:ascii="宋体" w:hAnsi="宋体" w:cs="宋体"/>
          <w:color w:val="auto"/>
          <w:sz w:val="21"/>
          <w:szCs w:val="21"/>
          <w:highlight w:val="none"/>
        </w:rPr>
      </w:pPr>
      <w:bookmarkStart w:id="87" w:name="_5.投标费用"/>
      <w:bookmarkEnd w:id="87"/>
      <w:bookmarkStart w:id="88" w:name="_Toc254970531"/>
      <w:bookmarkStart w:id="89" w:name="_Toc254970672"/>
      <w:r>
        <w:rPr>
          <w:rFonts w:hint="eastAsia" w:ascii="宋体" w:hAnsi="宋体" w:cs="宋体"/>
          <w:color w:val="auto"/>
          <w:sz w:val="21"/>
          <w:szCs w:val="21"/>
          <w:highlight w:val="none"/>
        </w:rPr>
        <w:t>5.投标费用</w:t>
      </w:r>
      <w:bookmarkEnd w:id="88"/>
      <w:bookmarkEnd w:id="89"/>
    </w:p>
    <w:p w14:paraId="1B1020A7">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3DF6CAAD">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6.联合体投标</w:t>
      </w:r>
    </w:p>
    <w:p w14:paraId="18552C54">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39F9FFC1">
      <w:pPr>
        <w:snapToGrid w:val="0"/>
        <w:spacing w:line="40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467200CA">
      <w:pPr>
        <w:pStyle w:val="7"/>
        <w:keepNext w:val="0"/>
        <w:keepLines w:val="0"/>
        <w:spacing w:before="0" w:after="0" w:line="400" w:lineRule="exact"/>
        <w:ind w:firstLine="424" w:firstLineChars="202"/>
        <w:rPr>
          <w:rFonts w:ascii="宋体" w:hAnsi="宋体" w:cs="宋体"/>
          <w:color w:val="auto"/>
          <w:sz w:val="21"/>
          <w:szCs w:val="21"/>
          <w:highlight w:val="none"/>
        </w:rPr>
      </w:pPr>
      <w:r>
        <w:rPr>
          <w:rFonts w:hint="eastAsia" w:ascii="宋体" w:hAnsi="宋体" w:cs="宋体"/>
          <w:b w:val="0"/>
          <w:color w:val="auto"/>
          <w:sz w:val="21"/>
          <w:szCs w:val="21"/>
          <w:highlight w:val="none"/>
        </w:rPr>
        <w:t xml:space="preserve">6.3 </w:t>
      </w:r>
      <w:bookmarkStart w:id="90" w:name="_Hlk65857072"/>
      <w:r>
        <w:rPr>
          <w:rFonts w:hint="eastAsia" w:ascii="宋体" w:hAnsi="宋体" w:cs="宋体"/>
          <w:b w:val="0"/>
          <w:color w:val="auto"/>
          <w:sz w:val="21"/>
          <w:szCs w:val="21"/>
          <w:highlight w:val="none"/>
        </w:rPr>
        <w:t>根据《政府采购促进中小企业发展管理办法》（财库〔2020〕46号）第九条第二款的规定及《广西壮族自治区财政厅关于进一步发挥政府采购政采功能促进企业发展的通知》（桂财采〔2022〕30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90"/>
    </w:p>
    <w:p w14:paraId="26948CE1">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 xml:space="preserve">7.转包与分包          </w:t>
      </w:r>
    </w:p>
    <w:p w14:paraId="4409AF0D">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7.1本项目不允许转包。</w:t>
      </w:r>
    </w:p>
    <w:p w14:paraId="1F60855D">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229A5246">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5E990397">
      <w:pPr>
        <w:pStyle w:val="7"/>
        <w:keepNext w:val="0"/>
        <w:keepLines w:val="0"/>
        <w:spacing w:before="0" w:after="0" w:line="400" w:lineRule="exact"/>
        <w:ind w:left="420" w:leftChars="200"/>
        <w:rPr>
          <w:rFonts w:ascii="宋体" w:hAnsi="宋体" w:cs="宋体"/>
          <w:color w:val="auto"/>
          <w:sz w:val="21"/>
          <w:szCs w:val="21"/>
          <w:highlight w:val="none"/>
        </w:rPr>
      </w:pPr>
      <w:bookmarkStart w:id="91" w:name="_Toc254970673"/>
      <w:bookmarkStart w:id="92" w:name="_Toc254970532"/>
      <w:r>
        <w:rPr>
          <w:rFonts w:hint="eastAsia" w:ascii="宋体" w:hAnsi="宋体" w:cs="宋体"/>
          <w:color w:val="auto"/>
          <w:sz w:val="21"/>
          <w:szCs w:val="21"/>
          <w:highlight w:val="none"/>
        </w:rPr>
        <w:t>8.特别说明</w:t>
      </w:r>
      <w:bookmarkEnd w:id="91"/>
      <w:bookmarkEnd w:id="92"/>
    </w:p>
    <w:p w14:paraId="49CDA8DF">
      <w:pPr>
        <w:pStyle w:val="7"/>
        <w:keepNext w:val="0"/>
        <w:keepLines w:val="0"/>
        <w:spacing w:before="0" w:after="0" w:line="400" w:lineRule="exact"/>
        <w:ind w:firstLine="315" w:firstLineChars="150"/>
        <w:rPr>
          <w:rFonts w:ascii="宋体" w:hAnsi="宋体" w:cs="宋体"/>
          <w:b w:val="0"/>
          <w:color w:val="auto"/>
          <w:sz w:val="21"/>
          <w:szCs w:val="21"/>
          <w:highlight w:val="none"/>
        </w:rPr>
      </w:pPr>
      <w:bookmarkStart w:id="93" w:name="_8.1提供相同品牌产品且通过资格审查、符合性审查的不同投标人参加同一合"/>
      <w:bookmarkEnd w:id="93"/>
      <w:r>
        <w:rPr>
          <w:rFonts w:hint="eastAsia" w:ascii="宋体" w:hAnsi="宋体" w:cs="宋体"/>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4FB4B2C5">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8.2投标人应仔细阅读招标文件的所有内容，按照招标文件的要求提交投标文件，并对所提供的全部资料的真实性承担法律责任。</w:t>
      </w:r>
    </w:p>
    <w:p w14:paraId="4D85C50E">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8.3投标人在投标活动中提供任何虚假材料，将报监管部门查处；中标后发现的，中标人须依法赔偿采购人，且民事赔偿并不免除违法投标人的行政与刑事责任。</w:t>
      </w:r>
    </w:p>
    <w:p w14:paraId="1A988082">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9.回避与串通投标</w:t>
      </w:r>
    </w:p>
    <w:p w14:paraId="5B2DE7B3">
      <w:pPr>
        <w:pStyle w:val="7"/>
        <w:keepNext w:val="0"/>
        <w:keepLines w:val="0"/>
        <w:spacing w:before="0" w:after="0" w:line="400" w:lineRule="exact"/>
        <w:ind w:firstLine="367" w:firstLineChars="175"/>
        <w:rPr>
          <w:rFonts w:ascii="宋体" w:hAnsi="宋体" w:cs="宋体"/>
          <w:b w:val="0"/>
          <w:color w:val="auto"/>
          <w:sz w:val="21"/>
          <w:szCs w:val="21"/>
          <w:highlight w:val="none"/>
        </w:rPr>
      </w:pPr>
      <w:r>
        <w:rPr>
          <w:rFonts w:hint="eastAsia" w:ascii="宋体" w:hAnsi="宋体" w:cs="宋体"/>
          <w:b w:val="0"/>
          <w:color w:val="auto"/>
          <w:sz w:val="21"/>
          <w:szCs w:val="21"/>
          <w:highlight w:val="none"/>
        </w:rPr>
        <w:t>9.1在政府采购活动中，采购人员及相关人员与供应商有下列利害关系之一的，应当回避：</w:t>
      </w:r>
    </w:p>
    <w:p w14:paraId="0AD0EF4E">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（1）参加采购活动前3年内与供应商存在劳动关系；</w:t>
      </w:r>
    </w:p>
    <w:p w14:paraId="48ED9897">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（2）参加采购活动前3年内担任供应商的董事、监事；</w:t>
      </w:r>
    </w:p>
    <w:p w14:paraId="7BD08061">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（3）参加采购活动前3年内是供应商的控股股东或者实际控制人；</w:t>
      </w:r>
    </w:p>
    <w:p w14:paraId="02B6AA1E">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（4）与供应商的法定代表人或者负责人有夫妻、直系血亲、三代以内旁系血亲或者近姻亲关系；</w:t>
      </w:r>
    </w:p>
    <w:p w14:paraId="540FA56A">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（5）与供应商有其他可能影响政府采购活动公平、公正进行的关系。</w:t>
      </w:r>
    </w:p>
    <w:p w14:paraId="04367CC1">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C2A90BD">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9.2有下列情形之一的视为投标人相互串通投标，投标文件将被视为无效：</w:t>
      </w:r>
    </w:p>
    <w:p w14:paraId="4D500D22">
      <w:pPr>
        <w:pStyle w:val="19"/>
        <w:snapToGrid w:val="0"/>
        <w:spacing w:line="400" w:lineRule="exact"/>
        <w:ind w:left="2" w:leftChars="1" w:firstLine="422" w:firstLineChars="200"/>
        <w:rPr>
          <w:rFonts w:hAnsi="宋体" w:cs="宋体"/>
          <w:b/>
          <w:color w:val="auto"/>
          <w:szCs w:val="21"/>
          <w:highlight w:val="none"/>
        </w:rPr>
      </w:pPr>
      <w:r>
        <w:rPr>
          <w:rFonts w:hint="eastAsia" w:hAnsi="宋体" w:cs="宋体"/>
          <w:b/>
          <w:color w:val="auto"/>
          <w:szCs w:val="21"/>
          <w:highlight w:val="none"/>
        </w:rPr>
        <w:t xml:space="preserve">（1）不同投标人的投标文件由同一单位或者个人编制； </w:t>
      </w:r>
    </w:p>
    <w:p w14:paraId="4080EF52">
      <w:pPr>
        <w:pStyle w:val="19"/>
        <w:snapToGrid w:val="0"/>
        <w:spacing w:line="400" w:lineRule="exact"/>
        <w:ind w:left="2" w:leftChars="1" w:firstLine="422" w:firstLineChars="200"/>
        <w:rPr>
          <w:rFonts w:hAnsi="宋体" w:cs="宋体"/>
          <w:b/>
          <w:color w:val="auto"/>
          <w:szCs w:val="21"/>
          <w:highlight w:val="none"/>
        </w:rPr>
      </w:pPr>
      <w:r>
        <w:rPr>
          <w:rFonts w:hint="eastAsia" w:hAnsi="宋体" w:cs="宋体"/>
          <w:b/>
          <w:color w:val="auto"/>
          <w:szCs w:val="21"/>
          <w:highlight w:val="none"/>
        </w:rPr>
        <w:t>（2）不同投标人委托同一单位或者个人办理投标事宜；</w:t>
      </w:r>
    </w:p>
    <w:p w14:paraId="5B756F4A">
      <w:pPr>
        <w:pStyle w:val="19"/>
        <w:snapToGrid w:val="0"/>
        <w:spacing w:line="400" w:lineRule="exact"/>
        <w:ind w:left="2" w:leftChars="1" w:firstLine="422" w:firstLineChars="200"/>
        <w:rPr>
          <w:rFonts w:hAnsi="宋体" w:cs="宋体"/>
          <w:b/>
          <w:color w:val="auto"/>
          <w:szCs w:val="21"/>
          <w:highlight w:val="none"/>
        </w:rPr>
      </w:pPr>
      <w:r>
        <w:rPr>
          <w:rFonts w:hint="eastAsia" w:hAnsi="宋体" w:cs="宋体"/>
          <w:b/>
          <w:color w:val="auto"/>
          <w:szCs w:val="21"/>
          <w:highlight w:val="none"/>
        </w:rPr>
        <w:t>（3）不同的投标人的投标文件载明的项目管理员为同一个人；</w:t>
      </w:r>
    </w:p>
    <w:p w14:paraId="1CB06A8F">
      <w:pPr>
        <w:pStyle w:val="19"/>
        <w:snapToGrid w:val="0"/>
        <w:spacing w:line="400" w:lineRule="exact"/>
        <w:ind w:left="2" w:leftChars="1" w:firstLine="422" w:firstLineChars="200"/>
        <w:rPr>
          <w:rFonts w:hAnsi="宋体" w:cs="宋体"/>
          <w:b/>
          <w:color w:val="auto"/>
          <w:szCs w:val="21"/>
          <w:highlight w:val="none"/>
        </w:rPr>
      </w:pPr>
      <w:r>
        <w:rPr>
          <w:rFonts w:hint="eastAsia" w:hAnsi="宋体" w:cs="宋体"/>
          <w:b/>
          <w:color w:val="auto"/>
          <w:szCs w:val="21"/>
          <w:highlight w:val="none"/>
        </w:rPr>
        <w:t>（4）不同投标人的投标文件异常一致或者投标报价呈规律性差异；</w:t>
      </w:r>
    </w:p>
    <w:p w14:paraId="2890BE98">
      <w:pPr>
        <w:pStyle w:val="19"/>
        <w:snapToGrid w:val="0"/>
        <w:spacing w:line="400" w:lineRule="exact"/>
        <w:ind w:left="2" w:leftChars="1" w:firstLine="422" w:firstLineChars="200"/>
        <w:rPr>
          <w:rFonts w:hAnsi="宋体" w:cs="宋体"/>
          <w:b/>
          <w:color w:val="auto"/>
          <w:szCs w:val="21"/>
          <w:highlight w:val="none"/>
        </w:rPr>
      </w:pPr>
      <w:r>
        <w:rPr>
          <w:rFonts w:hint="eastAsia" w:hAnsi="宋体" w:cs="宋体"/>
          <w:b/>
          <w:color w:val="auto"/>
          <w:szCs w:val="21"/>
          <w:highlight w:val="none"/>
        </w:rPr>
        <w:t>（5）不同投标人的投标文件相互混装；</w:t>
      </w:r>
    </w:p>
    <w:p w14:paraId="586AAD3E">
      <w:pPr>
        <w:pStyle w:val="19"/>
        <w:snapToGrid w:val="0"/>
        <w:spacing w:line="400" w:lineRule="exact"/>
        <w:ind w:left="2" w:leftChars="1" w:firstLine="422" w:firstLineChars="200"/>
        <w:rPr>
          <w:rFonts w:hAnsi="宋体" w:cs="宋体"/>
          <w:b/>
          <w:color w:val="auto"/>
          <w:szCs w:val="21"/>
          <w:highlight w:val="none"/>
        </w:rPr>
      </w:pPr>
      <w:r>
        <w:rPr>
          <w:rFonts w:hint="eastAsia" w:hAnsi="宋体" w:cs="宋体"/>
          <w:b/>
          <w:color w:val="auto"/>
          <w:szCs w:val="21"/>
          <w:highlight w:val="none"/>
        </w:rPr>
        <w:t>（6）不同投标人的投标保证金从同一单位或者个人账户转出。</w:t>
      </w:r>
    </w:p>
    <w:p w14:paraId="4BBD5CD7">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9.3供应商有下列情形之一的，属于恶意串通行为，将报同级监督管理部门：</w:t>
      </w:r>
    </w:p>
    <w:p w14:paraId="2F751D6A">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（1）供应商直接或者间接从采购人或者采购代理机构处获得其他供应商的相关信息并修改其投标文件或者响应文件；</w:t>
      </w:r>
    </w:p>
    <w:p w14:paraId="52138B83">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（2）供应商按照采购人或者采购代理机构的授意撤换、修改投标文件或者响应文件；</w:t>
      </w:r>
    </w:p>
    <w:p w14:paraId="3F2C8FAC">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（3）供应商之间协商报价、技术方案等投标文件或者响应文件的实质性内容；</w:t>
      </w:r>
    </w:p>
    <w:p w14:paraId="0A243392">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（4）属于同一集团、协会、商会等组织成员的供应商按照该组织要求协同参加政府采购活动；</w:t>
      </w:r>
    </w:p>
    <w:p w14:paraId="0B6A1D1C">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242374FB">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（6）供应商之间商定部分供应商放弃参加政府采购活动或者放弃中标；</w:t>
      </w:r>
    </w:p>
    <w:p w14:paraId="3F36486C">
      <w:pPr>
        <w:pStyle w:val="19"/>
        <w:snapToGrid w:val="0"/>
        <w:spacing w:line="400" w:lineRule="exact"/>
        <w:ind w:left="2" w:leftChars="1" w:firstLine="420" w:firstLineChars="200"/>
        <w:rPr>
          <w:rFonts w:hAnsi="宋体" w:cs="宋体"/>
          <w:b/>
          <w:color w:val="auto"/>
          <w:szCs w:val="21"/>
          <w:highlight w:val="none"/>
        </w:rPr>
      </w:pPr>
      <w:r>
        <w:rPr>
          <w:rFonts w:hint="eastAsia" w:hAnsi="宋体" w:cs="宋体"/>
          <w:color w:val="auto"/>
          <w:szCs w:val="21"/>
          <w:highlight w:val="none"/>
        </w:rPr>
        <w:t>（7）供应商与采购人或者采购代理机构之间、供应商相互之间，为谋求特定供应商中标或者排斥其他供应商的其他串通行为。</w:t>
      </w:r>
    </w:p>
    <w:p w14:paraId="7010DE32">
      <w:pPr>
        <w:pStyle w:val="5"/>
        <w:keepNext w:val="0"/>
        <w:keepLines w:val="0"/>
        <w:spacing w:line="400" w:lineRule="exact"/>
        <w:ind w:firstLine="422"/>
        <w:jc w:val="center"/>
        <w:rPr>
          <w:rFonts w:ascii="宋体" w:hAnsi="宋体" w:cs="宋体"/>
          <w:color w:val="auto"/>
          <w:sz w:val="21"/>
          <w:szCs w:val="21"/>
          <w:highlight w:val="none"/>
        </w:rPr>
      </w:pPr>
      <w:bookmarkStart w:id="94" w:name="_Toc254970534"/>
      <w:bookmarkStart w:id="95" w:name="_Toc254970675"/>
      <w:r>
        <w:rPr>
          <w:rFonts w:hint="eastAsia" w:ascii="宋体" w:hAnsi="宋体" w:cs="宋体"/>
          <w:color w:val="auto"/>
          <w:sz w:val="21"/>
          <w:szCs w:val="21"/>
          <w:highlight w:val="none"/>
        </w:rPr>
        <w:t>二、招标文件</w:t>
      </w:r>
      <w:bookmarkEnd w:id="94"/>
      <w:bookmarkEnd w:id="95"/>
    </w:p>
    <w:p w14:paraId="22CE2E62">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10.招标文件的组成</w:t>
      </w:r>
    </w:p>
    <w:p w14:paraId="0E546366">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（1）招标公告；</w:t>
      </w:r>
    </w:p>
    <w:p w14:paraId="603396E1">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 xml:space="preserve">（2）采购需求； </w:t>
      </w:r>
    </w:p>
    <w:p w14:paraId="05BE36FC">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（3）投标人须知；</w:t>
      </w:r>
    </w:p>
    <w:p w14:paraId="6C36F7FF">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（4）评标方法及评标标准；</w:t>
      </w:r>
    </w:p>
    <w:p w14:paraId="5C4F7D6F">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（5）拟签订的合同文本；</w:t>
      </w:r>
    </w:p>
    <w:p w14:paraId="7C7DFE51">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（6）投标文件格式。</w:t>
      </w:r>
    </w:p>
    <w:p w14:paraId="12EFC7D8">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11.招标文件的澄清、修改 、现场考察和答疑会</w:t>
      </w:r>
    </w:p>
    <w:p w14:paraId="0056EE6D">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11B01907">
      <w:pPr>
        <w:pStyle w:val="7"/>
        <w:keepNext w:val="0"/>
        <w:keepLines w:val="0"/>
        <w:spacing w:before="0" w:after="0" w:line="400" w:lineRule="exact"/>
        <w:ind w:firstLine="420" w:firstLineChars="200"/>
        <w:rPr>
          <w:rFonts w:ascii="宋体" w:hAnsi="宋体" w:cs="宋体"/>
          <w:color w:val="auto"/>
          <w:sz w:val="21"/>
          <w:szCs w:val="21"/>
          <w:highlight w:val="none"/>
        </w:rPr>
      </w:pPr>
      <w:r>
        <w:rPr>
          <w:rFonts w:hint="eastAsia" w:ascii="宋体" w:hAnsi="宋体" w:cs="宋体"/>
          <w:b w:val="0"/>
          <w:color w:val="auto"/>
          <w:sz w:val="21"/>
          <w:szCs w:val="21"/>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5068571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11.3采购人和采购代理机构可以视采购具体情况，变更投标截止时间和开标时间，并在原公告发布媒体上发布更正公告。</w:t>
      </w:r>
    </w:p>
    <w:p w14:paraId="0B0D02ED">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11.4招标文件澄清、答复、修改、补充的内容为招标文件的组成部分。</w:t>
      </w:r>
      <w:r>
        <w:rPr>
          <w:rFonts w:hint="eastAsia" w:ascii="宋体" w:hAnsi="宋体" w:cs="宋体"/>
          <w:b/>
          <w:color w:val="auto"/>
          <w:szCs w:val="21"/>
          <w:highlight w:val="none"/>
        </w:rPr>
        <w:t>当招标文件与招标文件的澄清、答复、修改、补充通知就同一内容的表述不一致时，以最后发出的文件为准。</w:t>
      </w:r>
    </w:p>
    <w:p w14:paraId="4DE2BBC1">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11.</w:t>
      </w:r>
      <w:bookmarkStart w:id="96" w:name="_Hlk53134511"/>
      <w:r>
        <w:rPr>
          <w:rFonts w:hint="eastAsia" w:hAnsi="宋体" w:cs="宋体"/>
          <w:color w:val="auto"/>
          <w:szCs w:val="21"/>
          <w:highlight w:val="none"/>
        </w:rPr>
        <w:t>5采购人或者采购代理机构可以在招标文件提供期限截止后，组织已获取招标文件的潜在投标人现场考察或者召开开标前答疑会，具体详见“投标人须知前附表”。</w:t>
      </w:r>
    </w:p>
    <w:bookmarkEnd w:id="96"/>
    <w:p w14:paraId="291E160F">
      <w:pPr>
        <w:pStyle w:val="5"/>
        <w:keepNext w:val="0"/>
        <w:keepLines w:val="0"/>
        <w:spacing w:line="400" w:lineRule="exact"/>
        <w:ind w:firstLine="422"/>
        <w:jc w:val="center"/>
        <w:rPr>
          <w:rFonts w:ascii="宋体" w:hAnsi="宋体" w:cs="宋体"/>
          <w:color w:val="auto"/>
          <w:sz w:val="21"/>
          <w:szCs w:val="21"/>
          <w:highlight w:val="none"/>
        </w:rPr>
      </w:pPr>
      <w:bookmarkStart w:id="97" w:name="_Toc254970535"/>
      <w:bookmarkStart w:id="98" w:name="_Toc254970676"/>
      <w:r>
        <w:rPr>
          <w:rFonts w:hint="eastAsia" w:ascii="宋体" w:hAnsi="宋体" w:cs="宋体"/>
          <w:color w:val="auto"/>
          <w:sz w:val="21"/>
          <w:szCs w:val="21"/>
          <w:highlight w:val="none"/>
        </w:rPr>
        <w:t>三、投标文件的编制</w:t>
      </w:r>
      <w:bookmarkEnd w:id="97"/>
      <w:bookmarkEnd w:id="98"/>
    </w:p>
    <w:p w14:paraId="3F266E22">
      <w:pPr>
        <w:pStyle w:val="7"/>
        <w:keepNext w:val="0"/>
        <w:keepLines w:val="0"/>
        <w:spacing w:before="0" w:after="0" w:line="400" w:lineRule="exact"/>
        <w:ind w:left="420" w:leftChars="200"/>
        <w:rPr>
          <w:rFonts w:ascii="宋体" w:hAnsi="宋体" w:cs="宋体"/>
          <w:color w:val="auto"/>
          <w:sz w:val="21"/>
          <w:szCs w:val="21"/>
          <w:highlight w:val="none"/>
        </w:rPr>
      </w:pPr>
      <w:bookmarkStart w:id="99" w:name="_Toc254970536"/>
      <w:bookmarkStart w:id="100" w:name="_Toc254970677"/>
      <w:r>
        <w:rPr>
          <w:rFonts w:hint="eastAsia" w:ascii="宋体" w:hAnsi="宋体" w:cs="宋体"/>
          <w:color w:val="auto"/>
          <w:sz w:val="21"/>
          <w:szCs w:val="21"/>
          <w:highlight w:val="none"/>
        </w:rPr>
        <w:t>12.投标文件的编制原则</w:t>
      </w:r>
    </w:p>
    <w:p w14:paraId="29140C34">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65F8EE71">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13.投标文件的组成</w:t>
      </w:r>
      <w:bookmarkEnd w:id="99"/>
      <w:bookmarkEnd w:id="100"/>
    </w:p>
    <w:p w14:paraId="654665C5">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13.1投标文件由报价文件、资格证明文件、商务文件、技术文件四部分组成。</w:t>
      </w:r>
    </w:p>
    <w:p w14:paraId="193B156F">
      <w:pPr>
        <w:pStyle w:val="7"/>
        <w:keepNext w:val="0"/>
        <w:keepLines w:val="0"/>
        <w:spacing w:before="0" w:after="0" w:line="400" w:lineRule="exact"/>
        <w:ind w:left="420" w:leftChars="200"/>
        <w:rPr>
          <w:rFonts w:ascii="宋体" w:hAnsi="宋体" w:cs="宋体"/>
          <w:b w:val="0"/>
          <w:color w:val="auto"/>
          <w:sz w:val="21"/>
          <w:szCs w:val="21"/>
          <w:highlight w:val="none"/>
        </w:rPr>
      </w:pPr>
      <w:bookmarkStart w:id="101" w:name="_13.1报价文件:_具体材料见“投标人须知前附表”。"/>
      <w:bookmarkEnd w:id="101"/>
      <w:r>
        <w:rPr>
          <w:rFonts w:hint="eastAsia" w:ascii="宋体" w:hAnsi="宋体" w:cs="宋体"/>
          <w:b w:val="0"/>
          <w:color w:val="auto"/>
          <w:sz w:val="21"/>
          <w:szCs w:val="21"/>
          <w:highlight w:val="none"/>
        </w:rPr>
        <w:t>（1）报价文件： 具体材料见“投标人须知前附表”。</w:t>
      </w:r>
    </w:p>
    <w:p w14:paraId="5E02FFB2">
      <w:pPr>
        <w:pStyle w:val="7"/>
        <w:keepNext w:val="0"/>
        <w:keepLines w:val="0"/>
        <w:spacing w:before="0" w:after="0" w:line="400" w:lineRule="exact"/>
        <w:ind w:left="420" w:leftChars="200"/>
        <w:rPr>
          <w:rFonts w:ascii="宋体" w:hAnsi="宋体" w:cs="宋体"/>
          <w:b w:val="0"/>
          <w:color w:val="auto"/>
          <w:sz w:val="21"/>
          <w:szCs w:val="21"/>
          <w:highlight w:val="none"/>
        </w:rPr>
      </w:pPr>
      <w:bookmarkStart w:id="102" w:name="_13.2资格证明文件：具体材料见“投标人须知前附表”。"/>
      <w:bookmarkEnd w:id="102"/>
      <w:r>
        <w:rPr>
          <w:rFonts w:hint="eastAsia" w:ascii="宋体" w:hAnsi="宋体" w:cs="宋体"/>
          <w:b w:val="0"/>
          <w:color w:val="auto"/>
          <w:sz w:val="21"/>
          <w:szCs w:val="21"/>
          <w:highlight w:val="none"/>
        </w:rPr>
        <w:t>（2）资格证明文件：具体材料见“投标人须知前附表”。</w:t>
      </w:r>
    </w:p>
    <w:p w14:paraId="79AB1435">
      <w:pPr>
        <w:pStyle w:val="7"/>
        <w:keepNext w:val="0"/>
        <w:keepLines w:val="0"/>
        <w:spacing w:before="0" w:after="0" w:line="400" w:lineRule="exact"/>
        <w:ind w:left="420" w:leftChars="200"/>
        <w:rPr>
          <w:rFonts w:ascii="宋体" w:hAnsi="宋体" w:cs="宋体"/>
          <w:b w:val="0"/>
          <w:color w:val="auto"/>
          <w:sz w:val="21"/>
          <w:szCs w:val="21"/>
          <w:highlight w:val="none"/>
        </w:rPr>
      </w:pPr>
      <w:bookmarkStart w:id="103" w:name="_13.3商务文件:_具体材料见“投标人须知前附表”。"/>
      <w:bookmarkEnd w:id="103"/>
      <w:r>
        <w:rPr>
          <w:rFonts w:hint="eastAsia" w:ascii="宋体" w:hAnsi="宋体" w:cs="宋体"/>
          <w:b w:val="0"/>
          <w:color w:val="auto"/>
          <w:sz w:val="21"/>
          <w:szCs w:val="21"/>
          <w:highlight w:val="none"/>
        </w:rPr>
        <w:t>（3）商务文件：具体材料见“投标人须知前附表”。</w:t>
      </w:r>
    </w:p>
    <w:p w14:paraId="6D0480BE">
      <w:pPr>
        <w:pStyle w:val="7"/>
        <w:keepNext w:val="0"/>
        <w:keepLines w:val="0"/>
        <w:spacing w:before="0" w:after="0" w:line="400" w:lineRule="exact"/>
        <w:ind w:left="420" w:leftChars="200"/>
        <w:rPr>
          <w:rFonts w:ascii="宋体" w:hAnsi="宋体" w:cs="宋体"/>
          <w:b w:val="0"/>
          <w:color w:val="auto"/>
          <w:sz w:val="21"/>
          <w:szCs w:val="21"/>
          <w:highlight w:val="none"/>
        </w:rPr>
      </w:pPr>
      <w:bookmarkStart w:id="104" w:name="_13.4技术文件：具体材料见“投标人须知前附表”。"/>
      <w:bookmarkEnd w:id="104"/>
      <w:r>
        <w:rPr>
          <w:rFonts w:hint="eastAsia" w:ascii="宋体" w:hAnsi="宋体" w:cs="宋体"/>
          <w:b w:val="0"/>
          <w:color w:val="auto"/>
          <w:sz w:val="21"/>
          <w:szCs w:val="21"/>
          <w:highlight w:val="none"/>
        </w:rPr>
        <w:t>（4）技术文件：具体材料见“投标人须知前附表”。</w:t>
      </w:r>
      <w:bookmarkStart w:id="105" w:name="_13.5投标文件电子版：具体材料见“投标人须知前附表”。"/>
      <w:bookmarkEnd w:id="105"/>
    </w:p>
    <w:p w14:paraId="07F2BE52">
      <w:pPr>
        <w:pStyle w:val="7"/>
        <w:keepNext w:val="0"/>
        <w:keepLines w:val="0"/>
        <w:spacing w:before="0" w:after="0" w:line="400" w:lineRule="exact"/>
        <w:ind w:left="420" w:leftChars="200"/>
        <w:rPr>
          <w:rFonts w:ascii="宋体" w:hAnsi="宋体" w:cs="宋体"/>
          <w:color w:val="auto"/>
          <w:sz w:val="21"/>
          <w:szCs w:val="21"/>
          <w:highlight w:val="none"/>
        </w:rPr>
      </w:pPr>
      <w:bookmarkStart w:id="106" w:name="_Toc254970537"/>
      <w:bookmarkStart w:id="107" w:name="_Toc254970678"/>
      <w:r>
        <w:rPr>
          <w:rFonts w:hint="eastAsia" w:ascii="宋体" w:hAnsi="宋体" w:cs="宋体"/>
          <w:color w:val="auto"/>
          <w:sz w:val="21"/>
          <w:szCs w:val="21"/>
          <w:highlight w:val="none"/>
        </w:rPr>
        <w:t>14.投标文件的语言及计量</w:t>
      </w:r>
      <w:bookmarkEnd w:id="106"/>
      <w:bookmarkEnd w:id="107"/>
    </w:p>
    <w:p w14:paraId="4515134B">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14.1语言文字</w:t>
      </w:r>
    </w:p>
    <w:p w14:paraId="07A43ACA">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66D4960">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14.2投标计量单位</w:t>
      </w:r>
    </w:p>
    <w:p w14:paraId="6C7143E4">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14:paraId="5C0D91A6">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15.投标的风险</w:t>
      </w:r>
    </w:p>
    <w:p w14:paraId="0B0554DC">
      <w:pPr>
        <w:pStyle w:val="19"/>
        <w:snapToGrid w:val="0"/>
        <w:spacing w:line="400" w:lineRule="exact"/>
        <w:ind w:firstLine="420" w:firstLineChars="200"/>
        <w:jc w:val="left"/>
        <w:rPr>
          <w:rFonts w:hAnsi="宋体" w:cs="宋体"/>
          <w:color w:val="auto"/>
          <w:szCs w:val="21"/>
          <w:highlight w:val="none"/>
        </w:rPr>
      </w:pPr>
      <w:r>
        <w:rPr>
          <w:rFonts w:hint="eastAsia" w:hAnsi="宋体" w:cs="宋体"/>
          <w:color w:val="auto"/>
          <w:szCs w:val="21"/>
          <w:highlight w:val="none"/>
        </w:rPr>
        <w:t>投标人没有按照招标文件要求提供全部资料，或者投标人没有对招标文件作出实质性响应是投标人的风险，并可能导致其投标被拒绝。</w:t>
      </w:r>
    </w:p>
    <w:p w14:paraId="2EC7935A">
      <w:pPr>
        <w:pStyle w:val="7"/>
        <w:keepNext w:val="0"/>
        <w:keepLines w:val="0"/>
        <w:spacing w:before="0" w:after="0" w:line="400" w:lineRule="exact"/>
        <w:ind w:left="420" w:leftChars="200"/>
        <w:rPr>
          <w:rFonts w:ascii="宋体" w:hAnsi="宋体" w:cs="宋体"/>
          <w:color w:val="auto"/>
          <w:sz w:val="21"/>
          <w:szCs w:val="21"/>
          <w:highlight w:val="none"/>
        </w:rPr>
      </w:pPr>
      <w:bookmarkStart w:id="108" w:name="_Toc254970538"/>
      <w:bookmarkStart w:id="109" w:name="_Toc254970679"/>
      <w:r>
        <w:rPr>
          <w:rFonts w:hint="eastAsia" w:ascii="宋体" w:hAnsi="宋体" w:cs="宋体"/>
          <w:color w:val="auto"/>
          <w:sz w:val="21"/>
          <w:szCs w:val="21"/>
          <w:highlight w:val="none"/>
        </w:rPr>
        <w:t>16.投标报价</w:t>
      </w:r>
      <w:bookmarkEnd w:id="108"/>
      <w:bookmarkEnd w:id="109"/>
    </w:p>
    <w:p w14:paraId="1F84C269">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16.1投标报价应按“第六章　投标文件格式”中“开标一览表”格式填写。</w:t>
      </w:r>
    </w:p>
    <w:p w14:paraId="509058AC">
      <w:pPr>
        <w:pStyle w:val="7"/>
        <w:keepNext w:val="0"/>
        <w:keepLines w:val="0"/>
        <w:spacing w:before="0" w:after="0" w:line="400" w:lineRule="exact"/>
        <w:ind w:left="420" w:leftChars="200"/>
        <w:rPr>
          <w:rFonts w:ascii="宋体" w:hAnsi="宋体" w:cs="宋体"/>
          <w:b w:val="0"/>
          <w:color w:val="auto"/>
          <w:sz w:val="21"/>
          <w:szCs w:val="21"/>
          <w:highlight w:val="none"/>
        </w:rPr>
      </w:pPr>
      <w:bookmarkStart w:id="110" w:name="_16.2投标报价具体定义见投标人须知前附表。"/>
      <w:bookmarkEnd w:id="110"/>
      <w:r>
        <w:rPr>
          <w:rFonts w:hint="eastAsia" w:ascii="宋体" w:hAnsi="宋体" w:cs="宋体"/>
          <w:b w:val="0"/>
          <w:color w:val="auto"/>
          <w:sz w:val="21"/>
          <w:szCs w:val="21"/>
          <w:highlight w:val="none"/>
        </w:rPr>
        <w:t>16.2投标报价具体包括内容详见“投标人须知前附表”。</w:t>
      </w:r>
    </w:p>
    <w:p w14:paraId="6D96AF8C">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16.3投标人必须就所投每个分标的全部内容分别作完整唯一总价报价，不得存在漏项报价；投标人必须就所投分标的单项内容作唯一报价。</w:t>
      </w:r>
    </w:p>
    <w:p w14:paraId="01AB6246">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17.投标有效期</w:t>
      </w:r>
    </w:p>
    <w:p w14:paraId="25C70432">
      <w:pPr>
        <w:pStyle w:val="7"/>
        <w:keepNext w:val="0"/>
        <w:keepLines w:val="0"/>
        <w:spacing w:before="0" w:after="0" w:line="400" w:lineRule="exact"/>
        <w:ind w:firstLine="420" w:firstLineChars="200"/>
        <w:rPr>
          <w:rFonts w:ascii="宋体" w:hAnsi="宋体" w:cs="宋体"/>
          <w:b w:val="0"/>
          <w:color w:val="auto"/>
          <w:sz w:val="21"/>
          <w:szCs w:val="21"/>
          <w:highlight w:val="none"/>
        </w:rPr>
      </w:pPr>
      <w:bookmarkStart w:id="111" w:name="_17.1投标有效期应按“投标人须知中的前附表”规定的期限。"/>
      <w:bookmarkEnd w:id="111"/>
      <w:r>
        <w:rPr>
          <w:rFonts w:hint="eastAsia" w:ascii="宋体" w:hAnsi="宋体" w:cs="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43F44E36">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17.2</w:t>
      </w:r>
      <w:bookmarkStart w:id="112" w:name="_Toc254970681"/>
      <w:bookmarkStart w:id="113" w:name="_Toc254970540"/>
      <w:r>
        <w:rPr>
          <w:rFonts w:hint="eastAsia" w:ascii="宋体" w:hAnsi="宋体" w:cs="宋体"/>
          <w:b w:val="0"/>
          <w:color w:val="auto"/>
          <w:sz w:val="21"/>
          <w:szCs w:val="21"/>
          <w:highlight w:val="none"/>
        </w:rPr>
        <w:t xml:space="preserve"> 投标有效期应按规定的期限作出承诺，具体详见“投标人须知前附表”。</w:t>
      </w:r>
    </w:p>
    <w:p w14:paraId="749A90DD">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17.3投标人的投标文件在投标有效期内均保持有效。</w:t>
      </w:r>
      <w:bookmarkEnd w:id="112"/>
      <w:bookmarkEnd w:id="113"/>
    </w:p>
    <w:p w14:paraId="38B98458">
      <w:pPr>
        <w:pStyle w:val="7"/>
        <w:keepNext w:val="0"/>
        <w:keepLines w:val="0"/>
        <w:spacing w:before="0" w:after="0" w:line="400" w:lineRule="exact"/>
        <w:ind w:left="420" w:leftChars="200"/>
        <w:rPr>
          <w:rFonts w:ascii="宋体" w:hAnsi="宋体" w:cs="宋体"/>
          <w:color w:val="auto"/>
          <w:sz w:val="21"/>
          <w:szCs w:val="21"/>
          <w:highlight w:val="none"/>
        </w:rPr>
      </w:pPr>
      <w:bookmarkStart w:id="114" w:name="_18.投标保证金"/>
      <w:bookmarkEnd w:id="114"/>
      <w:bookmarkStart w:id="115" w:name="_Toc254970541"/>
      <w:bookmarkStart w:id="116" w:name="_Toc254970682"/>
      <w:r>
        <w:rPr>
          <w:rFonts w:hint="eastAsia" w:ascii="宋体" w:hAnsi="宋体" w:cs="宋体"/>
          <w:color w:val="auto"/>
          <w:sz w:val="21"/>
          <w:szCs w:val="21"/>
          <w:highlight w:val="none"/>
        </w:rPr>
        <w:t>18.投标保证金</w:t>
      </w:r>
      <w:bookmarkEnd w:id="115"/>
      <w:bookmarkEnd w:id="116"/>
    </w:p>
    <w:p w14:paraId="41FD321A">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18.1投标人须按“投标人须知前附表” 的规定提交投标保证金。</w:t>
      </w:r>
    </w:p>
    <w:p w14:paraId="5C5184B7">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18.2投标保证金的退还</w:t>
      </w:r>
    </w:p>
    <w:p w14:paraId="4513478B">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未中标人的投标保证金自中标通知书发出之日起</w:t>
      </w:r>
      <w:r>
        <w:rPr>
          <w:rFonts w:hint="eastAsia" w:ascii="宋体" w:hAnsi="宋体" w:cs="宋体"/>
          <w:b w:val="0"/>
          <w:color w:val="auto"/>
          <w:sz w:val="21"/>
          <w:szCs w:val="21"/>
          <w:highlight w:val="none"/>
          <w:lang w:val="en-US" w:eastAsia="zh-CN"/>
        </w:rPr>
        <w:t>5</w:t>
      </w:r>
      <w:r>
        <w:rPr>
          <w:rFonts w:hint="eastAsia" w:ascii="宋体" w:hAnsi="宋体" w:cs="宋体"/>
          <w:b w:val="0"/>
          <w:color w:val="auto"/>
          <w:sz w:val="21"/>
          <w:szCs w:val="21"/>
          <w:highlight w:val="none"/>
        </w:rPr>
        <w:t>个工作日内退还；中标人的投标保证金自政府采购合同签订之日起</w:t>
      </w:r>
      <w:r>
        <w:rPr>
          <w:rFonts w:hint="eastAsia" w:ascii="宋体" w:hAnsi="宋体" w:cs="宋体"/>
          <w:b w:val="0"/>
          <w:color w:val="auto"/>
          <w:sz w:val="21"/>
          <w:szCs w:val="21"/>
          <w:highlight w:val="none"/>
          <w:lang w:val="en-US" w:eastAsia="zh-CN"/>
        </w:rPr>
        <w:t>5</w:t>
      </w:r>
      <w:r>
        <w:rPr>
          <w:rFonts w:hint="eastAsia" w:ascii="宋体" w:hAnsi="宋体" w:cs="宋体"/>
          <w:b w:val="0"/>
          <w:color w:val="auto"/>
          <w:sz w:val="21"/>
          <w:szCs w:val="21"/>
          <w:highlight w:val="none"/>
        </w:rPr>
        <w:t xml:space="preserve">个工作日内退还。 </w:t>
      </w:r>
    </w:p>
    <w:p w14:paraId="26FD0D8E">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18.3除逾期退还投标保证金和终止招标的情形以外，投标保证金不计息。</w:t>
      </w:r>
    </w:p>
    <w:p w14:paraId="75983626">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18.4投标人有下列情形之一的，投标保证金将不予退还： </w:t>
      </w:r>
    </w:p>
    <w:p w14:paraId="7356A2A6">
      <w:pPr>
        <w:snapToGrid w:val="0"/>
        <w:spacing w:line="40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0E732C8D">
      <w:pPr>
        <w:snapToGrid w:val="0"/>
        <w:spacing w:line="40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（2）未按规定提交履约保证金的；</w:t>
      </w:r>
    </w:p>
    <w:p w14:paraId="2BF873DA">
      <w:pPr>
        <w:snapToGrid w:val="0"/>
        <w:spacing w:line="40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1FB1FF91">
      <w:pPr>
        <w:snapToGrid w:val="0"/>
        <w:spacing w:line="40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1224D597">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（5）投标人出现本章第9.2、9.3情形的；</w:t>
      </w:r>
    </w:p>
    <w:p w14:paraId="68621E81">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01818DE5">
      <w:pPr>
        <w:pStyle w:val="7"/>
        <w:keepNext w:val="0"/>
        <w:keepLines w:val="0"/>
        <w:spacing w:before="0" w:after="0" w:line="400" w:lineRule="exact"/>
        <w:ind w:left="420" w:leftChars="200"/>
        <w:rPr>
          <w:rFonts w:ascii="宋体" w:hAnsi="宋体" w:cs="宋体"/>
          <w:color w:val="auto"/>
          <w:sz w:val="21"/>
          <w:szCs w:val="21"/>
          <w:highlight w:val="none"/>
        </w:rPr>
      </w:pPr>
      <w:bookmarkStart w:id="117" w:name="_Toc254970542"/>
      <w:bookmarkStart w:id="118" w:name="_Toc254970683"/>
      <w:r>
        <w:rPr>
          <w:rFonts w:hint="eastAsia" w:ascii="宋体" w:hAnsi="宋体" w:cs="宋体"/>
          <w:color w:val="auto"/>
          <w:sz w:val="21"/>
          <w:szCs w:val="21"/>
          <w:highlight w:val="none"/>
        </w:rPr>
        <w:t>19.投标文件的</w:t>
      </w:r>
      <w:bookmarkEnd w:id="117"/>
      <w:bookmarkEnd w:id="118"/>
      <w:r>
        <w:rPr>
          <w:rFonts w:hint="eastAsia" w:ascii="宋体" w:hAnsi="宋体" w:cs="宋体"/>
          <w:color w:val="auto"/>
          <w:sz w:val="21"/>
          <w:szCs w:val="21"/>
          <w:highlight w:val="none"/>
        </w:rPr>
        <w:t>编制</w:t>
      </w:r>
    </w:p>
    <w:p w14:paraId="574D8872">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7C3AB5BB">
      <w:pPr>
        <w:pStyle w:val="7"/>
        <w:keepNext w:val="0"/>
        <w:keepLines w:val="0"/>
        <w:spacing w:before="0" w:after="0" w:line="400" w:lineRule="exact"/>
        <w:ind w:firstLine="420" w:firstLineChars="200"/>
        <w:rPr>
          <w:rFonts w:ascii="宋体" w:hAnsi="宋体" w:cs="宋体"/>
          <w:b w:val="0"/>
          <w:color w:val="auto"/>
          <w:sz w:val="21"/>
          <w:szCs w:val="21"/>
          <w:highlight w:val="none"/>
        </w:rPr>
      </w:pPr>
      <w:bookmarkStart w:id="119" w:name="_19.2投标文件应按报价文件、资格证明文件、商务文件、技术文件分别编制"/>
      <w:bookmarkEnd w:id="119"/>
      <w:r>
        <w:rPr>
          <w:rFonts w:hint="eastAsia" w:ascii="宋体" w:hAnsi="宋体" w:cs="宋体"/>
          <w:b w:val="0"/>
          <w:color w:val="auto"/>
          <w:sz w:val="21"/>
          <w:szCs w:val="21"/>
          <w:highlight w:val="none"/>
        </w:rPr>
        <w:t>19.2投标文件应按报价文件、资格证明文件、商务文件、技术文件分别编制电子文件，并按“</w:t>
      </w:r>
      <w:r>
        <w:rPr>
          <w:rFonts w:hint="eastAsia" w:ascii="宋体" w:hAnsi="宋体" w:cs="宋体"/>
          <w:b w:val="0"/>
          <w:color w:val="auto"/>
          <w:sz w:val="21"/>
          <w:szCs w:val="21"/>
          <w:highlight w:val="none"/>
          <w:lang w:eastAsia="zh-CN"/>
        </w:rPr>
        <w:t>广西政府采购云平台</w:t>
      </w:r>
      <w:r>
        <w:rPr>
          <w:rFonts w:hint="eastAsia" w:ascii="宋体" w:hAnsi="宋体" w:cs="宋体"/>
          <w:b w:val="0"/>
          <w:color w:val="auto"/>
          <w:sz w:val="21"/>
          <w:szCs w:val="21"/>
          <w:highlight w:val="none"/>
        </w:rPr>
        <w:t>”平台的要求编制、加密、上传。</w:t>
      </w:r>
    </w:p>
    <w:p w14:paraId="2BA4E723">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19.</w:t>
      </w:r>
      <w:bookmarkStart w:id="120" w:name="_Hlk65832616"/>
      <w:r>
        <w:rPr>
          <w:rFonts w:hint="eastAsia" w:ascii="宋体" w:hAnsi="宋体" w:cs="宋体"/>
          <w:b w:val="0"/>
          <w:color w:val="auto"/>
          <w:sz w:val="21"/>
          <w:szCs w:val="21"/>
          <w:highlight w:val="none"/>
        </w:rPr>
        <w:t>3投标文件须由投标人在规定位置盖公章并签字</w:t>
      </w:r>
      <w:bookmarkStart w:id="121" w:name="_Hlk65832569"/>
      <w:r>
        <w:rPr>
          <w:rFonts w:hint="eastAsia" w:ascii="宋体" w:hAnsi="宋体" w:cs="宋体"/>
          <w:b w:val="0"/>
          <w:color w:val="auto"/>
          <w:sz w:val="21"/>
          <w:szCs w:val="21"/>
          <w:highlight w:val="none"/>
        </w:rPr>
        <w:t>（具体以投标人须知前附表或投标文件格式规定为准）</w:t>
      </w:r>
      <w:bookmarkEnd w:id="120"/>
      <w:bookmarkEnd w:id="121"/>
      <w:r>
        <w:rPr>
          <w:rFonts w:hint="eastAsia" w:ascii="宋体" w:hAnsi="宋体" w:cs="宋体"/>
          <w:b w:val="0"/>
          <w:color w:val="auto"/>
          <w:sz w:val="21"/>
          <w:szCs w:val="21"/>
          <w:highlight w:val="none"/>
        </w:rPr>
        <w:t>，</w:t>
      </w:r>
      <w:r>
        <w:rPr>
          <w:rFonts w:hint="eastAsia" w:ascii="宋体" w:hAnsi="宋体" w:cs="宋体"/>
          <w:color w:val="auto"/>
          <w:sz w:val="21"/>
          <w:szCs w:val="21"/>
          <w:highlight w:val="none"/>
        </w:rPr>
        <w:t>否则按无效投标处理</w:t>
      </w:r>
      <w:r>
        <w:rPr>
          <w:rFonts w:hint="eastAsia" w:ascii="宋体" w:hAnsi="宋体" w:cs="宋体"/>
          <w:b w:val="0"/>
          <w:color w:val="auto"/>
          <w:sz w:val="21"/>
          <w:szCs w:val="21"/>
          <w:highlight w:val="none"/>
        </w:rPr>
        <w:t>。</w:t>
      </w:r>
    </w:p>
    <w:p w14:paraId="1CA99C20">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19.4投标文件中标注的投标人名称应与主体资格证明（如营业执照、事业单位法人证书、执业许可证、自然人身份证等）及公章一致，</w:t>
      </w:r>
      <w:r>
        <w:rPr>
          <w:rFonts w:hint="eastAsia" w:ascii="宋体" w:hAnsi="宋体" w:cs="宋体"/>
          <w:color w:val="auto"/>
          <w:sz w:val="21"/>
          <w:szCs w:val="21"/>
          <w:highlight w:val="none"/>
        </w:rPr>
        <w:t>否则按无效投标处理</w:t>
      </w:r>
      <w:r>
        <w:rPr>
          <w:rFonts w:hint="eastAsia" w:ascii="宋体" w:hAnsi="宋体" w:cs="宋体"/>
          <w:b w:val="0"/>
          <w:color w:val="auto"/>
          <w:sz w:val="21"/>
          <w:szCs w:val="21"/>
          <w:highlight w:val="none"/>
        </w:rPr>
        <w:t>。</w:t>
      </w:r>
    </w:p>
    <w:p w14:paraId="0BEBC4EE">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78B07D17">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20.投标文件的加密、解密</w:t>
      </w:r>
    </w:p>
    <w:p w14:paraId="72915009">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20.1电子投标文件编制完成后，投标人应按“</w:t>
      </w:r>
      <w:r>
        <w:rPr>
          <w:rFonts w:hint="eastAsia" w:ascii="宋体" w:hAnsi="宋体" w:cs="宋体"/>
          <w:b w:val="0"/>
          <w:color w:val="auto"/>
          <w:sz w:val="21"/>
          <w:szCs w:val="21"/>
          <w:highlight w:val="none"/>
          <w:lang w:eastAsia="zh-CN"/>
        </w:rPr>
        <w:t>广西政府采购云平台</w:t>
      </w:r>
      <w:r>
        <w:rPr>
          <w:rFonts w:hint="eastAsia" w:ascii="宋体" w:hAnsi="宋体" w:cs="宋体"/>
          <w:b w:val="0"/>
          <w:color w:val="auto"/>
          <w:sz w:val="21"/>
          <w:szCs w:val="21"/>
          <w:highlight w:val="none"/>
        </w:rPr>
        <w:t>”平台的要求进行加密，并在规定时间内解密，否则，由此产生的后果由投标人自行负责。</w:t>
      </w:r>
    </w:p>
    <w:p w14:paraId="769EF7B5">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21.投标文件的提交</w:t>
      </w:r>
    </w:p>
    <w:p w14:paraId="060ABFCA">
      <w:pPr>
        <w:pStyle w:val="7"/>
        <w:keepNext w:val="0"/>
        <w:keepLines w:val="0"/>
        <w:spacing w:before="0" w:after="0" w:line="400" w:lineRule="exact"/>
        <w:ind w:firstLine="420" w:firstLineChars="200"/>
        <w:rPr>
          <w:rFonts w:ascii="宋体" w:hAnsi="宋体" w:cs="宋体"/>
          <w:b w:val="0"/>
          <w:color w:val="auto"/>
          <w:sz w:val="21"/>
          <w:szCs w:val="21"/>
          <w:highlight w:val="none"/>
        </w:rPr>
      </w:pPr>
      <w:bookmarkStart w:id="122" w:name="_21.1投标人必须在“投标人须知中的前附表”规定的投标文件接收时间和投"/>
      <w:bookmarkEnd w:id="122"/>
      <w:r>
        <w:rPr>
          <w:rFonts w:hint="eastAsia" w:ascii="宋体" w:hAnsi="宋体" w:cs="宋体"/>
          <w:b w:val="0"/>
          <w:color w:val="auto"/>
          <w:sz w:val="21"/>
          <w:szCs w:val="21"/>
          <w:highlight w:val="none"/>
        </w:rPr>
        <w:t>21.1投标人必须在“投标人须知前附表”规定的投标文件接收时间和投标地点提交投标文件。</w:t>
      </w:r>
    </w:p>
    <w:p w14:paraId="1EEAE47B">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21.2本项目为全流程电子化政府采购项目，通过“</w:t>
      </w:r>
      <w:r>
        <w:rPr>
          <w:rFonts w:hint="eastAsia" w:ascii="宋体" w:hAnsi="宋体" w:cs="宋体"/>
          <w:b w:val="0"/>
          <w:color w:val="auto"/>
          <w:sz w:val="21"/>
          <w:szCs w:val="21"/>
          <w:highlight w:val="none"/>
          <w:lang w:eastAsia="zh-CN"/>
        </w:rPr>
        <w:t>广西政府采购云</w:t>
      </w:r>
      <w:r>
        <w:rPr>
          <w:rFonts w:hint="eastAsia" w:ascii="宋体" w:hAnsi="宋体" w:cs="宋体"/>
          <w:b w:val="0"/>
          <w:color w:val="auto"/>
          <w:sz w:val="21"/>
          <w:szCs w:val="21"/>
          <w:highlight w:val="none"/>
        </w:rPr>
        <w:t>”平台（http：//www.zcygov.cn）实行在线电子投标。投标人必须在“投标人须知前附表”规定的投标文件接收时间内通过网络将电子投标文件上传至“</w:t>
      </w:r>
      <w:r>
        <w:rPr>
          <w:rFonts w:hint="eastAsia" w:ascii="宋体" w:hAnsi="宋体" w:cs="宋体"/>
          <w:b w:val="0"/>
          <w:color w:val="auto"/>
          <w:sz w:val="21"/>
          <w:szCs w:val="21"/>
          <w:highlight w:val="none"/>
          <w:lang w:eastAsia="zh-CN"/>
        </w:rPr>
        <w:t>广西政府采购云平台</w:t>
      </w:r>
      <w:r>
        <w:rPr>
          <w:rFonts w:hint="eastAsia" w:ascii="宋体" w:hAnsi="宋体" w:cs="宋体"/>
          <w:b w:val="0"/>
          <w:color w:val="auto"/>
          <w:sz w:val="21"/>
          <w:szCs w:val="21"/>
          <w:highlight w:val="none"/>
        </w:rPr>
        <w:t>”平台，供应商在“</w:t>
      </w:r>
      <w:r>
        <w:rPr>
          <w:rFonts w:hint="eastAsia" w:ascii="宋体" w:hAnsi="宋体" w:cs="宋体"/>
          <w:b w:val="0"/>
          <w:color w:val="auto"/>
          <w:sz w:val="21"/>
          <w:szCs w:val="21"/>
          <w:highlight w:val="none"/>
          <w:lang w:eastAsia="zh-CN"/>
        </w:rPr>
        <w:t>广西政府采购云平台</w:t>
      </w:r>
      <w:r>
        <w:rPr>
          <w:rFonts w:hint="eastAsia" w:ascii="宋体" w:hAnsi="宋体" w:cs="宋体"/>
          <w:b w:val="0"/>
          <w:color w:val="auto"/>
          <w:sz w:val="21"/>
          <w:szCs w:val="21"/>
          <w:highlight w:val="none"/>
        </w:rPr>
        <w:t>”平台提交电子版投标文件时，请填写参加远程开标活动经办人联系方式。</w:t>
      </w:r>
    </w:p>
    <w:p w14:paraId="47775916">
      <w:pPr>
        <w:pStyle w:val="7"/>
        <w:keepNext w:val="0"/>
        <w:keepLines w:val="0"/>
        <w:spacing w:before="0" w:after="0" w:line="400" w:lineRule="exact"/>
        <w:ind w:firstLine="420" w:firstLineChars="20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21.3未在规定时间内上传或者未按“</w:t>
      </w:r>
      <w:r>
        <w:rPr>
          <w:rFonts w:hint="eastAsia" w:ascii="宋体" w:hAnsi="宋体" w:cs="宋体"/>
          <w:b w:val="0"/>
          <w:color w:val="auto"/>
          <w:sz w:val="21"/>
          <w:szCs w:val="21"/>
          <w:highlight w:val="none"/>
          <w:lang w:eastAsia="zh-CN"/>
        </w:rPr>
        <w:t>广西政府采购云</w:t>
      </w:r>
      <w:r>
        <w:rPr>
          <w:rFonts w:hint="eastAsia" w:ascii="宋体" w:hAnsi="宋体" w:cs="宋体"/>
          <w:b w:val="0"/>
          <w:color w:val="auto"/>
          <w:sz w:val="21"/>
          <w:szCs w:val="21"/>
          <w:highlight w:val="none"/>
        </w:rPr>
        <w:t>”平台的要求编制、加密的电子投标文件，“</w:t>
      </w:r>
      <w:r>
        <w:rPr>
          <w:rFonts w:hint="eastAsia" w:ascii="宋体" w:hAnsi="宋体" w:cs="宋体"/>
          <w:b w:val="0"/>
          <w:color w:val="auto"/>
          <w:sz w:val="21"/>
          <w:szCs w:val="21"/>
          <w:highlight w:val="none"/>
          <w:lang w:eastAsia="zh-CN"/>
        </w:rPr>
        <w:t>广西政府采购云</w:t>
      </w:r>
      <w:r>
        <w:rPr>
          <w:rFonts w:hint="eastAsia" w:ascii="宋体" w:hAnsi="宋体" w:cs="宋体"/>
          <w:b w:val="0"/>
          <w:color w:val="auto"/>
          <w:sz w:val="21"/>
          <w:szCs w:val="21"/>
          <w:highlight w:val="none"/>
        </w:rPr>
        <w:t>”平台将拒收。</w:t>
      </w:r>
    </w:p>
    <w:p w14:paraId="700723CA">
      <w:pPr>
        <w:pStyle w:val="7"/>
        <w:keepNext w:val="0"/>
        <w:keepLines w:val="0"/>
        <w:spacing w:before="0" w:after="0" w:line="400" w:lineRule="exact"/>
        <w:ind w:firstLine="420" w:firstLineChars="20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21.4电子投标文件提交方式见“招标公告”中“四、提交投标文件截止时间、开标时间和地点”</w:t>
      </w:r>
    </w:p>
    <w:p w14:paraId="37D4E1EE">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22. 投标文件的补充、修改、撤回与退回</w:t>
      </w:r>
    </w:p>
    <w:p w14:paraId="22E42B2A">
      <w:pPr>
        <w:snapToGrid w:val="0"/>
        <w:spacing w:line="400" w:lineRule="exact"/>
        <w:ind w:firstLine="420"/>
        <w:jc w:val="left"/>
        <w:rPr>
          <w:rFonts w:ascii="宋体" w:hAnsi="宋体" w:cs="宋体"/>
          <w:color w:val="auto"/>
          <w:szCs w:val="21"/>
          <w:highlight w:val="none"/>
        </w:rPr>
      </w:pPr>
      <w:bookmarkStart w:id="123" w:name="_Toc254970684"/>
      <w:bookmarkStart w:id="124" w:name="_Toc254970543"/>
      <w:r>
        <w:rPr>
          <w:rFonts w:hint="eastAsia" w:ascii="宋体" w:hAnsi="宋体" w:cs="宋体"/>
          <w:color w:val="auto"/>
          <w:szCs w:val="21"/>
          <w:highlight w:val="none"/>
        </w:rPr>
        <w:t>22.1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”平台将予以拒收。</w:t>
      </w:r>
    </w:p>
    <w:bookmarkEnd w:id="123"/>
    <w:bookmarkEnd w:id="124"/>
    <w:p w14:paraId="20B926E9">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22.2在投标截止时间止提交投标文件的投标人不足3家时，不得开标，采购代理机构将根据“</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”平台的操作将电子版投标文件退回，除此之外采购人和采购代理机构对已提交的投标文件概不退回。</w:t>
      </w:r>
    </w:p>
    <w:p w14:paraId="513316AF">
      <w:pPr>
        <w:spacing w:line="400" w:lineRule="exact"/>
        <w:ind w:firstLine="420" w:firstLineChars="200"/>
        <w:rPr>
          <w:rFonts w:ascii="宋体" w:hAnsi="宋体" w:cs="宋体"/>
          <w:snapToGrid w:val="0"/>
          <w:color w:val="auto"/>
          <w:szCs w:val="21"/>
          <w:highlight w:val="none"/>
        </w:rPr>
      </w:pPr>
      <w:r>
        <w:rPr>
          <w:rFonts w:hint="eastAsia" w:ascii="宋体" w:hAnsi="宋体" w:cs="宋体"/>
          <w:color w:val="auto"/>
          <w:szCs w:val="21"/>
          <w:highlight w:val="none"/>
        </w:rPr>
        <w:t>22.3 投标人在投标截止时间后书面通知采购人、采购代理机构撤销投标文件的，将根据本须知正文18.4的规定不予退还其投标保证金。</w:t>
      </w:r>
    </w:p>
    <w:p w14:paraId="6F7878AF">
      <w:pPr>
        <w:pStyle w:val="5"/>
        <w:keepNext w:val="0"/>
        <w:keepLines w:val="0"/>
        <w:spacing w:line="400" w:lineRule="exact"/>
        <w:ind w:firstLine="422"/>
        <w:jc w:val="center"/>
        <w:rPr>
          <w:rFonts w:ascii="宋体" w:hAnsi="宋体" w:cs="宋体"/>
          <w:color w:val="auto"/>
          <w:sz w:val="21"/>
          <w:szCs w:val="21"/>
          <w:highlight w:val="none"/>
        </w:rPr>
      </w:pPr>
      <w:bookmarkStart w:id="125" w:name="_Toc254970685"/>
      <w:bookmarkStart w:id="126" w:name="_Toc254970544"/>
      <w:r>
        <w:rPr>
          <w:rFonts w:hint="eastAsia" w:ascii="宋体" w:hAnsi="宋体" w:cs="宋体"/>
          <w:color w:val="auto"/>
          <w:sz w:val="21"/>
          <w:szCs w:val="21"/>
          <w:highlight w:val="none"/>
        </w:rPr>
        <w:t>四、开    标</w:t>
      </w:r>
      <w:bookmarkEnd w:id="125"/>
      <w:bookmarkEnd w:id="126"/>
    </w:p>
    <w:p w14:paraId="60EB39A1">
      <w:pPr>
        <w:pStyle w:val="7"/>
        <w:keepNext w:val="0"/>
        <w:keepLines w:val="0"/>
        <w:spacing w:before="0" w:after="0" w:line="400" w:lineRule="exact"/>
        <w:ind w:left="420" w:leftChars="200"/>
        <w:rPr>
          <w:rFonts w:ascii="宋体" w:hAnsi="宋体" w:cs="宋体"/>
          <w:color w:val="auto"/>
          <w:sz w:val="21"/>
          <w:szCs w:val="21"/>
          <w:highlight w:val="none"/>
        </w:rPr>
      </w:pPr>
      <w:bookmarkStart w:id="127" w:name="_23.开标时间和地点"/>
      <w:bookmarkEnd w:id="127"/>
      <w:r>
        <w:rPr>
          <w:rFonts w:hint="eastAsia" w:ascii="宋体" w:hAnsi="宋体" w:cs="宋体"/>
          <w:color w:val="auto"/>
          <w:sz w:val="21"/>
          <w:szCs w:val="21"/>
          <w:highlight w:val="none"/>
        </w:rPr>
        <w:t>23.开标时间和地点</w:t>
      </w:r>
    </w:p>
    <w:p w14:paraId="51709237">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23.1开标时间及地点详见“投标人须知前附表”</w:t>
      </w:r>
    </w:p>
    <w:p w14:paraId="16DA1289">
      <w:pPr>
        <w:snapToGrid w:val="0"/>
        <w:spacing w:line="40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23.2如投标人成功解密投标文件，但未在“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”电子开标大厅参加开标的，视同认可开标过程和结果，由此产生的后果由投标人自行负责。成功解密投标文件的投标人不足3家的，不得开标。</w:t>
      </w:r>
    </w:p>
    <w:p w14:paraId="5B1962BD">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24.开标程序</w:t>
      </w:r>
    </w:p>
    <w:p w14:paraId="107F5F9F">
      <w:pPr>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bCs/>
          <w:color w:val="auto"/>
          <w:szCs w:val="21"/>
          <w:highlight w:val="none"/>
        </w:rPr>
        <w:t>24.1</w:t>
      </w:r>
      <w:r>
        <w:rPr>
          <w:rFonts w:hint="eastAsia" w:ascii="宋体" w:hAnsi="宋体" w:cs="宋体"/>
          <w:color w:val="auto"/>
          <w:kern w:val="0"/>
          <w:szCs w:val="21"/>
          <w:highlight w:val="none"/>
        </w:rPr>
        <w:t>开标形式：</w:t>
      </w:r>
    </w:p>
    <w:p w14:paraId="529BB6BC">
      <w:pPr>
        <w:autoSpaceDE w:val="0"/>
        <w:autoSpaceDN w:val="0"/>
        <w:adjustRightIn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采购代理机构将按照招标文件规定的时间通过“</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9CC375A">
      <w:pPr>
        <w:autoSpaceDE w:val="0"/>
        <w:autoSpaceDN w:val="0"/>
        <w:adjustRightIn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24.2开标程序：</w:t>
      </w:r>
    </w:p>
    <w:p w14:paraId="71931C2B">
      <w:pPr>
        <w:autoSpaceDE w:val="0"/>
        <w:autoSpaceDN w:val="0"/>
        <w:adjustRightIn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（1）解密电子投标文件。“</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”平台按开标时间自动提取所有投标文件。采购代理机构依托“</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”平台向各投标人发出电子加密投标文件【开始解密】通知，由投标人进行投标文件解密。</w:t>
      </w:r>
      <w:r>
        <w:rPr>
          <w:rFonts w:hint="eastAsia" w:ascii="宋体" w:hAnsi="宋体" w:cs="宋体"/>
          <w:b/>
          <w:bCs/>
          <w:color w:val="auto"/>
          <w:szCs w:val="21"/>
          <w:highlight w:val="none"/>
        </w:rPr>
        <w:t>投标人的法定代表人或其委托代理人须携带加密时所用的CA锁准时登录到“</w:t>
      </w:r>
      <w:r>
        <w:rPr>
          <w:rFonts w:hint="eastAsia" w:ascii="宋体" w:hAnsi="宋体" w:cs="宋体"/>
          <w:b/>
          <w:bCs/>
          <w:color w:val="auto"/>
          <w:szCs w:val="21"/>
          <w:highlight w:val="none"/>
          <w:lang w:eastAsia="zh-CN"/>
        </w:rPr>
        <w:t>广西政府采购云</w:t>
      </w:r>
      <w:r>
        <w:rPr>
          <w:rFonts w:hint="eastAsia" w:ascii="宋体" w:hAnsi="宋体" w:cs="宋体"/>
          <w:b/>
          <w:bCs/>
          <w:color w:val="auto"/>
          <w:szCs w:val="21"/>
          <w:highlight w:val="none"/>
        </w:rPr>
        <w:t>”平台电子开标大厅签到</w:t>
      </w:r>
      <w:r>
        <w:rPr>
          <w:rFonts w:hint="eastAsia" w:ascii="宋体" w:hAnsi="宋体" w:cs="宋体"/>
          <w:b/>
          <w:color w:val="auto"/>
          <w:szCs w:val="21"/>
          <w:highlight w:val="none"/>
        </w:rPr>
        <w:t>并在发起解密</w:t>
      </w:r>
      <w:r>
        <w:rPr>
          <w:rFonts w:hint="eastAsia" w:ascii="宋体" w:hAnsi="宋体" w:cs="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cs="宋体"/>
          <w:b/>
          <w:bCs/>
          <w:color w:val="auto"/>
          <w:szCs w:val="21"/>
          <w:highlight w:val="none"/>
        </w:rPr>
        <w:t>对电子投标文件解密。投标文件未按时解密的，视为无效投标。</w:t>
      </w:r>
      <w:r>
        <w:rPr>
          <w:rFonts w:hint="eastAsia" w:ascii="宋体" w:hAnsi="宋体" w:cs="宋体"/>
          <w:bCs/>
          <w:color w:val="auto"/>
          <w:szCs w:val="21"/>
          <w:highlight w:val="none"/>
        </w:rPr>
        <w:t>（解密异常情况处理：详见本章29.4 电子交易活动的中止）</w:t>
      </w:r>
    </w:p>
    <w:p w14:paraId="7A3A9B28">
      <w:pPr>
        <w:autoSpaceDE w:val="0"/>
        <w:autoSpaceDN w:val="0"/>
        <w:adjustRightIn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（2）电子唱标。投标文件解密结束，各投标供应商报价均在“</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”平台远程不见面开标大厅展示；</w:t>
      </w:r>
    </w:p>
    <w:p w14:paraId="0E1B25F5">
      <w:pPr>
        <w:autoSpaceDE w:val="0"/>
        <w:autoSpaceDN w:val="0"/>
        <w:adjustRightIn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（3）签署电子《政府采购活动现场确认声明书》。通过邮件形式在远程不见面开标大厅发送各投标人签署电子《政府采购活动现场确认声明书》。</w:t>
      </w:r>
    </w:p>
    <w:p w14:paraId="5F524049">
      <w:pPr>
        <w:autoSpaceDE w:val="0"/>
        <w:autoSpaceDN w:val="0"/>
        <w:adjustRightIn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52F8C99E">
      <w:pPr>
        <w:autoSpaceDE w:val="0"/>
        <w:autoSpaceDN w:val="0"/>
        <w:adjustRightIn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6CD42BB">
      <w:pPr>
        <w:autoSpaceDE w:val="0"/>
        <w:autoSpaceDN w:val="0"/>
        <w:adjustRightIn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（6）开标结束。</w:t>
      </w:r>
    </w:p>
    <w:p w14:paraId="66AB8C51">
      <w:pPr>
        <w:autoSpaceDE w:val="0"/>
        <w:autoSpaceDN w:val="0"/>
        <w:adjustRightInd w:val="0"/>
        <w:spacing w:line="40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特别说明：如遇“</w:t>
      </w:r>
      <w:r>
        <w:rPr>
          <w:rFonts w:hint="eastAsia" w:ascii="宋体" w:hAnsi="宋体" w:cs="宋体"/>
          <w:b/>
          <w:bCs/>
          <w:color w:val="auto"/>
          <w:szCs w:val="21"/>
          <w:highlight w:val="none"/>
          <w:lang w:eastAsia="zh-CN"/>
        </w:rPr>
        <w:t>广西政府采购云</w:t>
      </w:r>
      <w:r>
        <w:rPr>
          <w:rFonts w:hint="eastAsia" w:ascii="宋体" w:hAnsi="宋体" w:cs="宋体"/>
          <w:b/>
          <w:bCs/>
          <w:color w:val="auto"/>
          <w:szCs w:val="21"/>
          <w:highlight w:val="none"/>
        </w:rPr>
        <w:t>”平台电子化开标或评审程序调整的，按调整后执行。</w:t>
      </w:r>
    </w:p>
    <w:p w14:paraId="3ED4D294">
      <w:pPr>
        <w:pStyle w:val="5"/>
        <w:keepNext w:val="0"/>
        <w:keepLines w:val="0"/>
        <w:spacing w:line="400" w:lineRule="exact"/>
        <w:ind w:firstLine="422"/>
        <w:jc w:val="center"/>
        <w:rPr>
          <w:rFonts w:ascii="宋体" w:hAnsi="宋体" w:cs="宋体"/>
          <w:color w:val="auto"/>
          <w:sz w:val="21"/>
          <w:szCs w:val="21"/>
          <w:highlight w:val="none"/>
        </w:rPr>
      </w:pPr>
      <w:r>
        <w:rPr>
          <w:rFonts w:hint="eastAsia" w:ascii="宋体" w:hAnsi="宋体" w:cs="宋体"/>
          <w:color w:val="auto"/>
          <w:sz w:val="21"/>
          <w:szCs w:val="21"/>
          <w:highlight w:val="none"/>
        </w:rPr>
        <w:t>五、资格审查</w:t>
      </w:r>
    </w:p>
    <w:p w14:paraId="40D15D42">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25.资格审查</w:t>
      </w:r>
    </w:p>
    <w:p w14:paraId="3F96C5A8">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25.1开标结束后，采购人或者采购代理机构依法对投标人的资格进行审查。</w:t>
      </w:r>
    </w:p>
    <w:p w14:paraId="3559FB8F">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737CE344">
      <w:pPr>
        <w:pStyle w:val="7"/>
        <w:keepNext w:val="0"/>
        <w:keepLines w:val="0"/>
        <w:spacing w:before="0" w:after="0" w:line="400" w:lineRule="exact"/>
        <w:ind w:firstLine="422" w:firstLineChars="200"/>
        <w:rPr>
          <w:rFonts w:ascii="宋体" w:hAnsi="宋体" w:cs="宋体"/>
          <w:color w:val="auto"/>
          <w:sz w:val="21"/>
          <w:szCs w:val="21"/>
          <w:highlight w:val="none"/>
        </w:rPr>
      </w:pPr>
      <w:bookmarkStart w:id="128" w:name="_25.3_投标人有下列情形之一的，资格审查不通过而导致其投标无效："/>
      <w:bookmarkEnd w:id="128"/>
      <w:r>
        <w:rPr>
          <w:rFonts w:hint="eastAsia" w:ascii="宋体" w:hAnsi="宋体" w:cs="宋体"/>
          <w:color w:val="auto"/>
          <w:sz w:val="21"/>
          <w:szCs w:val="21"/>
          <w:highlight w:val="none"/>
        </w:rPr>
        <w:t>25.3 投标人有下列情形之一的，资格审查不通过，作无效投标处理：</w:t>
      </w:r>
    </w:p>
    <w:p w14:paraId="0AC1DCBD">
      <w:pPr>
        <w:pStyle w:val="19"/>
        <w:snapToGrid w:val="0"/>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（1）未按招标文件规定的方式获取本招标文件的投标人；</w:t>
      </w:r>
    </w:p>
    <w:p w14:paraId="0C82C61B">
      <w:pPr>
        <w:pStyle w:val="19"/>
        <w:snapToGrid w:val="0"/>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（2）不具备招标文件中规定的资格要求的；</w:t>
      </w:r>
    </w:p>
    <w:p w14:paraId="70D0381D">
      <w:pPr>
        <w:pStyle w:val="19"/>
        <w:snapToGrid w:val="0"/>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4E185B5B">
      <w:pPr>
        <w:pStyle w:val="19"/>
        <w:snapToGrid w:val="0"/>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08643AA6">
      <w:pPr>
        <w:pStyle w:val="19"/>
        <w:snapToGrid w:val="0"/>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（5）投标文件中的资格证明文件缺少任一项“投标人须知前附表”资格证明文件规定“必须提供”的文件资料的；</w:t>
      </w:r>
    </w:p>
    <w:p w14:paraId="4B8CA9F4">
      <w:pPr>
        <w:pStyle w:val="19"/>
        <w:snapToGrid w:val="0"/>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（6）投标文件中的资格证明文件出现任一项不符合“投标人须知前附表”资格证明文件规定“必须提供”的文件资料要求或者无效的。</w:t>
      </w:r>
    </w:p>
    <w:p w14:paraId="4CF1488B">
      <w:pPr>
        <w:pStyle w:val="7"/>
        <w:keepNext w:val="0"/>
        <w:keepLines w:val="0"/>
        <w:snapToGrid w:val="0"/>
        <w:spacing w:before="0" w:after="0" w:line="400" w:lineRule="exact"/>
        <w:ind w:left="690" w:leftChars="228" w:hanging="211" w:hangingChars="100"/>
        <w:rPr>
          <w:rFonts w:ascii="宋体" w:hAnsi="宋体" w:cs="宋体"/>
          <w:color w:val="auto"/>
          <w:sz w:val="21"/>
          <w:szCs w:val="21"/>
          <w:highlight w:val="none"/>
        </w:rPr>
      </w:pPr>
      <w:r>
        <w:rPr>
          <w:rFonts w:hint="eastAsia" w:ascii="宋体" w:hAnsi="宋体" w:cs="宋体"/>
          <w:color w:val="auto"/>
          <w:sz w:val="21"/>
          <w:szCs w:val="21"/>
          <w:highlight w:val="none"/>
        </w:rPr>
        <w:t>25.4合格投标人不足3家的，不得评标。</w:t>
      </w:r>
    </w:p>
    <w:p w14:paraId="36931F55">
      <w:pPr>
        <w:pStyle w:val="5"/>
        <w:keepNext w:val="0"/>
        <w:keepLines w:val="0"/>
        <w:spacing w:line="400" w:lineRule="exact"/>
        <w:ind w:firstLine="422"/>
        <w:jc w:val="center"/>
        <w:rPr>
          <w:rFonts w:ascii="宋体" w:hAnsi="宋体" w:cs="宋体"/>
          <w:color w:val="auto"/>
          <w:sz w:val="21"/>
          <w:szCs w:val="21"/>
          <w:highlight w:val="none"/>
        </w:rPr>
      </w:pPr>
      <w:r>
        <w:rPr>
          <w:rFonts w:hint="eastAsia" w:ascii="宋体" w:hAnsi="宋体" w:cs="宋体"/>
          <w:color w:val="auto"/>
          <w:sz w:val="21"/>
          <w:szCs w:val="21"/>
          <w:highlight w:val="none"/>
        </w:rPr>
        <w:t>六、评   标</w:t>
      </w:r>
    </w:p>
    <w:p w14:paraId="280900EF">
      <w:pPr>
        <w:pStyle w:val="7"/>
        <w:keepNext w:val="0"/>
        <w:keepLines w:val="0"/>
        <w:spacing w:before="0" w:after="0" w:line="400" w:lineRule="exact"/>
        <w:ind w:left="420" w:leftChars="200"/>
        <w:rPr>
          <w:rFonts w:ascii="宋体" w:hAnsi="宋体" w:cs="宋体"/>
          <w:color w:val="auto"/>
          <w:sz w:val="21"/>
          <w:szCs w:val="21"/>
          <w:highlight w:val="none"/>
        </w:rPr>
      </w:pPr>
      <w:bookmarkStart w:id="129" w:name="_26.组建评标委员会"/>
      <w:bookmarkEnd w:id="129"/>
      <w:r>
        <w:rPr>
          <w:rFonts w:hint="eastAsia" w:ascii="宋体" w:hAnsi="宋体" w:cs="宋体"/>
          <w:color w:val="auto"/>
          <w:sz w:val="21"/>
          <w:szCs w:val="21"/>
          <w:highlight w:val="none"/>
        </w:rPr>
        <w:t>26.组建评标委员会</w:t>
      </w:r>
    </w:p>
    <w:p w14:paraId="1C34D4C5">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评标委员会由采购人代表和评审专家组成，具体人数详见“投标人须知前附表”，其中评审专家不得少于成员总数的三分之二。</w:t>
      </w:r>
    </w:p>
    <w:p w14:paraId="28859C09">
      <w:pPr>
        <w:pStyle w:val="19"/>
        <w:snapToGrid w:val="0"/>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参加过采购项目前期咨询论证的专家，不得参加该采购项目的评审活动。</w:t>
      </w:r>
    </w:p>
    <w:p w14:paraId="17880AE0">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27.评标的依据</w:t>
      </w:r>
    </w:p>
    <w:p w14:paraId="4BC9761A">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评标委员会以“第四章 评标方法和评标标准”为依据对投标文件进行评审，没有规定的方法、评审因素和标准，不作为评标依据。</w:t>
      </w:r>
    </w:p>
    <w:p w14:paraId="7207213C">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28.评标原则</w:t>
      </w:r>
    </w:p>
    <w:p w14:paraId="78204A7B">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2022B5A">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28.2</w:t>
      </w:r>
      <w:bookmarkStart w:id="130" w:name="_28.3评标方法。本项目将按须知前附表规定的评标办法进行评标，具体评标"/>
      <w:bookmarkEnd w:id="130"/>
      <w:r>
        <w:rPr>
          <w:rFonts w:hint="eastAsia" w:hAnsi="宋体" w:cs="宋体"/>
          <w:color w:val="auto"/>
          <w:szCs w:val="21"/>
          <w:highlight w:val="none"/>
        </w:rPr>
        <w:t>评委表决。评标委员会成员对需要共同认定的事项存在争议的，应当按照少数服从多数的原则作出结论。</w:t>
      </w:r>
    </w:p>
    <w:p w14:paraId="47CE815B">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C9B800B">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28.4评标过程的监控。本项目评标过程实行全程录音、录像监控，</w:t>
      </w:r>
      <w:r>
        <w:rPr>
          <w:rFonts w:hint="eastAsia" w:hAnsi="宋体" w:cs="宋体"/>
          <w:b/>
          <w:bCs/>
          <w:color w:val="auto"/>
          <w:szCs w:val="21"/>
          <w:highlight w:val="none"/>
        </w:rPr>
        <w:t>投标人在评标过程中所进行的试图影响评标结果的不公正活动，可能导致其投标无效</w:t>
      </w:r>
      <w:r>
        <w:rPr>
          <w:rFonts w:hint="eastAsia" w:hAnsi="宋体" w:cs="宋体"/>
          <w:color w:val="auto"/>
          <w:szCs w:val="21"/>
          <w:highlight w:val="none"/>
        </w:rPr>
        <w:t>。</w:t>
      </w:r>
    </w:p>
    <w:p w14:paraId="2C52B77F">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29.评标方法及中标候选人推荐</w:t>
      </w:r>
    </w:p>
    <w:p w14:paraId="2F679E1A">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29.1本项目的评标方法详见“投标人须知前附表”。</w:t>
      </w:r>
    </w:p>
    <w:p w14:paraId="7CEABCA0">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29.2 中标候选人推荐数量详见“投标人须知前附表”。</w:t>
      </w:r>
    </w:p>
    <w:p w14:paraId="7B061DE4">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29.3评标委员会将按照“第四章 评标方法和评标标准”规定的方法、评审因素、标准和程序对投标文件进行评审。</w:t>
      </w:r>
    </w:p>
    <w:p w14:paraId="0134BDF3">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29.4电子交易活动的中止。采购过程中出现以下情形，导致电子交易平台无法正常运行，或者无法保证电子交易的公平、公正和安全时，采购代理机构可中止电子交易活动：</w:t>
      </w:r>
    </w:p>
    <w:p w14:paraId="076FA686">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 xml:space="preserve">（1）电子交易平台发生故障而无法登录访问的； </w:t>
      </w:r>
    </w:p>
    <w:p w14:paraId="4675B4E6">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（2）电子交易平台应用或数据库出现错误，不能进行正常操作的；</w:t>
      </w:r>
    </w:p>
    <w:p w14:paraId="20A9C407">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（3）电子交易平台发现严重安全漏洞，有潜在泄密危险的；</w:t>
      </w:r>
    </w:p>
    <w:p w14:paraId="3EADCEAC">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 xml:space="preserve">（4）病毒发作导致不能进行正常操作的； </w:t>
      </w:r>
    </w:p>
    <w:p w14:paraId="6677D86F">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（4）其他无法保证电子交易的公平、公正和安全的情况。</w:t>
      </w:r>
    </w:p>
    <w:p w14:paraId="4B9793D8">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29.5出现以上情形，不影响采购公平、公正性的，采购代理机构可以待上述情形消除后继续组织电子交易活动；影响或可能影响采购公平、公正性的，经采购代理机构确认后，应当重新采购。</w:t>
      </w:r>
    </w:p>
    <w:p w14:paraId="09503673">
      <w:pPr>
        <w:pStyle w:val="5"/>
        <w:keepNext w:val="0"/>
        <w:keepLines w:val="0"/>
        <w:spacing w:line="400" w:lineRule="exact"/>
        <w:ind w:firstLine="422"/>
        <w:jc w:val="center"/>
        <w:rPr>
          <w:rFonts w:ascii="宋体" w:hAnsi="宋体" w:cs="宋体"/>
          <w:color w:val="auto"/>
          <w:sz w:val="21"/>
          <w:szCs w:val="21"/>
          <w:highlight w:val="none"/>
        </w:rPr>
      </w:pPr>
      <w:bookmarkStart w:id="131" w:name="_Toc254970687"/>
      <w:bookmarkStart w:id="132" w:name="_Toc254970546"/>
      <w:r>
        <w:rPr>
          <w:rFonts w:hint="eastAsia" w:ascii="宋体" w:hAnsi="宋体" w:cs="宋体"/>
          <w:color w:val="auto"/>
          <w:sz w:val="21"/>
          <w:szCs w:val="21"/>
          <w:highlight w:val="none"/>
        </w:rPr>
        <w:t>七、</w:t>
      </w:r>
      <w:bookmarkEnd w:id="131"/>
      <w:bookmarkEnd w:id="132"/>
      <w:r>
        <w:rPr>
          <w:rFonts w:hint="eastAsia" w:ascii="宋体" w:hAnsi="宋体" w:cs="宋体"/>
          <w:color w:val="auto"/>
          <w:sz w:val="21"/>
          <w:szCs w:val="21"/>
          <w:highlight w:val="none"/>
        </w:rPr>
        <w:t>中标和合同</w:t>
      </w:r>
    </w:p>
    <w:p w14:paraId="76DA983B">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30 确定中标人</w:t>
      </w:r>
    </w:p>
    <w:p w14:paraId="176C07A2">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1527FBFD">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30.2采购人在收到评标报告5个工作日内未按评标报告推荐的中标候选人顺序确定中标人，又不能说明合法理由的，视同按评标报告推荐的顺序确定排名第一的中标候选人为中标人。</w:t>
      </w:r>
    </w:p>
    <w:p w14:paraId="37A6C70E">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30.3出现下列情形之一的，应予废标：</w:t>
      </w:r>
    </w:p>
    <w:p w14:paraId="51343BAC">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（1）符合专业条件的供应商或者对招标文件作实质响应的供应商不足三家的；</w:t>
      </w:r>
    </w:p>
    <w:p w14:paraId="3EDEEAC1">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10E2FF50">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（3）投标人的报价均超过了采购预算，采购人不能支付的；</w:t>
      </w:r>
    </w:p>
    <w:p w14:paraId="6AAD68F4">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（4）因重大变故，采购任务取消的。</w:t>
      </w:r>
    </w:p>
    <w:p w14:paraId="3C6CB41C">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废标后，采购人应当将废标理由通知所有投标人。</w:t>
      </w:r>
    </w:p>
    <w:p w14:paraId="4011629F">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30.4 中标人拒绝签订政府采购合同（包括但不限于放弃中标、因不可抗力不能履行合同而放弃签订合同），采购人可以按照评审报告推荐的中标候选人名单排序，确定下一候选人为中标供应商，也可以重新开展政府采购活动。拒绝签订政府采购合同的中标人不得参加对该项目重新开展的采购活动。</w:t>
      </w:r>
    </w:p>
    <w:p w14:paraId="45445450">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31. 结果公告</w:t>
      </w:r>
    </w:p>
    <w:p w14:paraId="73B728B6">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31.1采购人或者采购代理机构应当自中标人确定之日起2个工作日内，在省级以上财政部门指定的媒体上公告中标结果，招标文件应当随中标结果同时公告。</w:t>
      </w:r>
      <w:r>
        <w:rPr>
          <w:rFonts w:hint="eastAsia" w:ascii="宋体" w:hAnsi="宋体" w:cs="宋体"/>
          <w:color w:val="auto"/>
          <w:sz w:val="21"/>
          <w:szCs w:val="21"/>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b w:val="0"/>
          <w:color w:val="auto"/>
          <w:sz w:val="21"/>
          <w:szCs w:val="21"/>
          <w:highlight w:val="none"/>
        </w:rPr>
        <w:t>排名第二的中标候选人因前款规定的同样原因被取消中标资格的，采购人可以确定排名第三的中标候选人为中标人，以此类推。以上信息查询记录及相关证据与采购文件一并保存。</w:t>
      </w:r>
    </w:p>
    <w:p w14:paraId="695EB1F1">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2CE560DC">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32.发出中标通知书</w:t>
      </w:r>
    </w:p>
    <w:p w14:paraId="573F9329">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047C44C5">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33. 无义务解释未中标原因</w:t>
      </w:r>
    </w:p>
    <w:p w14:paraId="55A0F766">
      <w:pPr>
        <w:pStyle w:val="7"/>
        <w:keepNext w:val="0"/>
        <w:keepLines w:val="0"/>
        <w:spacing w:before="0" w:after="0" w:line="400" w:lineRule="exact"/>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采购代理机构无义务向未中标的投标人解释未中标原因和退还投标文件。</w:t>
      </w:r>
    </w:p>
    <w:p w14:paraId="1E231057">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34.合同授予标准</w:t>
      </w:r>
    </w:p>
    <w:p w14:paraId="3702F5A5">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73CF026A">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35.履约保证金</w:t>
      </w:r>
    </w:p>
    <w:p w14:paraId="7792EB47">
      <w:pPr>
        <w:pStyle w:val="7"/>
        <w:keepNext w:val="0"/>
        <w:keepLines w:val="0"/>
        <w:spacing w:before="0" w:after="0" w:line="400" w:lineRule="exact"/>
        <w:ind w:firstLine="315" w:firstLineChars="150"/>
        <w:rPr>
          <w:rFonts w:ascii="宋体" w:hAnsi="宋体" w:cs="宋体"/>
          <w:b w:val="0"/>
          <w:color w:val="auto"/>
          <w:sz w:val="21"/>
          <w:szCs w:val="21"/>
          <w:highlight w:val="none"/>
        </w:rPr>
      </w:pPr>
      <w:bookmarkStart w:id="133" w:name="_39.1中标人须于签订合同前按本须知前附表规定的金额转账或电汇到指定账"/>
      <w:bookmarkEnd w:id="133"/>
      <w:r>
        <w:rPr>
          <w:rFonts w:hint="eastAsia" w:ascii="宋体" w:hAnsi="宋体" w:cs="宋体"/>
          <w:b w:val="0"/>
          <w:color w:val="auto"/>
          <w:sz w:val="21"/>
          <w:szCs w:val="21"/>
          <w:highlight w:val="none"/>
        </w:rPr>
        <w:t xml:space="preserve"> 35.1 履约保证金的金额、提交方式、退付的时间和条件详见 “投标人须知前附表”。中标人未按规定提交履约保证金的，视为拒绝与采购人签订合同。</w:t>
      </w:r>
    </w:p>
    <w:p w14:paraId="7FC7E756">
      <w:pPr>
        <w:pStyle w:val="7"/>
        <w:keepNext w:val="0"/>
        <w:keepLines w:val="0"/>
        <w:spacing w:before="0" w:after="0" w:line="400" w:lineRule="exact"/>
        <w:ind w:firstLine="316" w:firstLineChars="150"/>
        <w:rPr>
          <w:rFonts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b w:val="0"/>
          <w:color w:val="auto"/>
          <w:sz w:val="21"/>
          <w:szCs w:val="21"/>
          <w:highlight w:val="none"/>
        </w:rPr>
        <w:t>35.2在履约保证金退还日期前，若中标人的开户名称、开户银行、帐号有变动的，请以书面形式通知履约保证金收取单位，否则由此产生的后果由中标人自行承担。</w:t>
      </w:r>
    </w:p>
    <w:p w14:paraId="55DE6DA8">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36.签订合同</w:t>
      </w:r>
    </w:p>
    <w:p w14:paraId="447DA379">
      <w:pPr>
        <w:pStyle w:val="7"/>
        <w:keepNext w:val="0"/>
        <w:keepLines w:val="0"/>
        <w:spacing w:before="0" w:after="0" w:line="400" w:lineRule="exact"/>
        <w:ind w:firstLine="315" w:firstLineChars="150"/>
        <w:rPr>
          <w:rFonts w:ascii="宋体" w:hAnsi="宋体" w:cs="宋体"/>
          <w:b w:val="0"/>
          <w:color w:val="auto"/>
          <w:sz w:val="21"/>
          <w:szCs w:val="21"/>
          <w:highlight w:val="none"/>
        </w:rPr>
      </w:pPr>
      <w:bookmarkStart w:id="134" w:name="_40.1投标人接到中标通知书后，按须知前附表规定向采购人出示相关资格证"/>
      <w:bookmarkEnd w:id="134"/>
      <w:r>
        <w:rPr>
          <w:rFonts w:hint="eastAsia" w:ascii="宋体" w:hAnsi="宋体" w:cs="宋体"/>
          <w:b w:val="0"/>
          <w:color w:val="auto"/>
          <w:sz w:val="21"/>
          <w:szCs w:val="21"/>
          <w:highlight w:val="none"/>
        </w:rPr>
        <w:t xml:space="preserve"> 36.1投标人领取中标通知书（书面或电子）后，按“投标人须知前附表”规定向采购人出示相关证明材料，经采购人核验合格后方可签订采购合同（书面或电子）。如中标人为联合体的，联合体各方应当共同与采购人签订采购合同，就采购合同约定的事项对采购人承担连带责任。</w:t>
      </w:r>
    </w:p>
    <w:p w14:paraId="2EAFE590">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36.2签订合同时间：按中标通知书规定的时间与采购人签订合同（最长不能超过25日）。</w:t>
      </w:r>
    </w:p>
    <w:p w14:paraId="3C4E964F">
      <w:pPr>
        <w:pStyle w:val="7"/>
        <w:keepNext w:val="0"/>
        <w:keepLines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36.3中标人拒绝与采购人签订合同的，按照本须知正文第30.4条的规定执行。</w:t>
      </w:r>
    </w:p>
    <w:p w14:paraId="4921E570">
      <w:pPr>
        <w:pStyle w:val="7"/>
        <w:keepNext w:val="0"/>
        <w:keepLines w:val="0"/>
        <w:spacing w:before="0" w:after="0" w:line="400" w:lineRule="exact"/>
        <w:ind w:left="420" w:leftChars="200"/>
        <w:rPr>
          <w:rFonts w:ascii="宋体" w:hAnsi="宋体" w:cs="宋体"/>
          <w:color w:val="auto"/>
          <w:sz w:val="21"/>
          <w:szCs w:val="21"/>
          <w:highlight w:val="none"/>
        </w:rPr>
      </w:pPr>
      <w:bookmarkStart w:id="135" w:name="_41.政府采购合同公告"/>
      <w:bookmarkEnd w:id="135"/>
      <w:r>
        <w:rPr>
          <w:rFonts w:hint="eastAsia" w:ascii="宋体" w:hAnsi="宋体" w:cs="宋体"/>
          <w:color w:val="auto"/>
          <w:sz w:val="21"/>
          <w:szCs w:val="21"/>
          <w:highlight w:val="none"/>
        </w:rPr>
        <w:t>37.政府采购合同公告</w:t>
      </w:r>
    </w:p>
    <w:p w14:paraId="7FC6F273">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2B10400A">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38. 询问、质疑和投诉</w:t>
      </w:r>
    </w:p>
    <w:p w14:paraId="033D61F4">
      <w:pPr>
        <w:pStyle w:val="8"/>
        <w:spacing w:line="400" w:lineRule="exact"/>
        <w:rPr>
          <w:rFonts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693BDD90">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 38.2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3A8059C0">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（1）对可以质疑的招标文件提出质疑的，为收到招标文件之日或者招标文件公告期限届满之日；</w:t>
      </w:r>
    </w:p>
    <w:p w14:paraId="728EE18B">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（2）对采购过程提出质疑的，为各采购程序环节结束之日；</w:t>
      </w:r>
    </w:p>
    <w:p w14:paraId="3E481E8B">
      <w:pPr>
        <w:pStyle w:val="19"/>
        <w:snapToGrid w:val="0"/>
        <w:spacing w:line="400" w:lineRule="exact"/>
        <w:ind w:firstLine="420" w:firstLineChars="200"/>
        <w:rPr>
          <w:rFonts w:hAnsi="宋体" w:cs="宋体"/>
          <w:bCs/>
          <w:color w:val="auto"/>
          <w:szCs w:val="21"/>
          <w:highlight w:val="none"/>
        </w:rPr>
      </w:pPr>
      <w:r>
        <w:rPr>
          <w:rFonts w:hint="eastAsia" w:hAnsi="宋体" w:cs="宋体"/>
          <w:color w:val="auto"/>
          <w:szCs w:val="21"/>
          <w:highlight w:val="none"/>
        </w:rPr>
        <w:t>（3）对中标结果提出质疑的，为中标结果公告期限届满之日。</w:t>
      </w:r>
    </w:p>
    <w:p w14:paraId="5067E2A5">
      <w:pPr>
        <w:pStyle w:val="7"/>
        <w:keepNext w:val="0"/>
        <w:keepLines w:val="0"/>
        <w:spacing w:before="0" w:after="0" w:line="400" w:lineRule="exact"/>
        <w:ind w:firstLine="315" w:firstLineChars="15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38.3 </w:t>
      </w:r>
      <w:r>
        <w:rPr>
          <w:rFonts w:hint="eastAsia" w:ascii="宋体" w:hAnsi="宋体" w:cs="宋体"/>
          <w:color w:val="auto"/>
          <w:sz w:val="21"/>
          <w:szCs w:val="21"/>
          <w:highlight w:val="none"/>
        </w:rPr>
        <w:t>供应商提出质疑应当提交质疑函和必要的证明材料，针对同一采购程序环节的质疑必须在法定质疑期内一次性提出。质疑函应当包括下列内容（质疑函格式后附）：</w:t>
      </w:r>
    </w:p>
    <w:p w14:paraId="038321F4">
      <w:pPr>
        <w:pStyle w:val="19"/>
        <w:snapToGrid w:val="0"/>
        <w:spacing w:line="400" w:lineRule="exact"/>
        <w:ind w:firstLine="420" w:firstLineChars="200"/>
        <w:rPr>
          <w:rFonts w:hAnsi="宋体" w:cs="宋体"/>
          <w:bCs/>
          <w:color w:val="auto"/>
          <w:szCs w:val="21"/>
          <w:highlight w:val="none"/>
        </w:rPr>
      </w:pPr>
      <w:r>
        <w:rPr>
          <w:rFonts w:hint="eastAsia" w:hAnsi="宋体" w:cs="宋体"/>
          <w:bCs/>
          <w:color w:val="auto"/>
          <w:szCs w:val="21"/>
          <w:highlight w:val="none"/>
        </w:rPr>
        <w:t>（1）供应商的姓名或者名称、地址、邮编、联系人及联系电话；</w:t>
      </w:r>
    </w:p>
    <w:p w14:paraId="4A9565A1">
      <w:pPr>
        <w:pStyle w:val="19"/>
        <w:snapToGrid w:val="0"/>
        <w:spacing w:line="400" w:lineRule="exact"/>
        <w:ind w:firstLine="420" w:firstLineChars="200"/>
        <w:rPr>
          <w:rFonts w:hAnsi="宋体" w:cs="宋体"/>
          <w:bCs/>
          <w:color w:val="auto"/>
          <w:szCs w:val="21"/>
          <w:highlight w:val="none"/>
        </w:rPr>
      </w:pPr>
      <w:r>
        <w:rPr>
          <w:rFonts w:hint="eastAsia" w:hAnsi="宋体" w:cs="宋体"/>
          <w:bCs/>
          <w:color w:val="auto"/>
          <w:szCs w:val="21"/>
          <w:highlight w:val="none"/>
        </w:rPr>
        <w:t>（2）质疑项目的名称、编号；</w:t>
      </w:r>
    </w:p>
    <w:p w14:paraId="2D0CB17B">
      <w:pPr>
        <w:pStyle w:val="19"/>
        <w:snapToGrid w:val="0"/>
        <w:spacing w:line="400" w:lineRule="exact"/>
        <w:ind w:firstLine="420" w:firstLineChars="200"/>
        <w:rPr>
          <w:rFonts w:hAnsi="宋体" w:cs="宋体"/>
          <w:bCs/>
          <w:color w:val="auto"/>
          <w:szCs w:val="21"/>
          <w:highlight w:val="none"/>
        </w:rPr>
      </w:pPr>
      <w:r>
        <w:rPr>
          <w:rFonts w:hint="eastAsia" w:hAnsi="宋体" w:cs="宋体"/>
          <w:bCs/>
          <w:color w:val="auto"/>
          <w:szCs w:val="21"/>
          <w:highlight w:val="none"/>
        </w:rPr>
        <w:t>（3）具体、明确的质疑事项和与质疑事项相关的请求；</w:t>
      </w:r>
    </w:p>
    <w:p w14:paraId="3C845FAB">
      <w:pPr>
        <w:pStyle w:val="19"/>
        <w:snapToGrid w:val="0"/>
        <w:spacing w:line="400" w:lineRule="exact"/>
        <w:ind w:firstLine="420" w:firstLineChars="200"/>
        <w:rPr>
          <w:rFonts w:hAnsi="宋体" w:cs="宋体"/>
          <w:bCs/>
          <w:color w:val="auto"/>
          <w:szCs w:val="21"/>
          <w:highlight w:val="none"/>
        </w:rPr>
      </w:pPr>
      <w:r>
        <w:rPr>
          <w:rFonts w:hint="eastAsia" w:hAnsi="宋体" w:cs="宋体"/>
          <w:bCs/>
          <w:color w:val="auto"/>
          <w:szCs w:val="21"/>
          <w:highlight w:val="none"/>
        </w:rPr>
        <w:t>（4）事实依据；</w:t>
      </w:r>
    </w:p>
    <w:p w14:paraId="70F0AD7E">
      <w:pPr>
        <w:pStyle w:val="19"/>
        <w:snapToGrid w:val="0"/>
        <w:spacing w:line="400" w:lineRule="exact"/>
        <w:ind w:firstLine="420" w:firstLineChars="200"/>
        <w:rPr>
          <w:rFonts w:hAnsi="宋体" w:cs="宋体"/>
          <w:bCs/>
          <w:color w:val="auto"/>
          <w:szCs w:val="21"/>
          <w:highlight w:val="none"/>
        </w:rPr>
      </w:pPr>
      <w:r>
        <w:rPr>
          <w:rFonts w:hint="eastAsia" w:hAnsi="宋体" w:cs="宋体"/>
          <w:bCs/>
          <w:color w:val="auto"/>
          <w:szCs w:val="21"/>
          <w:highlight w:val="none"/>
        </w:rPr>
        <w:t>（5）必要的法律依据；</w:t>
      </w:r>
    </w:p>
    <w:p w14:paraId="69D49F29">
      <w:pPr>
        <w:pStyle w:val="19"/>
        <w:snapToGrid w:val="0"/>
        <w:spacing w:line="400" w:lineRule="exact"/>
        <w:ind w:firstLine="420" w:firstLineChars="200"/>
        <w:rPr>
          <w:rFonts w:hAnsi="宋体" w:cs="宋体"/>
          <w:bCs/>
          <w:color w:val="auto"/>
          <w:szCs w:val="21"/>
          <w:highlight w:val="none"/>
        </w:rPr>
      </w:pPr>
      <w:r>
        <w:rPr>
          <w:rFonts w:hint="eastAsia" w:hAnsi="宋体" w:cs="宋体"/>
          <w:bCs/>
          <w:color w:val="auto"/>
          <w:szCs w:val="21"/>
          <w:highlight w:val="none"/>
        </w:rPr>
        <w:t>（6）提出质疑的日期。</w:t>
      </w:r>
    </w:p>
    <w:p w14:paraId="556EF3F4">
      <w:pPr>
        <w:pStyle w:val="19"/>
        <w:snapToGrid w:val="0"/>
        <w:spacing w:line="400" w:lineRule="exact"/>
        <w:ind w:firstLine="420" w:firstLineChars="200"/>
        <w:rPr>
          <w:rFonts w:hAnsi="宋体" w:cs="宋体"/>
          <w:bCs/>
          <w:color w:val="auto"/>
          <w:szCs w:val="21"/>
          <w:highlight w:val="none"/>
        </w:rPr>
      </w:pPr>
      <w:r>
        <w:rPr>
          <w:rFonts w:hint="eastAsia" w:hAnsi="宋体" w:cs="宋体"/>
          <w:bCs/>
          <w:color w:val="auto"/>
          <w:szCs w:val="21"/>
          <w:highlight w:val="none"/>
        </w:rPr>
        <w:t>供应商为自然人的，应当由本人签字；供应商为法人或者其他组织的，应当由法定代表人、主要负责人，或者其委托代理人签字或者盖章，并加盖公章。</w:t>
      </w:r>
    </w:p>
    <w:p w14:paraId="1E9179EC">
      <w:pPr>
        <w:pStyle w:val="7"/>
        <w:keepNext w:val="0"/>
        <w:keepLines w:val="0"/>
        <w:snapToGrid w:val="0"/>
        <w:spacing w:before="0" w:after="0" w:line="400" w:lineRule="exact"/>
        <w:ind w:firstLine="420" w:firstLineChars="200"/>
        <w:rPr>
          <w:rFonts w:ascii="宋体" w:hAnsi="宋体" w:cs="宋体"/>
          <w:b w:val="0"/>
          <w:color w:val="auto"/>
          <w:sz w:val="21"/>
          <w:szCs w:val="21"/>
          <w:highlight w:val="none"/>
        </w:rPr>
      </w:pPr>
      <w:r>
        <w:rPr>
          <w:rFonts w:hint="eastAsia" w:ascii="宋体" w:hAnsi="宋体" w:cs="宋体"/>
          <w:b w:val="0"/>
          <w:color w:val="auto"/>
          <w:sz w:val="21"/>
          <w:szCs w:val="21"/>
          <w:highlight w:val="none"/>
        </w:rPr>
        <w:t>38.4采购人、采购代理机构认为供应商质疑不成立，或者成立但未对中标结果构成影响的，继续开展采购活动；认为供应商质疑成立且影响或者可能影响中标结果的，按照下列情况处理：</w:t>
      </w:r>
    </w:p>
    <w:p w14:paraId="19DDB0AE">
      <w:pPr>
        <w:pStyle w:val="19"/>
        <w:snapToGrid w:val="0"/>
        <w:spacing w:line="400" w:lineRule="exact"/>
        <w:rPr>
          <w:rFonts w:hAnsi="宋体" w:cs="宋体"/>
          <w:bCs/>
          <w:color w:val="auto"/>
          <w:szCs w:val="21"/>
          <w:highlight w:val="none"/>
        </w:rPr>
      </w:pPr>
      <w:r>
        <w:rPr>
          <w:rFonts w:hint="eastAsia" w:hAnsi="宋体" w:cs="宋体"/>
          <w:bCs/>
          <w:color w:val="auto"/>
          <w:szCs w:val="21"/>
          <w:highlight w:val="none"/>
        </w:rPr>
        <w:t>　　（1）对招标文件提出的质疑，依法通过澄清或者修改可以继续开展采购活动的，澄清或者修改招标文件后继续开展采购活动；否则应当修改招标文件后重新开展采购活动。</w:t>
      </w:r>
    </w:p>
    <w:p w14:paraId="588225CB">
      <w:pPr>
        <w:pStyle w:val="19"/>
        <w:snapToGrid w:val="0"/>
        <w:spacing w:line="400" w:lineRule="exact"/>
        <w:rPr>
          <w:rFonts w:hAnsi="宋体" w:cs="宋体"/>
          <w:bCs/>
          <w:color w:val="auto"/>
          <w:szCs w:val="21"/>
          <w:highlight w:val="none"/>
        </w:rPr>
      </w:pPr>
      <w:r>
        <w:rPr>
          <w:rFonts w:hint="eastAsia" w:hAnsi="宋体" w:cs="宋体"/>
          <w:bCs/>
          <w:color w:val="auto"/>
          <w:szCs w:val="21"/>
          <w:highlight w:val="none"/>
        </w:rPr>
        <w:t>　　（2）对采购过程、中标结果提出的质疑，合格供应商符合法定数量时，可以从合格的中标候选人中另行确定中标供应商的，应当依法另行确定中标供应商；否则应当重新开展采购活动。</w:t>
      </w:r>
    </w:p>
    <w:p w14:paraId="403C5A03">
      <w:pPr>
        <w:pStyle w:val="19"/>
        <w:snapToGrid w:val="0"/>
        <w:spacing w:line="400" w:lineRule="exact"/>
        <w:ind w:firstLine="420"/>
        <w:rPr>
          <w:rFonts w:hAnsi="宋体" w:cs="宋体"/>
          <w:bCs/>
          <w:color w:val="auto"/>
          <w:szCs w:val="21"/>
          <w:highlight w:val="none"/>
        </w:rPr>
      </w:pPr>
      <w:r>
        <w:rPr>
          <w:rFonts w:hint="eastAsia" w:hAnsi="宋体" w:cs="宋体"/>
          <w:bCs/>
          <w:color w:val="auto"/>
          <w:szCs w:val="21"/>
          <w:highlight w:val="none"/>
        </w:rPr>
        <w:t>质疑答复导致中标结果改变的，采购人或者采购代理机构应当将有关情况书面报告本级财政部门。</w:t>
      </w:r>
    </w:p>
    <w:p w14:paraId="030B5401">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6" w:name="_八、其他事项"/>
      <w:bookmarkEnd w:id="136"/>
    </w:p>
    <w:p w14:paraId="0E8DDFE2">
      <w:pPr>
        <w:pStyle w:val="5"/>
        <w:keepNext w:val="0"/>
        <w:keepLines w:val="0"/>
        <w:spacing w:line="400" w:lineRule="exact"/>
        <w:ind w:firstLine="422"/>
        <w:jc w:val="center"/>
        <w:rPr>
          <w:rFonts w:ascii="宋体" w:hAnsi="宋体" w:cs="宋体"/>
          <w:color w:val="auto"/>
          <w:sz w:val="21"/>
          <w:szCs w:val="21"/>
          <w:highlight w:val="none"/>
        </w:rPr>
      </w:pPr>
      <w:r>
        <w:rPr>
          <w:rFonts w:hint="eastAsia" w:ascii="宋体" w:hAnsi="宋体" w:cs="宋体"/>
          <w:color w:val="auto"/>
          <w:sz w:val="21"/>
          <w:szCs w:val="21"/>
          <w:highlight w:val="none"/>
        </w:rPr>
        <w:t>八、其他事项</w:t>
      </w:r>
    </w:p>
    <w:p w14:paraId="0DB32F07">
      <w:pPr>
        <w:pStyle w:val="7"/>
        <w:keepNext w:val="0"/>
        <w:keepLines w:val="0"/>
        <w:spacing w:before="0" w:after="0" w:line="400" w:lineRule="exact"/>
        <w:ind w:left="420" w:leftChars="200"/>
        <w:rPr>
          <w:rFonts w:ascii="宋体" w:hAnsi="宋体" w:cs="宋体"/>
          <w:color w:val="auto"/>
          <w:sz w:val="21"/>
          <w:szCs w:val="21"/>
          <w:highlight w:val="none"/>
        </w:rPr>
      </w:pPr>
      <w:bookmarkStart w:id="137" w:name="_42.代理服务费"/>
      <w:bookmarkEnd w:id="137"/>
      <w:r>
        <w:rPr>
          <w:rFonts w:hint="eastAsia" w:ascii="宋体" w:hAnsi="宋体" w:cs="宋体"/>
          <w:color w:val="auto"/>
          <w:sz w:val="21"/>
          <w:szCs w:val="21"/>
          <w:highlight w:val="none"/>
        </w:rPr>
        <w:t>39.代理服务费</w:t>
      </w:r>
    </w:p>
    <w:p w14:paraId="0E665A4B">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39.1代理服务收取标准及缴费账户详见“投标人须知前附表”，投标人为联合体的，可以由联合体中的一方或者多方共同交纳代理服务费。</w:t>
      </w:r>
    </w:p>
    <w:p w14:paraId="74A24B4E">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39.2代理服务收费标准：</w:t>
      </w:r>
    </w:p>
    <w:tbl>
      <w:tblPr>
        <w:tblStyle w:val="3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327F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4E8CB4E9">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费率</w:t>
            </w:r>
          </w:p>
          <w:p w14:paraId="375A5AE3">
            <w:pPr>
              <w:spacing w:line="400" w:lineRule="exact"/>
              <w:rPr>
                <w:rFonts w:ascii="宋体" w:hAnsi="宋体" w:cs="宋体"/>
                <w:color w:val="auto"/>
                <w:szCs w:val="21"/>
                <w:highlight w:val="none"/>
              </w:rPr>
            </w:pPr>
            <w:r>
              <w:rPr>
                <w:rFonts w:hint="eastAsia" w:ascii="宋体" w:hAnsi="宋体" w:cs="宋体"/>
                <w:color w:val="auto"/>
                <w:szCs w:val="21"/>
                <w:highlight w:val="none"/>
              </w:rPr>
              <w:t>中标金额</w:t>
            </w:r>
          </w:p>
        </w:tc>
        <w:tc>
          <w:tcPr>
            <w:tcW w:w="1659" w:type="dxa"/>
            <w:vAlign w:val="center"/>
          </w:tcPr>
          <w:p w14:paraId="1F0CC794">
            <w:pPr>
              <w:spacing w:line="400" w:lineRule="exact"/>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货物招标</w:t>
            </w:r>
          </w:p>
        </w:tc>
        <w:tc>
          <w:tcPr>
            <w:tcW w:w="1687" w:type="dxa"/>
            <w:vAlign w:val="center"/>
          </w:tcPr>
          <w:p w14:paraId="6A927FF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服务招标</w:t>
            </w:r>
          </w:p>
        </w:tc>
        <w:tc>
          <w:tcPr>
            <w:tcW w:w="1659" w:type="dxa"/>
            <w:vAlign w:val="center"/>
          </w:tcPr>
          <w:p w14:paraId="3AEC4EA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工程招标</w:t>
            </w:r>
          </w:p>
        </w:tc>
      </w:tr>
      <w:tr w14:paraId="1117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AC0964B">
            <w:pPr>
              <w:spacing w:line="400" w:lineRule="exact"/>
              <w:rPr>
                <w:rFonts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Pr>
          <w:p w14:paraId="67280D05">
            <w:pPr>
              <w:spacing w:line="400" w:lineRule="exact"/>
              <w:rPr>
                <w:rFonts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687" w:type="dxa"/>
          </w:tcPr>
          <w:p w14:paraId="2A36892E">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1.5%</w:t>
            </w:r>
          </w:p>
        </w:tc>
        <w:tc>
          <w:tcPr>
            <w:tcW w:w="1659" w:type="dxa"/>
          </w:tcPr>
          <w:p w14:paraId="734B72A8">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59E0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B57F2CC">
            <w:pPr>
              <w:spacing w:line="400" w:lineRule="exact"/>
              <w:rPr>
                <w:rFonts w:ascii="宋体" w:hAnsi="宋体" w:cs="宋体"/>
                <w:color w:val="auto"/>
                <w:szCs w:val="21"/>
                <w:highlight w:val="none"/>
              </w:rPr>
            </w:pPr>
            <w:r>
              <w:rPr>
                <w:rFonts w:hint="eastAsia" w:ascii="宋体" w:hAnsi="宋体" w:cs="宋体"/>
                <w:color w:val="auto"/>
                <w:szCs w:val="21"/>
                <w:highlight w:val="none"/>
              </w:rPr>
              <w:t>100～500万元</w:t>
            </w:r>
          </w:p>
        </w:tc>
        <w:tc>
          <w:tcPr>
            <w:tcW w:w="1659" w:type="dxa"/>
          </w:tcPr>
          <w:p w14:paraId="372EC25A">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687" w:type="dxa"/>
          </w:tcPr>
          <w:p w14:paraId="15105ECF">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0.8%</w:t>
            </w:r>
          </w:p>
        </w:tc>
        <w:tc>
          <w:tcPr>
            <w:tcW w:w="1659" w:type="dxa"/>
          </w:tcPr>
          <w:p w14:paraId="07CF0A16">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7303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DC74007">
            <w:pPr>
              <w:spacing w:line="400" w:lineRule="exact"/>
              <w:rPr>
                <w:rFonts w:ascii="宋体" w:hAnsi="宋体" w:cs="宋体"/>
                <w:color w:val="auto"/>
                <w:szCs w:val="21"/>
                <w:highlight w:val="none"/>
              </w:rPr>
            </w:pPr>
            <w:r>
              <w:rPr>
                <w:rFonts w:hint="eastAsia" w:ascii="宋体" w:hAnsi="宋体" w:cs="宋体"/>
                <w:color w:val="auto"/>
                <w:szCs w:val="21"/>
                <w:highlight w:val="none"/>
              </w:rPr>
              <w:t>500～1000万元</w:t>
            </w:r>
          </w:p>
        </w:tc>
        <w:tc>
          <w:tcPr>
            <w:tcW w:w="1659" w:type="dxa"/>
          </w:tcPr>
          <w:p w14:paraId="46111D46">
            <w:pPr>
              <w:spacing w:line="400" w:lineRule="exact"/>
              <w:rPr>
                <w:rFonts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687" w:type="dxa"/>
          </w:tcPr>
          <w:p w14:paraId="41E14441">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0.45%</w:t>
            </w:r>
          </w:p>
        </w:tc>
        <w:tc>
          <w:tcPr>
            <w:tcW w:w="1659" w:type="dxa"/>
          </w:tcPr>
          <w:p w14:paraId="584C4693">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0.55%</w:t>
            </w:r>
          </w:p>
        </w:tc>
      </w:tr>
      <w:tr w14:paraId="547D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9BB56F1">
            <w:pPr>
              <w:spacing w:line="400" w:lineRule="exact"/>
              <w:rPr>
                <w:rFonts w:ascii="宋体" w:hAnsi="宋体" w:cs="宋体"/>
                <w:color w:val="auto"/>
                <w:szCs w:val="21"/>
                <w:highlight w:val="none"/>
              </w:rPr>
            </w:pPr>
            <w:r>
              <w:rPr>
                <w:rFonts w:hint="eastAsia" w:ascii="宋体" w:hAnsi="宋体" w:cs="宋体"/>
                <w:color w:val="auto"/>
                <w:szCs w:val="21"/>
                <w:highlight w:val="none"/>
              </w:rPr>
              <w:t>1000～5000万元</w:t>
            </w:r>
          </w:p>
        </w:tc>
        <w:tc>
          <w:tcPr>
            <w:tcW w:w="1659" w:type="dxa"/>
          </w:tcPr>
          <w:p w14:paraId="36113405">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687" w:type="dxa"/>
          </w:tcPr>
          <w:p w14:paraId="48A6FA27">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0.25%</w:t>
            </w:r>
          </w:p>
        </w:tc>
        <w:tc>
          <w:tcPr>
            <w:tcW w:w="1659" w:type="dxa"/>
          </w:tcPr>
          <w:p w14:paraId="46CD4FB8">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5CF7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14617C4">
            <w:pPr>
              <w:spacing w:line="400" w:lineRule="exact"/>
              <w:rPr>
                <w:rFonts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Pr>
          <w:p w14:paraId="050DFA82">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687" w:type="dxa"/>
          </w:tcPr>
          <w:p w14:paraId="784BD2EE">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0.1%</w:t>
            </w:r>
          </w:p>
        </w:tc>
        <w:tc>
          <w:tcPr>
            <w:tcW w:w="1659" w:type="dxa"/>
          </w:tcPr>
          <w:p w14:paraId="77362AF2">
            <w:pPr>
              <w:spacing w:line="400" w:lineRule="exact"/>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w:t>
            </w:r>
          </w:p>
        </w:tc>
      </w:tr>
      <w:tr w14:paraId="6918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66A4884">
            <w:pPr>
              <w:spacing w:line="400" w:lineRule="exact"/>
              <w:rPr>
                <w:rFonts w:ascii="宋体" w:hAnsi="宋体" w:cs="宋体"/>
                <w:color w:val="auto"/>
                <w:szCs w:val="21"/>
                <w:highlight w:val="none"/>
              </w:rPr>
            </w:pPr>
            <w:r>
              <w:rPr>
                <w:rFonts w:hint="eastAsia" w:ascii="宋体" w:hAnsi="宋体" w:cs="宋体"/>
                <w:color w:val="auto"/>
                <w:szCs w:val="21"/>
                <w:highlight w:val="none"/>
              </w:rPr>
              <w:t>1～5亿元</w:t>
            </w:r>
          </w:p>
        </w:tc>
        <w:tc>
          <w:tcPr>
            <w:tcW w:w="1659" w:type="dxa"/>
          </w:tcPr>
          <w:p w14:paraId="3ACEAA07">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0.05%</w:t>
            </w:r>
          </w:p>
        </w:tc>
        <w:tc>
          <w:tcPr>
            <w:tcW w:w="1687" w:type="dxa"/>
          </w:tcPr>
          <w:p w14:paraId="5B417C11">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0.05%</w:t>
            </w:r>
          </w:p>
        </w:tc>
        <w:tc>
          <w:tcPr>
            <w:tcW w:w="1659" w:type="dxa"/>
          </w:tcPr>
          <w:p w14:paraId="1E5F5609">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0.05%</w:t>
            </w:r>
          </w:p>
        </w:tc>
      </w:tr>
      <w:tr w14:paraId="6D51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FED8EB3">
            <w:pPr>
              <w:spacing w:line="400" w:lineRule="exact"/>
              <w:rPr>
                <w:rFonts w:ascii="宋体" w:hAnsi="宋体" w:cs="宋体"/>
                <w:color w:val="auto"/>
                <w:szCs w:val="21"/>
                <w:highlight w:val="none"/>
              </w:rPr>
            </w:pPr>
            <w:r>
              <w:rPr>
                <w:rFonts w:hint="eastAsia" w:ascii="宋体" w:hAnsi="宋体" w:cs="宋体"/>
                <w:color w:val="auto"/>
                <w:szCs w:val="21"/>
                <w:highlight w:val="none"/>
              </w:rPr>
              <w:t>5～10亿元</w:t>
            </w:r>
          </w:p>
        </w:tc>
        <w:tc>
          <w:tcPr>
            <w:tcW w:w="1659" w:type="dxa"/>
          </w:tcPr>
          <w:p w14:paraId="0C02DEE5">
            <w:pPr>
              <w:spacing w:line="400" w:lineRule="exact"/>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c>
          <w:tcPr>
            <w:tcW w:w="1687" w:type="dxa"/>
          </w:tcPr>
          <w:p w14:paraId="1A1C99FE">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0.035%</w:t>
            </w:r>
          </w:p>
        </w:tc>
        <w:tc>
          <w:tcPr>
            <w:tcW w:w="1659" w:type="dxa"/>
          </w:tcPr>
          <w:p w14:paraId="6D976E0C">
            <w:pPr>
              <w:spacing w:line="400" w:lineRule="exact"/>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r>
      <w:tr w14:paraId="67D5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F06AA21">
            <w:pPr>
              <w:spacing w:line="400" w:lineRule="exact"/>
              <w:rPr>
                <w:rFonts w:ascii="宋体" w:hAnsi="宋体" w:cs="宋体"/>
                <w:color w:val="auto"/>
                <w:szCs w:val="21"/>
                <w:highlight w:val="none"/>
              </w:rPr>
            </w:pPr>
            <w:r>
              <w:rPr>
                <w:rFonts w:hint="eastAsia" w:ascii="宋体" w:hAnsi="宋体" w:cs="宋体"/>
                <w:color w:val="auto"/>
                <w:szCs w:val="21"/>
                <w:highlight w:val="none"/>
              </w:rPr>
              <w:t>10～50亿元</w:t>
            </w:r>
          </w:p>
        </w:tc>
        <w:tc>
          <w:tcPr>
            <w:tcW w:w="1659" w:type="dxa"/>
          </w:tcPr>
          <w:p w14:paraId="71311E32">
            <w:pPr>
              <w:spacing w:line="400" w:lineRule="exact"/>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c>
          <w:tcPr>
            <w:tcW w:w="1687" w:type="dxa"/>
          </w:tcPr>
          <w:p w14:paraId="781699AE">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0.008%</w:t>
            </w:r>
          </w:p>
        </w:tc>
        <w:tc>
          <w:tcPr>
            <w:tcW w:w="1659" w:type="dxa"/>
          </w:tcPr>
          <w:p w14:paraId="6CD2A6BC">
            <w:pPr>
              <w:spacing w:line="400" w:lineRule="exact"/>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r>
      <w:tr w14:paraId="1A0C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224E784">
            <w:pPr>
              <w:spacing w:line="400" w:lineRule="exact"/>
              <w:rPr>
                <w:rFonts w:ascii="宋体" w:hAnsi="宋体" w:cs="宋体"/>
                <w:color w:val="auto"/>
                <w:szCs w:val="21"/>
                <w:highlight w:val="none"/>
              </w:rPr>
            </w:pPr>
            <w:r>
              <w:rPr>
                <w:rFonts w:hint="eastAsia" w:ascii="宋体" w:hAnsi="宋体" w:cs="宋体"/>
                <w:color w:val="auto"/>
                <w:szCs w:val="21"/>
                <w:highlight w:val="none"/>
              </w:rPr>
              <w:t>50～100亿元</w:t>
            </w:r>
          </w:p>
        </w:tc>
        <w:tc>
          <w:tcPr>
            <w:tcW w:w="1659" w:type="dxa"/>
          </w:tcPr>
          <w:p w14:paraId="6AA3614A">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0.006%</w:t>
            </w:r>
          </w:p>
        </w:tc>
        <w:tc>
          <w:tcPr>
            <w:tcW w:w="1687" w:type="dxa"/>
          </w:tcPr>
          <w:p w14:paraId="1378D953">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0.006%</w:t>
            </w:r>
          </w:p>
        </w:tc>
        <w:tc>
          <w:tcPr>
            <w:tcW w:w="1659" w:type="dxa"/>
          </w:tcPr>
          <w:p w14:paraId="32B27080">
            <w:pPr>
              <w:spacing w:line="400" w:lineRule="exact"/>
              <w:ind w:firstLine="105" w:firstLineChars="50"/>
              <w:rPr>
                <w:rFonts w:ascii="宋体" w:hAnsi="宋体" w:cs="宋体"/>
                <w:color w:val="auto"/>
                <w:szCs w:val="21"/>
                <w:highlight w:val="none"/>
              </w:rPr>
            </w:pPr>
            <w:r>
              <w:rPr>
                <w:rFonts w:hint="eastAsia" w:ascii="宋体" w:hAnsi="宋体" w:cs="宋体"/>
                <w:color w:val="auto"/>
                <w:szCs w:val="21"/>
                <w:highlight w:val="none"/>
              </w:rPr>
              <w:t>0.006%</w:t>
            </w:r>
          </w:p>
        </w:tc>
      </w:tr>
      <w:tr w14:paraId="729D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34A68AD">
            <w:pPr>
              <w:spacing w:line="400" w:lineRule="exact"/>
              <w:rPr>
                <w:rFonts w:ascii="宋体" w:hAnsi="宋体" w:cs="宋体"/>
                <w:color w:val="auto"/>
                <w:szCs w:val="21"/>
                <w:highlight w:val="none"/>
              </w:rPr>
            </w:pPr>
            <w:r>
              <w:rPr>
                <w:rFonts w:hint="eastAsia" w:ascii="宋体" w:hAnsi="宋体" w:cs="宋体"/>
                <w:color w:val="auto"/>
                <w:szCs w:val="21"/>
                <w:highlight w:val="none"/>
              </w:rPr>
              <w:t>100亿以上</w:t>
            </w:r>
          </w:p>
        </w:tc>
        <w:tc>
          <w:tcPr>
            <w:tcW w:w="1659" w:type="dxa"/>
          </w:tcPr>
          <w:p w14:paraId="198DABC6">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0.004%</w:t>
            </w:r>
          </w:p>
        </w:tc>
        <w:tc>
          <w:tcPr>
            <w:tcW w:w="1687" w:type="dxa"/>
          </w:tcPr>
          <w:p w14:paraId="58DB48C0">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0.004%</w:t>
            </w:r>
          </w:p>
        </w:tc>
        <w:tc>
          <w:tcPr>
            <w:tcW w:w="1659" w:type="dxa"/>
          </w:tcPr>
          <w:p w14:paraId="1A20367F">
            <w:pPr>
              <w:spacing w:line="400" w:lineRule="exact"/>
              <w:ind w:firstLine="105" w:firstLineChars="50"/>
              <w:rPr>
                <w:rFonts w:ascii="宋体" w:hAnsi="宋体" w:cs="宋体"/>
                <w:color w:val="auto"/>
                <w:szCs w:val="21"/>
                <w:highlight w:val="none"/>
              </w:rPr>
            </w:pPr>
            <w:r>
              <w:rPr>
                <w:rFonts w:hint="eastAsia" w:ascii="宋体" w:hAnsi="宋体" w:cs="宋体"/>
                <w:color w:val="auto"/>
                <w:szCs w:val="21"/>
                <w:highlight w:val="none"/>
              </w:rPr>
              <w:t>0.004%</w:t>
            </w:r>
          </w:p>
        </w:tc>
      </w:tr>
    </w:tbl>
    <w:p w14:paraId="300B7427">
      <w:pPr>
        <w:spacing w:line="400" w:lineRule="exact"/>
        <w:ind w:firstLine="420" w:firstLineChars="200"/>
        <w:rPr>
          <w:rFonts w:ascii="宋体" w:hAnsi="宋体" w:cs="宋体"/>
          <w:color w:val="auto"/>
          <w:szCs w:val="21"/>
          <w:highlight w:val="none"/>
        </w:rPr>
      </w:pPr>
    </w:p>
    <w:p w14:paraId="03C89BD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注: </w:t>
      </w:r>
    </w:p>
    <w:p w14:paraId="3596B0D1">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14:paraId="37FB027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（2）采购代理收费按差额定率累进法计算。</w:t>
      </w:r>
    </w:p>
    <w:p w14:paraId="26EB83F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例如：某服务采购代理业务中标金额或者暂定价为200万元，计算采购代理收费额如下：</w:t>
      </w:r>
    </w:p>
    <w:p w14:paraId="59C5A52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100 万元×l.5 %＝ 1.5 万元</w:t>
      </w:r>
    </w:p>
    <w:p w14:paraId="06A7C24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200 － 100 ）万元 ×0.8%＝0.8万元</w:t>
      </w:r>
    </w:p>
    <w:p w14:paraId="3F61FA61">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合计收费＝ 1.5+0.8＝ 2.3（万元）</w:t>
      </w:r>
    </w:p>
    <w:p w14:paraId="5D15433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32.9 代理服务费交纳银行帐号信息</w:t>
      </w:r>
    </w:p>
    <w:p w14:paraId="514FFDD5">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账户名称：广西建设工程机电设备招标中心有限公司</w:t>
      </w:r>
    </w:p>
    <w:p w14:paraId="318F0FA2">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 xml:space="preserve">开户银行：招商银行南宁分行营业部 </w:t>
      </w:r>
    </w:p>
    <w:p w14:paraId="30ACE037">
      <w:pPr>
        <w:pStyle w:val="19"/>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银行账号： 771901423310201</w:t>
      </w:r>
    </w:p>
    <w:p w14:paraId="24AFC3A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开户行行号：308611000032</w:t>
      </w:r>
    </w:p>
    <w:p w14:paraId="3266A4F4">
      <w:pPr>
        <w:pStyle w:val="7"/>
        <w:keepNext w:val="0"/>
        <w:keepLines w:val="0"/>
        <w:spacing w:before="0" w:after="0" w:line="400" w:lineRule="exact"/>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40. 需要补充的其他内容</w:t>
      </w:r>
    </w:p>
    <w:p w14:paraId="49BFE3CD">
      <w:pPr>
        <w:pStyle w:val="19"/>
        <w:spacing w:line="400" w:lineRule="exact"/>
        <w:ind w:firstLine="420" w:firstLineChars="200"/>
        <w:contextualSpacing/>
        <w:rPr>
          <w:rFonts w:hAnsi="宋体" w:cs="宋体"/>
          <w:color w:val="auto"/>
          <w:szCs w:val="21"/>
          <w:highlight w:val="none"/>
        </w:rPr>
      </w:pPr>
      <w:r>
        <w:rPr>
          <w:rFonts w:hint="eastAsia" w:hAnsi="宋体" w:cs="宋体"/>
          <w:color w:val="auto"/>
          <w:szCs w:val="21"/>
          <w:highlight w:val="none"/>
        </w:rPr>
        <w:t>40.1本招标文件解释规则详见“投标人须知前附表”。</w:t>
      </w:r>
    </w:p>
    <w:p w14:paraId="2F3CB320">
      <w:pPr>
        <w:pStyle w:val="19"/>
        <w:spacing w:line="400" w:lineRule="exact"/>
        <w:ind w:firstLine="420" w:firstLineChars="200"/>
        <w:contextualSpacing/>
        <w:rPr>
          <w:rFonts w:hAnsi="宋体" w:cs="宋体"/>
          <w:color w:val="auto"/>
          <w:szCs w:val="21"/>
          <w:highlight w:val="none"/>
        </w:rPr>
      </w:pPr>
      <w:r>
        <w:rPr>
          <w:rFonts w:hint="eastAsia" w:hAnsi="宋体" w:cs="宋体"/>
          <w:color w:val="auto"/>
          <w:szCs w:val="21"/>
          <w:highlight w:val="none"/>
        </w:rPr>
        <w:t>40.2 其他事项详见“投标人须知前附表”。</w:t>
      </w:r>
    </w:p>
    <w:p w14:paraId="7E02A57E">
      <w:pPr>
        <w:pStyle w:val="19"/>
        <w:spacing w:line="400" w:lineRule="exact"/>
        <w:ind w:firstLine="420" w:firstLineChars="200"/>
        <w:contextualSpacing/>
        <w:rPr>
          <w:rFonts w:hAnsi="宋体" w:cs="宋体"/>
          <w:color w:val="auto"/>
          <w:szCs w:val="21"/>
          <w:highlight w:val="none"/>
        </w:rPr>
      </w:pPr>
      <w:r>
        <w:rPr>
          <w:rFonts w:hint="eastAsia" w:hAnsi="宋体" w:cs="宋体"/>
          <w:color w:val="auto"/>
          <w:szCs w:val="21"/>
          <w:highlight w:val="none"/>
        </w:rPr>
        <w:t>40.3</w:t>
      </w:r>
      <w:bookmarkStart w:id="138" w:name="_Hlk65857140"/>
      <w:r>
        <w:rPr>
          <w:rFonts w:hint="eastAsia" w:hAnsi="宋体" w:cs="宋体"/>
          <w:color w:val="auto"/>
          <w:szCs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7AD5E04A">
      <w:pPr>
        <w:pStyle w:val="19"/>
        <w:spacing w:line="400" w:lineRule="exact"/>
        <w:ind w:firstLine="420" w:firstLineChars="200"/>
        <w:contextualSpacing/>
        <w:rPr>
          <w:rFonts w:hAnsi="宋体" w:cs="宋体"/>
          <w:color w:val="auto"/>
          <w:szCs w:val="21"/>
          <w:highlight w:val="none"/>
        </w:rPr>
      </w:pPr>
      <w:r>
        <w:rPr>
          <w:rFonts w:hint="eastAsia" w:hAnsi="宋体" w:cs="宋体"/>
          <w:color w:val="auto"/>
          <w:szCs w:val="21"/>
          <w:highlight w:val="none"/>
        </w:rPr>
        <w:t>（1）在货物采购项目中，货物由中小企业制造，即货物由中小企业生产且使用该中小企业商号或者注册商标，不对其中涉及的工程承建商和服务的承接商作出要求；</w:t>
      </w:r>
    </w:p>
    <w:p w14:paraId="27B51A81">
      <w:pPr>
        <w:pStyle w:val="19"/>
        <w:spacing w:line="400" w:lineRule="exact"/>
        <w:ind w:firstLine="420" w:firstLineChars="200"/>
        <w:contextualSpacing/>
        <w:rPr>
          <w:rFonts w:hAnsi="宋体" w:cs="宋体"/>
          <w:color w:val="auto"/>
          <w:szCs w:val="21"/>
          <w:highlight w:val="none"/>
        </w:rPr>
      </w:pPr>
      <w:r>
        <w:rPr>
          <w:rFonts w:hint="eastAsia" w:hAnsi="宋体" w:cs="宋体"/>
          <w:color w:val="auto"/>
          <w:szCs w:val="21"/>
          <w:highlight w:val="none"/>
        </w:rPr>
        <w:t>（2）在工程采购项目中，工程由中小企业承建，即工程施工单位为中小企业，不对其中涉及的货物的制造商和服务的承接商作出要求；</w:t>
      </w:r>
    </w:p>
    <w:p w14:paraId="69FF4A24">
      <w:pPr>
        <w:pStyle w:val="19"/>
        <w:spacing w:line="400" w:lineRule="exact"/>
        <w:ind w:firstLine="420" w:firstLineChars="200"/>
        <w:contextualSpacing/>
        <w:rPr>
          <w:rFonts w:hAnsi="宋体" w:cs="宋体"/>
          <w:color w:val="auto"/>
          <w:szCs w:val="21"/>
          <w:highlight w:val="none"/>
        </w:rPr>
      </w:pPr>
      <w:r>
        <w:rPr>
          <w:rFonts w:hint="eastAsia" w:hAnsi="宋体" w:cs="宋体"/>
          <w:color w:val="auto"/>
          <w:szCs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CBFAFCD">
      <w:pPr>
        <w:pStyle w:val="19"/>
        <w:spacing w:line="400" w:lineRule="exact"/>
        <w:ind w:firstLine="420" w:firstLineChars="200"/>
        <w:contextualSpacing/>
        <w:rPr>
          <w:rFonts w:hAnsi="宋体" w:cs="宋体"/>
          <w:color w:val="auto"/>
          <w:szCs w:val="21"/>
          <w:highlight w:val="none"/>
        </w:rPr>
      </w:pPr>
      <w:r>
        <w:rPr>
          <w:rFonts w:hint="eastAsia" w:hAnsi="宋体" w:cs="宋体"/>
          <w:color w:val="auto"/>
          <w:szCs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6C4ED387">
      <w:pPr>
        <w:pStyle w:val="19"/>
        <w:spacing w:line="400" w:lineRule="exact"/>
        <w:ind w:firstLine="420" w:firstLineChars="200"/>
        <w:contextualSpacing/>
        <w:rPr>
          <w:rFonts w:hAnsi="宋体" w:cs="宋体"/>
          <w:color w:val="auto"/>
          <w:highlight w:val="none"/>
        </w:rPr>
      </w:pPr>
      <w:r>
        <w:rPr>
          <w:rFonts w:hint="eastAsia" w:hAnsi="宋体" w:cs="宋体"/>
          <w:color w:val="auto"/>
          <w:szCs w:val="21"/>
          <w:highlight w:val="none"/>
        </w:rPr>
        <w:t>依据本招标文件规定享受扶持政策获得政府采购合同的，小微企业不得将合同分包给大中型企业，中型企业不得将合同分包给大型企业。</w:t>
      </w:r>
      <w:bookmarkEnd w:id="138"/>
    </w:p>
    <w:p w14:paraId="15984002">
      <w:pPr>
        <w:spacing w:line="360" w:lineRule="auto"/>
        <w:ind w:firstLine="420" w:firstLineChars="200"/>
        <w:jc w:val="left"/>
        <w:rPr>
          <w:rFonts w:hAnsi="宋体"/>
          <w:color w:val="auto"/>
          <w:highlight w:val="none"/>
        </w:rPr>
      </w:pPr>
      <w:r>
        <w:rPr>
          <w:rFonts w:hint="eastAsia" w:hAnsi="宋体"/>
          <w:color w:val="auto"/>
          <w:highlight w:val="none"/>
        </w:rPr>
        <w:br w:type="page"/>
      </w:r>
      <w:bookmarkStart w:id="139" w:name="_Toc532545043"/>
    </w:p>
    <w:p w14:paraId="79787A8F">
      <w:pPr>
        <w:pStyle w:val="19"/>
        <w:jc w:val="center"/>
        <w:outlineLvl w:val="0"/>
        <w:rPr>
          <w:rFonts w:ascii="Times New Roman" w:hAnsi="Times New Roman"/>
          <w:b/>
          <w:color w:val="auto"/>
          <w:sz w:val="36"/>
          <w:highlight w:val="none"/>
        </w:rPr>
      </w:pPr>
      <w:bookmarkStart w:id="140" w:name="_Toc80093003"/>
      <w:r>
        <w:rPr>
          <w:rFonts w:hint="eastAsia" w:ascii="Times New Roman" w:hAnsi="Times New Roman"/>
          <w:b/>
          <w:color w:val="auto"/>
          <w:sz w:val="36"/>
          <w:highlight w:val="none"/>
        </w:rPr>
        <w:t>第四章</w:t>
      </w:r>
      <w:r>
        <w:rPr>
          <w:rFonts w:ascii="Times New Roman" w:hAnsi="Times New Roman"/>
          <w:b/>
          <w:color w:val="auto"/>
          <w:sz w:val="36"/>
          <w:highlight w:val="none"/>
        </w:rPr>
        <w:t xml:space="preserve">  </w:t>
      </w:r>
      <w:r>
        <w:rPr>
          <w:rFonts w:hint="eastAsia" w:ascii="Times New Roman" w:hAnsi="Times New Roman"/>
          <w:b/>
          <w:color w:val="auto"/>
          <w:sz w:val="36"/>
          <w:highlight w:val="none"/>
        </w:rPr>
        <w:t>评标方法</w:t>
      </w:r>
      <w:bookmarkEnd w:id="139"/>
      <w:r>
        <w:rPr>
          <w:rFonts w:hint="eastAsia" w:ascii="Times New Roman" w:hAnsi="Times New Roman"/>
          <w:b/>
          <w:color w:val="auto"/>
          <w:sz w:val="36"/>
          <w:highlight w:val="none"/>
        </w:rPr>
        <w:t>及评分标准</w:t>
      </w:r>
      <w:bookmarkEnd w:id="140"/>
    </w:p>
    <w:p w14:paraId="74EEEFA5">
      <w:pPr>
        <w:pStyle w:val="19"/>
        <w:jc w:val="center"/>
        <w:outlineLvl w:val="1"/>
        <w:rPr>
          <w:rFonts w:ascii="Times New Roman" w:hAnsi="Times New Roman"/>
          <w:b/>
          <w:bCs/>
          <w:color w:val="auto"/>
          <w:sz w:val="32"/>
          <w:szCs w:val="32"/>
          <w:highlight w:val="none"/>
        </w:rPr>
      </w:pPr>
      <w:bookmarkStart w:id="141" w:name="_Toc80093004"/>
      <w:r>
        <w:rPr>
          <w:rFonts w:hint="eastAsia" w:ascii="Times New Roman" w:hAnsi="Times New Roman"/>
          <w:b/>
          <w:bCs/>
          <w:color w:val="auto"/>
          <w:sz w:val="32"/>
          <w:szCs w:val="32"/>
          <w:highlight w:val="none"/>
        </w:rPr>
        <w:t>第一节 评标方法</w:t>
      </w:r>
      <w:bookmarkEnd w:id="141"/>
    </w:p>
    <w:p w14:paraId="25ED270A">
      <w:pPr>
        <w:pStyle w:val="19"/>
        <w:tabs>
          <w:tab w:val="left" w:pos="2472"/>
        </w:tabs>
        <w:spacing w:line="460" w:lineRule="exact"/>
        <w:ind w:firstLine="420" w:firstLineChars="200"/>
        <w:rPr>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以下勾选的方式</w:t>
      </w:r>
      <w:r>
        <w:rPr>
          <w:rFonts w:hint="eastAsia" w:hAnsi="宋体" w:cs="宋体"/>
          <w:color w:val="auto"/>
          <w:szCs w:val="21"/>
          <w:highlight w:val="none"/>
        </w:rPr>
        <w:t>进行评审。</w:t>
      </w:r>
    </w:p>
    <w:p w14:paraId="0485F7AA">
      <w:pPr>
        <w:pStyle w:val="19"/>
        <w:spacing w:line="360" w:lineRule="auto"/>
        <w:ind w:firstLine="420"/>
        <w:rPr>
          <w:rFonts w:hAnsi="宋体"/>
          <w:color w:val="auto"/>
          <w:highlight w:val="none"/>
        </w:rPr>
      </w:pPr>
      <w:r>
        <w:rPr>
          <w:rFonts w:hint="eastAsia" w:hAnsi="宋体"/>
          <w:color w:val="auto"/>
          <w:szCs w:val="21"/>
          <w:highlight w:val="none"/>
        </w:rPr>
        <w:t>□最低评标价法，是指投标文件满足招标文件</w:t>
      </w:r>
      <w:r>
        <w:rPr>
          <w:rFonts w:hint="eastAsia" w:hAnsi="宋体"/>
          <w:color w:val="auto"/>
          <w:highlight w:val="none"/>
        </w:rPr>
        <w:t>全部实质性要求，且投标报价最低的供应商为中标候选人的评标方法。</w:t>
      </w:r>
    </w:p>
    <w:p w14:paraId="3C433D8C">
      <w:pPr>
        <w:autoSpaceDE w:val="0"/>
        <w:autoSpaceDN w:val="0"/>
        <w:adjustRightInd w:val="0"/>
        <w:spacing w:line="440" w:lineRule="exact"/>
        <w:ind w:firstLine="422" w:firstLineChars="200"/>
        <w:rPr>
          <w:rFonts w:ascii="宋体" w:hAnsi="宋体"/>
          <w:color w:val="auto"/>
          <w:sz w:val="24"/>
          <w:highlight w:val="none"/>
        </w:rPr>
      </w:pPr>
      <w:r>
        <w:rPr>
          <w:rFonts w:hint="eastAsia" w:hAnsi="宋体"/>
          <w:b/>
          <w:bCs/>
          <w:color w:val="auto"/>
          <w:highlight w:val="none"/>
        </w:rPr>
        <w:t>☑综合评分法</w:t>
      </w:r>
      <w:r>
        <w:rPr>
          <w:rFonts w:hint="eastAsia" w:hAnsi="宋体"/>
          <w:color w:val="auto"/>
          <w:highlight w:val="none"/>
        </w:rPr>
        <w:t>，</w:t>
      </w:r>
      <w:r>
        <w:rPr>
          <w:rFonts w:hint="eastAsia" w:ascii="宋体" w:hAnsi="宋体"/>
          <w:color w:val="auto"/>
          <w:szCs w:val="20"/>
          <w:highlight w:val="none"/>
        </w:rPr>
        <w:t xml:space="preserve">是指投标文件满足招标文件全部实质性要求，且按照评审因素的量化指标评审得分最高的供应商为中标候选人的评标方法。评标委员会将对各供应商的投标报价、技术和服务方案、供应商的企业实力及资质等方面进行综合评审，对实质上响应招标文件的供应商，由各评委独立记名打分。经统计，得出各供应商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17141EE0">
      <w:pPr>
        <w:pStyle w:val="19"/>
        <w:spacing w:line="360" w:lineRule="auto"/>
        <w:ind w:firstLine="420"/>
        <w:rPr>
          <w:rFonts w:hAnsi="宋体"/>
          <w:color w:val="auto"/>
          <w:highlight w:val="none"/>
        </w:rPr>
      </w:pPr>
    </w:p>
    <w:p w14:paraId="106F0EEE">
      <w:pPr>
        <w:pStyle w:val="19"/>
        <w:tabs>
          <w:tab w:val="left" w:pos="2472"/>
        </w:tabs>
        <w:spacing w:line="460" w:lineRule="exact"/>
        <w:jc w:val="center"/>
        <w:outlineLvl w:val="1"/>
        <w:rPr>
          <w:rFonts w:ascii="Times New Roman" w:hAnsi="Times New Roman"/>
          <w:b/>
          <w:bCs/>
          <w:color w:val="auto"/>
          <w:sz w:val="32"/>
          <w:szCs w:val="32"/>
          <w:highlight w:val="none"/>
        </w:rPr>
      </w:pPr>
      <w:bookmarkStart w:id="142" w:name="_Toc80093005"/>
      <w:r>
        <w:rPr>
          <w:rFonts w:hint="eastAsia" w:ascii="Times New Roman" w:hAnsi="Times New Roman"/>
          <w:b/>
          <w:bCs/>
          <w:color w:val="auto"/>
          <w:sz w:val="32"/>
          <w:szCs w:val="32"/>
          <w:highlight w:val="none"/>
        </w:rPr>
        <w:t>第二节 评标程序</w:t>
      </w:r>
      <w:bookmarkEnd w:id="142"/>
    </w:p>
    <w:p w14:paraId="525AA7BD">
      <w:pPr>
        <w:pStyle w:val="7"/>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1.符合性审查</w:t>
      </w:r>
    </w:p>
    <w:p w14:paraId="67CB7265">
      <w:pPr>
        <w:pStyle w:val="19"/>
        <w:snapToGrid w:val="0"/>
        <w:spacing w:line="360" w:lineRule="auto"/>
        <w:ind w:left="1" w:firstLine="420"/>
        <w:rPr>
          <w:rFonts w:hAnsi="宋体"/>
          <w:b/>
          <w:color w:val="auto"/>
          <w:highlight w:val="none"/>
        </w:rPr>
      </w:pPr>
      <w:r>
        <w:rPr>
          <w:rFonts w:hint="eastAsia" w:hAnsi="宋体"/>
          <w:b/>
          <w:color w:val="auto"/>
          <w:highlight w:val="none"/>
        </w:rPr>
        <w:t>评标委员会应当对符合资格的投标人的投标文件进行投标报价、商务、技术等实质性内容符合性审查，以确定其是否满足招标文件的实质性要求。</w:t>
      </w:r>
    </w:p>
    <w:p w14:paraId="13508F70">
      <w:pPr>
        <w:pStyle w:val="7"/>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700EB6E4">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0EB11FDE">
      <w:pPr>
        <w:pStyle w:val="7"/>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4B4B29B5">
      <w:pPr>
        <w:pStyle w:val="8"/>
        <w:numPr>
          <w:ilvl w:val="0"/>
          <w:numId w:val="5"/>
        </w:numPr>
        <w:spacing w:line="360" w:lineRule="auto"/>
        <w:ind w:firstLine="422"/>
        <w:rPr>
          <w:rFonts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未提供“投标人须知前附表”第13.1条规定中“必须提供”的文件资料的；</w:t>
      </w:r>
    </w:p>
    <w:p w14:paraId="061EE4F1">
      <w:pPr>
        <w:pStyle w:val="8"/>
        <w:numPr>
          <w:ilvl w:val="0"/>
          <w:numId w:val="5"/>
        </w:numPr>
        <w:spacing w:line="360" w:lineRule="auto"/>
        <w:ind w:firstLine="422"/>
        <w:rPr>
          <w:rFonts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14:paraId="78D3373F">
      <w:pPr>
        <w:pStyle w:val="8"/>
        <w:numPr>
          <w:ilvl w:val="0"/>
          <w:numId w:val="5"/>
        </w:numPr>
        <w:spacing w:line="360" w:lineRule="auto"/>
        <w:ind w:firstLine="422"/>
        <w:rPr>
          <w:rFonts w:ascii="宋体" w:hAnsi="宋体"/>
          <w:b/>
          <w:color w:val="auto"/>
          <w:szCs w:val="21"/>
          <w:highlight w:val="none"/>
        </w:rPr>
      </w:pPr>
      <w:r>
        <w:rPr>
          <w:rFonts w:hint="eastAsia" w:ascii="宋体" w:hAnsi="宋体"/>
          <w:b/>
          <w:color w:val="auto"/>
          <w:szCs w:val="21"/>
          <w:highlight w:val="none"/>
        </w:rPr>
        <w:t>各分标报价超出招标文件相应分标规定最高限价，或者超出相应分标采购预算金额的；</w:t>
      </w:r>
    </w:p>
    <w:p w14:paraId="43B819CB">
      <w:pPr>
        <w:pStyle w:val="8"/>
        <w:numPr>
          <w:ilvl w:val="0"/>
          <w:numId w:val="5"/>
        </w:numPr>
        <w:spacing w:line="360" w:lineRule="auto"/>
        <w:ind w:firstLine="422"/>
        <w:rPr>
          <w:rFonts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5075F64E">
      <w:pPr>
        <w:pStyle w:val="8"/>
        <w:numPr>
          <w:ilvl w:val="0"/>
          <w:numId w:val="5"/>
        </w:numPr>
        <w:spacing w:line="360" w:lineRule="auto"/>
        <w:ind w:firstLine="422"/>
        <w:rPr>
          <w:rFonts w:ascii="宋体" w:hAnsi="宋体"/>
          <w:b/>
          <w:color w:val="auto"/>
          <w:szCs w:val="21"/>
          <w:highlight w:val="none"/>
        </w:rPr>
      </w:pPr>
      <w:r>
        <w:rPr>
          <w:rFonts w:hint="eastAsia" w:ascii="宋体" w:hAnsi="宋体"/>
          <w:b/>
          <w:color w:val="auto"/>
          <w:szCs w:val="21"/>
          <w:highlight w:val="none"/>
        </w:rPr>
        <w:t>修正后的报价，投标人不确认的；</w:t>
      </w:r>
    </w:p>
    <w:p w14:paraId="394B11FA">
      <w:pPr>
        <w:pStyle w:val="8"/>
        <w:numPr>
          <w:ilvl w:val="0"/>
          <w:numId w:val="5"/>
        </w:numPr>
        <w:spacing w:line="360" w:lineRule="auto"/>
        <w:ind w:firstLine="422"/>
        <w:rPr>
          <w:rFonts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5.1</w:t>
      </w:r>
      <w:r>
        <w:rPr>
          <w:rFonts w:hint="eastAsia" w:ascii="宋体" w:hAnsi="宋体"/>
          <w:b/>
          <w:color w:val="auto"/>
          <w:szCs w:val="21"/>
          <w:highlight w:val="none"/>
        </w:rPr>
        <w:t>条（2）或者第5</w:t>
      </w:r>
      <w:r>
        <w:rPr>
          <w:rFonts w:ascii="宋体" w:hAnsi="宋体"/>
          <w:b/>
          <w:color w:val="auto"/>
          <w:szCs w:val="21"/>
          <w:highlight w:val="none"/>
        </w:rPr>
        <w:t>.2条</w:t>
      </w:r>
      <w:r>
        <w:rPr>
          <w:rFonts w:hint="eastAsia" w:ascii="宋体" w:hAnsi="宋体"/>
          <w:b/>
          <w:color w:val="auto"/>
          <w:szCs w:val="21"/>
          <w:highlight w:val="none"/>
        </w:rPr>
        <w:t>（2）项情形的；</w:t>
      </w:r>
    </w:p>
    <w:p w14:paraId="00AD3453">
      <w:pPr>
        <w:pStyle w:val="8"/>
        <w:numPr>
          <w:ilvl w:val="0"/>
          <w:numId w:val="5"/>
        </w:numPr>
        <w:spacing w:line="360" w:lineRule="auto"/>
        <w:ind w:firstLine="422"/>
        <w:rPr>
          <w:rFonts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14:paraId="5DA5519C">
      <w:pPr>
        <w:pStyle w:val="7"/>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2.2在商务评审时，如发现下列情形之一的，将被视为投标无效：</w:t>
      </w:r>
    </w:p>
    <w:p w14:paraId="408BC0DC">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投标文件未按招标文件要求签署、盖章的；</w:t>
      </w:r>
    </w:p>
    <w:p w14:paraId="3CB7EBF9">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委托代理人未能出具有效身份证或者出具的身份证与授权委托书中的信息不符的；</w:t>
      </w:r>
    </w:p>
    <w:p w14:paraId="26874154">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14:paraId="00BC3A27">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投标文件未提供“投标人须知前附表”第13.</w:t>
      </w:r>
      <w:r>
        <w:rPr>
          <w:rFonts w:ascii="宋体" w:hAnsi="宋体"/>
          <w:b/>
          <w:color w:val="auto"/>
          <w:szCs w:val="21"/>
          <w:highlight w:val="none"/>
        </w:rPr>
        <w:t>1</w:t>
      </w:r>
      <w:r>
        <w:rPr>
          <w:rFonts w:hint="eastAsia" w:ascii="宋体" w:hAnsi="宋体"/>
          <w:b/>
          <w:color w:val="auto"/>
          <w:szCs w:val="21"/>
          <w:highlight w:val="none"/>
        </w:rPr>
        <w:t>条规定中“必须提供”或者“委托时必须提供”的文件资料的；</w:t>
      </w:r>
    </w:p>
    <w:p w14:paraId="4CD5AB0C">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14:paraId="303657DD">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14:paraId="16D41672">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14:paraId="3C29F26C">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投标文件含有采购人不能接受的附加条件的；</w:t>
      </w:r>
    </w:p>
    <w:p w14:paraId="651BCD89">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14:paraId="7ED1D686">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14:paraId="0C249E5B">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招标文件明确不允许分包，投标文件拟分包的；</w:t>
      </w:r>
    </w:p>
    <w:p w14:paraId="11285B82">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未响应招标文件实质性要求的；</w:t>
      </w:r>
    </w:p>
    <w:p w14:paraId="493516FE">
      <w:pPr>
        <w:numPr>
          <w:ilvl w:val="0"/>
          <w:numId w:val="6"/>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法律、法规和招标文件规定的其他无效情形。</w:t>
      </w:r>
    </w:p>
    <w:p w14:paraId="729D500F">
      <w:pPr>
        <w:pStyle w:val="7"/>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14:paraId="64CD3458">
      <w:pPr>
        <w:pStyle w:val="16"/>
        <w:snapToGrid w:val="0"/>
        <w:spacing w:line="360" w:lineRule="auto"/>
        <w:ind w:firstLine="398" w:firstLineChars="196"/>
        <w:rPr>
          <w:rFonts w:hAnsi="宋体"/>
          <w:b/>
          <w:color w:val="auto"/>
          <w:sz w:val="21"/>
          <w:szCs w:val="21"/>
          <w:highlight w:val="none"/>
        </w:rPr>
      </w:pPr>
      <w:r>
        <w:rPr>
          <w:rFonts w:hint="eastAsia" w:hAnsi="宋体"/>
          <w:b/>
          <w:color w:val="auto"/>
          <w:sz w:val="21"/>
          <w:szCs w:val="21"/>
          <w:highlight w:val="none"/>
        </w:rPr>
        <w:t>（1）技术要求评审允许负偏离的条款数超过“投标人须知前附表”规定项数的；</w:t>
      </w:r>
    </w:p>
    <w:p w14:paraId="00593123">
      <w:pPr>
        <w:pStyle w:val="16"/>
        <w:snapToGrid w:val="0"/>
        <w:spacing w:line="360" w:lineRule="auto"/>
        <w:ind w:firstLine="398" w:firstLineChars="196"/>
        <w:rPr>
          <w:rFonts w:hAnsi="宋体"/>
          <w:b/>
          <w:color w:val="auto"/>
          <w:sz w:val="21"/>
          <w:szCs w:val="21"/>
          <w:highlight w:val="none"/>
        </w:rPr>
      </w:pPr>
      <w:r>
        <w:rPr>
          <w:rFonts w:hint="eastAsia" w:hAnsi="宋体"/>
          <w:b/>
          <w:color w:val="auto"/>
          <w:sz w:val="21"/>
          <w:szCs w:val="21"/>
          <w:highlight w:val="none"/>
        </w:rPr>
        <w:t>（2）投标文件未提供“投标人须知前附表”第13.</w:t>
      </w:r>
      <w:r>
        <w:rPr>
          <w:rFonts w:hAnsi="宋体"/>
          <w:b/>
          <w:color w:val="auto"/>
          <w:sz w:val="21"/>
          <w:szCs w:val="21"/>
          <w:highlight w:val="none"/>
        </w:rPr>
        <w:t>1</w:t>
      </w:r>
      <w:r>
        <w:rPr>
          <w:rFonts w:hint="eastAsia" w:hAnsi="宋体"/>
          <w:b/>
          <w:color w:val="auto"/>
          <w:sz w:val="21"/>
          <w:szCs w:val="21"/>
          <w:highlight w:val="none"/>
        </w:rPr>
        <w:t>条规定中“必须提供”的文件资料的；</w:t>
      </w:r>
    </w:p>
    <w:p w14:paraId="5ABB44DD">
      <w:pPr>
        <w:pStyle w:val="16"/>
        <w:snapToGrid w:val="0"/>
        <w:spacing w:line="360" w:lineRule="auto"/>
        <w:ind w:firstLine="398" w:firstLineChars="196"/>
        <w:rPr>
          <w:rFonts w:hAnsi="宋体"/>
          <w:b/>
          <w:color w:val="auto"/>
          <w:sz w:val="21"/>
          <w:szCs w:val="21"/>
          <w:highlight w:val="none"/>
        </w:rPr>
      </w:pPr>
      <w:r>
        <w:rPr>
          <w:rFonts w:hint="eastAsia" w:hAnsi="宋体"/>
          <w:b/>
          <w:color w:val="auto"/>
          <w:sz w:val="21"/>
          <w:szCs w:val="21"/>
          <w:highlight w:val="none"/>
        </w:rPr>
        <w:t>（3）虚假投标，或者出现其他情形而导致被评标委员会认定无效的；</w:t>
      </w:r>
    </w:p>
    <w:p w14:paraId="1CBBF6CF">
      <w:pPr>
        <w:pStyle w:val="16"/>
        <w:snapToGrid w:val="0"/>
        <w:spacing w:line="360" w:lineRule="auto"/>
        <w:ind w:firstLine="398" w:firstLineChars="196"/>
        <w:rPr>
          <w:rFonts w:hAnsi="宋体"/>
          <w:b/>
          <w:color w:val="auto"/>
          <w:sz w:val="21"/>
          <w:szCs w:val="21"/>
          <w:highlight w:val="none"/>
        </w:rPr>
      </w:pPr>
      <w:r>
        <w:rPr>
          <w:rFonts w:hint="eastAsia" w:hAnsi="宋体"/>
          <w:b/>
          <w:color w:val="auto"/>
          <w:sz w:val="21"/>
          <w:szCs w:val="21"/>
          <w:highlight w:val="none"/>
        </w:rPr>
        <w:t>（4）</w:t>
      </w:r>
      <w:bookmarkStart w:id="143" w:name="_Hlk71706244"/>
      <w:r>
        <w:rPr>
          <w:rFonts w:hint="eastAsia" w:hAnsi="宋体"/>
          <w:b/>
          <w:color w:val="auto"/>
          <w:sz w:val="21"/>
          <w:szCs w:val="21"/>
          <w:highlight w:val="none"/>
        </w:rPr>
        <w:t>招标文件未载明允许提供备选（替代）投标方案或明确不允许提供备选（替代）投标方案时，投标人提供了备选（替代）投标方案的；</w:t>
      </w:r>
      <w:bookmarkEnd w:id="143"/>
    </w:p>
    <w:p w14:paraId="40212742">
      <w:pPr>
        <w:pStyle w:val="16"/>
        <w:snapToGrid w:val="0"/>
        <w:spacing w:line="360" w:lineRule="auto"/>
        <w:ind w:firstLine="398" w:firstLineChars="196"/>
        <w:rPr>
          <w:rFonts w:hAnsi="宋体"/>
          <w:b/>
          <w:color w:val="auto"/>
          <w:sz w:val="21"/>
          <w:szCs w:val="21"/>
          <w:highlight w:val="none"/>
        </w:rPr>
      </w:pPr>
      <w:r>
        <w:rPr>
          <w:rFonts w:hint="eastAsia" w:hAnsi="宋体"/>
          <w:b/>
          <w:color w:val="auto"/>
          <w:sz w:val="21"/>
          <w:szCs w:val="21"/>
          <w:highlight w:val="none"/>
        </w:rPr>
        <w:t>（5）未响应招标文件实质性要求的。</w:t>
      </w:r>
    </w:p>
    <w:p w14:paraId="5BA96EA1">
      <w:pPr>
        <w:pStyle w:val="16"/>
        <w:snapToGrid w:val="0"/>
        <w:spacing w:line="360" w:lineRule="auto"/>
        <w:ind w:firstLine="398" w:firstLineChars="196"/>
        <w:rPr>
          <w:rFonts w:hAnsi="宋体"/>
          <w:b/>
          <w:color w:val="auto"/>
          <w:sz w:val="21"/>
          <w:szCs w:val="21"/>
          <w:highlight w:val="none"/>
        </w:rPr>
      </w:pPr>
      <w:r>
        <w:rPr>
          <w:rFonts w:hint="eastAsia" w:hAnsi="宋体"/>
          <w:b/>
          <w:color w:val="auto"/>
          <w:sz w:val="21"/>
          <w:szCs w:val="21"/>
          <w:highlight w:val="none"/>
        </w:rPr>
        <w:t>2.4通过符合性审查的投标人不足3家，评标委员会不得继续评标，并出具评标报告。</w:t>
      </w:r>
    </w:p>
    <w:p w14:paraId="677B04CF">
      <w:pPr>
        <w:pStyle w:val="7"/>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12DC6999">
      <w:pPr>
        <w:snapToGrid w:val="0"/>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对投标文件中含义不明确、同类问题表述不一致或者有明显文字和计算错误的内容，评标委员会以</w:t>
      </w:r>
      <w:r>
        <w:rPr>
          <w:rFonts w:hint="eastAsia" w:ascii="宋体" w:hAnsi="宋体" w:cs="宋体"/>
          <w:color w:val="auto"/>
          <w:szCs w:val="21"/>
          <w:highlight w:val="none"/>
        </w:rPr>
        <w:t>电子澄清函形式</w:t>
      </w:r>
      <w:r>
        <w:rPr>
          <w:rFonts w:hint="eastAsia" w:ascii="宋体" w:hAnsi="宋体" w:cs="Courier New"/>
          <w:color w:val="auto"/>
          <w:szCs w:val="21"/>
          <w:highlight w:val="none"/>
        </w:rPr>
        <w:t>要求投标人在规定时间内作出必要的澄清、说明或者纠正。投标人的澄清、说明或者补正必须采用</w:t>
      </w:r>
      <w:r>
        <w:rPr>
          <w:rFonts w:hint="eastAsia" w:ascii="宋体" w:hAnsi="宋体" w:cs="宋体"/>
          <w:color w:val="auto"/>
          <w:szCs w:val="21"/>
          <w:highlight w:val="none"/>
        </w:rPr>
        <w:t>电子回函形式</w:t>
      </w:r>
      <w:r>
        <w:rPr>
          <w:rFonts w:hint="eastAsia" w:ascii="宋体" w:hAnsi="宋体" w:cs="Courier New"/>
          <w:color w:val="auto"/>
          <w:szCs w:val="21"/>
          <w:highlight w:val="none"/>
        </w:rPr>
        <w:t>，并加盖投标人公章，或者由法定代表人或者其授权的代表签字。投标人的澄清、说明或者补正不得超出投标文件的范围或者改变投标文件的实质性内容。</w:t>
      </w:r>
    </w:p>
    <w:p w14:paraId="70CAB903">
      <w:pPr>
        <w:pStyle w:val="7"/>
        <w:keepNext w:val="0"/>
        <w:keepLines w:val="0"/>
        <w:spacing w:before="0" w:after="0" w:line="360" w:lineRule="auto"/>
        <w:ind w:left="420" w:leftChars="200"/>
        <w:rPr>
          <w:rFonts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336F2387">
      <w:pPr>
        <w:pStyle w:val="7"/>
        <w:keepNext w:val="0"/>
        <w:keepLines w:val="0"/>
        <w:spacing w:before="0" w:after="0" w:line="360" w:lineRule="auto"/>
        <w:ind w:left="420" w:leftChars="200"/>
        <w:rPr>
          <w:rFonts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14:paraId="292147EC">
      <w:pPr>
        <w:pStyle w:val="19"/>
        <w:snapToGrid w:val="0"/>
        <w:spacing w:line="360" w:lineRule="auto"/>
        <w:ind w:firstLine="420" w:firstLineChars="200"/>
        <w:rPr>
          <w:rFonts w:hAnsi="宋体"/>
          <w:color w:val="auto"/>
          <w:highlight w:val="none"/>
        </w:rPr>
      </w:pPr>
      <w:r>
        <w:rPr>
          <w:rFonts w:hint="eastAsia" w:hAnsi="宋体"/>
          <w:color w:val="auto"/>
          <w:highlight w:val="none"/>
        </w:rPr>
        <w:t>（1）投标文件中开标一览表（报价表）内容与投标文件中相应内容不一致的，以开标一览表（报价表）为准；</w:t>
      </w:r>
    </w:p>
    <w:p w14:paraId="6A980EAF">
      <w:pPr>
        <w:pStyle w:val="19"/>
        <w:snapToGrid w:val="0"/>
        <w:spacing w:line="360" w:lineRule="auto"/>
        <w:ind w:firstLine="420" w:firstLineChars="200"/>
        <w:rPr>
          <w:rFonts w:hAnsi="宋体"/>
          <w:color w:val="auto"/>
          <w:highlight w:val="none"/>
        </w:rPr>
      </w:pPr>
      <w:r>
        <w:rPr>
          <w:rFonts w:hint="eastAsia" w:hAnsi="宋体"/>
          <w:color w:val="auto"/>
          <w:highlight w:val="none"/>
        </w:rPr>
        <w:t>（2）大写金额和小写金额不一致的，以大写金额为准；</w:t>
      </w:r>
    </w:p>
    <w:p w14:paraId="0A76A487">
      <w:pPr>
        <w:pStyle w:val="19"/>
        <w:snapToGrid w:val="0"/>
        <w:spacing w:line="360" w:lineRule="auto"/>
        <w:ind w:firstLine="420" w:firstLineChars="200"/>
        <w:rPr>
          <w:rFonts w:hAnsi="宋体"/>
          <w:color w:val="auto"/>
          <w:highlight w:val="none"/>
        </w:rPr>
      </w:pPr>
      <w:r>
        <w:rPr>
          <w:rFonts w:hint="eastAsia" w:hAnsi="宋体"/>
          <w:color w:val="auto"/>
          <w:highlight w:val="none"/>
        </w:rPr>
        <w:t>（3）单价金额小数点或者百分比有明显错位的，以开标一览表的总价为准，并修改单价；</w:t>
      </w:r>
    </w:p>
    <w:p w14:paraId="7544B526">
      <w:pPr>
        <w:pStyle w:val="19"/>
        <w:snapToGrid w:val="0"/>
        <w:spacing w:line="360" w:lineRule="auto"/>
        <w:ind w:firstLine="420" w:firstLineChars="200"/>
        <w:rPr>
          <w:rFonts w:hAnsi="宋体"/>
          <w:color w:val="auto"/>
          <w:highlight w:val="none"/>
        </w:rPr>
      </w:pPr>
      <w:r>
        <w:rPr>
          <w:rFonts w:hint="eastAsia" w:hAnsi="宋体"/>
          <w:color w:val="auto"/>
          <w:highlight w:val="none"/>
        </w:rPr>
        <w:t>（4）总价金额与按单价汇总金额不一致的，以单价金额计算结果为准。</w:t>
      </w:r>
    </w:p>
    <w:p w14:paraId="39D31A6C">
      <w:pPr>
        <w:pStyle w:val="19"/>
        <w:snapToGrid w:val="0"/>
        <w:spacing w:line="360" w:lineRule="auto"/>
        <w:ind w:firstLine="420" w:firstLineChars="200"/>
        <w:rPr>
          <w:rFonts w:hAnsi="宋体"/>
          <w:color w:val="auto"/>
          <w:highlight w:val="none"/>
        </w:rPr>
      </w:pPr>
      <w:r>
        <w:rPr>
          <w:rFonts w:hint="eastAsia" w:hAnsi="宋体"/>
          <w:color w:val="auto"/>
          <w:highlight w:val="none"/>
        </w:rPr>
        <w:t>同时出现两种以上不一致的，按照以上（1）-（4）规定的顺序修正。修正后的报价经投标人确认后产生约束力，投标人不确认的，</w:t>
      </w:r>
      <w:r>
        <w:rPr>
          <w:rFonts w:hint="eastAsia" w:hAnsi="宋体"/>
          <w:b/>
          <w:color w:val="auto"/>
          <w:highlight w:val="none"/>
        </w:rPr>
        <w:t>其投标无效</w:t>
      </w:r>
      <w:r>
        <w:rPr>
          <w:rFonts w:hint="eastAsia" w:hAnsi="宋体"/>
          <w:color w:val="auto"/>
          <w:highlight w:val="none"/>
        </w:rPr>
        <w:t>。</w:t>
      </w:r>
    </w:p>
    <w:p w14:paraId="11D931EA">
      <w:pPr>
        <w:pStyle w:val="7"/>
        <w:keepNext w:val="0"/>
        <w:keepLines w:val="0"/>
        <w:spacing w:before="0" w:after="0" w:line="360" w:lineRule="auto"/>
        <w:rPr>
          <w:rFonts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0EFDE7F2">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7C5E2D1F">
      <w:pPr>
        <w:pStyle w:val="7"/>
        <w:keepNext w:val="0"/>
        <w:keepLines w:val="0"/>
        <w:spacing w:before="0" w:after="0" w:line="360" w:lineRule="auto"/>
        <w:ind w:left="420" w:leftChars="200"/>
        <w:rPr>
          <w:rFonts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6599762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5.1采用综合评分法的</w:t>
      </w:r>
    </w:p>
    <w:p w14:paraId="1E1C00E0">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14:paraId="1BC0765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14:paraId="73B9FCB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auto"/>
          <w:szCs w:val="21"/>
          <w:highlight w:val="none"/>
        </w:rPr>
        <w:t>投标人不能证明其报价合理性的，评标委员会将其作为无效投标处理</w:t>
      </w:r>
      <w:r>
        <w:rPr>
          <w:rFonts w:hint="eastAsia" w:ascii="宋体" w:hAnsi="宋体"/>
          <w:color w:val="auto"/>
          <w:szCs w:val="21"/>
          <w:highlight w:val="none"/>
        </w:rPr>
        <w:t>。</w:t>
      </w:r>
    </w:p>
    <w:p w14:paraId="5F3749A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（3）评标委员会按照招标文件中规定的评标方法和标准计算各投标人的报价得分。在计算过程中，不得去掉最高报价或者最低报价。</w:t>
      </w:r>
    </w:p>
    <w:p w14:paraId="75FF6590">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（4）各投标人的得分为所有评委的有效评分的算术平均数。</w:t>
      </w:r>
    </w:p>
    <w:p w14:paraId="270879A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（5）评标委员会按照招标文件中的规定推荐中标候选人。</w:t>
      </w:r>
    </w:p>
    <w:p w14:paraId="78AD0D66">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4FE8BB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5.2采用</w:t>
      </w:r>
      <w:r>
        <w:rPr>
          <w:rFonts w:hint="eastAsia" w:hAnsi="宋体"/>
          <w:color w:val="auto"/>
          <w:highlight w:val="none"/>
        </w:rPr>
        <w:t>最低评标价法</w:t>
      </w:r>
      <w:r>
        <w:rPr>
          <w:rFonts w:hint="eastAsia" w:ascii="宋体" w:hAnsi="宋体"/>
          <w:color w:val="auto"/>
          <w:szCs w:val="21"/>
          <w:highlight w:val="none"/>
        </w:rPr>
        <w:t>的</w:t>
      </w:r>
    </w:p>
    <w:p w14:paraId="42AE8D04">
      <w:pPr>
        <w:snapToGrid w:val="0"/>
        <w:spacing w:line="360" w:lineRule="auto"/>
        <w:ind w:firstLine="424" w:firstLineChars="202"/>
        <w:jc w:val="left"/>
        <w:rPr>
          <w:rFonts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（1）评标委员会按照招标文件中规定的评标方法及评标标准，对符合性审查合格的投标文件报价进行比较。</w:t>
      </w:r>
    </w:p>
    <w:p w14:paraId="16B914E1">
      <w:pPr>
        <w:snapToGrid w:val="0"/>
        <w:spacing w:line="360" w:lineRule="auto"/>
        <w:ind w:firstLine="399" w:firstLineChars="202"/>
        <w:jc w:val="left"/>
        <w:rPr>
          <w:rFonts w:ascii="宋体" w:hAnsi="宋体"/>
          <w:color w:val="auto"/>
          <w:spacing w:val="-6"/>
          <w:szCs w:val="21"/>
          <w:highlight w:val="none"/>
        </w:rPr>
      </w:pPr>
      <w:r>
        <w:rPr>
          <w:rFonts w:hint="eastAsia" w:ascii="宋体" w:hAnsi="宋体"/>
          <w:color w:val="auto"/>
          <w:spacing w:val="-6"/>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auto"/>
          <w:spacing w:val="-6"/>
          <w:szCs w:val="21"/>
          <w:highlight w:val="none"/>
        </w:rPr>
        <w:t>投标人不能证明其报价合理性的，评标委员会将其作为无效投标处理</w:t>
      </w:r>
      <w:r>
        <w:rPr>
          <w:rFonts w:hint="eastAsia" w:ascii="宋体" w:hAnsi="宋体"/>
          <w:color w:val="auto"/>
          <w:spacing w:val="-6"/>
          <w:szCs w:val="21"/>
          <w:highlight w:val="none"/>
        </w:rPr>
        <w:t>。</w:t>
      </w:r>
    </w:p>
    <w:p w14:paraId="4EBA4D32">
      <w:pPr>
        <w:snapToGrid w:val="0"/>
        <w:spacing w:line="360" w:lineRule="auto"/>
        <w:ind w:firstLine="424" w:firstLineChars="202"/>
        <w:jc w:val="left"/>
        <w:rPr>
          <w:rFonts w:ascii="宋体" w:hAnsi="宋体"/>
          <w:color w:val="auto"/>
          <w:szCs w:val="21"/>
          <w:highlight w:val="none"/>
        </w:rPr>
      </w:pPr>
      <w:r>
        <w:rPr>
          <w:rFonts w:hint="eastAsia" w:ascii="宋体" w:hAnsi="宋体"/>
          <w:color w:val="auto"/>
          <w:szCs w:val="21"/>
          <w:highlight w:val="none"/>
        </w:rPr>
        <w:t>（3）评标委员会按照招标文件中的规定推荐中标候选人。</w:t>
      </w:r>
    </w:p>
    <w:p w14:paraId="53546FDF">
      <w:pPr>
        <w:spacing w:line="360" w:lineRule="auto"/>
        <w:ind w:firstLine="420" w:firstLineChars="200"/>
        <w:rPr>
          <w:rFonts w:hAnsi="宋体"/>
          <w:color w:val="auto"/>
          <w:highlight w:val="none"/>
        </w:rPr>
      </w:pPr>
      <w:r>
        <w:rPr>
          <w:rFonts w:hint="eastAsia" w:ascii="宋体" w:hAnsi="宋体"/>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r>
        <w:rPr>
          <w:rFonts w:hint="eastAsia" w:hAnsi="宋体"/>
          <w:color w:val="auto"/>
          <w:highlight w:val="none"/>
        </w:rPr>
        <w:t>。</w:t>
      </w:r>
    </w:p>
    <w:p w14:paraId="7F661578">
      <w:pPr>
        <w:rPr>
          <w:color w:val="auto"/>
          <w:sz w:val="30"/>
          <w:szCs w:val="30"/>
          <w:highlight w:val="none"/>
        </w:rPr>
      </w:pPr>
      <w:bookmarkStart w:id="144" w:name="_Toc80093006"/>
      <w:r>
        <w:rPr>
          <w:rFonts w:hint="eastAsia"/>
          <w:color w:val="auto"/>
          <w:sz w:val="30"/>
          <w:szCs w:val="30"/>
          <w:highlight w:val="none"/>
        </w:rPr>
        <w:br w:type="page"/>
      </w:r>
    </w:p>
    <w:p w14:paraId="31515A76">
      <w:pPr>
        <w:pStyle w:val="3"/>
        <w:spacing w:before="0" w:after="0" w:line="440" w:lineRule="exact"/>
        <w:jc w:val="center"/>
        <w:rPr>
          <w:b w:val="0"/>
          <w:color w:val="auto"/>
          <w:sz w:val="30"/>
          <w:szCs w:val="30"/>
          <w:highlight w:val="none"/>
        </w:rPr>
      </w:pPr>
      <w:r>
        <w:rPr>
          <w:rFonts w:hint="eastAsia"/>
          <w:b w:val="0"/>
          <w:color w:val="auto"/>
          <w:sz w:val="30"/>
          <w:szCs w:val="30"/>
          <w:highlight w:val="none"/>
        </w:rPr>
        <w:t>第三节 评分标准</w:t>
      </w:r>
      <w:bookmarkEnd w:id="144"/>
    </w:p>
    <w:p w14:paraId="6B1F7980">
      <w:pPr>
        <w:pStyle w:val="3"/>
        <w:spacing w:before="0" w:after="0" w:line="440" w:lineRule="exact"/>
        <w:jc w:val="center"/>
        <w:rPr>
          <w:rFonts w:hAnsi="宋体" w:eastAsia="宋体"/>
          <w:color w:val="auto"/>
          <w:highlight w:val="none"/>
        </w:rPr>
      </w:pPr>
      <w:r>
        <w:rPr>
          <w:rFonts w:hint="eastAsia" w:ascii="Times New Roman" w:hAnsi="Times New Roman"/>
          <w:color w:val="auto"/>
          <w:sz w:val="30"/>
          <w:szCs w:val="30"/>
          <w:highlight w:val="none"/>
        </w:rPr>
        <w:t>综合评分法</w:t>
      </w:r>
      <w:bookmarkStart w:id="145" w:name="PO_TDCUS_ITEM_SM_TABLE_3"/>
      <w:bookmarkStart w:id="146" w:name="_Toc80093007"/>
      <w:r>
        <w:rPr>
          <w:rFonts w:hint="eastAsia" w:ascii="Times New Roman" w:hAnsi="Times New Roman"/>
          <w:color w:val="auto"/>
          <w:sz w:val="30"/>
          <w:szCs w:val="30"/>
          <w:highlight w:val="none"/>
          <w:lang w:eastAsia="zh-CN"/>
        </w:rPr>
        <w:t>（</w:t>
      </w:r>
      <w:r>
        <w:rPr>
          <w:rFonts w:hint="eastAsia" w:ascii="Times New Roman" w:hAnsi="Times New Roman"/>
          <w:color w:val="auto"/>
          <w:sz w:val="30"/>
          <w:szCs w:val="30"/>
          <w:highlight w:val="none"/>
          <w:lang w:val="en-US" w:eastAsia="zh-CN"/>
        </w:rPr>
        <w:t>1、2、3分标</w:t>
      </w:r>
      <w:r>
        <w:rPr>
          <w:rFonts w:hint="eastAsia" w:ascii="Times New Roman" w:hAnsi="Times New Roman"/>
          <w:color w:val="auto"/>
          <w:sz w:val="30"/>
          <w:szCs w:val="30"/>
          <w:highlight w:val="none"/>
          <w:lang w:eastAsia="zh-CN"/>
        </w:rPr>
        <w:t>）</w:t>
      </w:r>
      <w:r>
        <w:rPr>
          <w:rFonts w:hint="eastAsia" w:hAnsi="宋体"/>
          <w:color w:val="auto"/>
          <w:highlight w:val="none"/>
        </w:rPr>
        <w:t xml:space="preserve"> </w:t>
      </w:r>
      <w:bookmarkEnd w:id="145"/>
    </w:p>
    <w:tbl>
      <w:tblPr>
        <w:tblStyle w:val="36"/>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85"/>
        <w:gridCol w:w="1520"/>
        <w:gridCol w:w="6096"/>
      </w:tblGrid>
      <w:tr w14:paraId="049E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147" w:type="dxa"/>
            <w:gridSpan w:val="2"/>
            <w:noWrap w:val="0"/>
            <w:vAlign w:val="center"/>
          </w:tcPr>
          <w:p w14:paraId="51C4FC4D">
            <w:pPr>
              <w:keepNext w:val="0"/>
              <w:keepLines w:val="0"/>
              <w:pageBreakBefore w:val="0"/>
              <w:kinsoku/>
              <w:overflowPunct/>
              <w:topLinePunct w:val="0"/>
              <w:autoSpaceDE/>
              <w:autoSpaceDN/>
              <w:bidi w:val="0"/>
              <w:adjustRightInd w:val="0"/>
              <w:spacing w:line="360" w:lineRule="exact"/>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520" w:type="dxa"/>
            <w:noWrap w:val="0"/>
            <w:vAlign w:val="center"/>
          </w:tcPr>
          <w:p w14:paraId="7141AA25">
            <w:pPr>
              <w:keepNext w:val="0"/>
              <w:keepLines w:val="0"/>
              <w:pageBreakBefore w:val="0"/>
              <w:kinsoku/>
              <w:overflowPunct/>
              <w:topLinePunct w:val="0"/>
              <w:autoSpaceDE/>
              <w:autoSpaceDN/>
              <w:bidi w:val="0"/>
              <w:adjustRightInd w:val="0"/>
              <w:spacing w:line="360" w:lineRule="exact"/>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w:t>
            </w:r>
            <w:r>
              <w:rPr>
                <w:rFonts w:hint="eastAsia" w:ascii="宋体" w:hAnsi="宋体" w:eastAsia="宋体" w:cs="宋体"/>
                <w:b/>
                <w:color w:val="auto"/>
                <w:sz w:val="21"/>
                <w:szCs w:val="21"/>
                <w:highlight w:val="none"/>
                <w:lang w:eastAsia="zh-CN"/>
              </w:rPr>
              <w:t>审</w:t>
            </w:r>
            <w:r>
              <w:rPr>
                <w:rFonts w:hint="eastAsia" w:ascii="宋体" w:hAnsi="宋体" w:eastAsia="宋体" w:cs="宋体"/>
                <w:b/>
                <w:color w:val="auto"/>
                <w:sz w:val="21"/>
                <w:szCs w:val="21"/>
                <w:highlight w:val="none"/>
              </w:rPr>
              <w:t>因素</w:t>
            </w:r>
          </w:p>
        </w:tc>
        <w:tc>
          <w:tcPr>
            <w:tcW w:w="6096" w:type="dxa"/>
            <w:noWrap w:val="0"/>
            <w:vAlign w:val="center"/>
          </w:tcPr>
          <w:p w14:paraId="656B9D9C">
            <w:pPr>
              <w:keepNext w:val="0"/>
              <w:keepLines w:val="0"/>
              <w:pageBreakBefore w:val="0"/>
              <w:kinsoku/>
              <w:overflowPunct/>
              <w:topLinePunct w:val="0"/>
              <w:autoSpaceDE/>
              <w:autoSpaceDN/>
              <w:bidi w:val="0"/>
              <w:adjustRightInd w:val="0"/>
              <w:spacing w:line="360" w:lineRule="exact"/>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r>
      <w:tr w14:paraId="1C4A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1" w:hRule="atLeast"/>
          <w:jc w:val="center"/>
        </w:trPr>
        <w:tc>
          <w:tcPr>
            <w:tcW w:w="562" w:type="dxa"/>
            <w:noWrap w:val="0"/>
            <w:vAlign w:val="center"/>
          </w:tcPr>
          <w:p w14:paraId="3980EE28">
            <w:pPr>
              <w:keepNext w:val="0"/>
              <w:keepLines w:val="0"/>
              <w:pageBreakBefore w:val="0"/>
              <w:kinsoku/>
              <w:overflowPunct/>
              <w:topLinePunct w:val="0"/>
              <w:autoSpaceDE/>
              <w:autoSpaceDN/>
              <w:bidi w:val="0"/>
              <w:adjustRightInd w:val="0"/>
              <w:spacing w:line="36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85" w:type="dxa"/>
            <w:noWrap w:val="0"/>
            <w:vAlign w:val="center"/>
          </w:tcPr>
          <w:p w14:paraId="13169CAE">
            <w:pPr>
              <w:keepNext w:val="0"/>
              <w:keepLines w:val="0"/>
              <w:pageBreakBefore w:val="0"/>
              <w:widowControl/>
              <w:kinsoku/>
              <w:overflowPunct/>
              <w:topLinePunct w:val="0"/>
              <w:autoSpaceDE/>
              <w:autoSpaceDN/>
              <w:bidi w:val="0"/>
              <w:snapToGrid w:val="0"/>
              <w:spacing w:line="360" w:lineRule="exact"/>
              <w:jc w:val="center"/>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价格分</w:t>
            </w:r>
          </w:p>
          <w:p w14:paraId="343215F2">
            <w:pPr>
              <w:keepNext w:val="0"/>
              <w:keepLines w:val="0"/>
              <w:pageBreakBefore w:val="0"/>
              <w:widowControl/>
              <w:kinsoku/>
              <w:overflowPunct/>
              <w:topLinePunct w:val="0"/>
              <w:autoSpaceDE/>
              <w:autoSpaceDN/>
              <w:bidi w:val="0"/>
              <w:snapToGrid w:val="0"/>
              <w:spacing w:line="360" w:lineRule="exact"/>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（满分</w:t>
            </w:r>
            <w:r>
              <w:rPr>
                <w:rFonts w:hint="eastAsia" w:ascii="宋体" w:hAnsi="宋体" w:eastAsia="宋体" w:cs="宋体"/>
                <w:bCs/>
                <w:color w:val="auto"/>
                <w:kern w:val="0"/>
                <w:sz w:val="21"/>
                <w:szCs w:val="21"/>
                <w:highlight w:val="none"/>
                <w:u w:val="single"/>
                <w:lang w:val="en-US" w:eastAsia="zh-CN" w:bidi="ar-SA"/>
              </w:rPr>
              <w:t xml:space="preserve"> 10 </w:t>
            </w:r>
            <w:r>
              <w:rPr>
                <w:rFonts w:hint="eastAsia" w:ascii="宋体" w:hAnsi="宋体" w:eastAsia="宋体" w:cs="宋体"/>
                <w:bCs/>
                <w:color w:val="auto"/>
                <w:kern w:val="0"/>
                <w:sz w:val="21"/>
                <w:szCs w:val="21"/>
                <w:highlight w:val="none"/>
                <w:lang w:val="en-US" w:eastAsia="zh-CN" w:bidi="ar-SA"/>
              </w:rPr>
              <w:t>分）</w:t>
            </w:r>
          </w:p>
        </w:tc>
        <w:tc>
          <w:tcPr>
            <w:tcW w:w="1520" w:type="dxa"/>
            <w:noWrap w:val="0"/>
            <w:vAlign w:val="center"/>
          </w:tcPr>
          <w:p w14:paraId="6CF6F591">
            <w:pPr>
              <w:keepNext w:val="0"/>
              <w:keepLines w:val="0"/>
              <w:pageBreakBefore w:val="0"/>
              <w:widowControl/>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投标报价</w:t>
            </w:r>
          </w:p>
        </w:tc>
        <w:tc>
          <w:tcPr>
            <w:tcW w:w="6096" w:type="dxa"/>
            <w:noWrap w:val="0"/>
            <w:vAlign w:val="center"/>
          </w:tcPr>
          <w:p w14:paraId="539CBEC2">
            <w:pPr>
              <w:keepNext w:val="0"/>
              <w:keepLines w:val="0"/>
              <w:pageBreakBefore w:val="0"/>
              <w:kinsoku/>
              <w:overflowPunct/>
              <w:topLinePunct w:val="0"/>
              <w:autoSpaceDE/>
              <w:autoSpaceDN/>
              <w:bidi w:val="0"/>
              <w:snapToGrid/>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shd w:val="clear" w:color="auto" w:fill="F2DCDC" w:themeFill="accent2" w:themeFillTint="32"/>
                <w:lang w:eastAsia="zh-CN"/>
              </w:rPr>
              <w:t>本项目属于</w:t>
            </w:r>
            <w:r>
              <w:rPr>
                <w:rFonts w:hint="eastAsia" w:ascii="宋体" w:hAnsi="宋体" w:eastAsia="宋体" w:cs="宋体"/>
                <w:b/>
                <w:bCs/>
                <w:color w:val="auto"/>
                <w:szCs w:val="21"/>
                <w:highlight w:val="none"/>
                <w:shd w:val="clear" w:color="auto" w:fill="F2DCDC" w:themeFill="accent2" w:themeFillTint="32"/>
              </w:rPr>
              <w:t>专门面向</w:t>
            </w:r>
            <w:r>
              <w:rPr>
                <w:rFonts w:hint="eastAsia" w:ascii="宋体" w:hAnsi="宋体" w:eastAsia="宋体" w:cs="宋体"/>
                <w:b/>
                <w:bCs/>
                <w:color w:val="auto"/>
                <w:szCs w:val="21"/>
                <w:highlight w:val="none"/>
                <w:shd w:val="clear" w:color="auto" w:fill="F2DCDC" w:themeFill="accent2" w:themeFillTint="32"/>
                <w:lang w:eastAsia="zh-CN"/>
              </w:rPr>
              <w:t>中小</w:t>
            </w:r>
            <w:r>
              <w:rPr>
                <w:rFonts w:hint="eastAsia" w:ascii="宋体" w:hAnsi="宋体" w:eastAsia="宋体" w:cs="宋体"/>
                <w:b/>
                <w:bCs/>
                <w:color w:val="auto"/>
                <w:szCs w:val="21"/>
                <w:highlight w:val="none"/>
                <w:shd w:val="clear" w:color="auto" w:fill="F2DCDC" w:themeFill="accent2" w:themeFillTint="32"/>
              </w:rPr>
              <w:t>企业采购的项目，不再执行价格评审优惠的扶持政策。</w:t>
            </w:r>
          </w:p>
          <w:p w14:paraId="4780C2CD">
            <w:pPr>
              <w:keepNext w:val="0"/>
              <w:keepLines w:val="0"/>
              <w:pageBreakBefore w:val="0"/>
              <w:kinsoku/>
              <w:overflowPunct/>
              <w:topLinePunct w:val="0"/>
              <w:autoSpaceDE/>
              <w:autoSpaceDN/>
              <w:bidi w:val="0"/>
              <w:spacing w:line="36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本项目为专门面向中小企业采购的项目，按照《政府采购促进中小企业发展管理办法》（财库〔2020〕46号）的规定，对投标人的投标报价不再执行价格评审优惠的扶持政策。</w:t>
            </w:r>
          </w:p>
          <w:p w14:paraId="4D85BA19">
            <w:pPr>
              <w:keepNext w:val="0"/>
              <w:keepLines w:val="0"/>
              <w:pageBreakBefore w:val="0"/>
              <w:kinsoku/>
              <w:overflowPunct/>
              <w:topLinePunct w:val="0"/>
              <w:autoSpaceDE/>
              <w:autoSpaceDN/>
              <w:bidi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评</w:t>
            </w:r>
            <w:r>
              <w:rPr>
                <w:rFonts w:hint="eastAsia" w:ascii="宋体" w:hAnsi="宋体" w:eastAsia="宋体" w:cs="宋体"/>
                <w:color w:val="auto"/>
                <w:szCs w:val="21"/>
                <w:highlight w:val="none"/>
                <w:lang w:eastAsia="zh-CN"/>
              </w:rPr>
              <w:t>标报</w:t>
            </w:r>
            <w:r>
              <w:rPr>
                <w:rFonts w:hint="eastAsia" w:ascii="宋体" w:hAnsi="宋体" w:eastAsia="宋体" w:cs="宋体"/>
                <w:color w:val="auto"/>
                <w:szCs w:val="21"/>
                <w:highlight w:val="none"/>
              </w:rPr>
              <w:t>价为</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投标</w:t>
            </w:r>
            <w:r>
              <w:rPr>
                <w:rFonts w:hint="eastAsia" w:ascii="宋体" w:hAnsi="宋体" w:cs="宋体"/>
                <w:color w:val="auto"/>
                <w:szCs w:val="21"/>
                <w:highlight w:val="none"/>
                <w:lang w:val="en-US" w:eastAsia="zh-CN"/>
              </w:rPr>
              <w:t>折扣率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评</w:t>
            </w:r>
            <w:r>
              <w:rPr>
                <w:rFonts w:hint="eastAsia" w:ascii="宋体" w:hAnsi="宋体" w:eastAsia="宋体" w:cs="宋体"/>
                <w:color w:val="auto"/>
                <w:szCs w:val="21"/>
                <w:highlight w:val="none"/>
                <w:lang w:eastAsia="zh-CN"/>
              </w:rPr>
              <w:t>标报</w:t>
            </w:r>
            <w:r>
              <w:rPr>
                <w:rFonts w:hint="eastAsia" w:ascii="宋体" w:hAnsi="宋体" w:eastAsia="宋体" w:cs="宋体"/>
                <w:color w:val="auto"/>
                <w:szCs w:val="21"/>
                <w:highlight w:val="none"/>
              </w:rPr>
              <w:t>价只是作为评审时使用。最终</w:t>
            </w:r>
            <w:r>
              <w:rPr>
                <w:rFonts w:hint="eastAsia" w:ascii="宋体" w:hAnsi="宋体" w:eastAsia="宋体" w:cs="宋体"/>
                <w:color w:val="auto"/>
                <w:szCs w:val="21"/>
                <w:highlight w:val="none"/>
                <w:lang w:eastAsia="zh-CN"/>
              </w:rPr>
              <w:t>中标人</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中标</w:t>
            </w:r>
            <w:r>
              <w:rPr>
                <w:rFonts w:hint="eastAsia" w:ascii="宋体" w:hAnsi="宋体" w:cs="宋体"/>
                <w:color w:val="auto"/>
                <w:szCs w:val="21"/>
                <w:highlight w:val="none"/>
                <w:lang w:val="en-US" w:eastAsia="zh-CN"/>
              </w:rPr>
              <w:t>折扣率</w:t>
            </w:r>
            <w:r>
              <w:rPr>
                <w:rFonts w:hint="eastAsia" w:ascii="宋体" w:hAnsi="宋体" w:eastAsia="宋体" w:cs="宋体"/>
                <w:color w:val="auto"/>
                <w:szCs w:val="21"/>
                <w:highlight w:val="none"/>
              </w:rPr>
              <w:t>等于</w:t>
            </w:r>
            <w:r>
              <w:rPr>
                <w:rFonts w:hint="eastAsia" w:ascii="宋体" w:hAnsi="宋体" w:eastAsia="宋体" w:cs="宋体"/>
                <w:color w:val="auto"/>
                <w:szCs w:val="21"/>
                <w:highlight w:val="none"/>
                <w:lang w:eastAsia="zh-CN"/>
              </w:rPr>
              <w:t>投标</w:t>
            </w:r>
            <w:r>
              <w:rPr>
                <w:rFonts w:hint="eastAsia" w:ascii="宋体" w:hAnsi="宋体" w:cs="宋体"/>
                <w:color w:val="auto"/>
                <w:szCs w:val="21"/>
                <w:highlight w:val="none"/>
                <w:lang w:val="en-US" w:eastAsia="zh-CN"/>
              </w:rPr>
              <w:t>折扣率</w:t>
            </w:r>
            <w:r>
              <w:rPr>
                <w:rFonts w:hint="eastAsia" w:ascii="宋体" w:hAnsi="宋体" w:eastAsia="宋体" w:cs="宋体"/>
                <w:color w:val="auto"/>
                <w:szCs w:val="21"/>
                <w:highlight w:val="none"/>
              </w:rPr>
              <w:t>。</w:t>
            </w:r>
          </w:p>
          <w:p w14:paraId="27A682B3">
            <w:pPr>
              <w:keepNext w:val="0"/>
              <w:keepLines w:val="0"/>
              <w:pageBreakBefore w:val="0"/>
              <w:shd w:val="clear" w:color="auto" w:fill="auto"/>
              <w:kinsoku/>
              <w:wordWrap w:val="0"/>
              <w:overflowPunct/>
              <w:topLinePunct w:val="0"/>
              <w:autoSpaceDE/>
              <w:autoSpaceDN/>
              <w:bidi w:val="0"/>
              <w:spacing w:line="36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）满足招标文件要求且</w:t>
            </w:r>
            <w:r>
              <w:rPr>
                <w:rFonts w:hint="eastAsia" w:ascii="宋体" w:hAnsi="宋体" w:cs="宋体"/>
                <w:bCs/>
                <w:color w:val="auto"/>
                <w:szCs w:val="21"/>
                <w:highlight w:val="none"/>
                <w:lang w:val="en-US" w:eastAsia="zh-CN"/>
              </w:rPr>
              <w:t>投标折扣率</w:t>
            </w:r>
            <w:r>
              <w:rPr>
                <w:rFonts w:hint="eastAsia" w:ascii="宋体" w:hAnsi="宋体" w:eastAsia="宋体" w:cs="宋体"/>
                <w:bCs/>
                <w:color w:val="auto"/>
                <w:szCs w:val="21"/>
                <w:highlight w:val="none"/>
              </w:rPr>
              <w:t xml:space="preserve">最低的为评标基准价，基准价得分为 </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rPr>
              <w:t xml:space="preserve"> 分。</w:t>
            </w:r>
          </w:p>
          <w:p w14:paraId="0C8D2F9D">
            <w:pPr>
              <w:keepNext w:val="0"/>
              <w:keepLines w:val="0"/>
              <w:pageBreakBefore w:val="0"/>
              <w:kinsoku/>
              <w:overflowPunct/>
              <w:topLinePunct w:val="0"/>
              <w:autoSpaceDE/>
              <w:autoSpaceDN/>
              <w:bidi w:val="0"/>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）价格分计算公式：</w:t>
            </w:r>
          </w:p>
          <w:p w14:paraId="6DBB2A9D">
            <w:pPr>
              <w:keepNext w:val="0"/>
              <w:keepLines w:val="0"/>
              <w:pageBreakBefore w:val="0"/>
              <w:shd w:val="clear" w:color="auto" w:fill="auto"/>
              <w:kinsoku/>
              <w:wordWrap w:val="0"/>
              <w:overflowPunct/>
              <w:topLinePunct w:val="0"/>
              <w:autoSpaceDE/>
              <w:autoSpaceDN/>
              <w:bidi w:val="0"/>
              <w:spacing w:line="360" w:lineRule="exact"/>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sz w:val="21"/>
                <w:highlight w:val="none"/>
                <w:lang w:val="en-US" w:eastAsia="zh-CN"/>
              </w:rPr>
              <w:t>价格分</w:t>
            </w:r>
            <w:r>
              <w:rPr>
                <w:rFonts w:hint="eastAsia" w:ascii="宋体" w:hAnsi="宋体" w:eastAsia="宋体" w:cs="宋体"/>
                <w:bCs/>
                <w:color w:val="auto"/>
                <w:kern w:val="2"/>
                <w:sz w:val="21"/>
                <w:highlight w:val="none"/>
                <w:lang w:val="en-US" w:eastAsia="zh-CN"/>
              </w:rPr>
              <w:t>=(评标基准价／</w:t>
            </w:r>
            <w:r>
              <w:rPr>
                <w:rFonts w:hint="eastAsia" w:ascii="宋体" w:hAnsi="宋体" w:eastAsia="宋体" w:cs="宋体"/>
                <w:color w:val="auto"/>
                <w:szCs w:val="21"/>
                <w:highlight w:val="none"/>
              </w:rPr>
              <w:t>评</w:t>
            </w:r>
            <w:r>
              <w:rPr>
                <w:rFonts w:hint="eastAsia" w:ascii="宋体" w:hAnsi="宋体" w:eastAsia="宋体" w:cs="宋体"/>
                <w:color w:val="auto"/>
                <w:szCs w:val="21"/>
                <w:highlight w:val="none"/>
                <w:lang w:eastAsia="zh-CN"/>
              </w:rPr>
              <w:t>标报</w:t>
            </w:r>
            <w:r>
              <w:rPr>
                <w:rFonts w:hint="eastAsia" w:ascii="宋体" w:hAnsi="宋体" w:eastAsia="宋体" w:cs="宋体"/>
                <w:color w:val="auto"/>
                <w:szCs w:val="21"/>
                <w:highlight w:val="none"/>
              </w:rPr>
              <w:t>价</w:t>
            </w:r>
            <w:r>
              <w:rPr>
                <w:rFonts w:hint="eastAsia" w:ascii="宋体" w:hAnsi="宋体" w:eastAsia="宋体" w:cs="宋体"/>
                <w:bCs/>
                <w:color w:val="auto"/>
                <w:kern w:val="2"/>
                <w:sz w:val="21"/>
                <w:highlight w:val="none"/>
                <w:lang w:val="en-US" w:eastAsia="zh-CN"/>
              </w:rPr>
              <w:t>)×</w:t>
            </w:r>
            <w:r>
              <w:rPr>
                <w:rFonts w:hint="eastAsia" w:ascii="宋体" w:hAnsi="宋体" w:eastAsia="宋体" w:cs="宋体"/>
                <w:bCs/>
                <w:color w:val="auto"/>
                <w:sz w:val="21"/>
                <w:highlight w:val="none"/>
                <w:u w:val="none"/>
                <w:lang w:val="en-US" w:eastAsia="zh-CN"/>
              </w:rPr>
              <w:t xml:space="preserve"> </w:t>
            </w:r>
            <w:r>
              <w:rPr>
                <w:rFonts w:hint="eastAsia" w:ascii="宋体" w:hAnsi="宋体" w:cs="宋体"/>
                <w:bCs/>
                <w:strike w:val="0"/>
                <w:dstrike w:val="0"/>
                <w:color w:val="auto"/>
                <w:sz w:val="21"/>
                <w:highlight w:val="none"/>
                <w:u w:val="none"/>
                <w:lang w:val="en-US" w:eastAsia="zh-CN"/>
              </w:rPr>
              <w:t>10</w:t>
            </w:r>
            <w:r>
              <w:rPr>
                <w:rFonts w:hint="eastAsia" w:ascii="宋体" w:hAnsi="宋体" w:eastAsia="宋体" w:cs="宋体"/>
                <w:bCs/>
                <w:strike w:val="0"/>
                <w:dstrike w:val="0"/>
                <w:color w:val="auto"/>
                <w:sz w:val="21"/>
                <w:highlight w:val="none"/>
                <w:u w:val="none"/>
                <w:lang w:val="en-US" w:eastAsia="zh-CN"/>
              </w:rPr>
              <w:t xml:space="preserve"> </w:t>
            </w:r>
            <w:r>
              <w:rPr>
                <w:rFonts w:hint="eastAsia" w:ascii="宋体" w:hAnsi="宋体" w:eastAsia="宋体" w:cs="宋体"/>
                <w:bCs/>
                <w:color w:val="auto"/>
                <w:kern w:val="2"/>
                <w:sz w:val="21"/>
                <w:highlight w:val="none"/>
                <w:lang w:val="en-US" w:eastAsia="zh-CN"/>
              </w:rPr>
              <w:t>分</w:t>
            </w:r>
          </w:p>
        </w:tc>
      </w:tr>
      <w:tr w14:paraId="6BAF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62" w:type="dxa"/>
            <w:vMerge w:val="restart"/>
            <w:noWrap w:val="0"/>
            <w:vAlign w:val="center"/>
          </w:tcPr>
          <w:p w14:paraId="619BB8C0">
            <w:pPr>
              <w:keepNext w:val="0"/>
              <w:keepLines w:val="0"/>
              <w:pageBreakBefore w:val="0"/>
              <w:kinsoku/>
              <w:overflowPunct/>
              <w:topLinePunct w:val="0"/>
              <w:autoSpaceDE/>
              <w:autoSpaceDN/>
              <w:bidi w:val="0"/>
              <w:adjustRightInd w:val="0"/>
              <w:snapToGrid w:val="0"/>
              <w:spacing w:line="36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85" w:type="dxa"/>
            <w:vMerge w:val="restart"/>
            <w:noWrap w:val="0"/>
            <w:vAlign w:val="center"/>
          </w:tcPr>
          <w:p w14:paraId="26F4F94D">
            <w:pPr>
              <w:keepNext w:val="0"/>
              <w:keepLines w:val="0"/>
              <w:pageBreakBefore w:val="0"/>
              <w:kinsoku/>
              <w:overflowPunct/>
              <w:topLinePunct w:val="0"/>
              <w:autoSpaceDE/>
              <w:autoSpaceDN/>
              <w:bidi w:val="0"/>
              <w:adjustRightInd w:val="0"/>
              <w:snapToGrid w:val="0"/>
              <w:spacing w:line="360" w:lineRule="exact"/>
              <w:ind w:left="-105" w:leftChars="-50" w:right="-105" w:rightChars="-50"/>
              <w:jc w:val="center"/>
              <w:textAlignment w:val="baseline"/>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color w:val="auto"/>
                <w:szCs w:val="21"/>
                <w:highlight w:val="none"/>
              </w:rPr>
              <w:t>服务实施方案分</w:t>
            </w:r>
          </w:p>
          <w:p w14:paraId="28D1B626">
            <w:pPr>
              <w:keepNext w:val="0"/>
              <w:keepLines w:val="0"/>
              <w:pageBreakBefore w:val="0"/>
              <w:kinsoku/>
              <w:overflowPunct/>
              <w:topLinePunct w:val="0"/>
              <w:autoSpaceDE/>
              <w:autoSpaceDN/>
              <w:bidi w:val="0"/>
              <w:adjustRightInd w:val="0"/>
              <w:snapToGrid w:val="0"/>
              <w:spacing w:line="360" w:lineRule="exact"/>
              <w:ind w:left="-105" w:leftChars="-50" w:right="-105" w:rightChars="-50"/>
              <w:jc w:val="center"/>
              <w:textAlignment w:val="baseline"/>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（满分</w:t>
            </w:r>
            <w:r>
              <w:rPr>
                <w:rFonts w:hint="eastAsia" w:ascii="宋体" w:hAnsi="宋体" w:cs="宋体"/>
                <w:bCs/>
                <w:color w:val="auto"/>
                <w:kern w:val="0"/>
                <w:sz w:val="21"/>
                <w:szCs w:val="21"/>
                <w:highlight w:val="none"/>
                <w:u w:val="single"/>
                <w:lang w:val="en-US" w:eastAsia="zh-CN" w:bidi="ar-SA"/>
              </w:rPr>
              <w:t>55</w:t>
            </w:r>
            <w:r>
              <w:rPr>
                <w:rFonts w:hint="eastAsia" w:ascii="宋体" w:hAnsi="宋体" w:eastAsia="宋体" w:cs="宋体"/>
                <w:bCs/>
                <w:color w:val="auto"/>
                <w:kern w:val="0"/>
                <w:sz w:val="21"/>
                <w:szCs w:val="21"/>
                <w:highlight w:val="none"/>
                <w:lang w:val="en-US" w:eastAsia="zh-CN" w:bidi="ar-SA"/>
              </w:rPr>
              <w:t>分）</w:t>
            </w:r>
          </w:p>
        </w:tc>
        <w:tc>
          <w:tcPr>
            <w:tcW w:w="1520" w:type="dxa"/>
            <w:noWrap w:val="0"/>
            <w:vAlign w:val="center"/>
          </w:tcPr>
          <w:p w14:paraId="4EBF1583">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color w:val="auto"/>
                <w:szCs w:val="21"/>
                <w:highlight w:val="none"/>
              </w:rPr>
              <w:t>（1）项目实施方案（满分</w:t>
            </w:r>
            <w:r>
              <w:rPr>
                <w:rFonts w:hint="eastAsia" w:ascii="宋体" w:hAnsi="宋体" w:cs="宋体"/>
                <w:b/>
                <w:bCs/>
                <w:color w:val="auto"/>
                <w:szCs w:val="21"/>
                <w:highlight w:val="none"/>
                <w:lang w:val="en-US" w:eastAsia="zh-CN"/>
              </w:rPr>
              <w:t>15</w:t>
            </w:r>
            <w:r>
              <w:rPr>
                <w:rFonts w:hint="eastAsia" w:ascii="宋体" w:hAnsi="宋体" w:eastAsia="宋体" w:cs="宋体"/>
                <w:b/>
                <w:bCs/>
                <w:color w:val="auto"/>
                <w:szCs w:val="21"/>
                <w:highlight w:val="none"/>
              </w:rPr>
              <w:t>分）</w:t>
            </w:r>
          </w:p>
        </w:tc>
        <w:tc>
          <w:tcPr>
            <w:tcW w:w="6096" w:type="dxa"/>
            <w:noWrap w:val="0"/>
            <w:vAlign w:val="center"/>
          </w:tcPr>
          <w:p w14:paraId="3D310B0D">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一档（</w:t>
            </w:r>
            <w:r>
              <w:rPr>
                <w:rFonts w:hint="eastAsia" w:ascii="宋体" w:hAnsi="宋体" w:cs="宋体"/>
                <w:b/>
                <w:bCs/>
                <w:color w:val="auto"/>
                <w:szCs w:val="21"/>
                <w:highlight w:val="none"/>
                <w:lang w:val="en-US" w:eastAsia="zh-CN"/>
              </w:rPr>
              <w:t>3</w:t>
            </w:r>
            <w:r>
              <w:rPr>
                <w:rFonts w:hint="eastAsia" w:ascii="宋体" w:hAnsi="宋体" w:eastAsia="宋体" w:cs="宋体"/>
                <w:b/>
                <w:bCs/>
                <w:color w:val="auto"/>
                <w:szCs w:val="21"/>
                <w:highlight w:val="none"/>
              </w:rPr>
              <w:t>分）</w:t>
            </w:r>
            <w:r>
              <w:rPr>
                <w:rFonts w:hint="eastAsia" w:ascii="宋体" w:hAnsi="宋体" w:eastAsia="宋体" w:cs="宋体"/>
                <w:b w:val="0"/>
                <w:bCs w:val="0"/>
                <w:color w:val="auto"/>
                <w:szCs w:val="21"/>
                <w:highlight w:val="none"/>
              </w:rPr>
              <w:t>：管理制度不够完善，配送服务方案基本符合要求。针对</w:t>
            </w:r>
            <w:r>
              <w:rPr>
                <w:rFonts w:hint="eastAsia" w:ascii="宋体" w:hAnsi="宋体" w:cs="宋体"/>
                <w:b w:val="0"/>
                <w:bCs w:val="0"/>
                <w:color w:val="auto"/>
                <w:szCs w:val="21"/>
                <w:highlight w:val="none"/>
                <w:lang w:eastAsia="zh-CN"/>
              </w:rPr>
              <w:t>采购单位</w:t>
            </w:r>
            <w:r>
              <w:rPr>
                <w:rFonts w:hint="eastAsia" w:ascii="宋体" w:hAnsi="宋体" w:eastAsia="宋体" w:cs="宋体"/>
                <w:b w:val="0"/>
                <w:bCs w:val="0"/>
                <w:color w:val="auto"/>
                <w:szCs w:val="21"/>
                <w:highlight w:val="none"/>
              </w:rPr>
              <w:t>实际需求的描述不够详细，基本能保证配送服务的质量。对于问题食材引发的紧急事件处理预案内容缺乏针对性，且对紧急事件的现场处理时间超过 60 分钟；</w:t>
            </w:r>
          </w:p>
          <w:p w14:paraId="170EE8BB">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二档（</w:t>
            </w:r>
            <w:r>
              <w:rPr>
                <w:rFonts w:hint="eastAsia" w:ascii="宋体" w:hAnsi="宋体" w:cs="宋体"/>
                <w:b/>
                <w:bCs/>
                <w:color w:val="auto"/>
                <w:szCs w:val="21"/>
                <w:highlight w:val="none"/>
                <w:lang w:val="en-US" w:eastAsia="zh-CN"/>
              </w:rPr>
              <w:t>6</w:t>
            </w:r>
            <w:r>
              <w:rPr>
                <w:rFonts w:hint="eastAsia" w:ascii="宋体" w:hAnsi="宋体" w:eastAsia="宋体" w:cs="宋体"/>
                <w:b/>
                <w:bCs/>
                <w:color w:val="auto"/>
                <w:szCs w:val="21"/>
                <w:highlight w:val="none"/>
              </w:rPr>
              <w:t>分）</w:t>
            </w:r>
            <w:r>
              <w:rPr>
                <w:rFonts w:hint="eastAsia" w:ascii="宋体" w:hAnsi="宋体" w:eastAsia="宋体" w:cs="宋体"/>
                <w:b w:val="0"/>
                <w:bCs w:val="0"/>
                <w:color w:val="auto"/>
                <w:szCs w:val="21"/>
                <w:highlight w:val="none"/>
              </w:rPr>
              <w:t>：项目配送供货时间安排合理，管理制度简洁明了，配送服务方案基本满足需求。针对</w:t>
            </w:r>
            <w:r>
              <w:rPr>
                <w:rFonts w:hint="eastAsia" w:ascii="宋体" w:hAnsi="宋体" w:cs="宋体"/>
                <w:b w:val="0"/>
                <w:bCs w:val="0"/>
                <w:color w:val="auto"/>
                <w:szCs w:val="21"/>
                <w:highlight w:val="none"/>
                <w:lang w:eastAsia="zh-CN"/>
              </w:rPr>
              <w:t>采购单位</w:t>
            </w:r>
            <w:r>
              <w:rPr>
                <w:rFonts w:hint="eastAsia" w:ascii="宋体" w:hAnsi="宋体" w:eastAsia="宋体" w:cs="宋体"/>
                <w:b w:val="0"/>
                <w:bCs w:val="0"/>
                <w:color w:val="auto"/>
                <w:szCs w:val="21"/>
                <w:highlight w:val="none"/>
              </w:rPr>
              <w:t>实际需求的描述较为简略，</w:t>
            </w:r>
            <w:r>
              <w:rPr>
                <w:rFonts w:hAnsi="宋体"/>
                <w:bCs/>
                <w:color w:val="auto"/>
                <w:highlight w:val="none"/>
              </w:rPr>
              <w:t>项目管理及</w:t>
            </w:r>
            <w:r>
              <w:rPr>
                <w:rFonts w:hint="eastAsia" w:hAnsi="宋体"/>
                <w:bCs/>
                <w:color w:val="auto"/>
                <w:highlight w:val="none"/>
              </w:rPr>
              <w:t>配送</w:t>
            </w:r>
            <w:r>
              <w:rPr>
                <w:rFonts w:hAnsi="宋体"/>
                <w:bCs/>
                <w:color w:val="auto"/>
                <w:highlight w:val="none"/>
              </w:rPr>
              <w:t>措施配送人员</w:t>
            </w:r>
            <w:r>
              <w:rPr>
                <w:rFonts w:hint="eastAsia" w:hAnsi="宋体"/>
                <w:bCs/>
                <w:color w:val="auto"/>
                <w:highlight w:val="none"/>
              </w:rPr>
              <w:t>满足基本架构</w:t>
            </w:r>
            <w:r>
              <w:rPr>
                <w:rFonts w:hint="eastAsia" w:hAnsi="宋体"/>
                <w:bCs/>
                <w:color w:val="auto"/>
                <w:highlight w:val="none"/>
                <w:lang w:eastAsia="zh-CN"/>
              </w:rPr>
              <w:t>，</w:t>
            </w:r>
            <w:r>
              <w:rPr>
                <w:rFonts w:hint="eastAsia" w:ascii="宋体" w:hAnsi="宋体" w:eastAsia="宋体" w:cs="宋体"/>
                <w:b w:val="0"/>
                <w:bCs w:val="0"/>
                <w:color w:val="auto"/>
                <w:szCs w:val="21"/>
                <w:highlight w:val="none"/>
              </w:rPr>
              <w:t>具体实施步骤和要求的阐述不够详尽，但能确保配送服务的正常进行。能在</w:t>
            </w:r>
            <w:r>
              <w:rPr>
                <w:rFonts w:hint="eastAsia" w:ascii="宋体" w:hAnsi="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0 分钟内到达现场处理紧急事件。问题食材发生紧急事件处理预案内容简洁实用；</w:t>
            </w:r>
          </w:p>
          <w:p w14:paraId="6E844518">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三档（</w:t>
            </w:r>
            <w:r>
              <w:rPr>
                <w:rFonts w:hint="eastAsia" w:ascii="宋体" w:hAnsi="宋体" w:cs="宋体"/>
                <w:b/>
                <w:bCs/>
                <w:color w:val="auto"/>
                <w:szCs w:val="21"/>
                <w:highlight w:val="none"/>
                <w:lang w:val="en-US" w:eastAsia="zh-CN"/>
              </w:rPr>
              <w:t>9</w:t>
            </w:r>
            <w:r>
              <w:rPr>
                <w:rFonts w:hint="eastAsia" w:ascii="宋体" w:hAnsi="宋体" w:eastAsia="宋体" w:cs="宋体"/>
                <w:b/>
                <w:bCs/>
                <w:color w:val="auto"/>
                <w:szCs w:val="21"/>
                <w:highlight w:val="none"/>
              </w:rPr>
              <w:t>分）</w:t>
            </w:r>
            <w:r>
              <w:rPr>
                <w:rFonts w:hint="eastAsia" w:ascii="宋体" w:hAnsi="宋体" w:eastAsia="宋体" w:cs="宋体"/>
                <w:b w:val="0"/>
                <w:bCs w:val="0"/>
                <w:color w:val="auto"/>
                <w:szCs w:val="21"/>
                <w:highlight w:val="none"/>
              </w:rPr>
              <w:t>：项目配送体系合理，供货时间安排得当。管理制度完善，配送服务方案详尽。针对</w:t>
            </w:r>
            <w:r>
              <w:rPr>
                <w:rFonts w:hint="eastAsia" w:ascii="宋体" w:hAnsi="宋体" w:cs="宋体"/>
                <w:b w:val="0"/>
                <w:bCs w:val="0"/>
                <w:color w:val="auto"/>
                <w:szCs w:val="21"/>
                <w:highlight w:val="none"/>
                <w:lang w:eastAsia="zh-CN"/>
              </w:rPr>
              <w:t>采购单位</w:t>
            </w:r>
            <w:r>
              <w:rPr>
                <w:rFonts w:hint="eastAsia" w:ascii="宋体" w:hAnsi="宋体" w:eastAsia="宋体" w:cs="宋体"/>
                <w:b w:val="0"/>
                <w:bCs w:val="0"/>
                <w:color w:val="auto"/>
                <w:szCs w:val="21"/>
                <w:highlight w:val="none"/>
              </w:rPr>
              <w:t>实际需求描述详细，具体实施步骤和要求明确。除保证配送服务业务外，还配备有机动人员应对紧急事件处理。对配送及应急处理的响应时间不超过 1</w:t>
            </w:r>
            <w:r>
              <w:rPr>
                <w:rFonts w:hint="eastAsia" w:ascii="宋体" w:hAnsi="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 xml:space="preserve">分钟，对紧急事件的现场处理时间不超过 </w:t>
            </w:r>
            <w:r>
              <w:rPr>
                <w:rFonts w:hint="eastAsia" w:ascii="宋体" w:hAnsi="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0 分钟。问题食材发生紧急事件处理预案内容具体，具有一定针对性；</w:t>
            </w:r>
          </w:p>
          <w:p w14:paraId="46A76ACC">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四档（</w:t>
            </w:r>
            <w:r>
              <w:rPr>
                <w:rFonts w:hint="eastAsia" w:ascii="宋体" w:hAnsi="宋体" w:cs="宋体"/>
                <w:b/>
                <w:bCs/>
                <w:color w:val="auto"/>
                <w:szCs w:val="21"/>
                <w:highlight w:val="none"/>
                <w:lang w:val="en-US" w:eastAsia="zh-CN"/>
              </w:rPr>
              <w:t>12</w:t>
            </w:r>
            <w:r>
              <w:rPr>
                <w:rFonts w:hint="eastAsia" w:ascii="宋体" w:hAnsi="宋体" w:eastAsia="宋体" w:cs="宋体"/>
                <w:b/>
                <w:bCs/>
                <w:color w:val="auto"/>
                <w:szCs w:val="21"/>
                <w:highlight w:val="none"/>
              </w:rPr>
              <w:t>分）</w:t>
            </w:r>
            <w:r>
              <w:rPr>
                <w:rFonts w:hint="eastAsia" w:ascii="宋体" w:hAnsi="宋体" w:eastAsia="宋体" w:cs="宋体"/>
                <w:b w:val="0"/>
                <w:bCs w:val="0"/>
                <w:color w:val="auto"/>
                <w:szCs w:val="21"/>
                <w:highlight w:val="none"/>
              </w:rPr>
              <w:t xml:space="preserve">：项目具备较强的生产或销售能力，配送工作体系完备。供货时间安排合理，管理制度和配送服务方案较为完善，描述详尽，具体实施步骤和要求明确。除保证常规配送服务外，还配备有机动人员专门处理紧急事件。对配送和应急处理的响应迅速，不超过 </w:t>
            </w:r>
            <w:r>
              <w:rPr>
                <w:rFonts w:hint="eastAsia" w:ascii="宋体" w:hAnsi="宋体" w:cs="宋体"/>
                <w:b w:val="0"/>
                <w:bCs w:val="0"/>
                <w:color w:val="auto"/>
                <w:szCs w:val="21"/>
                <w:highlight w:val="none"/>
                <w:lang w:val="en-US" w:eastAsia="zh-CN"/>
              </w:rPr>
              <w:t>10</w:t>
            </w:r>
            <w:r>
              <w:rPr>
                <w:rFonts w:hint="eastAsia" w:ascii="宋体" w:hAnsi="宋体" w:eastAsia="宋体" w:cs="宋体"/>
                <w:b w:val="0"/>
                <w:bCs w:val="0"/>
                <w:color w:val="auto"/>
                <w:szCs w:val="21"/>
                <w:highlight w:val="none"/>
              </w:rPr>
              <w:t xml:space="preserve">分钟。处理紧急事件时，能在 </w:t>
            </w:r>
            <w:r>
              <w:rPr>
                <w:rFonts w:hint="eastAsia" w:ascii="宋体" w:hAnsi="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rPr>
              <w:t>0 分钟内到达现场。针对问题食材发生的紧急事件，制定了具体且有针对性的处理预案。</w:t>
            </w:r>
          </w:p>
          <w:p w14:paraId="76B02762">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color w:val="auto"/>
                <w:szCs w:val="21"/>
                <w:highlight w:val="none"/>
              </w:rPr>
              <w:t>五档（</w:t>
            </w:r>
            <w:r>
              <w:rPr>
                <w:rFonts w:hint="eastAsia" w:ascii="宋体" w:hAnsi="宋体" w:cs="宋体"/>
                <w:b/>
                <w:bCs/>
                <w:color w:val="auto"/>
                <w:szCs w:val="21"/>
                <w:highlight w:val="none"/>
                <w:lang w:val="en-US" w:eastAsia="zh-CN"/>
              </w:rPr>
              <w:t>15</w:t>
            </w:r>
            <w:r>
              <w:rPr>
                <w:rFonts w:hint="eastAsia" w:ascii="宋体" w:hAnsi="宋体" w:eastAsia="宋体" w:cs="宋体"/>
                <w:b/>
                <w:bCs/>
                <w:color w:val="auto"/>
                <w:szCs w:val="21"/>
                <w:highlight w:val="none"/>
              </w:rPr>
              <w:t>分）</w:t>
            </w:r>
            <w:r>
              <w:rPr>
                <w:rFonts w:hint="eastAsia" w:ascii="宋体" w:hAnsi="宋体" w:eastAsia="宋体" w:cs="宋体"/>
                <w:b w:val="0"/>
                <w:bCs w:val="0"/>
                <w:color w:val="auto"/>
                <w:szCs w:val="21"/>
                <w:highlight w:val="none"/>
              </w:rPr>
              <w:t xml:space="preserve">：项目生产与销售能力出众，配送工作体系成熟完备，供货时间安排合理。针对项目实际，提供全面细致、可靠的管理制度和配送服务方案，描述详尽，实施步骤和要求全面，具备较高的强针对和可行性，充分满足项目需求。问题食材紧急事件处理预案具体、全面，在保障配送服务的同时，配备充足的机动人员处理紧急事件，人员配置充足。对配送及应急处理的响应迅速，不超过 </w:t>
            </w:r>
            <w:r>
              <w:rPr>
                <w:rFonts w:hint="eastAsia" w:ascii="宋体" w:hAnsi="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rPr>
              <w:t xml:space="preserve">分钟，紧急事件现场处理时间不超 </w:t>
            </w:r>
            <w:r>
              <w:rPr>
                <w:rFonts w:hint="eastAsia" w:ascii="宋体" w:hAnsi="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0 分钟，可行性高。方案具有针对性，重点突出，预案清晰，且能根据具体情况制定全面细致的方案，确保采购食材的卫生安全等重要因素。食材配送方案方案切合招标人单位特点</w:t>
            </w:r>
            <w:r>
              <w:rPr>
                <w:rFonts w:hint="eastAsia" w:ascii="宋体" w:hAnsi="宋体" w:cs="宋体"/>
                <w:b w:val="0"/>
                <w:bCs w:val="0"/>
                <w:color w:val="auto"/>
                <w:szCs w:val="21"/>
                <w:highlight w:val="none"/>
                <w:lang w:eastAsia="zh-CN"/>
              </w:rPr>
              <w:t>。</w:t>
            </w:r>
          </w:p>
        </w:tc>
      </w:tr>
      <w:tr w14:paraId="6BA4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62" w:type="dxa"/>
            <w:vMerge w:val="continue"/>
            <w:noWrap w:val="0"/>
            <w:vAlign w:val="center"/>
          </w:tcPr>
          <w:p w14:paraId="718B979F">
            <w:pPr>
              <w:keepNext w:val="0"/>
              <w:keepLines w:val="0"/>
              <w:pageBreakBefore w:val="0"/>
              <w:kinsoku/>
              <w:overflowPunct/>
              <w:topLinePunct w:val="0"/>
              <w:autoSpaceDE/>
              <w:autoSpaceDN/>
              <w:bidi w:val="0"/>
              <w:adjustRightInd w:val="0"/>
              <w:snapToGrid w:val="0"/>
              <w:spacing w:line="360" w:lineRule="exact"/>
              <w:jc w:val="center"/>
              <w:textAlignment w:val="baseline"/>
              <w:rPr>
                <w:rFonts w:hint="eastAsia" w:ascii="宋体" w:hAnsi="宋体" w:eastAsia="宋体" w:cs="宋体"/>
                <w:color w:val="auto"/>
                <w:sz w:val="24"/>
                <w:highlight w:val="none"/>
              </w:rPr>
            </w:pPr>
          </w:p>
        </w:tc>
        <w:tc>
          <w:tcPr>
            <w:tcW w:w="1585" w:type="dxa"/>
            <w:vMerge w:val="continue"/>
            <w:noWrap w:val="0"/>
            <w:vAlign w:val="center"/>
          </w:tcPr>
          <w:p w14:paraId="01E38C5C">
            <w:pPr>
              <w:keepNext w:val="0"/>
              <w:keepLines w:val="0"/>
              <w:pageBreakBefore w:val="0"/>
              <w:kinsoku/>
              <w:overflowPunct/>
              <w:topLinePunct w:val="0"/>
              <w:autoSpaceDE/>
              <w:autoSpaceDN/>
              <w:bidi w:val="0"/>
              <w:adjustRightInd w:val="0"/>
              <w:snapToGrid w:val="0"/>
              <w:spacing w:line="360" w:lineRule="exact"/>
              <w:ind w:left="-105" w:leftChars="-50" w:right="-105" w:rightChars="-50"/>
              <w:jc w:val="center"/>
              <w:textAlignment w:val="baseline"/>
              <w:rPr>
                <w:rFonts w:hint="eastAsia" w:ascii="宋体" w:hAnsi="宋体" w:eastAsia="宋体" w:cs="宋体"/>
                <w:bCs/>
                <w:color w:val="auto"/>
                <w:kern w:val="0"/>
                <w:sz w:val="21"/>
                <w:szCs w:val="21"/>
                <w:highlight w:val="none"/>
                <w:lang w:val="en-US" w:eastAsia="zh-CN" w:bidi="ar-SA"/>
              </w:rPr>
            </w:pPr>
          </w:p>
        </w:tc>
        <w:tc>
          <w:tcPr>
            <w:tcW w:w="1520" w:type="dxa"/>
            <w:noWrap w:val="0"/>
            <w:vAlign w:val="center"/>
          </w:tcPr>
          <w:p w14:paraId="72E8AE35">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color w:val="auto"/>
                <w:szCs w:val="21"/>
                <w:highlight w:val="none"/>
              </w:rPr>
              <w:t>（2）食品安全与质量保障能力（满分</w:t>
            </w:r>
            <w:r>
              <w:rPr>
                <w:rFonts w:hint="eastAsia" w:ascii="宋体" w:hAnsi="宋体" w:cs="宋体"/>
                <w:b/>
                <w:bCs/>
                <w:color w:val="auto"/>
                <w:szCs w:val="21"/>
                <w:highlight w:val="none"/>
                <w:lang w:val="en-US" w:eastAsia="zh-CN"/>
              </w:rPr>
              <w:t>25</w:t>
            </w:r>
            <w:r>
              <w:rPr>
                <w:rFonts w:hint="eastAsia" w:ascii="宋体" w:hAnsi="宋体" w:eastAsia="宋体" w:cs="宋体"/>
                <w:b/>
                <w:bCs/>
                <w:color w:val="auto"/>
                <w:szCs w:val="21"/>
                <w:highlight w:val="none"/>
              </w:rPr>
              <w:t>分）</w:t>
            </w:r>
          </w:p>
        </w:tc>
        <w:tc>
          <w:tcPr>
            <w:tcW w:w="6096" w:type="dxa"/>
            <w:noWrap w:val="0"/>
            <w:vAlign w:val="center"/>
          </w:tcPr>
          <w:p w14:paraId="33F06A64">
            <w:pPr>
              <w:keepNext w:val="0"/>
              <w:keepLines w:val="0"/>
              <w:pageBreakBefore w:val="0"/>
              <w:widowControl w:val="0"/>
              <w:shd w:val="clear" w:color="auto" w:fill="auto"/>
              <w:kinsoku/>
              <w:wordWrap w:val="0"/>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一档（</w:t>
            </w: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rPr>
              <w:t>分）</w:t>
            </w:r>
            <w:r>
              <w:rPr>
                <w:rFonts w:hint="eastAsia" w:ascii="宋体" w:hAnsi="宋体" w:eastAsia="宋体" w:cs="宋体"/>
                <w:b w:val="0"/>
                <w:bCs w:val="0"/>
                <w:color w:val="auto"/>
                <w:szCs w:val="21"/>
                <w:highlight w:val="none"/>
              </w:rPr>
              <w:t>：进货渠道、食材控制管理、检验检疫、质量标准管控和追溯方式等方面的描述较为简略，仅达到采购文件的基本要求。</w:t>
            </w:r>
          </w:p>
          <w:p w14:paraId="189AEC76">
            <w:pPr>
              <w:keepNext w:val="0"/>
              <w:keepLines w:val="0"/>
              <w:pageBreakBefore w:val="0"/>
              <w:widowControl w:val="0"/>
              <w:shd w:val="clear" w:color="auto" w:fill="auto"/>
              <w:kinsoku/>
              <w:wordWrap w:val="0"/>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二档（</w:t>
            </w:r>
            <w:r>
              <w:rPr>
                <w:rFonts w:hint="eastAsia" w:ascii="宋体" w:hAnsi="宋体" w:cs="宋体"/>
                <w:b/>
                <w:bCs/>
                <w:color w:val="auto"/>
                <w:szCs w:val="21"/>
                <w:highlight w:val="none"/>
                <w:lang w:val="en-US" w:eastAsia="zh-CN"/>
              </w:rPr>
              <w:t>10</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：进货渠道、食材控制管理措施、检验检疫措施、食材质量标准管控措施、追溯方式等方面的描述虽清晰，然尚不全面。</w:t>
            </w:r>
          </w:p>
          <w:p w14:paraId="3926FC9C">
            <w:pPr>
              <w:keepNext w:val="0"/>
              <w:keepLines w:val="0"/>
              <w:pageBreakBefore w:val="0"/>
              <w:widowControl w:val="0"/>
              <w:shd w:val="clear" w:color="auto" w:fill="auto"/>
              <w:kinsoku/>
              <w:wordWrap w:val="0"/>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三档（</w:t>
            </w:r>
            <w:r>
              <w:rPr>
                <w:rFonts w:hint="eastAsia" w:ascii="宋体" w:hAnsi="宋体" w:cs="宋体"/>
                <w:b/>
                <w:bCs/>
                <w:color w:val="auto"/>
                <w:szCs w:val="21"/>
                <w:highlight w:val="none"/>
                <w:lang w:val="en-US" w:eastAsia="zh-CN"/>
              </w:rPr>
              <w:t>15</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w:t>
            </w:r>
            <w:r>
              <w:rPr>
                <w:rFonts w:hint="eastAsia" w:hAnsi="宋体"/>
                <w:bCs/>
                <w:color w:val="auto"/>
                <w:highlight w:val="none"/>
              </w:rPr>
              <w:t>进货采购渠道，食材控制管理措施，检验检疫措施</w:t>
            </w:r>
            <w:r>
              <w:rPr>
                <w:rFonts w:hint="eastAsia" w:hAnsi="宋体"/>
                <w:bCs/>
                <w:color w:val="auto"/>
                <w:highlight w:val="none"/>
                <w:lang w:eastAsia="zh-CN"/>
              </w:rPr>
              <w:t>、</w:t>
            </w:r>
            <w:r>
              <w:rPr>
                <w:rFonts w:hint="eastAsia" w:hAnsi="宋体"/>
                <w:bCs/>
                <w:color w:val="auto"/>
                <w:highlight w:val="none"/>
              </w:rPr>
              <w:t>食材质量安全保证措施</w:t>
            </w:r>
            <w:r>
              <w:rPr>
                <w:rFonts w:hint="eastAsia" w:hAnsi="宋体"/>
                <w:bCs/>
                <w:color w:val="auto"/>
                <w:highlight w:val="none"/>
                <w:lang w:eastAsia="zh-CN"/>
              </w:rPr>
              <w:t>、</w:t>
            </w:r>
            <w:r>
              <w:rPr>
                <w:rFonts w:hint="eastAsia" w:ascii="宋体" w:hAnsi="宋体" w:eastAsia="宋体" w:cs="宋体"/>
                <w:color w:val="auto"/>
                <w:szCs w:val="21"/>
                <w:highlight w:val="none"/>
              </w:rPr>
              <w:t>追溯方式等方面，描述</w:t>
            </w:r>
            <w:r>
              <w:rPr>
                <w:rFonts w:hint="eastAsia" w:cs="宋体"/>
                <w:color w:val="auto"/>
                <w:kern w:val="0"/>
                <w:szCs w:val="21"/>
                <w:highlight w:val="none"/>
              </w:rPr>
              <w:t>较</w:t>
            </w:r>
            <w:r>
              <w:rPr>
                <w:rFonts w:hint="eastAsia" w:ascii="宋体" w:hAnsi="宋体" w:eastAsia="宋体" w:cs="宋体"/>
                <w:color w:val="auto"/>
                <w:szCs w:val="21"/>
                <w:highlight w:val="none"/>
              </w:rPr>
              <w:t>清晰、</w:t>
            </w:r>
            <w:r>
              <w:rPr>
                <w:rFonts w:hint="eastAsia" w:hAnsi="宋体"/>
                <w:bCs/>
                <w:color w:val="auto"/>
                <w:highlight w:val="none"/>
              </w:rPr>
              <w:t>较</w:t>
            </w:r>
            <w:r>
              <w:rPr>
                <w:rFonts w:hint="eastAsia" w:ascii="宋体" w:hAnsi="宋体" w:eastAsia="宋体" w:cs="宋体"/>
                <w:color w:val="auto"/>
                <w:szCs w:val="21"/>
                <w:highlight w:val="none"/>
              </w:rPr>
              <w:t>全面、并且主动开展了检验工作。</w:t>
            </w:r>
          </w:p>
          <w:p w14:paraId="7355A16B">
            <w:pPr>
              <w:keepNext w:val="0"/>
              <w:keepLines w:val="0"/>
              <w:pageBreakBefore w:val="0"/>
              <w:widowControl w:val="0"/>
              <w:shd w:val="clear" w:color="auto" w:fill="auto"/>
              <w:kinsoku/>
              <w:wordWrap w:val="0"/>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四档（</w:t>
            </w:r>
            <w:r>
              <w:rPr>
                <w:rFonts w:hint="eastAsia" w:ascii="宋体" w:hAnsi="宋体" w:cs="宋体"/>
                <w:b/>
                <w:bCs/>
                <w:color w:val="auto"/>
                <w:szCs w:val="21"/>
                <w:highlight w:val="none"/>
                <w:lang w:val="en-US" w:eastAsia="zh-CN"/>
              </w:rPr>
              <w:t>20</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w:t>
            </w:r>
            <w:r>
              <w:rPr>
                <w:rFonts w:hint="eastAsia" w:hAnsi="宋体"/>
                <w:bCs/>
                <w:color w:val="auto"/>
                <w:highlight w:val="none"/>
              </w:rPr>
              <w:t>进货采购渠道有固定货源且货源稳定，食材控制管理措施较完善，</w:t>
            </w:r>
            <w:r>
              <w:rPr>
                <w:rFonts w:hint="eastAsia" w:cs="宋体"/>
                <w:color w:val="auto"/>
                <w:kern w:val="0"/>
                <w:szCs w:val="21"/>
                <w:highlight w:val="none"/>
              </w:rPr>
              <w:t>具备所有提供的产品为自养或自有或自种或自有批发销售点，</w:t>
            </w:r>
            <w:r>
              <w:rPr>
                <w:rFonts w:hint="eastAsia" w:hAnsi="宋体"/>
                <w:bCs/>
                <w:color w:val="auto"/>
                <w:highlight w:val="none"/>
              </w:rPr>
              <w:t>食品原料货源到运输，质量安全保证措</w:t>
            </w:r>
            <w:r>
              <w:rPr>
                <w:rFonts w:hint="eastAsia" w:cs="宋体"/>
                <w:color w:val="auto"/>
                <w:kern w:val="0"/>
                <w:szCs w:val="21"/>
                <w:highlight w:val="none"/>
              </w:rPr>
              <w:t>施有针对性，食材质量标准、追溯方式这几个方面描述较清晰</w:t>
            </w:r>
            <w:r>
              <w:rPr>
                <w:rFonts w:hint="eastAsia" w:cs="宋体"/>
                <w:color w:val="auto"/>
                <w:kern w:val="0"/>
                <w:szCs w:val="21"/>
                <w:highlight w:val="none"/>
                <w:lang w:val="en-US" w:eastAsia="zh-CN"/>
              </w:rPr>
              <w:t>全面、</w:t>
            </w:r>
            <w:r>
              <w:rPr>
                <w:rFonts w:hint="eastAsia" w:cs="宋体"/>
                <w:color w:val="auto"/>
                <w:kern w:val="0"/>
                <w:szCs w:val="21"/>
                <w:highlight w:val="none"/>
              </w:rPr>
              <w:t>检验设备、检验室、人员配备措施较全面</w:t>
            </w:r>
            <w:r>
              <w:rPr>
                <w:rFonts w:hint="eastAsia" w:ascii="宋体" w:hAnsi="宋体" w:eastAsia="宋体" w:cs="宋体"/>
                <w:color w:val="auto"/>
                <w:szCs w:val="21"/>
                <w:highlight w:val="none"/>
              </w:rPr>
              <w:t>。</w:t>
            </w:r>
          </w:p>
          <w:p w14:paraId="61EED97E">
            <w:pPr>
              <w:keepNext w:val="0"/>
              <w:keepLines w:val="0"/>
              <w:pageBreakBefore w:val="0"/>
              <w:widowControl w:val="0"/>
              <w:shd w:val="clear" w:color="auto" w:fill="auto"/>
              <w:kinsoku/>
              <w:wordWrap w:val="0"/>
              <w:overflowPunct/>
              <w:topLinePunct w:val="0"/>
              <w:autoSpaceDE/>
              <w:autoSpaceDN/>
              <w:bidi w:val="0"/>
              <w:adjustRightInd/>
              <w:snapToGrid/>
              <w:spacing w:line="340" w:lineRule="exact"/>
              <w:ind w:firstLine="422" w:firstLineChars="200"/>
              <w:jc w:val="left"/>
              <w:textAlignment w:val="auto"/>
              <w:rPr>
                <w:rFonts w:hint="eastAsia" w:ascii="宋体" w:hAnsi="宋体" w:cs="宋体"/>
                <w:color w:val="auto"/>
                <w:szCs w:val="21"/>
                <w:highlight w:val="none"/>
                <w:lang w:val="en-US" w:eastAsia="zh-CN"/>
              </w:rPr>
            </w:pPr>
            <w:r>
              <w:rPr>
                <w:rFonts w:hint="eastAsia" w:ascii="宋体" w:hAnsi="宋体" w:eastAsia="宋体" w:cs="宋体"/>
                <w:b/>
                <w:bCs/>
                <w:color w:val="auto"/>
                <w:szCs w:val="21"/>
                <w:highlight w:val="none"/>
              </w:rPr>
              <w:t>五档（</w:t>
            </w:r>
            <w:r>
              <w:rPr>
                <w:rFonts w:hint="eastAsia" w:ascii="宋体" w:hAnsi="宋体" w:cs="宋体"/>
                <w:b/>
                <w:bCs/>
                <w:color w:val="auto"/>
                <w:szCs w:val="21"/>
                <w:highlight w:val="none"/>
                <w:lang w:val="en-US" w:eastAsia="zh-CN"/>
              </w:rPr>
              <w:t>25</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w:t>
            </w:r>
            <w:r>
              <w:rPr>
                <w:rFonts w:hint="default" w:ascii="Times New Roman" w:hAnsi="Times New Roman" w:eastAsia="宋体" w:cs="宋体"/>
                <w:color w:val="auto"/>
                <w:kern w:val="0"/>
                <w:sz w:val="21"/>
                <w:szCs w:val="21"/>
                <w:lang w:bidi="ar-SA"/>
              </w:rPr>
              <w:t>采购渠道稳定，货源充足，确保所有产品源自自养、自有、自种或自有批发销售点。食品控制管理措施完备，涵盖从食品原料选择到运输的全过程，确保质量安全。拥有专业的食品安全管理员，制定的方案全面、明确、具体、科学、合理且可行。食材质量标准、追溯机制等关键信息均得到明确阐述。检验检疫措施详尽、全面</w:t>
            </w:r>
            <w:r>
              <w:rPr>
                <w:rFonts w:hint="default" w:ascii="Times New Roman" w:hAnsi="Times New Roman" w:eastAsia="宋体" w:cs="宋体"/>
                <w:b/>
                <w:bCs/>
                <w:color w:val="auto"/>
                <w:kern w:val="0"/>
                <w:sz w:val="21"/>
                <w:szCs w:val="21"/>
                <w:lang w:bidi="ar-SA"/>
              </w:rPr>
              <w:t>。</w:t>
            </w:r>
            <w:r>
              <w:rPr>
                <w:rFonts w:hint="default" w:ascii="Times New Roman" w:hAnsi="Times New Roman" w:eastAsia="宋体" w:cs="宋体"/>
                <w:color w:val="auto"/>
                <w:kern w:val="0"/>
                <w:sz w:val="21"/>
                <w:szCs w:val="21"/>
                <w:lang w:bidi="ar-SA"/>
              </w:rPr>
              <w:t>此外，公司配备完善的检验设备、检验室及专业人员。</w:t>
            </w:r>
          </w:p>
        </w:tc>
      </w:tr>
      <w:tr w14:paraId="16B7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562" w:type="dxa"/>
            <w:vMerge w:val="continue"/>
            <w:noWrap w:val="0"/>
            <w:vAlign w:val="top"/>
          </w:tcPr>
          <w:p w14:paraId="5B773133">
            <w:pPr>
              <w:keepNext w:val="0"/>
              <w:keepLines w:val="0"/>
              <w:pageBreakBefore w:val="0"/>
              <w:kinsoku/>
              <w:overflowPunct/>
              <w:topLinePunct w:val="0"/>
              <w:autoSpaceDE/>
              <w:autoSpaceDN/>
              <w:bidi w:val="0"/>
              <w:adjustRightInd w:val="0"/>
              <w:snapToGrid w:val="0"/>
              <w:spacing w:line="360" w:lineRule="exact"/>
              <w:jc w:val="center"/>
              <w:textAlignment w:val="baseline"/>
              <w:rPr>
                <w:rFonts w:hint="eastAsia" w:ascii="宋体" w:hAnsi="宋体" w:eastAsia="宋体" w:cs="宋体"/>
                <w:color w:val="auto"/>
                <w:sz w:val="24"/>
                <w:highlight w:val="none"/>
              </w:rPr>
            </w:pPr>
          </w:p>
        </w:tc>
        <w:tc>
          <w:tcPr>
            <w:tcW w:w="1585" w:type="dxa"/>
            <w:vMerge w:val="continue"/>
            <w:noWrap w:val="0"/>
            <w:vAlign w:val="top"/>
          </w:tcPr>
          <w:p w14:paraId="0FBDEBC1">
            <w:pPr>
              <w:keepNext w:val="0"/>
              <w:keepLines w:val="0"/>
              <w:pageBreakBefore w:val="0"/>
              <w:kinsoku/>
              <w:overflowPunct/>
              <w:topLinePunct w:val="0"/>
              <w:autoSpaceDE/>
              <w:autoSpaceDN/>
              <w:bidi w:val="0"/>
              <w:adjustRightInd w:val="0"/>
              <w:snapToGrid w:val="0"/>
              <w:spacing w:line="360" w:lineRule="exact"/>
              <w:jc w:val="center"/>
              <w:textAlignment w:val="baseline"/>
              <w:rPr>
                <w:rFonts w:hint="eastAsia" w:ascii="宋体" w:hAnsi="宋体" w:eastAsia="宋体" w:cs="宋体"/>
                <w:bCs/>
                <w:color w:val="auto"/>
                <w:kern w:val="0"/>
                <w:sz w:val="21"/>
                <w:szCs w:val="21"/>
                <w:highlight w:val="none"/>
                <w:lang w:val="en-US" w:eastAsia="zh-CN" w:bidi="ar-SA"/>
              </w:rPr>
            </w:pPr>
          </w:p>
        </w:tc>
        <w:tc>
          <w:tcPr>
            <w:tcW w:w="1520" w:type="dxa"/>
            <w:noWrap w:val="0"/>
            <w:tcMar>
              <w:left w:w="57" w:type="dxa"/>
              <w:right w:w="57" w:type="dxa"/>
            </w:tcMar>
            <w:vAlign w:val="center"/>
          </w:tcPr>
          <w:p w14:paraId="36F52A9E">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color w:val="auto"/>
                <w:szCs w:val="21"/>
                <w:highlight w:val="none"/>
              </w:rPr>
              <w:t>（3）服务承诺与售后服务方案（满分1</w:t>
            </w:r>
            <w:r>
              <w:rPr>
                <w:rFonts w:hint="eastAsia" w:ascii="宋体" w:hAnsi="宋体" w:eastAsia="宋体" w:cs="宋体"/>
                <w:b/>
                <w:bCs/>
                <w:color w:val="auto"/>
                <w:szCs w:val="21"/>
                <w:highlight w:val="none"/>
                <w:lang w:val="en-US" w:eastAsia="zh-CN"/>
              </w:rPr>
              <w:t>5</w:t>
            </w:r>
            <w:r>
              <w:rPr>
                <w:rFonts w:hint="eastAsia" w:ascii="宋体" w:hAnsi="宋体" w:eastAsia="宋体" w:cs="宋体"/>
                <w:b/>
                <w:bCs/>
                <w:color w:val="auto"/>
                <w:szCs w:val="21"/>
                <w:highlight w:val="none"/>
              </w:rPr>
              <w:t>分）</w:t>
            </w:r>
          </w:p>
        </w:tc>
        <w:tc>
          <w:tcPr>
            <w:tcW w:w="6096" w:type="dxa"/>
            <w:noWrap w:val="0"/>
            <w:vAlign w:val="center"/>
          </w:tcPr>
          <w:p w14:paraId="44E4B883">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一档（</w:t>
            </w: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 xml:space="preserve">：承诺退换完成时间超过 </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 xml:space="preserve"> 小时，售后服务承诺仅具备基础性，服务承诺内容单一、浅显。</w:t>
            </w:r>
          </w:p>
          <w:p w14:paraId="7AAC2A19">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二档（</w:t>
            </w:r>
            <w:r>
              <w:rPr>
                <w:rFonts w:hint="eastAsia" w:ascii="宋体" w:hAnsi="宋体" w:eastAsia="宋体" w:cs="宋体"/>
                <w:b/>
                <w:bCs/>
                <w:color w:val="auto"/>
                <w:szCs w:val="21"/>
                <w:highlight w:val="none"/>
                <w:lang w:val="en-US" w:eastAsia="zh-CN"/>
              </w:rPr>
              <w:t>6</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承诺退换完成时间在 </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小时以内，但服务承诺、措施以及后期服务承诺缺乏针对性。</w:t>
            </w:r>
            <w:r>
              <w:rPr>
                <w:rFonts w:hint="eastAsia" w:ascii="宋体" w:hAnsi="宋体" w:eastAsia="宋体" w:cs="宋体"/>
                <w:color w:val="auto"/>
                <w:szCs w:val="21"/>
                <w:highlight w:val="none"/>
              </w:rPr>
              <w:t xml:space="preserve"> </w:t>
            </w:r>
          </w:p>
          <w:p w14:paraId="6B4BCE40">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三档（</w:t>
            </w:r>
            <w:r>
              <w:rPr>
                <w:rFonts w:hint="eastAsia" w:ascii="宋体" w:hAnsi="宋体" w:eastAsia="宋体" w:cs="宋体"/>
                <w:b/>
                <w:bCs/>
                <w:color w:val="auto"/>
                <w:szCs w:val="21"/>
                <w:highlight w:val="none"/>
                <w:lang w:val="en-US" w:eastAsia="zh-CN"/>
              </w:rPr>
              <w:t>9</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 xml:space="preserve">：承诺退换完成时间在 </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 xml:space="preserve"> 小时以内，且服务承诺、措施切实可行，后期服务承诺响应迅速，能够满足项目需求。</w:t>
            </w:r>
          </w:p>
          <w:p w14:paraId="1B53CC45">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四档（</w:t>
            </w:r>
            <w:r>
              <w:rPr>
                <w:rFonts w:hint="eastAsia" w:ascii="宋体" w:hAnsi="宋体" w:eastAsia="宋体" w:cs="宋体"/>
                <w:b/>
                <w:bCs/>
                <w:color w:val="auto"/>
                <w:szCs w:val="21"/>
                <w:highlight w:val="none"/>
                <w:lang w:val="en-US" w:eastAsia="zh-CN"/>
              </w:rPr>
              <w:t>12</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 xml:space="preserve">：对于紧急事件的处理预案内容详细全面，承诺退换时间在 </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 xml:space="preserve"> 小时以内，具有健全、详细的服务承诺和多种有效的后期售后服务方式，并明确如何确保退换的货物符合</w:t>
            </w:r>
            <w:r>
              <w:rPr>
                <w:rFonts w:hint="eastAsia" w:ascii="宋体" w:hAnsi="宋体" w:cs="宋体"/>
                <w:color w:val="auto"/>
                <w:szCs w:val="21"/>
                <w:highlight w:val="none"/>
                <w:lang w:eastAsia="zh-CN"/>
              </w:rPr>
              <w:t>采购单位</w:t>
            </w:r>
            <w:r>
              <w:rPr>
                <w:rFonts w:hint="eastAsia" w:ascii="宋体" w:hAnsi="宋体" w:eastAsia="宋体" w:cs="宋体"/>
                <w:color w:val="auto"/>
                <w:szCs w:val="21"/>
                <w:highlight w:val="none"/>
              </w:rPr>
              <w:t>需求。</w:t>
            </w:r>
          </w:p>
          <w:p w14:paraId="22E05D98">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color w:val="auto"/>
                <w:szCs w:val="21"/>
                <w:highlight w:val="none"/>
              </w:rPr>
              <w:t>五档（1</w:t>
            </w:r>
            <w:r>
              <w:rPr>
                <w:rFonts w:hint="eastAsia" w:ascii="宋体" w:hAnsi="宋体" w:eastAsia="宋体" w:cs="宋体"/>
                <w:b/>
                <w:bCs/>
                <w:color w:val="auto"/>
                <w:szCs w:val="21"/>
                <w:highlight w:val="none"/>
                <w:lang w:val="en-US" w:eastAsia="zh-CN"/>
              </w:rPr>
              <w:t>5</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w:t>
            </w:r>
            <w:r>
              <w:rPr>
                <w:rFonts w:hint="eastAsia" w:ascii="宋体" w:hAnsi="宋体"/>
                <w:bCs/>
                <w:color w:val="auto"/>
                <w:szCs w:val="20"/>
                <w:highlight w:val="none"/>
              </w:rPr>
              <w:t>满足</w:t>
            </w:r>
            <w:r>
              <w:rPr>
                <w:rFonts w:hint="eastAsia" w:ascii="宋体" w:hAnsi="宋体"/>
                <w:bCs/>
                <w:color w:val="auto"/>
                <w:szCs w:val="20"/>
                <w:highlight w:val="none"/>
                <w:lang w:val="en-US" w:eastAsia="zh-CN"/>
              </w:rPr>
              <w:t>上一</w:t>
            </w:r>
            <w:r>
              <w:rPr>
                <w:rFonts w:hint="eastAsia" w:ascii="宋体" w:hAnsi="宋体"/>
                <w:bCs/>
                <w:color w:val="auto"/>
                <w:szCs w:val="20"/>
                <w:highlight w:val="none"/>
              </w:rPr>
              <w:t>档的基础上，</w:t>
            </w:r>
            <w:r>
              <w:rPr>
                <w:rFonts w:hint="eastAsia" w:ascii="宋体" w:hAnsi="宋体" w:eastAsia="宋体" w:cs="宋体"/>
                <w:color w:val="auto"/>
                <w:szCs w:val="21"/>
                <w:highlight w:val="none"/>
              </w:rPr>
              <w:t xml:space="preserve">且承诺退换完成时间在 </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 xml:space="preserve"> 小时以内。</w:t>
            </w:r>
            <w:r>
              <w:rPr>
                <w:rFonts w:hint="eastAsia" w:ascii="宋体" w:hAnsi="宋体"/>
                <w:bCs/>
                <w:color w:val="auto"/>
                <w:szCs w:val="20"/>
                <w:highlight w:val="none"/>
              </w:rPr>
              <w:t>对因货物出现问题，而发生紧急事件处理预案内容具体、全面，有健全、详细的服务承诺、后期售后服务方式多样有效，措施得力，能满足项目需求，包括售后服务监督和回访管理、台账管理、售后服务管理及售后服务措施（含对问题物料的处理及特殊</w:t>
            </w:r>
            <w:r>
              <w:rPr>
                <w:rFonts w:hint="eastAsia" w:hAnsi="宋体"/>
                <w:bCs/>
                <w:color w:val="auto"/>
                <w:highlight w:val="none"/>
              </w:rPr>
              <w:t>情况的应急预案），明确如何确保退换的货物符合</w:t>
            </w:r>
            <w:r>
              <w:rPr>
                <w:rFonts w:hint="eastAsia" w:hAnsi="宋体"/>
                <w:bCs/>
                <w:color w:val="auto"/>
                <w:highlight w:val="none"/>
                <w:lang w:eastAsia="zh-CN"/>
              </w:rPr>
              <w:t>采购单位</w:t>
            </w:r>
            <w:r>
              <w:rPr>
                <w:rFonts w:hint="eastAsia" w:hAnsi="宋体"/>
                <w:bCs/>
                <w:color w:val="auto"/>
                <w:highlight w:val="none"/>
              </w:rPr>
              <w:t>需求，有固定的售后服务团队，配备专门人员为业主提供服务。</w:t>
            </w:r>
          </w:p>
        </w:tc>
      </w:tr>
      <w:tr w14:paraId="2A3C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562" w:type="dxa"/>
            <w:noWrap w:val="0"/>
            <w:vAlign w:val="center"/>
          </w:tcPr>
          <w:p w14:paraId="15CD748C">
            <w:pPr>
              <w:keepNext w:val="0"/>
              <w:keepLines w:val="0"/>
              <w:pageBreakBefore w:val="0"/>
              <w:kinsoku/>
              <w:overflowPunct/>
              <w:topLinePunct w:val="0"/>
              <w:autoSpaceDE/>
              <w:autoSpaceDN/>
              <w:bidi w:val="0"/>
              <w:adjustRightInd w:val="0"/>
              <w:snapToGrid w:val="0"/>
              <w:spacing w:line="360" w:lineRule="exact"/>
              <w:jc w:val="center"/>
              <w:textAlignment w:val="baseline"/>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1585" w:type="dxa"/>
            <w:noWrap w:val="0"/>
            <w:vAlign w:val="center"/>
          </w:tcPr>
          <w:p w14:paraId="2DC2F8D2">
            <w:pPr>
              <w:keepNext w:val="0"/>
              <w:keepLines w:val="0"/>
              <w:pageBreakBefore w:val="0"/>
              <w:kinsoku/>
              <w:overflowPunct/>
              <w:topLinePunct w:val="0"/>
              <w:autoSpaceDE/>
              <w:autoSpaceDN/>
              <w:bidi w:val="0"/>
              <w:adjustRightInd w:val="0"/>
              <w:snapToGrid w:val="0"/>
              <w:spacing w:line="360" w:lineRule="exact"/>
              <w:ind w:left="-105" w:leftChars="-50" w:right="-105" w:rightChars="-50"/>
              <w:jc w:val="center"/>
              <w:textAlignment w:val="baseline"/>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color w:val="auto"/>
                <w:szCs w:val="21"/>
                <w:highlight w:val="none"/>
              </w:rPr>
              <w:t>管理制度分</w:t>
            </w:r>
          </w:p>
          <w:p w14:paraId="1BBD409E">
            <w:pPr>
              <w:keepNext w:val="0"/>
              <w:keepLines w:val="0"/>
              <w:pageBreakBefore w:val="0"/>
              <w:kinsoku/>
              <w:overflowPunct/>
              <w:topLinePunct w:val="0"/>
              <w:autoSpaceDE/>
              <w:autoSpaceDN/>
              <w:bidi w:val="0"/>
              <w:adjustRightInd w:val="0"/>
              <w:snapToGrid w:val="0"/>
              <w:spacing w:line="360" w:lineRule="exact"/>
              <w:jc w:val="center"/>
              <w:textAlignment w:val="baseline"/>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（满分</w:t>
            </w:r>
            <w:r>
              <w:rPr>
                <w:rFonts w:hint="eastAsia" w:ascii="宋体" w:hAnsi="宋体" w:eastAsia="宋体" w:cs="宋体"/>
                <w:bCs/>
                <w:color w:val="auto"/>
                <w:kern w:val="0"/>
                <w:sz w:val="21"/>
                <w:szCs w:val="21"/>
                <w:highlight w:val="none"/>
                <w:u w:val="single"/>
                <w:lang w:val="en-US" w:eastAsia="zh-CN" w:bidi="ar-SA"/>
              </w:rPr>
              <w:t xml:space="preserve"> </w:t>
            </w:r>
            <w:r>
              <w:rPr>
                <w:rFonts w:hint="eastAsia" w:ascii="宋体" w:hAnsi="宋体" w:cs="宋体"/>
                <w:bCs/>
                <w:color w:val="auto"/>
                <w:kern w:val="0"/>
                <w:sz w:val="21"/>
                <w:szCs w:val="21"/>
                <w:highlight w:val="none"/>
                <w:u w:val="single"/>
                <w:lang w:val="en-US" w:eastAsia="zh-CN" w:bidi="ar-SA"/>
              </w:rPr>
              <w:t>10</w:t>
            </w:r>
            <w:r>
              <w:rPr>
                <w:rFonts w:hint="eastAsia" w:ascii="宋体" w:hAnsi="宋体" w:eastAsia="宋体" w:cs="宋体"/>
                <w:bCs/>
                <w:color w:val="auto"/>
                <w:kern w:val="0"/>
                <w:sz w:val="21"/>
                <w:szCs w:val="21"/>
                <w:highlight w:val="none"/>
                <w:u w:val="single"/>
                <w:lang w:val="en-US" w:eastAsia="zh-CN" w:bidi="ar-SA"/>
              </w:rPr>
              <w:t xml:space="preserve"> </w:t>
            </w:r>
            <w:r>
              <w:rPr>
                <w:rFonts w:hint="eastAsia" w:ascii="宋体" w:hAnsi="宋体" w:eastAsia="宋体" w:cs="宋体"/>
                <w:bCs/>
                <w:color w:val="auto"/>
                <w:kern w:val="0"/>
                <w:sz w:val="21"/>
                <w:szCs w:val="21"/>
                <w:highlight w:val="none"/>
                <w:lang w:val="en-US" w:eastAsia="zh-CN" w:bidi="ar-SA"/>
              </w:rPr>
              <w:t>分）</w:t>
            </w:r>
          </w:p>
        </w:tc>
        <w:tc>
          <w:tcPr>
            <w:tcW w:w="1520" w:type="dxa"/>
            <w:noWrap w:val="0"/>
            <w:tcMar>
              <w:left w:w="57" w:type="dxa"/>
              <w:right w:w="57" w:type="dxa"/>
            </w:tcMar>
            <w:vAlign w:val="center"/>
          </w:tcPr>
          <w:p w14:paraId="1A36023C">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管理制度分</w:t>
            </w:r>
          </w:p>
          <w:p w14:paraId="5548ED61">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（满分</w:t>
            </w:r>
            <w:r>
              <w:rPr>
                <w:rFonts w:hint="eastAsia" w:ascii="宋体" w:hAnsi="宋体" w:cs="宋体"/>
                <w:b/>
                <w:bCs/>
                <w:color w:val="auto"/>
                <w:szCs w:val="21"/>
                <w:highlight w:val="none"/>
                <w:lang w:val="en-US" w:eastAsia="zh-CN"/>
              </w:rPr>
              <w:t>10</w:t>
            </w:r>
            <w:r>
              <w:rPr>
                <w:rFonts w:hint="eastAsia" w:ascii="宋体" w:hAnsi="宋体" w:eastAsia="宋体" w:cs="宋体"/>
                <w:b/>
                <w:bCs/>
                <w:color w:val="auto"/>
                <w:szCs w:val="21"/>
                <w:highlight w:val="none"/>
              </w:rPr>
              <w:t>分）</w:t>
            </w:r>
          </w:p>
        </w:tc>
        <w:tc>
          <w:tcPr>
            <w:tcW w:w="6096" w:type="dxa"/>
            <w:noWrap w:val="0"/>
            <w:vAlign w:val="center"/>
          </w:tcPr>
          <w:p w14:paraId="1D40EC39">
            <w:pPr>
              <w:keepNext w:val="0"/>
              <w:keepLines w:val="0"/>
              <w:pageBreakBefore w:val="0"/>
              <w:widowControl/>
              <w:kinsoku/>
              <w:overflowPunct/>
              <w:topLinePunct w:val="0"/>
              <w:autoSpaceDE/>
              <w:autoSpaceDN/>
              <w:bidi w:val="0"/>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管理制度主要内容包含但不仅限于以下内容：①《食品卫生、食品质量检验制度》 ；②《消费投诉处理和食品卫生安全承诺制度》 ；③《食品准入台账登记制度》 ；④《卫生知识培训制度》 ；⑤《食品留样管理制度》 ；⑥《从业人员健康制度》 ；⑦《财务管理制度》。</w:t>
            </w:r>
          </w:p>
          <w:p w14:paraId="1F6C0AF1">
            <w:pPr>
              <w:keepNext w:val="0"/>
              <w:keepLines w:val="0"/>
              <w:pageBreakBefore w:val="0"/>
              <w:widowControl/>
              <w:kinsoku/>
              <w:overflowPunct/>
              <w:topLinePunct w:val="0"/>
              <w:autoSpaceDE/>
              <w:autoSpaceDN/>
              <w:bidi w:val="0"/>
              <w:snapToGrid w:val="0"/>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一档（</w:t>
            </w:r>
            <w:r>
              <w:rPr>
                <w:rFonts w:hint="eastAsia" w:ascii="宋体" w:hAnsi="宋体" w:cs="宋体"/>
                <w:b/>
                <w:bCs/>
                <w:color w:val="auto"/>
                <w:szCs w:val="21"/>
                <w:highlight w:val="none"/>
                <w:lang w:val="en-US" w:eastAsia="zh-CN"/>
              </w:rPr>
              <w:t>4</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：供应商缺乏管理制度方案或管理制度不完备。</w:t>
            </w:r>
          </w:p>
          <w:p w14:paraId="4ABF91A8">
            <w:pPr>
              <w:keepNext w:val="0"/>
              <w:keepLines w:val="0"/>
              <w:pageBreakBefore w:val="0"/>
              <w:widowControl/>
              <w:kinsoku/>
              <w:overflowPunct/>
              <w:topLinePunct w:val="0"/>
              <w:autoSpaceDE/>
              <w:autoSpaceDN/>
              <w:bidi w:val="0"/>
              <w:snapToGrid w:val="0"/>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二档（6分）</w:t>
            </w:r>
            <w:r>
              <w:rPr>
                <w:rFonts w:hint="eastAsia" w:ascii="宋体" w:hAnsi="宋体" w:eastAsia="宋体" w:cs="宋体"/>
                <w:color w:val="auto"/>
                <w:szCs w:val="21"/>
                <w:highlight w:val="none"/>
              </w:rPr>
              <w:t>：供应商具备完整的管理制度，但描述较为简略。</w:t>
            </w:r>
          </w:p>
          <w:p w14:paraId="15A458D3">
            <w:pPr>
              <w:keepNext w:val="0"/>
              <w:keepLines w:val="0"/>
              <w:pageBreakBefore w:val="0"/>
              <w:widowControl/>
              <w:kinsoku/>
              <w:overflowPunct/>
              <w:topLinePunct w:val="0"/>
              <w:autoSpaceDE/>
              <w:autoSpaceDN/>
              <w:bidi w:val="0"/>
              <w:snapToGrid w:val="0"/>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三档（</w:t>
            </w:r>
            <w:r>
              <w:rPr>
                <w:rFonts w:hint="eastAsia" w:ascii="宋体" w:hAnsi="宋体" w:cs="宋体"/>
                <w:b/>
                <w:bCs/>
                <w:color w:val="auto"/>
                <w:szCs w:val="21"/>
                <w:highlight w:val="none"/>
                <w:lang w:val="en-US" w:eastAsia="zh-CN"/>
              </w:rPr>
              <w:t>8</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：供应商管理制度完备，且描述较为清晰明确。</w:t>
            </w:r>
          </w:p>
          <w:p w14:paraId="508C8DD2">
            <w:pPr>
              <w:keepNext w:val="0"/>
              <w:keepLines w:val="0"/>
              <w:pageBreakBefore w:val="0"/>
              <w:widowControl/>
              <w:kinsoku/>
              <w:overflowPunct/>
              <w:topLinePunct w:val="0"/>
              <w:autoSpaceDE/>
              <w:autoSpaceDN/>
              <w:bidi w:val="0"/>
              <w:snapToGrid w:val="0"/>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四档（1</w:t>
            </w:r>
            <w:r>
              <w:rPr>
                <w:rFonts w:hint="eastAsia" w:ascii="宋体" w:hAnsi="宋体" w:cs="宋体"/>
                <w:b/>
                <w:bCs/>
                <w:color w:val="auto"/>
                <w:szCs w:val="21"/>
                <w:highlight w:val="none"/>
                <w:lang w:val="en-US" w:eastAsia="zh-CN"/>
              </w:rPr>
              <w:t>0</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：供应商管理制度完善，描述清晰详尽，且有根据供应商内部管理和项目实际情况制定的各项专项管理制度。</w:t>
            </w:r>
          </w:p>
        </w:tc>
      </w:tr>
      <w:tr w14:paraId="2E61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62" w:type="dxa"/>
            <w:vMerge w:val="restart"/>
            <w:noWrap w:val="0"/>
            <w:vAlign w:val="center"/>
          </w:tcPr>
          <w:p w14:paraId="6C7DAF1F">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1585" w:type="dxa"/>
            <w:vMerge w:val="restart"/>
            <w:noWrap w:val="0"/>
            <w:vAlign w:val="center"/>
          </w:tcPr>
          <w:p w14:paraId="6B559DF3">
            <w:pPr>
              <w:keepNext w:val="0"/>
              <w:keepLines w:val="0"/>
              <w:pageBreakBefore w:val="0"/>
              <w:kinsoku/>
              <w:overflowPunct/>
              <w:topLinePunct w:val="0"/>
              <w:autoSpaceDE/>
              <w:autoSpaceDN/>
              <w:bidi w:val="0"/>
              <w:adjustRightInd w:val="0"/>
              <w:snapToGrid w:val="0"/>
              <w:spacing w:line="360" w:lineRule="exact"/>
              <w:ind w:left="-105" w:leftChars="-50" w:right="-105" w:rightChars="-50"/>
              <w:jc w:val="center"/>
              <w:textAlignment w:val="baseline"/>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color w:val="auto"/>
                <w:szCs w:val="21"/>
                <w:highlight w:val="none"/>
              </w:rPr>
              <w:t>企业综合实力分</w:t>
            </w:r>
          </w:p>
          <w:p w14:paraId="35FD1409">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（满分</w:t>
            </w:r>
            <w:r>
              <w:rPr>
                <w:rFonts w:hint="eastAsia" w:ascii="宋体" w:hAnsi="宋体" w:eastAsia="宋体" w:cs="宋体"/>
                <w:bCs/>
                <w:color w:val="auto"/>
                <w:kern w:val="0"/>
                <w:sz w:val="21"/>
                <w:szCs w:val="21"/>
                <w:highlight w:val="none"/>
                <w:u w:val="single"/>
                <w:lang w:val="en-US" w:eastAsia="zh-CN" w:bidi="ar-SA"/>
              </w:rPr>
              <w:t xml:space="preserve"> </w:t>
            </w:r>
            <w:r>
              <w:rPr>
                <w:rFonts w:hint="eastAsia" w:ascii="宋体" w:hAnsi="宋体" w:cs="宋体"/>
                <w:bCs/>
                <w:color w:val="auto"/>
                <w:kern w:val="0"/>
                <w:sz w:val="21"/>
                <w:szCs w:val="21"/>
                <w:highlight w:val="none"/>
                <w:u w:val="single"/>
                <w:lang w:val="en-US" w:eastAsia="zh-CN" w:bidi="ar-SA"/>
              </w:rPr>
              <w:t>25</w:t>
            </w:r>
            <w:r>
              <w:rPr>
                <w:rFonts w:hint="eastAsia" w:ascii="宋体" w:hAnsi="宋体" w:eastAsia="宋体" w:cs="宋体"/>
                <w:bCs/>
                <w:color w:val="auto"/>
                <w:kern w:val="0"/>
                <w:sz w:val="21"/>
                <w:szCs w:val="21"/>
                <w:highlight w:val="none"/>
                <w:u w:val="single"/>
                <w:lang w:val="en-US" w:eastAsia="zh-CN" w:bidi="ar-SA"/>
              </w:rPr>
              <w:t xml:space="preserve"> </w:t>
            </w:r>
            <w:r>
              <w:rPr>
                <w:rFonts w:hint="eastAsia" w:ascii="宋体" w:hAnsi="宋体" w:eastAsia="宋体" w:cs="宋体"/>
                <w:bCs/>
                <w:color w:val="auto"/>
                <w:kern w:val="0"/>
                <w:sz w:val="21"/>
                <w:szCs w:val="21"/>
                <w:highlight w:val="none"/>
                <w:lang w:val="en-US" w:eastAsia="zh-CN" w:bidi="ar-SA"/>
              </w:rPr>
              <w:t>分）</w:t>
            </w:r>
          </w:p>
        </w:tc>
        <w:tc>
          <w:tcPr>
            <w:tcW w:w="1520" w:type="dxa"/>
            <w:noWrap w:val="0"/>
            <w:vAlign w:val="center"/>
          </w:tcPr>
          <w:p w14:paraId="06297CB2">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color w:val="auto"/>
                <w:szCs w:val="21"/>
                <w:highlight w:val="none"/>
              </w:rPr>
              <w:t>（1）配送能力（</w:t>
            </w:r>
            <w:r>
              <w:rPr>
                <w:rFonts w:hint="eastAsia" w:ascii="宋体" w:hAnsi="宋体" w:eastAsia="宋体" w:cs="宋体"/>
                <w:b/>
                <w:bCs/>
                <w:color w:val="auto"/>
                <w:szCs w:val="21"/>
                <w:highlight w:val="none"/>
                <w:lang w:eastAsia="zh-CN"/>
              </w:rPr>
              <w:t>满分</w:t>
            </w:r>
            <w:r>
              <w:rPr>
                <w:rFonts w:hint="eastAsia" w:ascii="宋体" w:hAnsi="宋体" w:eastAsia="宋体" w:cs="宋体"/>
                <w:b/>
                <w:bCs/>
                <w:color w:val="auto"/>
                <w:szCs w:val="21"/>
                <w:highlight w:val="none"/>
                <w:lang w:val="en-US" w:eastAsia="zh-CN"/>
              </w:rPr>
              <w:t>6</w:t>
            </w:r>
            <w:r>
              <w:rPr>
                <w:rFonts w:hint="eastAsia" w:ascii="宋体" w:hAnsi="宋体" w:eastAsia="宋体" w:cs="宋体"/>
                <w:b/>
                <w:bCs/>
                <w:color w:val="auto"/>
                <w:szCs w:val="21"/>
                <w:highlight w:val="none"/>
              </w:rPr>
              <w:t>分）</w:t>
            </w:r>
          </w:p>
        </w:tc>
        <w:tc>
          <w:tcPr>
            <w:tcW w:w="6096" w:type="dxa"/>
            <w:noWrap w:val="0"/>
            <w:vAlign w:val="top"/>
          </w:tcPr>
          <w:p w14:paraId="5925CAA8">
            <w:pPr>
              <w:keepNext w:val="0"/>
              <w:keepLines w:val="0"/>
              <w:pageBreakBefore w:val="0"/>
              <w:shd w:val="clear" w:color="auto" w:fill="auto"/>
              <w:kinsoku/>
              <w:wordWrap w:val="0"/>
              <w:overflowPunct/>
              <w:topLinePunct w:val="0"/>
              <w:autoSpaceDE/>
              <w:autoSpaceDN/>
              <w:bidi w:val="0"/>
              <w:spacing w:line="360" w:lineRule="exact"/>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在满足</w:t>
            </w:r>
            <w:r>
              <w:rPr>
                <w:rFonts w:hint="eastAsia" w:ascii="宋体" w:hAnsi="宋体" w:cs="宋体"/>
                <w:color w:val="auto"/>
                <w:szCs w:val="21"/>
                <w:highlight w:val="none"/>
                <w:lang w:val="en-US" w:eastAsia="zh-CN"/>
              </w:rPr>
              <w:t>至少1辆专业</w:t>
            </w:r>
            <w:r>
              <w:rPr>
                <w:rFonts w:hint="eastAsia" w:ascii="宋体" w:hAnsi="宋体" w:eastAsia="宋体" w:cs="宋体"/>
                <w:color w:val="auto"/>
                <w:szCs w:val="21"/>
                <w:highlight w:val="none"/>
              </w:rPr>
              <w:t>冷藏厢式</w:t>
            </w:r>
            <w:r>
              <w:rPr>
                <w:rFonts w:hint="eastAsia" w:ascii="宋体" w:hAnsi="宋体" w:cs="宋体"/>
                <w:color w:val="auto"/>
                <w:szCs w:val="21"/>
                <w:highlight w:val="none"/>
                <w:lang w:val="en-US" w:eastAsia="zh-CN"/>
              </w:rPr>
              <w:t>配送车的</w:t>
            </w:r>
            <w:r>
              <w:rPr>
                <w:rFonts w:hint="eastAsia" w:ascii="宋体" w:hAnsi="宋体" w:eastAsia="宋体" w:cs="宋体"/>
                <w:color w:val="auto"/>
                <w:szCs w:val="21"/>
                <w:highlight w:val="none"/>
                <w:lang w:eastAsia="zh-CN"/>
              </w:rPr>
              <w:t>基础上，投标人</w:t>
            </w:r>
            <w:r>
              <w:rPr>
                <w:rFonts w:hint="eastAsia" w:ascii="宋体" w:hAnsi="宋体" w:eastAsia="宋体" w:cs="宋体"/>
                <w:color w:val="auto"/>
                <w:szCs w:val="21"/>
                <w:highlight w:val="none"/>
              </w:rPr>
              <w:t>每增加1辆</w:t>
            </w:r>
            <w:r>
              <w:rPr>
                <w:rFonts w:hint="eastAsia" w:ascii="宋体" w:hAnsi="宋体" w:eastAsia="宋体" w:cs="宋体"/>
                <w:color w:val="auto"/>
                <w:szCs w:val="21"/>
                <w:highlight w:val="none"/>
                <w:lang w:eastAsia="zh-CN"/>
              </w:rPr>
              <w:t>自有或租赁</w:t>
            </w:r>
            <w:r>
              <w:rPr>
                <w:rFonts w:hint="eastAsia" w:ascii="宋体" w:hAnsi="宋体" w:eastAsia="宋体" w:cs="宋体"/>
                <w:color w:val="auto"/>
                <w:szCs w:val="21"/>
                <w:highlight w:val="none"/>
              </w:rPr>
              <w:t>冷藏厢式货车</w:t>
            </w:r>
            <w:r>
              <w:rPr>
                <w:rFonts w:hint="eastAsia" w:ascii="宋体" w:hAnsi="宋体" w:eastAsia="宋体" w:cs="宋体"/>
                <w:color w:val="auto"/>
                <w:szCs w:val="21"/>
                <w:highlight w:val="none"/>
                <w:lang w:eastAsia="zh-CN"/>
              </w:rPr>
              <w:t>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lang w:eastAsia="zh-CN"/>
              </w:rPr>
              <w:t>，每增加</w:t>
            </w:r>
            <w:r>
              <w:rPr>
                <w:rFonts w:hint="eastAsia" w:ascii="宋体" w:hAnsi="宋体" w:eastAsia="宋体" w:cs="宋体"/>
                <w:color w:val="auto"/>
                <w:szCs w:val="21"/>
                <w:highlight w:val="none"/>
              </w:rPr>
              <w:t>1辆普通货车得</w:t>
            </w:r>
            <w:r>
              <w:rPr>
                <w:rFonts w:hint="eastAsia" w:ascii="宋体" w:hAnsi="宋体" w:cs="宋体"/>
                <w:color w:val="auto"/>
                <w:szCs w:val="21"/>
                <w:highlight w:val="none"/>
                <w:lang w:val="en-US" w:eastAsia="zh-CN"/>
              </w:rPr>
              <w:t>0.5</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此项满分</w:t>
            </w:r>
            <w:r>
              <w:rPr>
                <w:rFonts w:hint="eastAsia" w:ascii="宋体" w:hAnsi="宋体" w:eastAsia="宋体" w:cs="宋体"/>
                <w:color w:val="auto"/>
                <w:szCs w:val="21"/>
                <w:highlight w:val="none"/>
                <w:lang w:val="en-US" w:eastAsia="zh-CN"/>
              </w:rPr>
              <w:t>6分。</w:t>
            </w:r>
          </w:p>
          <w:p w14:paraId="1FE84349">
            <w:pPr>
              <w:keepNext w:val="0"/>
              <w:keepLines w:val="0"/>
              <w:pageBreakBefore w:val="0"/>
              <w:shd w:val="clear" w:color="auto" w:fill="auto"/>
              <w:kinsoku/>
              <w:wordWrap w:val="0"/>
              <w:overflowPunct/>
              <w:topLinePunct w:val="0"/>
              <w:autoSpaceDE/>
              <w:autoSpaceDN/>
              <w:bidi w:val="0"/>
              <w:spacing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注：【自有车辆必须提供车辆行驶证或购买车辆发票（车辆所有人为</w:t>
            </w:r>
            <w:r>
              <w:rPr>
                <w:rFonts w:hint="eastAsia" w:ascii="宋体" w:hAnsi="宋体" w:eastAsia="宋体" w:cs="宋体"/>
                <w:color w:val="auto"/>
                <w:szCs w:val="21"/>
                <w:highlight w:val="none"/>
                <w:lang w:eastAsia="zh-CN"/>
              </w:rPr>
              <w:t>法定代表人</w:t>
            </w:r>
            <w:r>
              <w:rPr>
                <w:rFonts w:hint="eastAsia" w:ascii="宋体" w:hAnsi="宋体" w:eastAsia="宋体" w:cs="宋体"/>
                <w:color w:val="auto"/>
                <w:szCs w:val="21"/>
                <w:highlight w:val="none"/>
              </w:rPr>
              <w:t>名字或投标单位名字）复印件，并提供车辆正面、侧面、后面</w:t>
            </w:r>
            <w:r>
              <w:rPr>
                <w:rFonts w:hint="eastAsia" w:ascii="宋体" w:hAnsi="宋体" w:eastAsia="宋体" w:cs="宋体"/>
                <w:color w:val="auto"/>
                <w:kern w:val="2"/>
                <w:sz w:val="21"/>
                <w:szCs w:val="21"/>
                <w:highlight w:val="none"/>
                <w:lang w:val="en-US" w:eastAsia="zh-CN" w:bidi="ar-SA"/>
              </w:rPr>
              <w:t>实拍照片</w:t>
            </w:r>
            <w:r>
              <w:rPr>
                <w:rFonts w:hint="eastAsia" w:ascii="宋体" w:hAnsi="宋体" w:eastAsia="宋体" w:cs="宋体"/>
                <w:color w:val="auto"/>
                <w:szCs w:val="21"/>
                <w:highlight w:val="none"/>
              </w:rPr>
              <w:t>且清晰可辨等</w:t>
            </w:r>
            <w:r>
              <w:rPr>
                <w:rFonts w:hint="eastAsia" w:ascii="宋体" w:hAnsi="宋体" w:eastAsia="宋体" w:cs="宋体"/>
                <w:color w:val="auto"/>
                <w:szCs w:val="21"/>
                <w:highlight w:val="none"/>
                <w:lang w:eastAsia="zh-CN"/>
              </w:rPr>
              <w:t>证明</w:t>
            </w:r>
            <w:r>
              <w:rPr>
                <w:rFonts w:hint="eastAsia" w:ascii="宋体" w:hAnsi="宋体" w:eastAsia="宋体" w:cs="宋体"/>
                <w:color w:val="auto"/>
                <w:szCs w:val="21"/>
                <w:highlight w:val="none"/>
              </w:rPr>
              <w:t>文件】；【租赁车辆必须提供行驶证或购买发票（所有人为出租方）及租赁合同复印件（租车时必须提供，租赁期须包含本项目服务期），并提供车辆正面、侧面、后面</w:t>
            </w:r>
            <w:r>
              <w:rPr>
                <w:rFonts w:hint="eastAsia" w:ascii="宋体" w:hAnsi="宋体" w:cs="宋体"/>
                <w:color w:val="auto"/>
                <w:kern w:val="2"/>
                <w:sz w:val="21"/>
                <w:szCs w:val="21"/>
                <w:highlight w:val="none"/>
                <w:lang w:val="en-US" w:eastAsia="zh-CN" w:bidi="ar-SA"/>
              </w:rPr>
              <w:t>车辆</w:t>
            </w:r>
            <w:r>
              <w:rPr>
                <w:rFonts w:hint="eastAsia" w:ascii="宋体" w:hAnsi="宋体" w:eastAsia="宋体" w:cs="宋体"/>
                <w:color w:val="auto"/>
                <w:kern w:val="2"/>
                <w:sz w:val="21"/>
                <w:szCs w:val="21"/>
                <w:highlight w:val="none"/>
                <w:lang w:val="en-US" w:eastAsia="zh-CN" w:bidi="ar-SA"/>
              </w:rPr>
              <w:t>实拍照片</w:t>
            </w:r>
            <w:r>
              <w:rPr>
                <w:rFonts w:hint="eastAsia" w:ascii="宋体" w:hAnsi="宋体" w:eastAsia="宋体" w:cs="宋体"/>
                <w:color w:val="auto"/>
                <w:szCs w:val="21"/>
                <w:highlight w:val="none"/>
              </w:rPr>
              <w:t>且清晰可辨等</w:t>
            </w:r>
            <w:r>
              <w:rPr>
                <w:rFonts w:hint="eastAsia" w:ascii="宋体" w:hAnsi="宋体" w:eastAsia="宋体" w:cs="宋体"/>
                <w:color w:val="auto"/>
                <w:szCs w:val="21"/>
                <w:highlight w:val="none"/>
                <w:lang w:eastAsia="zh-CN"/>
              </w:rPr>
              <w:t>证明</w:t>
            </w:r>
            <w:r>
              <w:rPr>
                <w:rFonts w:hint="eastAsia" w:ascii="宋体" w:hAnsi="宋体" w:eastAsia="宋体" w:cs="宋体"/>
                <w:color w:val="auto"/>
                <w:szCs w:val="21"/>
                <w:highlight w:val="none"/>
              </w:rPr>
              <w:t>文件】，所提供的复印件须加盖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公章，未按要求提供相关材料或扫描不清晰导致无法识别的不计得分。</w:t>
            </w:r>
          </w:p>
          <w:p w14:paraId="3BF7FC6E">
            <w:pPr>
              <w:keepNext w:val="0"/>
              <w:keepLines w:val="0"/>
              <w:pageBreakBefore w:val="0"/>
              <w:shd w:val="clear" w:color="auto" w:fill="auto"/>
              <w:kinsoku/>
              <w:wordWrap w:val="0"/>
              <w:overflowPunct/>
              <w:topLinePunct w:val="0"/>
              <w:autoSpaceDE/>
              <w:autoSpaceDN/>
              <w:bidi w:val="0"/>
              <w:spacing w:line="360" w:lineRule="exact"/>
              <w:ind w:firstLine="420" w:firstLineChars="200"/>
              <w:jc w:val="left"/>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szCs w:val="21"/>
                <w:highlight w:val="none"/>
              </w:rPr>
              <w:t>中标后核查行驶证、</w:t>
            </w:r>
            <w:r>
              <w:rPr>
                <w:rFonts w:hint="eastAsia" w:ascii="宋体" w:hAnsi="宋体" w:cs="宋体"/>
                <w:color w:val="auto"/>
                <w:szCs w:val="21"/>
                <w:highlight w:val="none"/>
                <w:lang w:val="en-US" w:eastAsia="zh-CN"/>
              </w:rPr>
              <w:t>购车</w:t>
            </w:r>
            <w:r>
              <w:rPr>
                <w:rFonts w:hint="eastAsia" w:ascii="宋体" w:hAnsi="宋体" w:eastAsia="宋体" w:cs="宋体"/>
                <w:color w:val="auto"/>
                <w:szCs w:val="21"/>
                <w:highlight w:val="none"/>
              </w:rPr>
              <w:t>发票及租赁合同原件，如发现虚假应标则取消中标资格，由下一中标候选人递补。</w:t>
            </w:r>
          </w:p>
        </w:tc>
      </w:tr>
      <w:tr w14:paraId="2176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62" w:type="dxa"/>
            <w:vMerge w:val="continue"/>
            <w:noWrap w:val="0"/>
            <w:vAlign w:val="center"/>
          </w:tcPr>
          <w:p w14:paraId="34A5B4A8">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color w:val="auto"/>
                <w:sz w:val="24"/>
                <w:highlight w:val="none"/>
                <w:lang w:val="en-US" w:eastAsia="zh-CN"/>
              </w:rPr>
            </w:pPr>
          </w:p>
        </w:tc>
        <w:tc>
          <w:tcPr>
            <w:tcW w:w="1585" w:type="dxa"/>
            <w:vMerge w:val="continue"/>
            <w:noWrap w:val="0"/>
            <w:vAlign w:val="center"/>
          </w:tcPr>
          <w:p w14:paraId="73339C66">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p>
        </w:tc>
        <w:tc>
          <w:tcPr>
            <w:tcW w:w="1520" w:type="dxa"/>
            <w:noWrap w:val="0"/>
            <w:vAlign w:val="center"/>
          </w:tcPr>
          <w:p w14:paraId="2B65141E">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（2）拟投入人员（</w:t>
            </w:r>
            <w:r>
              <w:rPr>
                <w:rFonts w:hint="eastAsia" w:ascii="宋体" w:hAnsi="宋体" w:eastAsia="宋体" w:cs="宋体"/>
                <w:b/>
                <w:bCs/>
                <w:color w:val="auto"/>
                <w:szCs w:val="21"/>
                <w:highlight w:val="none"/>
                <w:lang w:eastAsia="zh-CN"/>
              </w:rPr>
              <w:t>满分</w:t>
            </w:r>
            <w:r>
              <w:rPr>
                <w:rFonts w:hint="eastAsia" w:ascii="宋体" w:hAnsi="宋体" w:cs="宋体"/>
                <w:b/>
                <w:bCs/>
                <w:color w:val="auto"/>
                <w:szCs w:val="21"/>
                <w:highlight w:val="none"/>
                <w:lang w:val="en-US" w:eastAsia="zh-CN"/>
              </w:rPr>
              <w:t>9</w:t>
            </w:r>
            <w:r>
              <w:rPr>
                <w:rFonts w:hint="eastAsia" w:ascii="宋体" w:hAnsi="宋体" w:eastAsia="宋体" w:cs="宋体"/>
                <w:b/>
                <w:bCs/>
                <w:color w:val="auto"/>
                <w:szCs w:val="21"/>
                <w:highlight w:val="none"/>
              </w:rPr>
              <w:t>分）</w:t>
            </w:r>
          </w:p>
        </w:tc>
        <w:tc>
          <w:tcPr>
            <w:tcW w:w="6096" w:type="dxa"/>
            <w:noWrap w:val="0"/>
            <w:vAlign w:val="top"/>
          </w:tcPr>
          <w:p w14:paraId="6B4CC3AB">
            <w:pPr>
              <w:shd w:val="clear" w:color="auto" w:fill="auto"/>
              <w:wordWrap w:val="0"/>
              <w:spacing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投标人需为本项目配备最基础的项目</w:t>
            </w:r>
            <w:r>
              <w:rPr>
                <w:rFonts w:hint="eastAsia" w:ascii="宋体" w:hAnsi="宋体" w:eastAsia="宋体" w:cs="宋体"/>
                <w:color w:val="auto"/>
                <w:sz w:val="21"/>
                <w:szCs w:val="21"/>
                <w:highlight w:val="none"/>
                <w:lang w:val="en-US" w:eastAsia="zh-CN"/>
              </w:rPr>
              <w:t>团队</w:t>
            </w:r>
            <w:r>
              <w:rPr>
                <w:rFonts w:hint="eastAsia" w:ascii="宋体" w:hAnsi="宋体" w:eastAsia="宋体" w:cs="宋体"/>
                <w:color w:val="auto"/>
                <w:sz w:val="21"/>
                <w:szCs w:val="21"/>
                <w:highlight w:val="none"/>
              </w:rPr>
              <w:t>人员</w:t>
            </w:r>
            <w:r>
              <w:rPr>
                <w:rFonts w:hint="eastAsia" w:ascii="宋体" w:hAnsi="宋体" w:eastAsia="宋体" w:cs="宋体"/>
                <w:b w:val="0"/>
                <w:bCs w:val="0"/>
                <w:color w:val="auto"/>
                <w:sz w:val="21"/>
                <w:szCs w:val="21"/>
                <w:highlight w:val="none"/>
                <w:lang w:eastAsia="zh-CN"/>
              </w:rPr>
              <w:t>不少于</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人</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必须</w:t>
            </w:r>
            <w:r>
              <w:rPr>
                <w:rFonts w:hint="eastAsia" w:ascii="宋体" w:hAnsi="宋体" w:eastAsia="宋体" w:cs="宋体"/>
                <w:color w:val="auto"/>
                <w:sz w:val="21"/>
                <w:szCs w:val="21"/>
                <w:highlight w:val="none"/>
                <w:lang w:val="en-US" w:eastAsia="zh-CN"/>
              </w:rPr>
              <w:t>配备</w:t>
            </w:r>
            <w:r>
              <w:rPr>
                <w:rFonts w:hint="eastAsia" w:ascii="宋体" w:hAnsi="宋体" w:cs="宋体"/>
                <w:color w:val="auto"/>
                <w:sz w:val="21"/>
                <w:szCs w:val="21"/>
                <w:highlight w:val="none"/>
                <w:lang w:val="en-US" w:eastAsia="zh-CN"/>
              </w:rPr>
              <w:t>固定</w:t>
            </w:r>
            <w:r>
              <w:rPr>
                <w:rFonts w:hint="eastAsia" w:ascii="宋体" w:hAnsi="宋体" w:eastAsia="宋体" w:cs="宋体"/>
                <w:color w:val="auto"/>
                <w:sz w:val="21"/>
                <w:szCs w:val="21"/>
                <w:highlight w:val="none"/>
                <w:lang w:val="en-US" w:eastAsia="zh-CN"/>
              </w:rPr>
              <w:t>配送司机并提供</w:t>
            </w:r>
            <w:r>
              <w:rPr>
                <w:rFonts w:hint="eastAsia" w:ascii="宋体" w:hAnsi="宋体" w:eastAsia="宋体" w:cs="宋体"/>
                <w:b/>
                <w:bCs/>
                <w:color w:val="auto"/>
                <w:sz w:val="21"/>
                <w:szCs w:val="21"/>
                <w:highlight w:val="none"/>
                <w:lang w:val="en-US" w:eastAsia="zh-CN"/>
              </w:rPr>
              <w:t>驾驶证</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其中</w:t>
            </w:r>
          </w:p>
          <w:p w14:paraId="1FA655FB">
            <w:pPr>
              <w:shd w:val="clear" w:color="auto" w:fill="auto"/>
              <w:wordWrap w:val="0"/>
              <w:spacing w:line="36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项目负责人（1人）</w:t>
            </w:r>
          </w:p>
          <w:p w14:paraId="500BCD0E">
            <w:pPr>
              <w:shd w:val="clear" w:color="auto" w:fill="auto"/>
              <w:wordWrap w:val="0"/>
              <w:spacing w:line="3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具备</w:t>
            </w:r>
            <w:r>
              <w:rPr>
                <w:rFonts w:hint="eastAsia" w:ascii="宋体" w:hAnsi="宋体" w:eastAsia="宋体" w:cs="宋体"/>
                <w:color w:val="auto"/>
                <w:sz w:val="21"/>
                <w:szCs w:val="21"/>
                <w:highlight w:val="none"/>
                <w:lang w:val="en-US" w:eastAsia="zh-CN"/>
              </w:rPr>
              <w:t>食品安全管理员证书复印件加盖公章，</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分，满分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080AB974">
            <w:pPr>
              <w:shd w:val="clear" w:color="auto" w:fill="auto"/>
              <w:wordWrap w:val="0"/>
              <w:spacing w:line="36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项目组成员（</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人）（除项目负责人外）</w:t>
            </w:r>
          </w:p>
          <w:p w14:paraId="226211D0">
            <w:pPr>
              <w:shd w:val="clear" w:color="auto" w:fill="auto"/>
              <w:wordWrap w:val="0"/>
              <w:spacing w:line="360" w:lineRule="exact"/>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 xml:space="preserve"> 具备食品检验</w:t>
            </w:r>
            <w:r>
              <w:rPr>
                <w:rFonts w:hint="eastAsia" w:ascii="宋体" w:hAnsi="宋体" w:cs="宋体"/>
                <w:color w:val="auto"/>
                <w:sz w:val="21"/>
                <w:szCs w:val="21"/>
                <w:highlight w:val="none"/>
                <w:lang w:val="en-US" w:eastAsia="zh-CN"/>
              </w:rPr>
              <w:t>（或检测）</w:t>
            </w:r>
            <w:r>
              <w:rPr>
                <w:rFonts w:hint="eastAsia" w:ascii="宋体" w:hAnsi="宋体" w:eastAsia="宋体" w:cs="宋体"/>
                <w:color w:val="auto"/>
                <w:sz w:val="21"/>
                <w:szCs w:val="21"/>
                <w:highlight w:val="none"/>
                <w:lang w:val="en-US" w:eastAsia="zh-CN"/>
              </w:rPr>
              <w:t>员证书、</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"http://www.baidu.com/link?url=WOcJWuFa1K9YvgUNRPsnFDYW2ZtHqXxpp2dydLzn9hh75-Jez6sDKNr3VTSXBWqiliorfvCsPx7a_DTs6yGCTBk1Moetq1BPNH_oqvLluT6Kxfr1LNyMqh0koB_tmnlmqPc1DNwsBfRm5NM23PmiNhjEI0S-iF2eo9z2LhvvdIEKOQOZnzM3gRK8EZc2eBuCstlFlnMNs1qJJWzRDD-kCa" \t "https://www.baidu.com/_blank"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公共营养师职业资格证</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lang w:val="en-US" w:eastAsia="zh-CN"/>
              </w:rPr>
              <w:t>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每提供1名成员任意证书复印件加盖公章得1分，最高得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分，一人执多证不重复得分；</w:t>
            </w:r>
          </w:p>
          <w:p w14:paraId="394A936B">
            <w:pPr>
              <w:shd w:val="clear" w:color="auto" w:fill="auto"/>
              <w:wordWrap w:val="0"/>
              <w:spacing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 w:val="21"/>
                <w:szCs w:val="21"/>
                <w:highlight w:val="none"/>
              </w:rPr>
              <w:t>（3）拟投入项目团队人员人数</w:t>
            </w:r>
          </w:p>
          <w:p w14:paraId="41C427EB">
            <w:pPr>
              <w:shd w:val="clear" w:color="auto" w:fill="auto"/>
              <w:wordWrap w:val="0"/>
              <w:spacing w:line="36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拟投入项目团队人员人数</w:t>
            </w:r>
            <w:r>
              <w:rPr>
                <w:rFonts w:hint="eastAsia" w:ascii="宋体" w:hAnsi="宋体" w:eastAsia="宋体" w:cs="宋体"/>
                <w:color w:val="auto"/>
                <w:sz w:val="21"/>
                <w:szCs w:val="21"/>
                <w:highlight w:val="none"/>
                <w:lang w:eastAsia="zh-CN"/>
              </w:rPr>
              <w:t>每增加</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人得</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lang w:val="en-US" w:eastAsia="zh-CN"/>
              </w:rPr>
              <w:t>此项满分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rPr>
              <w:t>总投入项目团队人员需</w:t>
            </w:r>
            <w:r>
              <w:rPr>
                <w:rFonts w:hint="eastAsia" w:ascii="宋体" w:hAnsi="宋体" w:eastAsia="宋体" w:cs="宋体"/>
                <w:color w:val="auto"/>
                <w:kern w:val="2"/>
                <w:sz w:val="21"/>
                <w:szCs w:val="21"/>
                <w:highlight w:val="none"/>
                <w:lang w:val="en-US" w:eastAsia="zh-CN" w:bidi="ar"/>
              </w:rPr>
              <w:t>具备</w:t>
            </w:r>
            <w:r>
              <w:rPr>
                <w:rFonts w:hint="eastAsia" w:ascii="宋体" w:hAnsi="宋体" w:eastAsia="宋体" w:cs="宋体"/>
                <w:b w:val="0"/>
                <w:bCs w:val="0"/>
                <w:color w:val="auto"/>
                <w:kern w:val="2"/>
                <w:sz w:val="21"/>
                <w:szCs w:val="21"/>
                <w:highlight w:val="none"/>
                <w:lang w:val="en-US" w:eastAsia="zh-CN" w:bidi="ar"/>
              </w:rPr>
              <w:t>有效的健康证复印件</w:t>
            </w:r>
            <w:r>
              <w:rPr>
                <w:rFonts w:hint="eastAsia" w:ascii="宋体" w:hAnsi="宋体" w:eastAsia="宋体" w:cs="宋体"/>
                <w:color w:val="auto"/>
                <w:sz w:val="21"/>
                <w:szCs w:val="21"/>
                <w:highlight w:val="none"/>
              </w:rPr>
              <w:t>，否则不得分</w:t>
            </w:r>
            <w:r>
              <w:rPr>
                <w:rFonts w:hint="eastAsia" w:ascii="宋体" w:hAnsi="宋体" w:eastAsia="宋体" w:cs="宋体"/>
                <w:color w:val="auto"/>
                <w:sz w:val="21"/>
                <w:szCs w:val="21"/>
                <w:highlight w:val="none"/>
                <w:lang w:eastAsia="zh-CN"/>
              </w:rPr>
              <w:t>。</w:t>
            </w:r>
          </w:p>
          <w:p w14:paraId="73296439">
            <w:pPr>
              <w:keepNext w:val="0"/>
              <w:keepLines w:val="0"/>
              <w:pageBreakBefore w:val="0"/>
              <w:numPr>
                <w:ilvl w:val="-1"/>
                <w:numId w:val="0"/>
              </w:numPr>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rPr>
              <w:t>注：拟投入项目所有人员，投标人需提供为其缴纳的投标截止日期之前六个月以内连续三个月的社会保险证明复印件和劳动合同</w:t>
            </w:r>
            <w:r>
              <w:rPr>
                <w:rFonts w:hint="eastAsia" w:ascii="宋体" w:hAnsi="宋体" w:eastAsia="宋体" w:cs="宋体"/>
                <w:b/>
                <w:bCs/>
                <w:color w:val="auto"/>
                <w:szCs w:val="21"/>
                <w:highlight w:val="none"/>
                <w:lang w:val="en-US" w:eastAsia="zh-CN"/>
              </w:rPr>
              <w:t>和</w:t>
            </w:r>
            <w:r>
              <w:rPr>
                <w:rFonts w:hint="eastAsia" w:ascii="宋体" w:hAnsi="宋体" w:eastAsia="宋体" w:cs="宋体"/>
                <w:b/>
                <w:bCs/>
                <w:color w:val="auto"/>
                <w:kern w:val="2"/>
                <w:sz w:val="21"/>
                <w:szCs w:val="21"/>
                <w:highlight w:val="none"/>
                <w:lang w:val="en-US" w:eastAsia="zh-CN" w:bidi="ar"/>
              </w:rPr>
              <w:t>有效的健康证复印件。</w:t>
            </w:r>
          </w:p>
        </w:tc>
      </w:tr>
      <w:tr w14:paraId="1C04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562" w:type="dxa"/>
            <w:vMerge w:val="continue"/>
            <w:noWrap w:val="0"/>
            <w:vAlign w:val="center"/>
          </w:tcPr>
          <w:p w14:paraId="5746BC1D">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color w:val="auto"/>
                <w:sz w:val="24"/>
                <w:highlight w:val="none"/>
                <w:lang w:val="en-US" w:eastAsia="zh-CN"/>
              </w:rPr>
            </w:pPr>
          </w:p>
        </w:tc>
        <w:tc>
          <w:tcPr>
            <w:tcW w:w="1585" w:type="dxa"/>
            <w:vMerge w:val="continue"/>
            <w:noWrap w:val="0"/>
            <w:vAlign w:val="center"/>
          </w:tcPr>
          <w:p w14:paraId="0000D1D2">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p>
        </w:tc>
        <w:tc>
          <w:tcPr>
            <w:tcW w:w="1520" w:type="dxa"/>
            <w:noWrap w:val="0"/>
            <w:vAlign w:val="center"/>
          </w:tcPr>
          <w:p w14:paraId="010AA09E">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3</w:t>
            </w:r>
            <w:r>
              <w:rPr>
                <w:rFonts w:hint="eastAsia" w:ascii="宋体" w:hAnsi="宋体" w:eastAsia="宋体" w:cs="宋体"/>
                <w:b/>
                <w:bCs/>
                <w:color w:val="auto"/>
                <w:szCs w:val="21"/>
                <w:highlight w:val="none"/>
              </w:rPr>
              <w:t>）《食品安全责任保险》（满分</w:t>
            </w: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rPr>
              <w:t>分）</w:t>
            </w:r>
          </w:p>
        </w:tc>
        <w:tc>
          <w:tcPr>
            <w:tcW w:w="6096" w:type="dxa"/>
            <w:noWrap w:val="0"/>
            <w:vAlign w:val="top"/>
          </w:tcPr>
          <w:p w14:paraId="29AF5BD5">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一档（</w:t>
            </w: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lang w:eastAsia="zh-CN"/>
              </w:rPr>
              <w:t>投标人</w:t>
            </w:r>
            <w:r>
              <w:rPr>
                <w:rFonts w:hint="eastAsia" w:ascii="宋体" w:hAnsi="宋体" w:cs="宋体"/>
                <w:b/>
                <w:bCs/>
                <w:color w:val="auto"/>
                <w:szCs w:val="21"/>
                <w:highlight w:val="none"/>
                <w:lang w:val="en-US" w:eastAsia="zh-CN"/>
              </w:rPr>
              <w:t>承诺中标后</w:t>
            </w:r>
            <w:r>
              <w:rPr>
                <w:rFonts w:hint="eastAsia" w:ascii="宋体" w:hAnsi="宋体" w:eastAsia="宋体" w:cs="宋体"/>
                <w:b/>
                <w:bCs/>
                <w:color w:val="auto"/>
                <w:szCs w:val="21"/>
                <w:highlight w:val="none"/>
              </w:rPr>
              <w:t>购买《食品安全责任保险》</w:t>
            </w:r>
            <w:r>
              <w:rPr>
                <w:rFonts w:hint="eastAsia" w:ascii="宋体" w:hAnsi="宋体" w:eastAsia="宋体" w:cs="宋体"/>
                <w:color w:val="auto"/>
                <w:szCs w:val="21"/>
                <w:highlight w:val="none"/>
              </w:rPr>
              <w:t>的得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提供承诺书，格式自拟并盖公章</w:t>
            </w:r>
            <w:r>
              <w:rPr>
                <w:rFonts w:hint="eastAsia" w:ascii="宋体" w:hAnsi="宋体" w:cs="宋体"/>
                <w:color w:val="auto"/>
                <w:szCs w:val="21"/>
                <w:highlight w:val="none"/>
                <w:lang w:eastAsia="zh-CN"/>
              </w:rPr>
              <w:t>）</w:t>
            </w:r>
          </w:p>
          <w:p w14:paraId="31FB4C24">
            <w:pPr>
              <w:keepNext w:val="0"/>
              <w:keepLines w:val="0"/>
              <w:pageBreakBefore w:val="0"/>
              <w:shd w:val="clear" w:color="auto" w:fill="auto"/>
              <w:kinsoku/>
              <w:wordWrap w:val="0"/>
              <w:overflowPunct/>
              <w:topLinePunct w:val="0"/>
              <w:autoSpaceDE/>
              <w:autoSpaceDN/>
              <w:bidi w:val="0"/>
              <w:spacing w:line="360" w:lineRule="exact"/>
              <w:ind w:firstLine="422" w:firstLineChars="200"/>
              <w:jc w:val="left"/>
              <w:rPr>
                <w:rFonts w:hint="default" w:ascii="宋体" w:hAnsi="宋体" w:eastAsia="宋体" w:cs="宋体"/>
                <w:b w:val="0"/>
                <w:bCs w:val="0"/>
                <w:color w:val="auto"/>
                <w:szCs w:val="21"/>
                <w:highlight w:val="none"/>
                <w:lang w:val="en-US" w:eastAsia="zh-CN"/>
              </w:rPr>
            </w:pPr>
            <w:r>
              <w:rPr>
                <w:rFonts w:hint="eastAsia" w:ascii="宋体" w:hAnsi="宋体" w:eastAsia="宋体" w:cs="宋体"/>
                <w:b/>
                <w:bCs/>
                <w:color w:val="auto"/>
                <w:szCs w:val="21"/>
                <w:highlight w:val="none"/>
              </w:rPr>
              <w:t>二档（</w:t>
            </w: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rPr>
              <w:t>分）</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lang w:eastAsia="zh-CN"/>
              </w:rPr>
              <w:t>投标人</w:t>
            </w:r>
            <w:r>
              <w:rPr>
                <w:rFonts w:hint="eastAsia" w:ascii="宋体" w:hAnsi="宋体" w:cs="宋体"/>
                <w:b/>
                <w:bCs/>
                <w:color w:val="auto"/>
                <w:szCs w:val="21"/>
                <w:highlight w:val="none"/>
                <w:lang w:val="en-US" w:eastAsia="zh-CN"/>
              </w:rPr>
              <w:t>已</w:t>
            </w:r>
            <w:r>
              <w:rPr>
                <w:rFonts w:hint="eastAsia" w:ascii="宋体" w:hAnsi="宋体" w:eastAsia="宋体" w:cs="宋体"/>
                <w:b/>
                <w:bCs/>
                <w:color w:val="auto"/>
                <w:szCs w:val="21"/>
                <w:highlight w:val="none"/>
              </w:rPr>
              <w:t>购买《食品安全责任保险》（有效期内）</w:t>
            </w:r>
            <w:r>
              <w:rPr>
                <w:rFonts w:hint="eastAsia" w:ascii="宋体" w:hAnsi="宋体" w:eastAsia="宋体" w:cs="宋体"/>
                <w:color w:val="auto"/>
                <w:szCs w:val="21"/>
                <w:highlight w:val="none"/>
              </w:rPr>
              <w:t>的</w:t>
            </w:r>
            <w:r>
              <w:rPr>
                <w:rFonts w:hint="eastAsia" w:ascii="宋体" w:hAnsi="宋体" w:cs="宋体"/>
                <w:color w:val="auto"/>
                <w:szCs w:val="21"/>
                <w:highlight w:val="none"/>
                <w:lang w:eastAsia="zh-CN"/>
              </w:rPr>
              <w:t>，且</w:t>
            </w:r>
            <w:r>
              <w:rPr>
                <w:rFonts w:hAnsi="宋体"/>
                <w:bCs/>
                <w:color w:val="auto"/>
                <w:highlight w:val="none"/>
              </w:rPr>
              <w:t>最高</w:t>
            </w:r>
            <w:r>
              <w:rPr>
                <w:rFonts w:hint="eastAsia" w:hAnsi="宋体"/>
                <w:bCs/>
                <w:color w:val="auto"/>
                <w:highlight w:val="none"/>
              </w:rPr>
              <w:t>累计</w:t>
            </w:r>
            <w:r>
              <w:rPr>
                <w:rFonts w:hAnsi="宋体"/>
                <w:bCs/>
                <w:color w:val="auto"/>
                <w:highlight w:val="none"/>
              </w:rPr>
              <w:t>赔付</w:t>
            </w:r>
            <w:r>
              <w:rPr>
                <w:rFonts w:hAnsi="宋体"/>
                <w:bCs/>
                <w:color w:val="auto"/>
                <w:highlight w:val="yellow"/>
              </w:rPr>
              <w:t>金额</w:t>
            </w:r>
            <w:r>
              <w:rPr>
                <w:rFonts w:hint="default" w:ascii="宋体" w:hAnsi="宋体" w:cs="宋体"/>
                <w:bCs/>
                <w:color w:val="auto"/>
                <w:highlight w:val="yellow"/>
              </w:rPr>
              <w:t>≧</w:t>
            </w:r>
            <w:r>
              <w:rPr>
                <w:rFonts w:hint="eastAsia" w:hAnsi="宋体"/>
                <w:bCs/>
                <w:color w:val="auto"/>
                <w:highlight w:val="yellow"/>
                <w:lang w:val="en-US" w:eastAsia="zh-CN"/>
              </w:rPr>
              <w:t>20</w:t>
            </w:r>
            <w:r>
              <w:rPr>
                <w:rFonts w:hAnsi="宋体"/>
                <w:bCs/>
                <w:color w:val="auto"/>
                <w:highlight w:val="yellow"/>
              </w:rPr>
              <w:t>00 万元人民币</w:t>
            </w:r>
            <w:r>
              <w:rPr>
                <w:rFonts w:hint="eastAsia" w:ascii="宋体" w:hAnsi="宋体" w:eastAsia="宋体" w:cs="宋体"/>
                <w:color w:val="auto"/>
                <w:szCs w:val="21"/>
                <w:highlight w:val="none"/>
              </w:rPr>
              <w:t>。</w:t>
            </w:r>
            <w:r>
              <w:rPr>
                <w:rFonts w:hint="eastAsia" w:ascii="宋体" w:hAnsi="宋体" w:eastAsia="宋体" w:cs="宋体"/>
                <w:b w:val="0"/>
                <w:bCs w:val="0"/>
                <w:color w:val="auto"/>
                <w:szCs w:val="21"/>
                <w:highlight w:val="none"/>
              </w:rPr>
              <w:t>（提供相关保</w:t>
            </w:r>
            <w:r>
              <w:rPr>
                <w:rFonts w:hint="eastAsia" w:ascii="宋体" w:hAnsi="宋体" w:cs="宋体"/>
                <w:b w:val="0"/>
                <w:bCs w:val="0"/>
                <w:color w:val="auto"/>
                <w:szCs w:val="21"/>
                <w:highlight w:val="none"/>
                <w:lang w:val="en-US" w:eastAsia="zh-CN"/>
              </w:rPr>
              <w:t>单和</w:t>
            </w:r>
            <w:r>
              <w:rPr>
                <w:rFonts w:hint="eastAsia" w:ascii="宋体" w:hAnsi="宋体" w:eastAsia="宋体" w:cs="宋体"/>
                <w:b w:val="0"/>
                <w:bCs w:val="0"/>
                <w:color w:val="auto"/>
                <w:szCs w:val="21"/>
                <w:highlight w:val="none"/>
              </w:rPr>
              <w:t>发票证明</w:t>
            </w:r>
            <w:r>
              <w:rPr>
                <w:rFonts w:hint="eastAsia" w:ascii="宋体" w:hAnsi="宋体" w:cs="宋体"/>
                <w:b w:val="0"/>
                <w:bCs w:val="0"/>
                <w:color w:val="auto"/>
                <w:szCs w:val="21"/>
                <w:highlight w:val="none"/>
                <w:lang w:val="en-US" w:eastAsia="zh-CN"/>
              </w:rPr>
              <w:t>复印件并盖公章</w:t>
            </w:r>
            <w:r>
              <w:rPr>
                <w:rFonts w:hint="eastAsia" w:ascii="宋体" w:hAnsi="宋体" w:eastAsia="宋体" w:cs="宋体"/>
                <w:b w:val="0"/>
                <w:bCs w:val="0"/>
                <w:color w:val="auto"/>
                <w:szCs w:val="21"/>
                <w:highlight w:val="none"/>
              </w:rPr>
              <w:t>）</w:t>
            </w:r>
          </w:p>
        </w:tc>
      </w:tr>
      <w:tr w14:paraId="5D77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62" w:type="dxa"/>
            <w:vMerge w:val="continue"/>
            <w:noWrap w:val="0"/>
            <w:vAlign w:val="center"/>
          </w:tcPr>
          <w:p w14:paraId="3DDA5B26">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color w:val="auto"/>
                <w:sz w:val="24"/>
                <w:highlight w:val="none"/>
                <w:lang w:val="en-US" w:eastAsia="zh-CN"/>
              </w:rPr>
            </w:pPr>
          </w:p>
        </w:tc>
        <w:tc>
          <w:tcPr>
            <w:tcW w:w="1585" w:type="dxa"/>
            <w:vMerge w:val="continue"/>
            <w:noWrap w:val="0"/>
            <w:vAlign w:val="center"/>
          </w:tcPr>
          <w:p w14:paraId="03EC715F">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p>
        </w:tc>
        <w:tc>
          <w:tcPr>
            <w:tcW w:w="1520" w:type="dxa"/>
            <w:noWrap w:val="0"/>
            <w:vAlign w:val="center"/>
          </w:tcPr>
          <w:p w14:paraId="24E3A752">
            <w:pPr>
              <w:keepNext w:val="0"/>
              <w:keepLines w:val="0"/>
              <w:pageBreakBefore w:val="0"/>
              <w:kinsoku/>
              <w:overflowPunct/>
              <w:topLinePunct w:val="0"/>
              <w:autoSpaceDE/>
              <w:autoSpaceDN/>
              <w:bidi w:val="0"/>
              <w:snapToGrid w:val="0"/>
              <w:spacing w:line="360" w:lineRule="exact"/>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(4)管理体系认证（满分2分）</w:t>
            </w:r>
          </w:p>
        </w:tc>
        <w:tc>
          <w:tcPr>
            <w:tcW w:w="6096" w:type="dxa"/>
            <w:noWrap w:val="0"/>
            <w:vAlign w:val="top"/>
          </w:tcPr>
          <w:p w14:paraId="67A20B78">
            <w:pPr>
              <w:keepNext w:val="0"/>
              <w:keepLines w:val="0"/>
              <w:pageBreakBefore w:val="0"/>
              <w:shd w:val="clear" w:color="auto" w:fill="auto"/>
              <w:kinsoku/>
              <w:wordWrap w:val="0"/>
              <w:overflowPunct/>
              <w:topLinePunct w:val="0"/>
              <w:autoSpaceDE/>
              <w:autoSpaceDN/>
              <w:bidi w:val="0"/>
              <w:spacing w:line="360" w:lineRule="exact"/>
              <w:ind w:firstLine="420" w:firstLineChars="200"/>
              <w:jc w:val="left"/>
              <w:rPr>
                <w:rFonts w:hint="default" w:ascii="宋体" w:hAnsi="宋体" w:eastAsia="宋体" w:cs="宋体"/>
                <w:b/>
                <w:bCs/>
                <w:color w:val="auto"/>
                <w:szCs w:val="21"/>
                <w:highlight w:val="none"/>
                <w:lang w:val="en-US" w:eastAsia="zh-CN"/>
              </w:rPr>
            </w:pPr>
            <w:r>
              <w:rPr>
                <w:rFonts w:hint="eastAsia" w:hAnsi="宋体" w:cs="Times New Roman"/>
                <w:b w:val="0"/>
                <w:bCs/>
                <w:color w:val="auto"/>
                <w:szCs w:val="24"/>
                <w:highlight w:val="none"/>
                <w:lang w:val="en-US" w:eastAsia="zh-CN"/>
              </w:rPr>
              <w:t>投标人</w:t>
            </w:r>
            <w:r>
              <w:rPr>
                <w:rFonts w:hint="default" w:ascii="Times New Roman" w:hAnsi="宋体" w:eastAsia="宋体" w:cs="Times New Roman"/>
                <w:b w:val="0"/>
                <w:bCs/>
                <w:color w:val="auto"/>
                <w:szCs w:val="24"/>
                <w:highlight w:val="none"/>
              </w:rPr>
              <w:t>具备</w:t>
            </w:r>
            <w:r>
              <w:rPr>
                <w:rFonts w:hint="eastAsia" w:hAnsi="宋体" w:cs="Times New Roman"/>
                <w:b w:val="0"/>
                <w:bCs/>
                <w:color w:val="auto"/>
                <w:szCs w:val="24"/>
                <w:highlight w:val="none"/>
                <w:lang w:val="en-US" w:eastAsia="zh-CN"/>
              </w:rPr>
              <w:t>I</w:t>
            </w:r>
            <w:r>
              <w:rPr>
                <w:rFonts w:hint="default" w:ascii="Times New Roman" w:hAnsi="宋体" w:eastAsia="宋体" w:cs="Times New Roman"/>
                <w:b w:val="0"/>
                <w:bCs/>
                <w:color w:val="auto"/>
                <w:szCs w:val="24"/>
                <w:highlight w:val="none"/>
              </w:rPr>
              <w:t>SO9001 质量管理体系认证证书、ISO45001职业健康安全管理体系认证证书、ISO14001环境管理体系认证证书、ISO22000食品安全管理体系认证证书</w:t>
            </w:r>
            <w:r>
              <w:rPr>
                <w:rFonts w:hint="eastAsia" w:hAnsi="宋体" w:cs="Times New Roman"/>
                <w:b w:val="0"/>
                <w:bCs/>
                <w:color w:val="auto"/>
                <w:szCs w:val="24"/>
                <w:highlight w:val="none"/>
                <w:lang w:eastAsia="zh-CN"/>
              </w:rPr>
              <w:t>，</w:t>
            </w:r>
            <w:r>
              <w:rPr>
                <w:rFonts w:hint="eastAsia" w:hAnsi="宋体" w:cs="Times New Roman"/>
                <w:b w:val="0"/>
                <w:bCs/>
                <w:color w:val="auto"/>
                <w:szCs w:val="24"/>
                <w:highlight w:val="none"/>
                <w:lang w:val="en-US" w:eastAsia="zh-CN"/>
              </w:rPr>
              <w:t>每提供一项证书得0.5分，此项满分2分。</w:t>
            </w:r>
          </w:p>
        </w:tc>
      </w:tr>
      <w:tr w14:paraId="4465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62" w:type="dxa"/>
            <w:vMerge w:val="continue"/>
            <w:noWrap w:val="0"/>
            <w:vAlign w:val="center"/>
          </w:tcPr>
          <w:p w14:paraId="6216E58D">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color w:val="auto"/>
                <w:sz w:val="24"/>
                <w:highlight w:val="none"/>
                <w:lang w:val="en-US" w:eastAsia="zh-CN"/>
              </w:rPr>
            </w:pPr>
          </w:p>
        </w:tc>
        <w:tc>
          <w:tcPr>
            <w:tcW w:w="1585" w:type="dxa"/>
            <w:vMerge w:val="continue"/>
            <w:noWrap w:val="0"/>
            <w:vAlign w:val="center"/>
          </w:tcPr>
          <w:p w14:paraId="7759DA3A">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Cs/>
                <w:color w:val="auto"/>
                <w:kern w:val="0"/>
                <w:sz w:val="21"/>
                <w:szCs w:val="21"/>
                <w:highlight w:val="none"/>
                <w:lang w:val="en-US" w:eastAsia="zh-CN" w:bidi="ar-SA"/>
              </w:rPr>
            </w:pPr>
          </w:p>
        </w:tc>
        <w:tc>
          <w:tcPr>
            <w:tcW w:w="1520" w:type="dxa"/>
            <w:noWrap w:val="0"/>
            <w:vAlign w:val="center"/>
          </w:tcPr>
          <w:p w14:paraId="00D4BCFB">
            <w:pPr>
              <w:keepNext w:val="0"/>
              <w:keepLines w:val="0"/>
              <w:pageBreakBefore w:val="0"/>
              <w:kinsoku/>
              <w:overflowPunct/>
              <w:topLinePunct w:val="0"/>
              <w:autoSpaceDE/>
              <w:autoSpaceDN/>
              <w:bidi w:val="0"/>
              <w:snapToGrid w:val="0"/>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4</w:t>
            </w:r>
            <w:r>
              <w:rPr>
                <w:rFonts w:hint="eastAsia" w:ascii="宋体" w:hAnsi="宋体" w:eastAsia="宋体" w:cs="宋体"/>
                <w:b/>
                <w:bCs/>
                <w:color w:val="auto"/>
                <w:szCs w:val="21"/>
                <w:highlight w:val="none"/>
              </w:rPr>
              <w:t>）业绩（满分</w:t>
            </w:r>
            <w:r>
              <w:rPr>
                <w:rFonts w:hint="eastAsia" w:ascii="宋体" w:hAnsi="宋体" w:cs="宋体"/>
                <w:b/>
                <w:bCs/>
                <w:color w:val="auto"/>
                <w:szCs w:val="21"/>
                <w:highlight w:val="none"/>
                <w:lang w:val="en-US" w:eastAsia="zh-CN"/>
              </w:rPr>
              <w:t>3</w:t>
            </w:r>
            <w:r>
              <w:rPr>
                <w:rFonts w:hint="eastAsia" w:ascii="宋体" w:hAnsi="宋体" w:eastAsia="宋体" w:cs="宋体"/>
                <w:b/>
                <w:bCs/>
                <w:color w:val="auto"/>
                <w:szCs w:val="21"/>
                <w:highlight w:val="none"/>
              </w:rPr>
              <w:t>分）</w:t>
            </w:r>
          </w:p>
        </w:tc>
        <w:tc>
          <w:tcPr>
            <w:tcW w:w="6096" w:type="dxa"/>
            <w:noWrap w:val="0"/>
            <w:vAlign w:val="top"/>
          </w:tcPr>
          <w:p w14:paraId="6BA90E18">
            <w:pPr>
              <w:keepNext w:val="0"/>
              <w:keepLines w:val="0"/>
              <w:pageBreakBefore w:val="0"/>
              <w:shd w:val="clear" w:color="auto" w:fill="auto"/>
              <w:kinsoku/>
              <w:wordWrap w:val="0"/>
              <w:overflowPunct/>
              <w:topLinePunct w:val="0"/>
              <w:autoSpaceDE/>
              <w:autoSpaceDN/>
              <w:bidi w:val="0"/>
              <w:spacing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年1月1日以来</w:t>
            </w:r>
            <w:r>
              <w:rPr>
                <w:rFonts w:hint="eastAsia" w:ascii="宋体" w:hAnsi="宋体" w:cs="宋体"/>
                <w:color w:val="auto"/>
                <w:szCs w:val="21"/>
                <w:highlight w:val="none"/>
                <w:lang w:val="en-US" w:eastAsia="zh-CN"/>
              </w:rPr>
              <w:t>类似</w:t>
            </w:r>
            <w:r>
              <w:rPr>
                <w:rFonts w:hint="eastAsia" w:ascii="宋体" w:hAnsi="宋体" w:eastAsia="宋体" w:cs="宋体"/>
                <w:color w:val="auto"/>
                <w:szCs w:val="21"/>
                <w:highlight w:val="none"/>
              </w:rPr>
              <w:t>食品供应服务的业绩</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【须在</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rPr>
              <w:t>文件中提供中标</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成交</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通知书复印件</w:t>
            </w:r>
            <w:r>
              <w:rPr>
                <w:rFonts w:hint="eastAsia" w:ascii="宋体" w:hAnsi="宋体" w:eastAsia="宋体" w:cs="宋体"/>
                <w:color w:val="auto"/>
                <w:szCs w:val="21"/>
                <w:highlight w:val="none"/>
                <w:lang w:eastAsia="zh-CN"/>
              </w:rPr>
              <w:t>或</w:t>
            </w:r>
            <w:r>
              <w:rPr>
                <w:rFonts w:hint="eastAsia" w:ascii="宋体" w:hAnsi="宋体" w:eastAsia="宋体" w:cs="宋体"/>
                <w:color w:val="auto"/>
                <w:szCs w:val="21"/>
                <w:highlight w:val="none"/>
              </w:rPr>
              <w:t>签订的合同复印件为准，否则将不予评审】，每个得</w:t>
            </w:r>
            <w:r>
              <w:rPr>
                <w:rFonts w:hint="eastAsia" w:ascii="宋体" w:hAnsi="宋体" w:cs="宋体"/>
                <w:color w:val="auto"/>
                <w:szCs w:val="21"/>
                <w:highlight w:val="none"/>
                <w:lang w:val="en-US" w:eastAsia="zh-CN"/>
              </w:rPr>
              <w:t>0.3</w:t>
            </w:r>
            <w:r>
              <w:rPr>
                <w:rFonts w:hint="eastAsia" w:ascii="宋体" w:hAnsi="宋体" w:eastAsia="宋体" w:cs="宋体"/>
                <w:color w:val="auto"/>
                <w:szCs w:val="21"/>
                <w:highlight w:val="none"/>
              </w:rPr>
              <w:t>分，最多得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p>
        </w:tc>
      </w:tr>
      <w:tr w14:paraId="07D7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763" w:type="dxa"/>
            <w:gridSpan w:val="4"/>
            <w:noWrap w:val="0"/>
            <w:vAlign w:val="center"/>
          </w:tcPr>
          <w:p w14:paraId="24F5EEBF">
            <w:pPr>
              <w:pStyle w:val="19"/>
              <w:keepNext w:val="0"/>
              <w:keepLines w:val="0"/>
              <w:pageBreakBefore w:val="0"/>
              <w:kinsoku/>
              <w:overflowPunct/>
              <w:topLinePunct w:val="0"/>
              <w:autoSpaceDE/>
              <w:autoSpaceDN/>
              <w:bidi w:val="0"/>
              <w:snapToGrid w:val="0"/>
              <w:spacing w:line="360" w:lineRule="exac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总得分=1+2+3</w:t>
            </w:r>
            <w:r>
              <w:rPr>
                <w:rFonts w:hint="eastAsia" w:ascii="宋体" w:hAnsi="宋体" w:eastAsia="宋体" w:cs="宋体"/>
                <w:b/>
                <w:bCs/>
                <w:color w:val="auto"/>
                <w:sz w:val="24"/>
                <w:szCs w:val="24"/>
                <w:highlight w:val="none"/>
                <w:lang w:val="en-US" w:eastAsia="zh-CN"/>
              </w:rPr>
              <w:t>+4</w:t>
            </w:r>
          </w:p>
        </w:tc>
      </w:tr>
    </w:tbl>
    <w:p w14:paraId="55C66468">
      <w:pPr>
        <w:rPr>
          <w:rFonts w:hAnsi="宋体"/>
          <w:bCs/>
          <w:color w:val="auto"/>
          <w:highlight w:val="none"/>
        </w:rPr>
      </w:pPr>
    </w:p>
    <w:p w14:paraId="3BBB1F73">
      <w:pPr>
        <w:rPr>
          <w:rFonts w:hAnsi="宋体"/>
          <w:bCs/>
          <w:color w:val="auto"/>
          <w:highlight w:val="none"/>
        </w:rPr>
      </w:pPr>
      <w:r>
        <w:rPr>
          <w:rFonts w:hint="eastAsia" w:hAnsi="宋体"/>
          <w:bCs/>
          <w:color w:val="auto"/>
          <w:highlight w:val="none"/>
        </w:rPr>
        <w:br w:type="page"/>
      </w:r>
    </w:p>
    <w:p w14:paraId="3E945BF3">
      <w:pPr>
        <w:rPr>
          <w:color w:val="auto"/>
          <w:sz w:val="30"/>
          <w:szCs w:val="30"/>
          <w:highlight w:val="none"/>
        </w:rPr>
      </w:pPr>
    </w:p>
    <w:p w14:paraId="0F7EB55B">
      <w:pPr>
        <w:pStyle w:val="3"/>
        <w:jc w:val="center"/>
        <w:rPr>
          <w:b w:val="0"/>
          <w:color w:val="auto"/>
          <w:sz w:val="30"/>
          <w:szCs w:val="30"/>
          <w:highlight w:val="none"/>
        </w:rPr>
      </w:pPr>
      <w:r>
        <w:rPr>
          <w:rFonts w:hint="eastAsia"/>
          <w:b w:val="0"/>
          <w:color w:val="auto"/>
          <w:sz w:val="30"/>
          <w:szCs w:val="30"/>
          <w:highlight w:val="none"/>
        </w:rPr>
        <w:t>第四节 中标候选人推荐原则</w:t>
      </w:r>
      <w:bookmarkEnd w:id="146"/>
    </w:p>
    <w:p w14:paraId="00F634CC">
      <w:pPr>
        <w:pStyle w:val="19"/>
        <w:numPr>
          <w:ilvl w:val="0"/>
          <w:numId w:val="7"/>
        </w:numPr>
        <w:spacing w:line="400" w:lineRule="exact"/>
        <w:contextualSpacing/>
        <w:rPr>
          <w:rFonts w:hAnsi="宋体" w:cs="宋体"/>
          <w:b/>
          <w:bCs/>
          <w:color w:val="auto"/>
          <w:szCs w:val="21"/>
          <w:highlight w:val="none"/>
        </w:rPr>
      </w:pPr>
      <w:r>
        <w:rPr>
          <w:rFonts w:hint="eastAsia" w:hAnsi="宋体" w:cs="宋体"/>
          <w:b/>
          <w:bCs/>
          <w:color w:val="auto"/>
          <w:szCs w:val="21"/>
          <w:highlight w:val="none"/>
        </w:rPr>
        <w:t>综合评分法</w:t>
      </w:r>
    </w:p>
    <w:p w14:paraId="0093A891">
      <w:pPr>
        <w:pStyle w:val="19"/>
        <w:spacing w:line="400" w:lineRule="exact"/>
        <w:ind w:firstLine="420" w:firstLineChars="200"/>
        <w:contextualSpacing/>
        <w:rPr>
          <w:rFonts w:hAnsi="宋体" w:cs="宋体"/>
          <w:color w:val="auto"/>
          <w:szCs w:val="21"/>
          <w:highlight w:val="none"/>
        </w:rPr>
      </w:pPr>
      <w:r>
        <w:rPr>
          <w:rFonts w:hint="eastAsia" w:hAnsi="宋体" w:cs="宋体"/>
          <w:color w:val="auto"/>
          <w:szCs w:val="21"/>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供应商为排名第一的中标候选人。</w:t>
      </w:r>
    </w:p>
    <w:p w14:paraId="4FAC1CD6">
      <w:pPr>
        <w:pStyle w:val="3"/>
        <w:spacing w:before="0" w:after="0" w:line="400" w:lineRule="exact"/>
        <w:ind w:firstLine="420" w:firstLineChars="200"/>
        <w:jc w:val="center"/>
        <w:rPr>
          <w:rFonts w:ascii="宋体" w:hAnsi="宋体" w:eastAsia="宋体" w:cs="宋体"/>
          <w:b w:val="0"/>
          <w:color w:val="auto"/>
          <w:sz w:val="21"/>
          <w:szCs w:val="21"/>
          <w:highlight w:val="none"/>
        </w:rPr>
      </w:pPr>
      <w:bookmarkStart w:id="147" w:name="_Toc80093008"/>
    </w:p>
    <w:bookmarkEnd w:id="147"/>
    <w:p w14:paraId="55AC403A">
      <w:pPr>
        <w:pStyle w:val="19"/>
        <w:tabs>
          <w:tab w:val="left" w:pos="2472"/>
        </w:tabs>
        <w:spacing w:line="460" w:lineRule="exact"/>
        <w:rPr>
          <w:rFonts w:hAnsi="宋体" w:cs="宋体"/>
          <w:b/>
          <w:color w:val="auto"/>
          <w:szCs w:val="21"/>
          <w:highlight w:val="none"/>
        </w:rPr>
        <w:sectPr>
          <w:pgSz w:w="11906" w:h="16838"/>
          <w:pgMar w:top="1134" w:right="1134" w:bottom="1134" w:left="1134" w:header="720" w:footer="720" w:gutter="0"/>
          <w:pgNumType w:fmt="decimal"/>
          <w:cols w:space="720" w:num="1"/>
          <w:docGrid w:type="lines" w:linePitch="331" w:charSpace="0"/>
        </w:sectPr>
      </w:pPr>
    </w:p>
    <w:p w14:paraId="38FFBAE1">
      <w:pPr>
        <w:pStyle w:val="19"/>
        <w:tabs>
          <w:tab w:val="left" w:pos="2472"/>
        </w:tabs>
        <w:spacing w:line="460" w:lineRule="exact"/>
        <w:rPr>
          <w:rFonts w:ascii="Times New Roman" w:hAnsi="Times New Roman"/>
          <w:b/>
          <w:color w:val="auto"/>
          <w:sz w:val="36"/>
          <w:highlight w:val="none"/>
        </w:rPr>
      </w:pPr>
    </w:p>
    <w:p w14:paraId="469B89BF">
      <w:pPr>
        <w:pStyle w:val="19"/>
        <w:tabs>
          <w:tab w:val="left" w:pos="2472"/>
        </w:tabs>
        <w:spacing w:line="460" w:lineRule="exact"/>
        <w:jc w:val="center"/>
        <w:outlineLvl w:val="0"/>
        <w:rPr>
          <w:rFonts w:ascii="Times New Roman" w:hAnsi="Times New Roman"/>
          <w:b/>
          <w:color w:val="auto"/>
          <w:sz w:val="36"/>
          <w:highlight w:val="none"/>
        </w:rPr>
      </w:pPr>
      <w:bookmarkStart w:id="148" w:name="_Toc80093009"/>
      <w:r>
        <w:rPr>
          <w:rFonts w:hint="eastAsia" w:ascii="Times New Roman" w:hAnsi="Times New Roman"/>
          <w:b/>
          <w:color w:val="auto"/>
          <w:sz w:val="36"/>
          <w:highlight w:val="none"/>
        </w:rPr>
        <w:t>第五章 拟签订的合同文本</w:t>
      </w:r>
      <w:bookmarkEnd w:id="148"/>
    </w:p>
    <w:p w14:paraId="76062F22">
      <w:pPr>
        <w:pStyle w:val="19"/>
        <w:tabs>
          <w:tab w:val="left" w:pos="720"/>
        </w:tabs>
        <w:spacing w:line="460" w:lineRule="exact"/>
        <w:rPr>
          <w:bCs/>
          <w:color w:val="auto"/>
          <w:highlight w:val="none"/>
        </w:rPr>
      </w:pPr>
    </w:p>
    <w:p w14:paraId="114A577E">
      <w:pPr>
        <w:pStyle w:val="6"/>
        <w:rPr>
          <w:bCs/>
          <w:color w:val="auto"/>
          <w:highlight w:val="none"/>
        </w:rPr>
      </w:pPr>
    </w:p>
    <w:p w14:paraId="7A3FF60E">
      <w:pPr>
        <w:snapToGrid w:val="0"/>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《广西壮族自治区政府采购合同》</w:t>
      </w:r>
    </w:p>
    <w:p w14:paraId="1E72A637">
      <w:pPr>
        <w:snapToGrid w:val="0"/>
        <w:spacing w:line="400" w:lineRule="exact"/>
        <w:jc w:val="center"/>
        <w:rPr>
          <w:rFonts w:ascii="宋体" w:hAnsi="宋体"/>
          <w:b/>
          <w:bCs/>
          <w:color w:val="auto"/>
          <w:sz w:val="32"/>
          <w:szCs w:val="32"/>
          <w:highlight w:val="none"/>
        </w:rPr>
      </w:pPr>
    </w:p>
    <w:p w14:paraId="6213E167">
      <w:pPr>
        <w:snapToGrid w:val="0"/>
        <w:spacing w:line="400" w:lineRule="exact"/>
        <w:ind w:right="480" w:firstLine="5250" w:firstLineChars="2500"/>
        <w:rPr>
          <w:rFonts w:ascii="宋体" w:hAnsi="宋体"/>
          <w:bCs/>
          <w:color w:val="auto"/>
          <w:szCs w:val="21"/>
          <w:highlight w:val="none"/>
          <w:u w:val="single"/>
        </w:rPr>
      </w:pPr>
      <w:r>
        <w:rPr>
          <w:rFonts w:hint="eastAsia" w:ascii="宋体" w:hAnsi="宋体"/>
          <w:bCs/>
          <w:color w:val="auto"/>
          <w:szCs w:val="21"/>
          <w:highlight w:val="none"/>
        </w:rPr>
        <w:t>合同编号：</w:t>
      </w:r>
    </w:p>
    <w:p w14:paraId="16324E68">
      <w:pPr>
        <w:snapToGrid w:val="0"/>
        <w:spacing w:line="360" w:lineRule="exact"/>
        <w:rPr>
          <w:rFonts w:ascii="宋体" w:hAnsi="宋体"/>
          <w:color w:val="auto"/>
          <w:szCs w:val="21"/>
          <w:highlight w:val="none"/>
        </w:rPr>
      </w:pPr>
    </w:p>
    <w:p w14:paraId="04E345BE">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采购人（甲方）</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pacing w:val="-20"/>
          <w:szCs w:val="21"/>
          <w:highlight w:val="none"/>
        </w:rPr>
        <w:t>采 购 计 划 号</w:t>
      </w:r>
      <w:r>
        <w:rPr>
          <w:rFonts w:hint="eastAsia" w:ascii="宋体" w:hAnsi="宋体"/>
          <w:color w:val="auto"/>
          <w:szCs w:val="21"/>
          <w:highlight w:val="none"/>
          <w:u w:val="single"/>
        </w:rPr>
        <w:t xml:space="preserve">             </w:t>
      </w:r>
    </w:p>
    <w:p w14:paraId="12FE605C">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供应商（乙方）</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pacing w:val="-20"/>
          <w:szCs w:val="21"/>
          <w:highlight w:val="none"/>
        </w:rPr>
        <w:t>招  标  编  号</w:t>
      </w:r>
      <w:r>
        <w:rPr>
          <w:rFonts w:hint="eastAsia" w:ascii="宋体" w:hAnsi="宋体"/>
          <w:color w:val="auto"/>
          <w:szCs w:val="21"/>
          <w:highlight w:val="none"/>
          <w:u w:val="single"/>
        </w:rPr>
        <w:t xml:space="preserve">             </w:t>
      </w:r>
    </w:p>
    <w:p w14:paraId="7A163697">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 xml:space="preserve">签  订  地  点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签 订 时 间</w:t>
      </w:r>
      <w:r>
        <w:rPr>
          <w:rFonts w:hint="eastAsia" w:ascii="宋体" w:hAnsi="宋体"/>
          <w:color w:val="auto"/>
          <w:szCs w:val="21"/>
          <w:highlight w:val="none"/>
          <w:u w:val="single"/>
        </w:rPr>
        <w:t xml:space="preserve">             </w:t>
      </w:r>
    </w:p>
    <w:p w14:paraId="2D562A10">
      <w:pPr>
        <w:spacing w:line="360" w:lineRule="auto"/>
        <w:rPr>
          <w:rFonts w:ascii="宋体" w:hAnsi="宋体" w:cs="宋体"/>
          <w:color w:val="auto"/>
          <w:szCs w:val="21"/>
          <w:highlight w:val="none"/>
        </w:rPr>
      </w:pPr>
      <w:r>
        <w:rPr>
          <w:rFonts w:hint="eastAsia" w:ascii="宋体" w:hAnsi="宋体" w:cs="宋体"/>
          <w:color w:val="auto"/>
          <w:szCs w:val="21"/>
          <w:highlight w:val="none"/>
        </w:rPr>
        <w:t>本合同为中小企业预留合同：</w:t>
      </w:r>
      <w:r>
        <w:rPr>
          <w:rFonts w:hint="eastAsia" w:ascii="宋体" w:hAnsi="宋体" w:cs="宋体"/>
          <w:color w:val="auto"/>
          <w:szCs w:val="21"/>
          <w:highlight w:val="none"/>
          <w:u w:val="single"/>
        </w:rPr>
        <w:t>（是/否）</w:t>
      </w:r>
      <w:r>
        <w:rPr>
          <w:rFonts w:hint="eastAsia" w:ascii="宋体" w:hAnsi="宋体" w:cs="宋体"/>
          <w:color w:val="auto"/>
          <w:szCs w:val="21"/>
          <w:highlight w:val="none"/>
        </w:rPr>
        <w:t>。</w:t>
      </w:r>
    </w:p>
    <w:p w14:paraId="230F59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w:t>
      </w:r>
      <w:r>
        <w:rPr>
          <w:rFonts w:hint="eastAsia" w:ascii="宋体" w:hAnsi="宋体"/>
          <w:color w:val="auto"/>
          <w:szCs w:val="21"/>
          <w:highlight w:val="none"/>
        </w:rPr>
        <w:t>招标文件规定条款和乙方投标文件及其承诺，甲乙双方签订本合同。</w:t>
      </w:r>
    </w:p>
    <w:p w14:paraId="5C5B8CC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合同标的</w:t>
      </w:r>
    </w:p>
    <w:p w14:paraId="04EC34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1、项目一览表</w:t>
      </w:r>
    </w:p>
    <w:tbl>
      <w:tblPr>
        <w:tblStyle w:val="36"/>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3"/>
        <w:gridCol w:w="2400"/>
        <w:gridCol w:w="1320"/>
        <w:gridCol w:w="1200"/>
        <w:gridCol w:w="2507"/>
      </w:tblGrid>
      <w:tr w14:paraId="44AD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vAlign w:val="center"/>
          </w:tcPr>
          <w:p w14:paraId="22D153B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213" w:type="dxa"/>
            <w:tcBorders>
              <w:top w:val="single" w:color="auto" w:sz="4" w:space="0"/>
              <w:left w:val="single" w:color="auto" w:sz="4" w:space="0"/>
              <w:bottom w:val="single" w:color="auto" w:sz="4" w:space="0"/>
              <w:right w:val="single" w:color="auto" w:sz="4" w:space="0"/>
            </w:tcBorders>
            <w:vAlign w:val="center"/>
          </w:tcPr>
          <w:p w14:paraId="30ED820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2400" w:type="dxa"/>
            <w:tcBorders>
              <w:top w:val="single" w:color="auto" w:sz="4" w:space="0"/>
              <w:left w:val="single" w:color="auto" w:sz="4" w:space="0"/>
              <w:bottom w:val="single" w:color="auto" w:sz="4" w:space="0"/>
              <w:right w:val="single" w:color="auto" w:sz="4" w:space="0"/>
            </w:tcBorders>
            <w:vAlign w:val="center"/>
          </w:tcPr>
          <w:p w14:paraId="4F09B81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服务内容</w:t>
            </w:r>
          </w:p>
        </w:tc>
        <w:tc>
          <w:tcPr>
            <w:tcW w:w="1320" w:type="dxa"/>
            <w:tcBorders>
              <w:top w:val="single" w:color="auto" w:sz="4" w:space="0"/>
              <w:left w:val="single" w:color="auto" w:sz="4" w:space="0"/>
              <w:bottom w:val="single" w:color="auto" w:sz="4" w:space="0"/>
              <w:right w:val="single" w:color="auto" w:sz="4" w:space="0"/>
            </w:tcBorders>
            <w:vAlign w:val="center"/>
          </w:tcPr>
          <w:p w14:paraId="08AA8C4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  量</w:t>
            </w:r>
          </w:p>
        </w:tc>
        <w:tc>
          <w:tcPr>
            <w:tcW w:w="1200" w:type="dxa"/>
            <w:tcBorders>
              <w:top w:val="single" w:color="auto" w:sz="4" w:space="0"/>
              <w:left w:val="single" w:color="auto" w:sz="4" w:space="0"/>
              <w:bottom w:val="single" w:color="auto" w:sz="4" w:space="0"/>
              <w:right w:val="single" w:color="auto" w:sz="4" w:space="0"/>
            </w:tcBorders>
            <w:vAlign w:val="center"/>
          </w:tcPr>
          <w:p w14:paraId="23D9086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2507" w:type="dxa"/>
            <w:tcBorders>
              <w:top w:val="single" w:color="auto" w:sz="4" w:space="0"/>
              <w:left w:val="single" w:color="auto" w:sz="4" w:space="0"/>
              <w:bottom w:val="single" w:color="auto" w:sz="4" w:space="0"/>
              <w:right w:val="single" w:color="auto" w:sz="4" w:space="0"/>
            </w:tcBorders>
            <w:vAlign w:val="center"/>
          </w:tcPr>
          <w:p w14:paraId="39EF1969">
            <w:pPr>
              <w:spacing w:line="360" w:lineRule="auto"/>
              <w:jc w:val="center"/>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折扣率</w:t>
            </w:r>
          </w:p>
        </w:tc>
      </w:tr>
      <w:tr w14:paraId="3FF5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vAlign w:val="center"/>
          </w:tcPr>
          <w:p w14:paraId="7D9513B3">
            <w:pPr>
              <w:spacing w:line="360" w:lineRule="auto"/>
              <w:jc w:val="center"/>
              <w:rPr>
                <w:rFonts w:ascii="宋体" w:hAnsi="宋体" w:cs="宋体"/>
                <w:color w:val="auto"/>
                <w:szCs w:val="21"/>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14:paraId="0D5442B5">
            <w:pPr>
              <w:spacing w:line="360" w:lineRule="auto"/>
              <w:jc w:val="center"/>
              <w:rPr>
                <w:rFonts w:ascii="宋体" w:hAnsi="宋体" w:cs="宋体"/>
                <w:color w:val="auto"/>
                <w:szCs w:val="21"/>
                <w:highlight w:val="none"/>
              </w:rPr>
            </w:pPr>
          </w:p>
        </w:tc>
        <w:tc>
          <w:tcPr>
            <w:tcW w:w="2400" w:type="dxa"/>
            <w:tcBorders>
              <w:top w:val="single" w:color="auto" w:sz="4" w:space="0"/>
              <w:left w:val="single" w:color="auto" w:sz="4" w:space="0"/>
              <w:bottom w:val="single" w:color="auto" w:sz="4" w:space="0"/>
              <w:right w:val="single" w:color="auto" w:sz="4" w:space="0"/>
            </w:tcBorders>
            <w:vAlign w:val="center"/>
          </w:tcPr>
          <w:p w14:paraId="4E93F5C7">
            <w:pPr>
              <w:spacing w:line="360" w:lineRule="auto"/>
              <w:jc w:val="center"/>
              <w:rPr>
                <w:rFonts w:ascii="宋体" w:hAnsi="宋体" w:cs="宋体"/>
                <w:color w:val="auto"/>
                <w:szCs w:val="21"/>
                <w:highlight w:val="none"/>
              </w:rPr>
            </w:pPr>
          </w:p>
        </w:tc>
        <w:tc>
          <w:tcPr>
            <w:tcW w:w="1320" w:type="dxa"/>
            <w:tcBorders>
              <w:top w:val="single" w:color="auto" w:sz="4" w:space="0"/>
              <w:left w:val="single" w:color="auto" w:sz="4" w:space="0"/>
              <w:bottom w:val="single" w:color="auto" w:sz="4" w:space="0"/>
              <w:right w:val="single" w:color="auto" w:sz="4" w:space="0"/>
            </w:tcBorders>
            <w:vAlign w:val="center"/>
          </w:tcPr>
          <w:p w14:paraId="61D906E6">
            <w:pPr>
              <w:spacing w:line="360" w:lineRule="auto"/>
              <w:jc w:val="center"/>
              <w:rPr>
                <w:rFonts w:ascii="宋体" w:hAnsi="宋体" w:cs="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40FD242D">
            <w:pPr>
              <w:spacing w:line="360" w:lineRule="auto"/>
              <w:jc w:val="center"/>
              <w:rPr>
                <w:rFonts w:ascii="宋体" w:hAnsi="宋体" w:cs="宋体"/>
                <w:color w:val="auto"/>
                <w:szCs w:val="21"/>
                <w:highlight w:val="none"/>
              </w:rPr>
            </w:pPr>
          </w:p>
        </w:tc>
        <w:tc>
          <w:tcPr>
            <w:tcW w:w="2507" w:type="dxa"/>
            <w:tcBorders>
              <w:top w:val="single" w:color="auto" w:sz="4" w:space="0"/>
              <w:left w:val="single" w:color="auto" w:sz="4" w:space="0"/>
              <w:bottom w:val="single" w:color="auto" w:sz="4" w:space="0"/>
              <w:right w:val="single" w:color="auto" w:sz="4" w:space="0"/>
            </w:tcBorders>
            <w:vAlign w:val="center"/>
          </w:tcPr>
          <w:p w14:paraId="3B8CE3D8">
            <w:pPr>
              <w:spacing w:line="360" w:lineRule="auto"/>
              <w:jc w:val="center"/>
              <w:rPr>
                <w:rFonts w:ascii="宋体" w:hAnsi="宋体" w:cs="宋体"/>
                <w:color w:val="auto"/>
                <w:szCs w:val="21"/>
                <w:highlight w:val="none"/>
              </w:rPr>
            </w:pPr>
          </w:p>
        </w:tc>
      </w:tr>
      <w:tr w14:paraId="65EC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0" w:type="dxa"/>
            <w:gridSpan w:val="6"/>
            <w:tcBorders>
              <w:top w:val="single" w:color="auto" w:sz="4" w:space="0"/>
              <w:left w:val="single" w:color="auto" w:sz="4" w:space="0"/>
              <w:bottom w:val="single" w:color="auto" w:sz="4" w:space="0"/>
              <w:right w:val="single" w:color="auto" w:sz="4" w:space="0"/>
            </w:tcBorders>
            <w:vAlign w:val="center"/>
          </w:tcPr>
          <w:p w14:paraId="2594CC6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详见开标一览表</w:t>
            </w:r>
          </w:p>
        </w:tc>
      </w:tr>
    </w:tbl>
    <w:p w14:paraId="07CB0685">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2、投标折扣率将作为食材或货物实际结算的合同折扣率，结算时以学校实际采购量进行结算。</w:t>
      </w:r>
    </w:p>
    <w:p w14:paraId="03CC4183">
      <w:pPr>
        <w:pageBreakBefore w:val="0"/>
        <w:widowControl w:val="0"/>
        <w:kinsoku/>
        <w:wordWrap/>
        <w:overflowPunct/>
        <w:topLinePunct w:val="0"/>
        <w:bidi w:val="0"/>
        <w:adjustRightInd/>
        <w:spacing w:line="500" w:lineRule="exact"/>
        <w:ind w:firstLine="420" w:firstLineChars="200"/>
        <w:jc w:val="both"/>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采购人根据食材或货物的市场价格情况，需在食材采购合同执行之日起的有效期内每间隔10天左右，实地采集本地不少于两家大型超市及两家农贸市场相同或同类食材商品的零售价格，计算得出每种食材平均价格作为“基准价”，学校和食材供应商认可后确定下来。然后对“基准价”进行公示，公示后第二天执行，直至下一次“基准价”的更新公示及确定。冷冻食品和大宗副食品可到玉林市宏进市场等大型市场采集批发价后商议确定“基准价”。食材“基准价”的调整周期为10天左右，在调整周期内如遇食材价格波动较大的，按下列方法调整：一是对于价格上下波动不超过（含）10%的，不予调整；二是对于价格上下波动超过10%以上的，由食材供应商或者学校提出申请后，由询价工作小组2天内采集不少于当地两家大型超市及两家农贸市场的有关食材零售价并计算平均价格后，确定为该食材新的“基准价”。所采购食材的价格不得高于学校所在地同期市场公允价格。因市场、政府部门政策等原因造成食材供应商无法按学校要求供货时，食材供应商应尽快与学校协商替代食材。政府部门官网公告价格。可选取县发改部门官网公告的确定日期本地重要民生商品价格作为“基准价”。</w:t>
      </w:r>
    </w:p>
    <w:p w14:paraId="7CA729C2">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即当期某食材或货物结算价=标准单价×合同折扣率×该食材或货物实际采购量。</w:t>
      </w:r>
    </w:p>
    <w:p w14:paraId="71CB47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合同合计金额包括但不限于满足本次投标全部采购需求所应提供的服务，以及伴随的货物和工程（如有）的价格；包含投标服务、货物、工程的成本、运输（含保险）、安装（如有）、调试、检验、技术服务、培训、税费等所有费用。如招标文件对其另有规定的，从其规定。</w:t>
      </w:r>
    </w:p>
    <w:p w14:paraId="2B6644B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第二条　质量保证</w:t>
      </w:r>
    </w:p>
    <w:p w14:paraId="110F5AF5">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1、乙方供应的食材或货物必须达到国家标准；乙方提供食材或货物样本，并提供相应主管部门出具的有效产品合格证件（检验报告）等，经甲方确认，按样本供货。</w:t>
      </w:r>
    </w:p>
    <w:p w14:paraId="6DC2244C">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2、乙方在签订合同后一个月内必须到相关的保险公司进行投保，投保险种为食品安全责任保险，否则采购单位有权终止合同。</w:t>
      </w:r>
    </w:p>
    <w:p w14:paraId="25F5AB6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3、甲方负责定期或不定期组织市场监管、卫健委等部门进行食品质量卫生监督检查，以确保所供食材或货物质量。</w:t>
      </w:r>
    </w:p>
    <w:p w14:paraId="63BB6063">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第三条　权利保证</w:t>
      </w:r>
    </w:p>
    <w:p w14:paraId="1904ED9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1、乙方应保证所提供服务在使用时不会侵犯任何第三方的专利权、商标权、工业设计权等知识产权及其他合法权利，且所有权、处分权等没有受到任何限制。</w:t>
      </w:r>
    </w:p>
    <w:p w14:paraId="7204217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14:paraId="2E942A2F">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第四条　交付和验收</w:t>
      </w:r>
    </w:p>
    <w:p w14:paraId="36CFA9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1、服务期限：</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服务地点：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采购单位指定地点</w:t>
      </w:r>
      <w:r>
        <w:rPr>
          <w:rFonts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；交货方式：</w:t>
      </w:r>
      <w:r>
        <w:rPr>
          <w:rFonts w:hint="eastAsia" w:ascii="宋体" w:hAnsi="宋体" w:cs="宋体"/>
          <w:color w:val="auto"/>
          <w:szCs w:val="21"/>
          <w:highlight w:val="none"/>
          <w:u w:val="single"/>
          <w:lang w:eastAsia="zh-CN"/>
        </w:rPr>
        <w:t>甲方提前一天以上将需要大米的数量报给乙方，乙方按甲方所报的数量并按原提供的食材或货物样本按时、按要求送到甲方指定的地点，运费及装卸费由乙方承担</w:t>
      </w:r>
      <w:r>
        <w:rPr>
          <w:rFonts w:hint="eastAsia" w:ascii="宋体" w:hAnsi="宋体" w:cs="宋体"/>
          <w:color w:val="auto"/>
          <w:szCs w:val="21"/>
          <w:highlight w:val="none"/>
        </w:rPr>
        <w:t>。</w:t>
      </w:r>
    </w:p>
    <w:p w14:paraId="65DE324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2、乙方应按投标文件的承诺向甲方提供相应的服务，并提供所服务内容的相关技术资料。</w:t>
      </w:r>
    </w:p>
    <w:p w14:paraId="33474F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3、乙方提供不符合投标文件和本合同规定的服务成果，甲方有权拒绝接受。</w:t>
      </w:r>
    </w:p>
    <w:p w14:paraId="6DCEC2A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乙方完成服务后应及时书面通知甲方进行验收，甲方应在收到通知后七个工作日内进行验收，逾期不开始验收的，乙方可视同验收合格。验收合格后由甲乙双方签署验收单并加盖采购人公章，甲乙双方各执一份。</w:t>
      </w:r>
    </w:p>
    <w:p w14:paraId="1D71ECEF">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5、甲乙双方应按照《</w:t>
      </w:r>
      <w:r>
        <w:rPr>
          <w:rFonts w:ascii="宋体" w:hAnsi="宋体" w:cs="宋体"/>
          <w:color w:val="auto"/>
          <w:szCs w:val="21"/>
          <w:highlight w:val="none"/>
        </w:rPr>
        <w:t>广西壮族自治区政府采购项目履约验收管理办法</w:t>
      </w:r>
      <w:r>
        <w:rPr>
          <w:rFonts w:hint="eastAsia" w:ascii="宋体" w:hAnsi="宋体" w:cs="宋体"/>
          <w:color w:val="auto"/>
          <w:szCs w:val="21"/>
          <w:highlight w:val="none"/>
        </w:rPr>
        <w:t>》、双方合同、投标文件验收。</w:t>
      </w:r>
    </w:p>
    <w:p w14:paraId="4E1271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6、甲方在初步验收或者最终验收过程中如发现乙方提供的服务成果不满足投标文件及本合同规定的，可暂缓向乙方付款，直到乙方及时完善并提交相应的服务成果且经甲方验收合格后，方可办理付款。</w:t>
      </w:r>
    </w:p>
    <w:p w14:paraId="2835E9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7、甲方验收时以书面形式提出异议的，乙方应自收到甲方书面异议后五个工作日内及时予以解决，否则甲方有权不出具服务验收合格单。</w:t>
      </w:r>
    </w:p>
    <w:p w14:paraId="23E2D722">
      <w:p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第五条  售后服务及培训</w:t>
      </w:r>
    </w:p>
    <w:p w14:paraId="69E52AF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1、乙方应按照国家有关法律法规和本合同所附的《商务要求偏离表》要求为甲方提供相应的售后服务。</w:t>
      </w:r>
    </w:p>
    <w:p w14:paraId="667AB8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2、甲方应提供必要测试条件（如场地、电源、水源等）。</w:t>
      </w:r>
    </w:p>
    <w:p w14:paraId="347059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3、乙方负责甲方有关人员的培训。培训时间、地点：</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14:paraId="249C6C3A">
      <w:pPr>
        <w:snapToGrid w:val="0"/>
        <w:spacing w:line="360" w:lineRule="auto"/>
        <w:ind w:firstLine="422" w:firstLineChars="200"/>
        <w:rPr>
          <w:rFonts w:ascii="宋体" w:hAnsi="宋体" w:cs="宋体"/>
          <w:color w:val="auto"/>
          <w:szCs w:val="21"/>
          <w:highlight w:val="none"/>
          <w:u w:val="single"/>
        </w:rPr>
      </w:pPr>
      <w:r>
        <w:rPr>
          <w:rFonts w:hint="eastAsia" w:ascii="宋体" w:hAnsi="宋体" w:cs="宋体"/>
          <w:b/>
          <w:color w:val="auto"/>
          <w:szCs w:val="21"/>
          <w:highlight w:val="none"/>
        </w:rPr>
        <w:t>第六条　付款方式</w:t>
      </w:r>
    </w:p>
    <w:p w14:paraId="2A4631DF">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甲乙双方同意本合同金额的支付按以下第</w:t>
      </w:r>
      <w:r>
        <w:rPr>
          <w:rFonts w:hint="eastAsia" w:ascii="宋体" w:hAnsi="宋体"/>
          <w:color w:val="auto"/>
          <w:szCs w:val="21"/>
          <w:highlight w:val="none"/>
          <w:u w:val="single"/>
        </w:rPr>
        <w:t>2</w:t>
      </w:r>
      <w:r>
        <w:rPr>
          <w:rFonts w:hint="eastAsia" w:ascii="宋体" w:hAnsi="宋体"/>
          <w:color w:val="auto"/>
          <w:szCs w:val="21"/>
          <w:highlight w:val="none"/>
        </w:rPr>
        <w:t>项约定执行：</w:t>
      </w:r>
    </w:p>
    <w:p w14:paraId="7AE569B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1、一次性支付</w:t>
      </w:r>
    </w:p>
    <w:p w14:paraId="3424C2E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2、分期支付</w:t>
      </w:r>
    </w:p>
    <w:p w14:paraId="3E7BF8F6">
      <w:pPr>
        <w:spacing w:line="360" w:lineRule="auto"/>
        <w:ind w:firstLine="420" w:firstLineChars="200"/>
        <w:rPr>
          <w:rFonts w:ascii="宋体" w:hAnsi="宋体"/>
          <w:color w:val="auto"/>
          <w:szCs w:val="21"/>
          <w:highlight w:val="none"/>
        </w:rPr>
      </w:pPr>
      <w:r>
        <w:rPr>
          <w:highlight w:val="yellow"/>
        </w:rPr>
        <w:t>双方签订合同后，</w:t>
      </w:r>
      <w:r>
        <w:rPr>
          <w:rFonts w:hint="eastAsia"/>
          <w:highlight w:val="yellow"/>
          <w:lang w:val="en-US" w:eastAsia="zh-CN"/>
        </w:rPr>
        <w:t>中标</w:t>
      </w:r>
      <w:r>
        <w:rPr>
          <w:highlight w:val="yellow"/>
        </w:rPr>
        <w:t>供应商须向采购人提供合同总金额</w:t>
      </w:r>
      <w:r>
        <w:rPr>
          <w:rFonts w:hint="eastAsia"/>
          <w:highlight w:val="yellow"/>
          <w:lang w:val="en-US" w:eastAsia="zh-CN"/>
        </w:rPr>
        <w:t>5</w:t>
      </w:r>
      <w:r>
        <w:rPr>
          <w:highlight w:val="yellow"/>
        </w:rPr>
        <w:t>%的预付款保函（</w:t>
      </w:r>
      <w:r>
        <w:rPr>
          <w:rFonts w:hint="eastAsia"/>
          <w:highlight w:val="yellow"/>
        </w:rPr>
        <w:t>每份保函的有效期应为提交下一份保函生效之日止</w:t>
      </w:r>
      <w:r>
        <w:rPr>
          <w:highlight w:val="yellow"/>
        </w:rPr>
        <w:t>）及等额发票</w:t>
      </w:r>
      <w:r>
        <w:rPr>
          <w:rFonts w:hint="eastAsia"/>
          <w:highlight w:val="yellow"/>
          <w:lang w:eastAsia="zh-CN"/>
        </w:rPr>
        <w:t>。</w:t>
      </w:r>
      <w:r>
        <w:rPr>
          <w:sz w:val="22"/>
          <w:szCs w:val="22"/>
        </w:rPr>
        <w:t>一般情况下采购单位按月进行结算，采购资金由采购单位财务</w:t>
      </w:r>
      <w:r>
        <w:rPr>
          <w:b w:val="0"/>
          <w:bCs w:val="0"/>
          <w:spacing w:val="-5"/>
          <w:sz w:val="22"/>
          <w:szCs w:val="22"/>
        </w:rPr>
        <w:t>户转入中标供应商账</w:t>
      </w:r>
      <w:r>
        <w:rPr>
          <w:rFonts w:hint="eastAsia"/>
          <w:b w:val="0"/>
          <w:bCs w:val="0"/>
          <w:spacing w:val="-5"/>
          <w:sz w:val="22"/>
          <w:szCs w:val="22"/>
          <w:lang w:eastAsia="zh-CN"/>
        </w:rPr>
        <w:t>户</w:t>
      </w:r>
      <w:r>
        <w:rPr>
          <w:b w:val="0"/>
          <w:bCs w:val="0"/>
          <w:spacing w:val="-5"/>
          <w:sz w:val="22"/>
          <w:szCs w:val="22"/>
        </w:rPr>
        <w:t>。每月25日前，中标供应商向采购单位库</w:t>
      </w:r>
      <w:r>
        <w:rPr>
          <w:rFonts w:hint="eastAsia"/>
          <w:b w:val="0"/>
          <w:bCs w:val="0"/>
          <w:spacing w:val="-5"/>
          <w:sz w:val="22"/>
          <w:szCs w:val="22"/>
          <w:lang w:eastAsia="zh-CN"/>
        </w:rPr>
        <w:t>出</w:t>
      </w:r>
      <w:r>
        <w:rPr>
          <w:b w:val="0"/>
          <w:bCs w:val="0"/>
          <w:spacing w:val="-3"/>
          <w:sz w:val="22"/>
          <w:szCs w:val="22"/>
        </w:rPr>
        <w:t>具上一月度供货相应数额的发票(农副产品免税的除外),采购</w:t>
      </w:r>
      <w:r>
        <w:rPr>
          <w:b w:val="0"/>
          <w:bCs w:val="0"/>
          <w:spacing w:val="-5"/>
          <w:sz w:val="22"/>
          <w:szCs w:val="22"/>
        </w:rPr>
        <w:t>单位收到发票后10个工作日内支付。特殊情况，需临时改变</w:t>
      </w:r>
      <w:r>
        <w:rPr>
          <w:b w:val="0"/>
          <w:bCs w:val="0"/>
          <w:spacing w:val="-6"/>
          <w:sz w:val="22"/>
          <w:szCs w:val="22"/>
        </w:rPr>
        <w:t>结算</w:t>
      </w:r>
      <w:r>
        <w:rPr>
          <w:b w:val="0"/>
          <w:bCs w:val="0"/>
          <w:spacing w:val="-3"/>
          <w:sz w:val="22"/>
          <w:szCs w:val="22"/>
        </w:rPr>
        <w:t>方式，双方可通过协商解决。</w:t>
      </w:r>
    </w:p>
    <w:p w14:paraId="12871B32">
      <w:p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第七条　履约保证金</w:t>
      </w:r>
    </w:p>
    <w:p w14:paraId="3F3227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履约保证金金额：</w:t>
      </w: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14:paraId="28CDBE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履约保证金递交方式：支票、汇票、本票或者金融、担保机构出具的保函等非现金方式（参照投标保证金）。</w:t>
      </w:r>
    </w:p>
    <w:p w14:paraId="68A688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履约保证金退付方式、时间及条件：由中标人向履约保证金收取单位提供《广西壮族自治区政府采购项目合同验收书》（详见桂财采〔2015〕22号），保证金收取单位在收到合格材料后5个工作日内办理退还手续（不计利息）。</w:t>
      </w:r>
    </w:p>
    <w:p w14:paraId="3E30BD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签订合同后，如中标人不按双方签订的合同规定履约，则没收其全部履约保证金，履约保证金不足以赔偿损失的，按实际损失赔偿。</w:t>
      </w:r>
    </w:p>
    <w:p w14:paraId="7C955A8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第八条  税费</w:t>
      </w:r>
    </w:p>
    <w:p w14:paraId="4EE07C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本合同执行中相关的一切税费均由乙方负担，合同另有约定的除外。</w:t>
      </w:r>
    </w:p>
    <w:p w14:paraId="028218B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第九条　违约责任</w:t>
      </w:r>
    </w:p>
    <w:p w14:paraId="08DCC0C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1、学生因食用乙方提供的食材或货物而中毒的；</w:t>
      </w:r>
    </w:p>
    <w:p w14:paraId="29CA4BBC">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2、不按时或拒不交货的；</w:t>
      </w:r>
    </w:p>
    <w:p w14:paraId="3B3250B5">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3、供应的食材或货物不对样本，并经有关部门检验证实不达国家标准以上，乙方又不同意退换的；</w:t>
      </w:r>
    </w:p>
    <w:p w14:paraId="2E6C359A">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4、因违法经营被市场监管、税务、卫健委等部门处罚的；</w:t>
      </w:r>
    </w:p>
    <w:p w14:paraId="5510D2E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5、因政策变动或其他人力不可抗拒原因导致合同无法履行的，任何一方不负违约责任。</w:t>
      </w:r>
    </w:p>
    <w:p w14:paraId="4F22A562">
      <w:pPr>
        <w:keepNext w:val="0"/>
        <w:keepLines w:val="0"/>
        <w:pageBreakBefore w:val="0"/>
        <w:widowControl w:val="0"/>
        <w:kinsoku/>
        <w:wordWrap/>
        <w:overflowPunct/>
        <w:topLinePunct w:val="0"/>
        <w:autoSpaceDE/>
        <w:autoSpaceDN/>
        <w:bidi w:val="0"/>
        <w:adjustRightInd/>
        <w:spacing w:line="400" w:lineRule="exact"/>
        <w:ind w:firstLine="422" w:firstLineChars="200"/>
        <w:textAlignment w:val="auto"/>
        <w:rPr>
          <w:rFonts w:hint="eastAsia" w:ascii="宋体" w:hAnsi="宋体"/>
          <w:color w:val="auto"/>
          <w:sz w:val="21"/>
          <w:szCs w:val="21"/>
          <w:highlight w:val="none"/>
          <w:lang w:eastAsia="zh-CN"/>
        </w:rPr>
      </w:pPr>
      <w:r>
        <w:rPr>
          <w:rFonts w:hint="eastAsia" w:ascii="宋体" w:hAnsi="宋体" w:cs="宋体"/>
          <w:b/>
          <w:bCs w:val="0"/>
          <w:color w:val="auto"/>
          <w:sz w:val="21"/>
          <w:szCs w:val="21"/>
          <w:highlight w:val="none"/>
        </w:rPr>
        <w:t>第</w:t>
      </w:r>
      <w:r>
        <w:rPr>
          <w:rFonts w:hint="eastAsia" w:ascii="宋体" w:hAnsi="宋体" w:cs="宋体"/>
          <w:b/>
          <w:bCs w:val="0"/>
          <w:color w:val="auto"/>
          <w:sz w:val="21"/>
          <w:szCs w:val="21"/>
          <w:highlight w:val="none"/>
          <w:lang w:val="en-US" w:eastAsia="zh-CN"/>
        </w:rPr>
        <w:t>十</w:t>
      </w:r>
      <w:r>
        <w:rPr>
          <w:rFonts w:hint="eastAsia" w:ascii="宋体" w:hAnsi="宋体" w:cs="宋体"/>
          <w:b/>
          <w:bCs w:val="0"/>
          <w:color w:val="auto"/>
          <w:sz w:val="21"/>
          <w:szCs w:val="21"/>
          <w:highlight w:val="none"/>
        </w:rPr>
        <w:t>条　</w:t>
      </w:r>
      <w:r>
        <w:rPr>
          <w:rFonts w:hint="eastAsia" w:ascii="宋体" w:hAnsi="宋体"/>
          <w:b/>
          <w:bCs w:val="0"/>
          <w:color w:val="auto"/>
          <w:sz w:val="21"/>
          <w:szCs w:val="21"/>
          <w:highlight w:val="none"/>
          <w:lang w:eastAsia="zh-CN"/>
        </w:rPr>
        <w:t>监督办法与退出机制</w:t>
      </w:r>
    </w:p>
    <w:p w14:paraId="6DABAF21">
      <w:pPr>
        <w:pageBreakBefore w:val="0"/>
        <w:widowControl w:val="0"/>
        <w:kinsoku/>
        <w:wordWrap/>
        <w:overflowPunct/>
        <w:topLinePunct w:val="0"/>
        <w:bidi w:val="0"/>
        <w:adjustRightInd/>
        <w:spacing w:line="500" w:lineRule="exact"/>
        <w:ind w:firstLine="420" w:firstLineChars="2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双方合作订立以下退出机制。发生以下情况之一的，教育局有权终止与中标人合作，由此造成的全部损失（包括但不限于当天无法用餐额外产生的费用、临时调动其他供应商的费用、给用餐人员人身造成损害的治疗与赔偿补偿费用等）及相应的法律责任由中标人全部承担，并全额没收中标人支付的保证金，涉及罚金的在当期或者下期应付款中扣除；</w:t>
      </w:r>
    </w:p>
    <w:p w14:paraId="5318FE4D">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（一）违反食品安全法律法规，被市场监管部门吊销食品生产（经营）许可证的或违反相关法律法规、被登记机关吊销营业执照的。</w:t>
      </w:r>
    </w:p>
    <w:p w14:paraId="0001DE55">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（二）中标人有挂靠、转包或分包行为的；</w:t>
      </w:r>
    </w:p>
    <w:p w14:paraId="771D35E3">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询价定价小组公布食材、食品价格后，中标人以价格偏低、货源不足或货源难于组织为由，自行减少供货品种每年达到三次的（未达到三次前，每发现一次，发标人对中标人书面警告一次，并向发标人支付违约金3000元）；</w:t>
      </w:r>
    </w:p>
    <w:p w14:paraId="0A2F7506">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（四）中标人配送食材，逾期不配送到位，影响开餐每年达到三次的（未达到三次前，每发现一次，发标人对中标人书面警告一次，并向发标人支付违约金3000元）；</w:t>
      </w:r>
    </w:p>
    <w:p w14:paraId="2AD4113A">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（五）中标人配送食材的品种、规格、数量、留样与投标基本要求不相符每年达到三次的（未达到三次前，每发现一次，发标人对中标人书面警告一次，并向发标人支付违约金3000元）；</w:t>
      </w:r>
    </w:p>
    <w:p w14:paraId="6A44E1D0">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（六）采购人通过举报渠道收到对中标人的投诉且经调查核实情况实属，每年达到三次的（未达到三次前，每发现一次，发标人对中标人书面警告一次，并向发标人支付违约金3000元）；</w:t>
      </w:r>
    </w:p>
    <w:p w14:paraId="76C529E9">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（七）中标人配送食材的品质、检测结果不合格或明知质量不符继续供应的；</w:t>
      </w:r>
    </w:p>
    <w:p w14:paraId="39C110F0">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（八）伪造、虚报投标信息或违背投标承诺的；</w:t>
      </w:r>
    </w:p>
    <w:p w14:paraId="3B099C17">
      <w:pPr>
        <w:pageBreakBefore w:val="0"/>
        <w:widowControl w:val="0"/>
        <w:kinsoku/>
        <w:wordWrap/>
        <w:overflowPunct/>
        <w:topLinePunct w:val="0"/>
        <w:bidi w:val="0"/>
        <w:adjustRightInd/>
        <w:spacing w:line="500" w:lineRule="exact"/>
        <w:ind w:firstLine="210" w:firstLineChars="100"/>
        <w:jc w:val="both"/>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（九）发生食品安全质量事故的；</w:t>
      </w:r>
    </w:p>
    <w:p w14:paraId="19DAC300">
      <w:pPr>
        <w:spacing w:line="360" w:lineRule="auto"/>
        <w:ind w:firstLine="210" w:firstLineChars="1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十）在教育局双减办每月组织相关部门对食材配送企业进行综合考核评议中，每年有三次得分低于80分的（未达到三次前，每发现一次，发标人对中标人书面警告一次，并要向发标人支付一定的违约金，具体详见附件《陆川县农村义务教育学生营养改善计划食材采购项目考核表》）。</w:t>
      </w:r>
    </w:p>
    <w:p w14:paraId="35C38C6E">
      <w:pPr>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第十</w:t>
      </w:r>
      <w:r>
        <w:rPr>
          <w:rFonts w:hint="eastAsia" w:ascii="宋体" w:hAnsi="宋体" w:cs="宋体"/>
          <w:b/>
          <w:color w:val="auto"/>
          <w:sz w:val="21"/>
          <w:szCs w:val="21"/>
          <w:highlight w:val="none"/>
          <w:lang w:val="en-US" w:eastAsia="zh-CN"/>
        </w:rPr>
        <w:t>一</w:t>
      </w:r>
      <w:r>
        <w:rPr>
          <w:rFonts w:hint="eastAsia" w:ascii="宋体" w:hAnsi="宋体" w:cs="宋体"/>
          <w:b/>
          <w:color w:val="auto"/>
          <w:sz w:val="21"/>
          <w:szCs w:val="21"/>
          <w:highlight w:val="none"/>
        </w:rPr>
        <w:t>条  不可抗力事件处理</w:t>
      </w:r>
    </w:p>
    <w:p w14:paraId="3B38858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1、在合同有效期内，任何一方因不可抗力事件导致不能履行合同，则合同履行期可延长，其延长期与不可抗力影响期相同。</w:t>
      </w:r>
    </w:p>
    <w:p w14:paraId="6544A8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5DBB8B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14:paraId="0FEDCEA7">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val="en-US" w:eastAsia="zh-CN"/>
        </w:rPr>
        <w:t>二</w:t>
      </w:r>
      <w:r>
        <w:rPr>
          <w:rFonts w:hint="eastAsia" w:ascii="宋体" w:hAnsi="宋体" w:cs="宋体"/>
          <w:b/>
          <w:color w:val="auto"/>
          <w:szCs w:val="21"/>
          <w:highlight w:val="none"/>
        </w:rPr>
        <w:t>条  合同争议解决</w:t>
      </w:r>
    </w:p>
    <w:p w14:paraId="7A4426D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1、因服务质量问题发生争议的，应邀请国家认可的质量检测机构进行鉴定。服务符合标准的，鉴定费由甲方承担；服务不符合标准的，鉴定费由乙方承担。</w:t>
      </w:r>
    </w:p>
    <w:p w14:paraId="0AE5DAA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2、因履行本合同引起的或者与本合同有关的争议，甲乙双方应首先通过友好协商解决，如果协商不能解决，可向甲方所在地有管辖权人民法院提起诉讼。</w:t>
      </w:r>
    </w:p>
    <w:p w14:paraId="5161146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3、诉讼期间，本合同继续履行。</w:t>
      </w:r>
    </w:p>
    <w:p w14:paraId="69CF6AE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第十二条  合同生效及其它</w:t>
      </w:r>
    </w:p>
    <w:p w14:paraId="62C04D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1、合同经双方法定代表人或者授权代表签字并加盖单位公章后生效（委托代理人签字的需后附授权委托书，格式自拟）。</w:t>
      </w:r>
    </w:p>
    <w:p w14:paraId="23E25B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2、合同执行中涉及采购资金和采购内容修改或者补充的，须经财政部门审批，并签书面补充协议报财政部门备案，方可作为主合同不可分割的一部分。</w:t>
      </w:r>
    </w:p>
    <w:p w14:paraId="05D6B8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3、本合同未尽事宜，遵照《中华人民共和国民法典》有关条文执行。</w:t>
      </w:r>
    </w:p>
    <w:p w14:paraId="7B2E468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第十三条　合同的变更、终止与转让</w:t>
      </w:r>
    </w:p>
    <w:p w14:paraId="432D85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1、除《中华人民共和国政府采购法》第五十条规定的情形外，本合同一经签订，甲乙双方不得擅自变更、中止或者终止。</w:t>
      </w:r>
    </w:p>
    <w:p w14:paraId="674D07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29A999D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第十四条　签订本合同依据</w:t>
      </w:r>
    </w:p>
    <w:p w14:paraId="5DA9E5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olor w:val="auto"/>
          <w:szCs w:val="21"/>
          <w:highlight w:val="none"/>
        </w:rPr>
        <w:t>中标通知书</w:t>
      </w:r>
      <w:r>
        <w:rPr>
          <w:rFonts w:hint="eastAsia" w:ascii="宋体" w:hAnsi="宋体" w:cs="宋体"/>
          <w:color w:val="auto"/>
          <w:szCs w:val="21"/>
          <w:highlight w:val="none"/>
        </w:rPr>
        <w:t>；</w:t>
      </w:r>
    </w:p>
    <w:p w14:paraId="6AA464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2、开标一览表；</w:t>
      </w:r>
    </w:p>
    <w:p w14:paraId="4868BB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3、商务要求偏离表和技术要求偏离表；</w:t>
      </w:r>
    </w:p>
    <w:p w14:paraId="39A3486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、服务实施方案；</w:t>
      </w:r>
    </w:p>
    <w:p w14:paraId="5F8473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5、投标文件中的其他相关文件。</w:t>
      </w:r>
    </w:p>
    <w:p w14:paraId="117EE0D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、上述合同文件互相补充和解释。如果合同文件之间存在矛盾或者不一致之处，以上述文件的排列顺序在先者为准。</w:t>
      </w:r>
    </w:p>
    <w:p w14:paraId="4C822D86">
      <w:pPr>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第十五条　</w:t>
      </w:r>
      <w:r>
        <w:rPr>
          <w:rFonts w:hint="eastAsia" w:ascii="宋体" w:hAnsi="宋体" w:cs="宋体"/>
          <w:color w:val="auto"/>
          <w:szCs w:val="21"/>
          <w:highlight w:val="none"/>
        </w:rPr>
        <w:t>本合同一式四份，具有同等法律效力，财政部门（政府采购监管部门）、采购代理机构各一份，甲乙双方各一份（可根据需要另增加）。</w:t>
      </w:r>
    </w:p>
    <w:p w14:paraId="7D1E01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本合同甲乙双方签字盖章后生效，自签订之日起七个工作日内，甲方应当将合同副本报同级财政部门备案。</w:t>
      </w:r>
    </w:p>
    <w:p w14:paraId="7E9D4F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本合同自签订之日起2个工作日内，甲方应当将采购合同在广西壮族自治区财政厅指定的媒体上公告。</w:t>
      </w:r>
    </w:p>
    <w:p w14:paraId="4E1583A4">
      <w:pPr>
        <w:spacing w:line="360" w:lineRule="auto"/>
        <w:ind w:firstLine="420" w:firstLineChars="200"/>
        <w:rPr>
          <w:rFonts w:ascii="宋体" w:hAnsi="宋体" w:cs="宋体"/>
          <w:color w:val="auto"/>
          <w:szCs w:val="21"/>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21BE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14:paraId="49078A83">
            <w:pPr>
              <w:snapToGrid w:val="0"/>
              <w:spacing w:line="360" w:lineRule="auto"/>
              <w:rPr>
                <w:rFonts w:ascii="宋体" w:hAnsi="宋体"/>
                <w:color w:val="auto"/>
                <w:szCs w:val="21"/>
                <w:highlight w:val="none"/>
              </w:rPr>
            </w:pPr>
            <w:r>
              <w:rPr>
                <w:rFonts w:hint="eastAsia" w:ascii="宋体" w:hAnsi="宋体"/>
                <w:color w:val="auto"/>
                <w:szCs w:val="21"/>
                <w:highlight w:val="none"/>
              </w:rPr>
              <w:t xml:space="preserve">甲方（章）           </w:t>
            </w:r>
          </w:p>
          <w:p w14:paraId="734ECC89">
            <w:pPr>
              <w:snapToGrid w:val="0"/>
              <w:spacing w:line="360" w:lineRule="auto"/>
              <w:rPr>
                <w:rFonts w:ascii="宋体" w:hAnsi="宋体"/>
                <w:color w:val="auto"/>
                <w:szCs w:val="21"/>
                <w:highlight w:val="none"/>
              </w:rPr>
            </w:pPr>
          </w:p>
          <w:p w14:paraId="5345A1A2">
            <w:pPr>
              <w:snapToGrid w:val="0"/>
              <w:spacing w:line="360" w:lineRule="auto"/>
              <w:ind w:firstLine="945" w:firstLineChars="450"/>
              <w:jc w:val="right"/>
              <w:rPr>
                <w:rFonts w:ascii="宋体" w:hAnsi="宋体"/>
                <w:color w:val="auto"/>
                <w:szCs w:val="21"/>
                <w:highlight w:val="none"/>
              </w:rPr>
            </w:pPr>
            <w:r>
              <w:rPr>
                <w:rFonts w:hint="eastAsia" w:ascii="宋体" w:hAnsi="宋体"/>
                <w:color w:val="auto"/>
                <w:szCs w:val="21"/>
                <w:highlight w:val="none"/>
              </w:rPr>
              <w:t>年   月   日</w:t>
            </w:r>
          </w:p>
        </w:tc>
        <w:tc>
          <w:tcPr>
            <w:tcW w:w="4517" w:type="dxa"/>
            <w:vAlign w:val="center"/>
          </w:tcPr>
          <w:p w14:paraId="68F61728">
            <w:pPr>
              <w:snapToGrid w:val="0"/>
              <w:spacing w:line="360" w:lineRule="auto"/>
              <w:rPr>
                <w:rFonts w:ascii="宋体" w:hAnsi="宋体"/>
                <w:color w:val="auto"/>
                <w:szCs w:val="21"/>
                <w:highlight w:val="none"/>
              </w:rPr>
            </w:pPr>
            <w:r>
              <w:rPr>
                <w:rFonts w:hint="eastAsia" w:ascii="宋体" w:hAnsi="宋体"/>
                <w:color w:val="auto"/>
                <w:szCs w:val="21"/>
                <w:highlight w:val="none"/>
              </w:rPr>
              <w:t xml:space="preserve">乙方（章）              </w:t>
            </w:r>
          </w:p>
          <w:p w14:paraId="6A5878ED">
            <w:pPr>
              <w:snapToGrid w:val="0"/>
              <w:spacing w:line="360" w:lineRule="auto"/>
              <w:rPr>
                <w:rFonts w:ascii="宋体" w:hAnsi="宋体"/>
                <w:color w:val="auto"/>
                <w:szCs w:val="21"/>
                <w:highlight w:val="none"/>
              </w:rPr>
            </w:pPr>
          </w:p>
          <w:p w14:paraId="6EBEC7E8">
            <w:pPr>
              <w:snapToGrid w:val="0"/>
              <w:spacing w:line="360" w:lineRule="auto"/>
              <w:jc w:val="right"/>
              <w:rPr>
                <w:rFonts w:ascii="宋体" w:hAnsi="宋体"/>
                <w:color w:val="auto"/>
                <w:szCs w:val="21"/>
                <w:highlight w:val="none"/>
              </w:rPr>
            </w:pPr>
            <w:r>
              <w:rPr>
                <w:rFonts w:hint="eastAsia" w:ascii="宋体" w:hAnsi="宋体"/>
                <w:color w:val="auto"/>
                <w:szCs w:val="21"/>
                <w:highlight w:val="none"/>
              </w:rPr>
              <w:t xml:space="preserve"> 年   月   日</w:t>
            </w:r>
          </w:p>
        </w:tc>
      </w:tr>
      <w:tr w14:paraId="6B6C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14:paraId="7F8CC508">
            <w:pPr>
              <w:snapToGrid w:val="0"/>
              <w:spacing w:line="360" w:lineRule="auto"/>
              <w:rPr>
                <w:rFonts w:ascii="宋体" w:hAnsi="宋体"/>
                <w:color w:val="auto"/>
                <w:szCs w:val="21"/>
                <w:highlight w:val="none"/>
              </w:rPr>
            </w:pPr>
            <w:r>
              <w:rPr>
                <w:rFonts w:hint="eastAsia" w:ascii="宋体" w:hAnsi="宋体"/>
                <w:color w:val="auto"/>
                <w:szCs w:val="21"/>
                <w:highlight w:val="none"/>
              </w:rPr>
              <w:t>单位地址：</w:t>
            </w:r>
          </w:p>
        </w:tc>
        <w:tc>
          <w:tcPr>
            <w:tcW w:w="4517" w:type="dxa"/>
            <w:vAlign w:val="center"/>
          </w:tcPr>
          <w:p w14:paraId="29C83BDF">
            <w:pPr>
              <w:snapToGrid w:val="0"/>
              <w:spacing w:line="360" w:lineRule="auto"/>
              <w:rPr>
                <w:rFonts w:ascii="宋体" w:hAnsi="宋体"/>
                <w:color w:val="auto"/>
                <w:szCs w:val="21"/>
                <w:highlight w:val="none"/>
              </w:rPr>
            </w:pPr>
            <w:r>
              <w:rPr>
                <w:rFonts w:hint="eastAsia" w:ascii="宋体" w:hAnsi="宋体"/>
                <w:color w:val="auto"/>
                <w:szCs w:val="21"/>
                <w:highlight w:val="none"/>
              </w:rPr>
              <w:t>单位地址：</w:t>
            </w:r>
          </w:p>
        </w:tc>
      </w:tr>
      <w:tr w14:paraId="65A5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4516" w:type="dxa"/>
          </w:tcPr>
          <w:p w14:paraId="11A5D219">
            <w:pPr>
              <w:snapToGrid w:val="0"/>
              <w:spacing w:line="360" w:lineRule="auto"/>
              <w:rPr>
                <w:rFonts w:ascii="宋体" w:hAnsi="宋体"/>
                <w:color w:val="auto"/>
                <w:szCs w:val="21"/>
                <w:highlight w:val="none"/>
              </w:rPr>
            </w:pPr>
            <w:r>
              <w:rPr>
                <w:rFonts w:hint="eastAsia" w:ascii="宋体" w:hAnsi="宋体"/>
                <w:color w:val="auto"/>
                <w:szCs w:val="21"/>
                <w:highlight w:val="none"/>
              </w:rPr>
              <w:t>法定代表人或者委托代理人：</w:t>
            </w:r>
          </w:p>
        </w:tc>
        <w:tc>
          <w:tcPr>
            <w:tcW w:w="4517" w:type="dxa"/>
          </w:tcPr>
          <w:p w14:paraId="573AABC3">
            <w:pPr>
              <w:snapToGrid w:val="0"/>
              <w:spacing w:line="360" w:lineRule="auto"/>
              <w:rPr>
                <w:rFonts w:ascii="宋体" w:hAnsi="宋体"/>
                <w:color w:val="auto"/>
                <w:szCs w:val="21"/>
                <w:highlight w:val="none"/>
              </w:rPr>
            </w:pPr>
            <w:r>
              <w:rPr>
                <w:rFonts w:hint="eastAsia" w:ascii="宋体" w:hAnsi="宋体"/>
                <w:color w:val="auto"/>
                <w:szCs w:val="21"/>
                <w:highlight w:val="none"/>
              </w:rPr>
              <w:t>法定代表人或者委托代理人：</w:t>
            </w:r>
          </w:p>
        </w:tc>
      </w:tr>
      <w:tr w14:paraId="4DC4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14:paraId="09AF97BB">
            <w:pPr>
              <w:snapToGrid w:val="0"/>
              <w:spacing w:line="360" w:lineRule="auto"/>
              <w:rPr>
                <w:rFonts w:ascii="宋体" w:hAnsi="宋体"/>
                <w:color w:val="auto"/>
                <w:szCs w:val="21"/>
                <w:highlight w:val="none"/>
              </w:rPr>
            </w:pPr>
            <w:r>
              <w:rPr>
                <w:rFonts w:hint="eastAsia" w:ascii="宋体" w:hAnsi="宋体"/>
                <w:color w:val="auto"/>
                <w:szCs w:val="21"/>
                <w:highlight w:val="none"/>
              </w:rPr>
              <w:t>电话：</w:t>
            </w:r>
          </w:p>
        </w:tc>
        <w:tc>
          <w:tcPr>
            <w:tcW w:w="4517" w:type="dxa"/>
            <w:vAlign w:val="center"/>
          </w:tcPr>
          <w:p w14:paraId="1DB50851">
            <w:pPr>
              <w:snapToGrid w:val="0"/>
              <w:spacing w:line="360" w:lineRule="auto"/>
              <w:rPr>
                <w:rFonts w:ascii="宋体" w:hAnsi="宋体"/>
                <w:color w:val="auto"/>
                <w:szCs w:val="21"/>
                <w:highlight w:val="none"/>
              </w:rPr>
            </w:pPr>
            <w:r>
              <w:rPr>
                <w:rFonts w:hint="eastAsia" w:ascii="宋体" w:hAnsi="宋体"/>
                <w:color w:val="auto"/>
                <w:szCs w:val="21"/>
                <w:highlight w:val="none"/>
              </w:rPr>
              <w:t>电话：</w:t>
            </w:r>
          </w:p>
        </w:tc>
      </w:tr>
      <w:tr w14:paraId="0C3C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14:paraId="7E4430DD">
            <w:pPr>
              <w:snapToGrid w:val="0"/>
              <w:spacing w:line="360" w:lineRule="auto"/>
              <w:rPr>
                <w:rFonts w:ascii="宋体" w:hAnsi="宋体"/>
                <w:color w:val="auto"/>
                <w:szCs w:val="21"/>
                <w:highlight w:val="none"/>
              </w:rPr>
            </w:pPr>
            <w:r>
              <w:rPr>
                <w:rFonts w:hint="eastAsia" w:ascii="宋体" w:hAnsi="宋体"/>
                <w:color w:val="auto"/>
                <w:szCs w:val="21"/>
                <w:highlight w:val="none"/>
              </w:rPr>
              <w:t>电子邮箱：</w:t>
            </w:r>
          </w:p>
        </w:tc>
        <w:tc>
          <w:tcPr>
            <w:tcW w:w="4517" w:type="dxa"/>
            <w:vAlign w:val="center"/>
          </w:tcPr>
          <w:p w14:paraId="2626D80A">
            <w:pPr>
              <w:snapToGrid w:val="0"/>
              <w:spacing w:line="360" w:lineRule="auto"/>
              <w:rPr>
                <w:rFonts w:ascii="宋体" w:hAnsi="宋体"/>
                <w:color w:val="auto"/>
                <w:szCs w:val="21"/>
                <w:highlight w:val="none"/>
              </w:rPr>
            </w:pPr>
            <w:r>
              <w:rPr>
                <w:rFonts w:hint="eastAsia" w:ascii="宋体" w:hAnsi="宋体"/>
                <w:color w:val="auto"/>
                <w:szCs w:val="21"/>
                <w:highlight w:val="none"/>
              </w:rPr>
              <w:t>电子邮箱：</w:t>
            </w:r>
          </w:p>
        </w:tc>
      </w:tr>
      <w:tr w14:paraId="4C7D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14:paraId="426DB99C">
            <w:pPr>
              <w:snapToGrid w:val="0"/>
              <w:spacing w:line="360" w:lineRule="auto"/>
              <w:rPr>
                <w:rFonts w:ascii="宋体" w:hAnsi="宋体"/>
                <w:color w:val="auto"/>
                <w:szCs w:val="21"/>
                <w:highlight w:val="none"/>
              </w:rPr>
            </w:pPr>
            <w:r>
              <w:rPr>
                <w:rFonts w:hint="eastAsia" w:ascii="宋体" w:hAnsi="宋体"/>
                <w:color w:val="auto"/>
                <w:szCs w:val="21"/>
                <w:highlight w:val="none"/>
              </w:rPr>
              <w:t>开户银行：</w:t>
            </w:r>
          </w:p>
        </w:tc>
        <w:tc>
          <w:tcPr>
            <w:tcW w:w="4517" w:type="dxa"/>
            <w:vAlign w:val="center"/>
          </w:tcPr>
          <w:p w14:paraId="10612A85">
            <w:pPr>
              <w:snapToGrid w:val="0"/>
              <w:spacing w:line="360" w:lineRule="auto"/>
              <w:rPr>
                <w:rFonts w:ascii="宋体" w:hAnsi="宋体"/>
                <w:color w:val="auto"/>
                <w:szCs w:val="21"/>
                <w:highlight w:val="none"/>
              </w:rPr>
            </w:pPr>
            <w:r>
              <w:rPr>
                <w:rFonts w:hint="eastAsia" w:ascii="宋体" w:hAnsi="宋体"/>
                <w:color w:val="auto"/>
                <w:szCs w:val="21"/>
                <w:highlight w:val="none"/>
              </w:rPr>
              <w:t>开户银行：</w:t>
            </w:r>
          </w:p>
        </w:tc>
      </w:tr>
      <w:tr w14:paraId="5D1E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14:paraId="4C60606B">
            <w:pPr>
              <w:snapToGrid w:val="0"/>
              <w:spacing w:line="360" w:lineRule="auto"/>
              <w:rPr>
                <w:rFonts w:ascii="宋体" w:hAnsi="宋体"/>
                <w:color w:val="auto"/>
                <w:szCs w:val="21"/>
                <w:highlight w:val="none"/>
              </w:rPr>
            </w:pPr>
            <w:r>
              <w:rPr>
                <w:rFonts w:hint="eastAsia" w:ascii="宋体" w:hAnsi="宋体"/>
                <w:color w:val="auto"/>
                <w:szCs w:val="21"/>
                <w:highlight w:val="none"/>
              </w:rPr>
              <w:t>账号：</w:t>
            </w:r>
          </w:p>
        </w:tc>
        <w:tc>
          <w:tcPr>
            <w:tcW w:w="4517" w:type="dxa"/>
            <w:vAlign w:val="center"/>
          </w:tcPr>
          <w:p w14:paraId="61E3DBD8">
            <w:pPr>
              <w:snapToGrid w:val="0"/>
              <w:spacing w:line="360" w:lineRule="auto"/>
              <w:rPr>
                <w:rFonts w:ascii="宋体" w:hAnsi="宋体"/>
                <w:color w:val="auto"/>
                <w:szCs w:val="21"/>
                <w:highlight w:val="none"/>
              </w:rPr>
            </w:pPr>
            <w:r>
              <w:rPr>
                <w:rFonts w:hint="eastAsia" w:ascii="宋体" w:hAnsi="宋体"/>
                <w:color w:val="auto"/>
                <w:szCs w:val="21"/>
                <w:highlight w:val="none"/>
              </w:rPr>
              <w:t>账号：</w:t>
            </w:r>
          </w:p>
        </w:tc>
      </w:tr>
      <w:tr w14:paraId="63E3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14:paraId="6597A6C5">
            <w:pPr>
              <w:snapToGrid w:val="0"/>
              <w:spacing w:line="360" w:lineRule="auto"/>
              <w:rPr>
                <w:rFonts w:ascii="宋体" w:hAnsi="宋体"/>
                <w:color w:val="auto"/>
                <w:szCs w:val="21"/>
                <w:highlight w:val="none"/>
              </w:rPr>
            </w:pPr>
            <w:r>
              <w:rPr>
                <w:rFonts w:hint="eastAsia" w:ascii="宋体" w:hAnsi="宋体"/>
                <w:color w:val="auto"/>
                <w:szCs w:val="21"/>
                <w:highlight w:val="none"/>
              </w:rPr>
              <w:t>邮政编码：</w:t>
            </w:r>
          </w:p>
        </w:tc>
        <w:tc>
          <w:tcPr>
            <w:tcW w:w="4517" w:type="dxa"/>
            <w:vAlign w:val="center"/>
          </w:tcPr>
          <w:p w14:paraId="1FF312E9">
            <w:pPr>
              <w:snapToGrid w:val="0"/>
              <w:spacing w:line="360" w:lineRule="auto"/>
              <w:rPr>
                <w:rFonts w:ascii="宋体" w:hAnsi="宋体"/>
                <w:color w:val="auto"/>
                <w:szCs w:val="21"/>
                <w:highlight w:val="none"/>
              </w:rPr>
            </w:pPr>
            <w:r>
              <w:rPr>
                <w:rFonts w:hint="eastAsia" w:ascii="宋体" w:hAnsi="宋体"/>
                <w:color w:val="auto"/>
                <w:szCs w:val="21"/>
                <w:highlight w:val="none"/>
              </w:rPr>
              <w:t>邮政编码：</w:t>
            </w:r>
          </w:p>
        </w:tc>
      </w:tr>
    </w:tbl>
    <w:p w14:paraId="58F0398C">
      <w:pPr>
        <w:rPr>
          <w:color w:val="auto"/>
          <w:highlight w:val="none"/>
        </w:rPr>
        <w:sectPr>
          <w:pgSz w:w="11906" w:h="16838"/>
          <w:pgMar w:top="1134" w:right="1134" w:bottom="1134" w:left="1134" w:header="720" w:footer="720" w:gutter="0"/>
          <w:pgNumType w:fmt="decimal"/>
          <w:cols w:space="720" w:num="1"/>
          <w:docGrid w:type="lines" w:linePitch="331" w:charSpace="0"/>
        </w:sectPr>
      </w:pPr>
    </w:p>
    <w:p w14:paraId="4ED673D5">
      <w:pPr>
        <w:spacing w:line="360" w:lineRule="auto"/>
        <w:rPr>
          <w:rFonts w:ascii="仿宋_GB2312" w:hAnsi="楷体" w:eastAsia="仿宋_GB2312"/>
          <w:color w:val="auto"/>
          <w:sz w:val="24"/>
          <w:highlight w:val="none"/>
        </w:rPr>
      </w:pPr>
    </w:p>
    <w:p w14:paraId="7F192669">
      <w:pPr>
        <w:snapToGrid w:val="0"/>
        <w:spacing w:line="400" w:lineRule="exact"/>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合 同 附 件</w:t>
      </w:r>
    </w:p>
    <w:p w14:paraId="19B0FD72">
      <w:pPr>
        <w:snapToGrid w:val="0"/>
        <w:spacing w:line="400" w:lineRule="exact"/>
        <w:rPr>
          <w:rFonts w:ascii="宋体" w:hAnsi="宋体" w:cs="宋体"/>
          <w:color w:val="auto"/>
          <w:kern w:val="0"/>
          <w:szCs w:val="21"/>
          <w:highlight w:val="none"/>
        </w:rPr>
      </w:pPr>
    </w:p>
    <w:tbl>
      <w:tblPr>
        <w:tblStyle w:val="36"/>
        <w:tblW w:w="0" w:type="auto"/>
        <w:jc w:val="center"/>
        <w:tblLayout w:type="fixed"/>
        <w:tblCellMar>
          <w:top w:w="0" w:type="dxa"/>
          <w:left w:w="108" w:type="dxa"/>
          <w:bottom w:w="0" w:type="dxa"/>
          <w:right w:w="108" w:type="dxa"/>
        </w:tblCellMar>
      </w:tblPr>
      <w:tblGrid>
        <w:gridCol w:w="4627"/>
        <w:gridCol w:w="4659"/>
      </w:tblGrid>
      <w:tr w14:paraId="0168EF0B">
        <w:tblPrEx>
          <w:tblCellMar>
            <w:top w:w="0" w:type="dxa"/>
            <w:left w:w="108" w:type="dxa"/>
            <w:bottom w:w="0" w:type="dxa"/>
            <w:right w:w="108" w:type="dxa"/>
          </w:tblCellMar>
        </w:tblPrEx>
        <w:trPr>
          <w:trHeight w:val="2072" w:hRule="exact"/>
          <w:jc w:val="center"/>
        </w:trPr>
        <w:tc>
          <w:tcPr>
            <w:tcW w:w="9286" w:type="dxa"/>
            <w:gridSpan w:val="2"/>
            <w:tcBorders>
              <w:top w:val="single" w:color="auto" w:sz="4" w:space="0"/>
              <w:left w:val="single" w:color="auto" w:sz="4" w:space="0"/>
              <w:right w:val="single" w:color="auto" w:sz="4" w:space="0"/>
            </w:tcBorders>
          </w:tcPr>
          <w:p w14:paraId="482D7F6E">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1.供应商承诺具体事项：</w:t>
            </w:r>
          </w:p>
          <w:p w14:paraId="64E44E3D">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14:paraId="409844DC">
        <w:tblPrEx>
          <w:tblCellMar>
            <w:top w:w="0" w:type="dxa"/>
            <w:left w:w="108" w:type="dxa"/>
            <w:bottom w:w="0" w:type="dxa"/>
            <w:right w:w="108" w:type="dxa"/>
          </w:tblCellMar>
        </w:tblPrEx>
        <w:trPr>
          <w:trHeight w:val="2257" w:hRule="exact"/>
          <w:jc w:val="center"/>
        </w:trPr>
        <w:tc>
          <w:tcPr>
            <w:tcW w:w="9286" w:type="dxa"/>
            <w:gridSpan w:val="2"/>
            <w:tcBorders>
              <w:top w:val="single" w:color="auto" w:sz="4" w:space="0"/>
              <w:left w:val="single" w:color="auto" w:sz="4" w:space="0"/>
              <w:right w:val="single" w:color="auto" w:sz="4" w:space="0"/>
            </w:tcBorders>
          </w:tcPr>
          <w:p w14:paraId="4D80126C">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2.售后服务具体事项：</w:t>
            </w:r>
          </w:p>
          <w:p w14:paraId="4CA1C47F">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14:paraId="79E4D13C">
        <w:tblPrEx>
          <w:tblCellMar>
            <w:top w:w="0" w:type="dxa"/>
            <w:left w:w="108" w:type="dxa"/>
            <w:bottom w:w="0" w:type="dxa"/>
            <w:right w:w="108" w:type="dxa"/>
          </w:tblCellMar>
        </w:tblPrEx>
        <w:trPr>
          <w:trHeight w:val="2133" w:hRule="exact"/>
          <w:jc w:val="center"/>
        </w:trPr>
        <w:tc>
          <w:tcPr>
            <w:tcW w:w="9286" w:type="dxa"/>
            <w:gridSpan w:val="2"/>
            <w:tcBorders>
              <w:top w:val="single" w:color="auto" w:sz="4" w:space="0"/>
              <w:left w:val="single" w:color="auto" w:sz="4" w:space="0"/>
              <w:right w:val="single" w:color="auto" w:sz="4" w:space="0"/>
            </w:tcBorders>
          </w:tcPr>
          <w:p w14:paraId="59DC2859">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3.质量保证期责任：</w:t>
            </w:r>
          </w:p>
          <w:p w14:paraId="511B63DF">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14:paraId="1302C83C">
        <w:tblPrEx>
          <w:tblCellMar>
            <w:top w:w="0" w:type="dxa"/>
            <w:left w:w="108" w:type="dxa"/>
            <w:bottom w:w="0" w:type="dxa"/>
            <w:right w:w="108" w:type="dxa"/>
          </w:tblCellMar>
        </w:tblPrEx>
        <w:trPr>
          <w:trHeight w:val="2702" w:hRule="exact"/>
          <w:jc w:val="center"/>
        </w:trPr>
        <w:tc>
          <w:tcPr>
            <w:tcW w:w="9286" w:type="dxa"/>
            <w:gridSpan w:val="2"/>
            <w:tcBorders>
              <w:top w:val="single" w:color="auto" w:sz="4" w:space="0"/>
              <w:left w:val="single" w:color="auto" w:sz="4" w:space="0"/>
              <w:right w:val="single" w:color="auto" w:sz="4" w:space="0"/>
            </w:tcBorders>
          </w:tcPr>
          <w:p w14:paraId="2C1AB098">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4.其他具体事项：</w:t>
            </w:r>
          </w:p>
          <w:p w14:paraId="40C6EB24">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14:paraId="483DC5AA">
        <w:tblPrEx>
          <w:tblCellMar>
            <w:top w:w="0" w:type="dxa"/>
            <w:left w:w="108" w:type="dxa"/>
            <w:bottom w:w="0" w:type="dxa"/>
            <w:right w:w="108" w:type="dxa"/>
          </w:tblCellMar>
        </w:tblPrEx>
        <w:trPr>
          <w:trHeight w:val="2577" w:hRule="atLeast"/>
          <w:jc w:val="center"/>
        </w:trPr>
        <w:tc>
          <w:tcPr>
            <w:tcW w:w="4627" w:type="dxa"/>
            <w:tcBorders>
              <w:top w:val="single" w:color="auto" w:sz="4" w:space="0"/>
              <w:left w:val="single" w:color="auto" w:sz="4" w:space="0"/>
              <w:bottom w:val="single" w:color="auto" w:sz="4" w:space="0"/>
              <w:right w:val="single" w:color="auto" w:sz="4" w:space="0"/>
            </w:tcBorders>
            <w:vAlign w:val="center"/>
          </w:tcPr>
          <w:p w14:paraId="187C6781">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甲方（章）</w:t>
            </w:r>
          </w:p>
          <w:p w14:paraId="69A5BFCF">
            <w:pPr>
              <w:snapToGrid w:val="0"/>
              <w:spacing w:line="400" w:lineRule="exact"/>
              <w:ind w:firstLine="420" w:firstLineChars="200"/>
              <w:rPr>
                <w:rFonts w:ascii="宋体" w:hAnsi="宋体" w:cs="宋体"/>
                <w:color w:val="auto"/>
                <w:kern w:val="0"/>
                <w:szCs w:val="21"/>
                <w:highlight w:val="none"/>
              </w:rPr>
            </w:pPr>
          </w:p>
          <w:p w14:paraId="1276A189">
            <w:pPr>
              <w:snapToGrid w:val="0"/>
              <w:spacing w:line="400" w:lineRule="exact"/>
              <w:ind w:firstLine="420" w:firstLineChars="200"/>
              <w:rPr>
                <w:rFonts w:ascii="宋体" w:hAnsi="宋体" w:cs="宋体"/>
                <w:color w:val="auto"/>
                <w:kern w:val="0"/>
                <w:szCs w:val="21"/>
                <w:highlight w:val="none"/>
              </w:rPr>
            </w:pPr>
          </w:p>
          <w:p w14:paraId="03253FF8">
            <w:pPr>
              <w:snapToGrid w:val="0"/>
              <w:spacing w:line="400" w:lineRule="exact"/>
              <w:ind w:firstLine="420" w:firstLineChars="200"/>
              <w:rPr>
                <w:rFonts w:ascii="宋体" w:hAnsi="宋体" w:cs="宋体"/>
                <w:color w:val="auto"/>
                <w:kern w:val="0"/>
                <w:szCs w:val="21"/>
                <w:highlight w:val="none"/>
              </w:rPr>
            </w:pPr>
          </w:p>
          <w:p w14:paraId="3B772581">
            <w:pPr>
              <w:snapToGrid w:val="0"/>
              <w:spacing w:line="400" w:lineRule="exact"/>
              <w:ind w:firstLine="420" w:firstLineChars="200"/>
              <w:rPr>
                <w:rFonts w:ascii="宋体" w:hAnsi="宋体" w:cs="宋体"/>
                <w:color w:val="auto"/>
                <w:kern w:val="0"/>
                <w:szCs w:val="21"/>
                <w:highlight w:val="none"/>
              </w:rPr>
            </w:pPr>
          </w:p>
          <w:p w14:paraId="2C8DA25A">
            <w:pPr>
              <w:snapToGrid w:val="0"/>
              <w:spacing w:line="400" w:lineRule="exact"/>
              <w:ind w:firstLine="420" w:firstLineChars="200"/>
              <w:rPr>
                <w:rFonts w:ascii="宋体" w:hAnsi="宋体" w:cs="宋体"/>
                <w:color w:val="auto"/>
                <w:kern w:val="0"/>
                <w:szCs w:val="21"/>
                <w:highlight w:val="none"/>
              </w:rPr>
            </w:pPr>
          </w:p>
          <w:p w14:paraId="556FEE5A">
            <w:pPr>
              <w:snapToGrid w:val="0"/>
              <w:spacing w:line="400" w:lineRule="exact"/>
              <w:ind w:firstLine="420" w:firstLineChars="200"/>
              <w:rPr>
                <w:rFonts w:ascii="宋体" w:hAnsi="宋体" w:cs="宋体"/>
                <w:color w:val="auto"/>
                <w:kern w:val="0"/>
                <w:szCs w:val="21"/>
                <w:highlight w:val="none"/>
              </w:rPr>
            </w:pPr>
          </w:p>
          <w:p w14:paraId="5CFB3B07">
            <w:pPr>
              <w:snapToGri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年   月   日 </w:t>
            </w:r>
          </w:p>
        </w:tc>
        <w:tc>
          <w:tcPr>
            <w:tcW w:w="4659" w:type="dxa"/>
            <w:tcBorders>
              <w:top w:val="single" w:color="auto" w:sz="4" w:space="0"/>
              <w:left w:val="single" w:color="auto" w:sz="4" w:space="0"/>
              <w:bottom w:val="single" w:color="auto" w:sz="4" w:space="0"/>
              <w:right w:val="single" w:color="auto" w:sz="4" w:space="0"/>
            </w:tcBorders>
            <w:vAlign w:val="center"/>
          </w:tcPr>
          <w:p w14:paraId="60A10E4B">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乙方（章）</w:t>
            </w:r>
          </w:p>
          <w:p w14:paraId="30A16363">
            <w:pPr>
              <w:snapToGrid w:val="0"/>
              <w:spacing w:line="400" w:lineRule="exact"/>
              <w:ind w:firstLine="420" w:firstLineChars="200"/>
              <w:rPr>
                <w:rFonts w:ascii="宋体" w:hAnsi="宋体" w:cs="宋体"/>
                <w:color w:val="auto"/>
                <w:kern w:val="0"/>
                <w:szCs w:val="21"/>
                <w:highlight w:val="none"/>
              </w:rPr>
            </w:pPr>
          </w:p>
          <w:p w14:paraId="39CF829E">
            <w:pPr>
              <w:snapToGrid w:val="0"/>
              <w:spacing w:line="400" w:lineRule="exact"/>
              <w:ind w:firstLine="420" w:firstLineChars="200"/>
              <w:rPr>
                <w:rFonts w:ascii="宋体" w:hAnsi="宋体" w:cs="宋体"/>
                <w:color w:val="auto"/>
                <w:kern w:val="0"/>
                <w:szCs w:val="21"/>
                <w:highlight w:val="none"/>
              </w:rPr>
            </w:pPr>
          </w:p>
          <w:p w14:paraId="6FC083D3">
            <w:pPr>
              <w:snapToGrid w:val="0"/>
              <w:spacing w:line="400" w:lineRule="exact"/>
              <w:ind w:firstLine="420" w:firstLineChars="200"/>
              <w:rPr>
                <w:rFonts w:ascii="宋体" w:hAnsi="宋体" w:cs="宋体"/>
                <w:color w:val="auto"/>
                <w:kern w:val="0"/>
                <w:szCs w:val="21"/>
                <w:highlight w:val="none"/>
              </w:rPr>
            </w:pPr>
          </w:p>
          <w:p w14:paraId="26265828">
            <w:pPr>
              <w:snapToGrid w:val="0"/>
              <w:spacing w:line="400" w:lineRule="exact"/>
              <w:ind w:firstLine="420" w:firstLineChars="200"/>
              <w:rPr>
                <w:rFonts w:ascii="宋体" w:hAnsi="宋体" w:cs="宋体"/>
                <w:color w:val="auto"/>
                <w:kern w:val="0"/>
                <w:szCs w:val="21"/>
                <w:highlight w:val="none"/>
              </w:rPr>
            </w:pPr>
          </w:p>
          <w:p w14:paraId="1226563F">
            <w:pPr>
              <w:snapToGrid w:val="0"/>
              <w:spacing w:line="400" w:lineRule="exact"/>
              <w:ind w:firstLine="420" w:firstLineChars="200"/>
              <w:rPr>
                <w:rFonts w:ascii="宋体" w:hAnsi="宋体" w:cs="宋体"/>
                <w:color w:val="auto"/>
                <w:kern w:val="0"/>
                <w:szCs w:val="21"/>
                <w:highlight w:val="none"/>
              </w:rPr>
            </w:pPr>
          </w:p>
          <w:p w14:paraId="792DA66F">
            <w:pPr>
              <w:snapToGrid w:val="0"/>
              <w:spacing w:line="400" w:lineRule="exact"/>
              <w:ind w:firstLine="420" w:firstLineChars="200"/>
              <w:rPr>
                <w:rFonts w:ascii="宋体" w:hAnsi="宋体" w:cs="宋体"/>
                <w:color w:val="auto"/>
                <w:kern w:val="0"/>
                <w:szCs w:val="21"/>
                <w:highlight w:val="none"/>
              </w:rPr>
            </w:pPr>
          </w:p>
          <w:p w14:paraId="369CB2A4">
            <w:pPr>
              <w:snapToGri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年   月   日</w:t>
            </w:r>
          </w:p>
        </w:tc>
      </w:tr>
    </w:tbl>
    <w:p w14:paraId="3C7DDEBB">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注：售后服务事项填不下时可另加附页</w:t>
      </w:r>
    </w:p>
    <w:p w14:paraId="5FFF1525">
      <w:pPr>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7CA87EE4">
      <w:pPr>
        <w:spacing w:line="528" w:lineRule="exact"/>
        <w:jc w:val="center"/>
        <w:rPr>
          <w:rFonts w:hint="eastAsia" w:ascii="方正小标宋简体" w:hAnsi="方正小标宋简体" w:eastAsia="方正小标宋简体" w:cs="方正小标宋简体"/>
          <w:b/>
          <w:color w:val="auto"/>
          <w:sz w:val="32"/>
          <w:szCs w:val="32"/>
          <w:lang w:eastAsia="zh-CN"/>
        </w:rPr>
      </w:pPr>
    </w:p>
    <w:p w14:paraId="77327FF7">
      <w:pPr>
        <w:spacing w:line="528"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b/>
          <w:color w:val="auto"/>
          <w:sz w:val="32"/>
          <w:szCs w:val="32"/>
          <w:lang w:eastAsia="zh-CN"/>
        </w:rPr>
        <w:t>陆川县</w:t>
      </w:r>
      <w:r>
        <w:rPr>
          <w:rFonts w:hint="eastAsia" w:ascii="方正小标宋简体" w:hAnsi="方正小标宋简体" w:eastAsia="方正小标宋简体" w:cs="方正小标宋简体"/>
          <w:b/>
          <w:color w:val="auto"/>
          <w:sz w:val="32"/>
          <w:szCs w:val="32"/>
        </w:rPr>
        <w:t>农村义务教育学生营养改善计划食材采购项目考核表</w:t>
      </w:r>
    </w:p>
    <w:p w14:paraId="3CE27232">
      <w:pPr>
        <w:pStyle w:val="15"/>
        <w:keepNext w:val="0"/>
        <w:keepLines w:val="0"/>
        <w:pageBreakBefore w:val="0"/>
        <w:widowControl w:val="0"/>
        <w:kinsoku/>
        <w:wordWrap/>
        <w:overflowPunct/>
        <w:topLinePunct w:val="0"/>
        <w:autoSpaceDE/>
        <w:autoSpaceDN/>
        <w:bidi w:val="0"/>
        <w:adjustRightInd/>
        <w:snapToGrid/>
        <w:spacing w:line="480" w:lineRule="exact"/>
        <w:rPr>
          <w:color w:val="auto"/>
        </w:rPr>
      </w:pPr>
      <w:r>
        <w:rPr>
          <w:color w:val="auto"/>
          <w:spacing w:val="5"/>
          <w:sz w:val="24"/>
          <w:szCs w:val="20"/>
        </w:rPr>
        <w:t>企业名称：</w:t>
      </w:r>
      <w:r>
        <w:rPr>
          <w:rFonts w:hint="eastAsia"/>
          <w:color w:val="auto"/>
          <w:spacing w:val="5"/>
          <w:sz w:val="24"/>
          <w:szCs w:val="20"/>
        </w:rPr>
        <w:t xml:space="preserve">                                     </w:t>
      </w:r>
      <w:r>
        <w:rPr>
          <w:color w:val="auto"/>
          <w:spacing w:val="-3"/>
          <w:sz w:val="24"/>
          <w:szCs w:val="20"/>
        </w:rPr>
        <w:t>考核时间：</w:t>
      </w:r>
    </w:p>
    <w:tbl>
      <w:tblPr>
        <w:tblStyle w:val="142"/>
        <w:tblW w:w="94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889"/>
        <w:gridCol w:w="6300"/>
        <w:gridCol w:w="790"/>
        <w:gridCol w:w="712"/>
      </w:tblGrid>
      <w:tr w14:paraId="38172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741" w:type="dxa"/>
            <w:vAlign w:val="center"/>
          </w:tcPr>
          <w:p w14:paraId="60242C52">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pacing w:val="-3"/>
              </w:rPr>
            </w:pPr>
            <w:r>
              <w:rPr>
                <w:rFonts w:hint="eastAsia" w:ascii="黑体" w:hAnsi="黑体" w:eastAsia="黑体" w:cs="黑体"/>
                <w:color w:val="auto"/>
                <w:spacing w:val="-3"/>
              </w:rPr>
              <w:t>一级</w:t>
            </w:r>
          </w:p>
          <w:p w14:paraId="2B32AE15">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rPr>
            </w:pPr>
            <w:r>
              <w:rPr>
                <w:rFonts w:hint="eastAsia" w:ascii="黑体" w:hAnsi="黑体" w:eastAsia="黑体" w:cs="黑体"/>
                <w:color w:val="auto"/>
                <w:spacing w:val="-3"/>
              </w:rPr>
              <w:t>指标</w:t>
            </w:r>
          </w:p>
        </w:tc>
        <w:tc>
          <w:tcPr>
            <w:tcW w:w="889" w:type="dxa"/>
            <w:vAlign w:val="center"/>
          </w:tcPr>
          <w:p w14:paraId="14C8A7D7">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pacing w:val="-3"/>
              </w:rPr>
            </w:pPr>
            <w:r>
              <w:rPr>
                <w:rFonts w:hint="eastAsia" w:ascii="黑体" w:hAnsi="黑体" w:eastAsia="黑体" w:cs="黑体"/>
                <w:color w:val="auto"/>
                <w:spacing w:val="-3"/>
              </w:rPr>
              <w:t>二级</w:t>
            </w:r>
          </w:p>
          <w:p w14:paraId="6BD6A3C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rPr>
            </w:pPr>
            <w:r>
              <w:rPr>
                <w:rFonts w:hint="eastAsia" w:ascii="黑体" w:hAnsi="黑体" w:eastAsia="黑体" w:cs="黑体"/>
                <w:color w:val="auto"/>
                <w:spacing w:val="-3"/>
              </w:rPr>
              <w:t>指标</w:t>
            </w:r>
          </w:p>
        </w:tc>
        <w:tc>
          <w:tcPr>
            <w:tcW w:w="6300" w:type="dxa"/>
            <w:vAlign w:val="center"/>
          </w:tcPr>
          <w:p w14:paraId="449AFE43">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rPr>
            </w:pPr>
            <w:r>
              <w:rPr>
                <w:rFonts w:hint="eastAsia" w:ascii="黑体" w:hAnsi="黑体" w:eastAsia="黑体" w:cs="黑体"/>
                <w:color w:val="auto"/>
                <w:spacing w:val="-2"/>
              </w:rPr>
              <w:t>考评细则</w:t>
            </w:r>
          </w:p>
        </w:tc>
        <w:tc>
          <w:tcPr>
            <w:tcW w:w="790" w:type="dxa"/>
            <w:vAlign w:val="center"/>
          </w:tcPr>
          <w:p w14:paraId="6A3784BD">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pacing w:val="-7"/>
              </w:rPr>
            </w:pPr>
            <w:r>
              <w:rPr>
                <w:rFonts w:hint="eastAsia" w:ascii="黑体" w:hAnsi="黑体" w:eastAsia="黑体" w:cs="黑体"/>
                <w:color w:val="auto"/>
                <w:spacing w:val="-7"/>
              </w:rPr>
              <w:t>扣分</w:t>
            </w:r>
          </w:p>
          <w:p w14:paraId="18CEF517">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lang w:val="en-US" w:eastAsia="zh-CN"/>
              </w:rPr>
            </w:pPr>
            <w:r>
              <w:rPr>
                <w:rFonts w:hint="eastAsia" w:ascii="黑体" w:hAnsi="黑体" w:eastAsia="黑体" w:cs="黑体"/>
                <w:color w:val="auto"/>
                <w:spacing w:val="-7"/>
                <w:lang w:val="en-US" w:eastAsia="zh-CN"/>
              </w:rPr>
              <w:t>罚款</w:t>
            </w:r>
          </w:p>
        </w:tc>
        <w:tc>
          <w:tcPr>
            <w:tcW w:w="712" w:type="dxa"/>
            <w:vAlign w:val="center"/>
          </w:tcPr>
          <w:p w14:paraId="3C8A5474">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rPr>
            </w:pPr>
            <w:r>
              <w:rPr>
                <w:rFonts w:hint="eastAsia" w:ascii="黑体" w:hAnsi="黑体" w:eastAsia="黑体" w:cs="黑体"/>
                <w:color w:val="auto"/>
                <w:spacing w:val="-7"/>
              </w:rPr>
              <w:t>备注</w:t>
            </w:r>
          </w:p>
        </w:tc>
      </w:tr>
      <w:tr w14:paraId="19B5C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741" w:type="dxa"/>
            <w:vMerge w:val="restart"/>
            <w:vAlign w:val="center"/>
          </w:tcPr>
          <w:p w14:paraId="385E7CB2">
            <w:pPr>
              <w:pStyle w:val="141"/>
              <w:keepNext w:val="0"/>
              <w:keepLines w:val="0"/>
              <w:pageBreakBefore w:val="0"/>
              <w:widowControl w:val="0"/>
              <w:kinsoku/>
              <w:wordWrap/>
              <w:overflowPunct/>
              <w:topLinePunct w:val="0"/>
              <w:autoSpaceDE/>
              <w:autoSpaceDN/>
              <w:bidi w:val="0"/>
              <w:adjustRightInd/>
              <w:snapToGrid/>
              <w:spacing w:before="78" w:line="300" w:lineRule="exact"/>
              <w:jc w:val="center"/>
              <w:rPr>
                <w:rFonts w:hint="eastAsia" w:ascii="黑体" w:hAnsi="黑体" w:eastAsia="黑体" w:cs="黑体"/>
                <w:color w:val="auto"/>
                <w:spacing w:val="-3"/>
              </w:rPr>
            </w:pPr>
            <w:r>
              <w:rPr>
                <w:rFonts w:hint="eastAsia" w:ascii="黑体" w:hAnsi="黑体" w:eastAsia="黑体" w:cs="黑体"/>
                <w:color w:val="auto"/>
                <w:spacing w:val="-3"/>
              </w:rPr>
              <w:t>流程</w:t>
            </w:r>
          </w:p>
          <w:p w14:paraId="790C9AAB">
            <w:pPr>
              <w:pStyle w:val="141"/>
              <w:keepNext w:val="0"/>
              <w:keepLines w:val="0"/>
              <w:pageBreakBefore w:val="0"/>
              <w:widowControl w:val="0"/>
              <w:kinsoku/>
              <w:wordWrap/>
              <w:overflowPunct/>
              <w:topLinePunct w:val="0"/>
              <w:autoSpaceDE/>
              <w:autoSpaceDN/>
              <w:bidi w:val="0"/>
              <w:adjustRightInd/>
              <w:snapToGrid/>
              <w:spacing w:before="78" w:line="300" w:lineRule="exact"/>
              <w:jc w:val="center"/>
              <w:rPr>
                <w:rFonts w:hint="eastAsia" w:ascii="黑体" w:hAnsi="黑体" w:eastAsia="黑体" w:cs="黑体"/>
                <w:color w:val="auto"/>
              </w:rPr>
            </w:pPr>
            <w:r>
              <w:rPr>
                <w:rFonts w:hint="eastAsia" w:ascii="黑体" w:hAnsi="黑体" w:eastAsia="黑体" w:cs="黑体"/>
                <w:color w:val="auto"/>
                <w:spacing w:val="-3"/>
              </w:rPr>
              <w:t>管理</w:t>
            </w:r>
          </w:p>
        </w:tc>
        <w:tc>
          <w:tcPr>
            <w:tcW w:w="889" w:type="dxa"/>
            <w:vAlign w:val="center"/>
          </w:tcPr>
          <w:p w14:paraId="69FCE62A">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准时</w:t>
            </w:r>
          </w:p>
          <w:p w14:paraId="74B6168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送货</w:t>
            </w:r>
          </w:p>
        </w:tc>
        <w:tc>
          <w:tcPr>
            <w:tcW w:w="6300" w:type="dxa"/>
            <w:vAlign w:val="center"/>
          </w:tcPr>
          <w:p w14:paraId="05994D5C">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val="en-US" w:eastAsia="zh-CN"/>
              </w:rPr>
            </w:pPr>
            <w:r>
              <w:rPr>
                <w:rFonts w:hint="eastAsia" w:ascii="仿宋_GB2312" w:hAnsi="仿宋_GB2312" w:eastAsia="仿宋_GB2312" w:cs="仿宋_GB2312"/>
                <w:color w:val="auto"/>
                <w:spacing w:val="-3"/>
                <w:lang w:eastAsia="zh-CN"/>
              </w:rPr>
              <w:t>未在早上</w:t>
            </w:r>
            <w:r>
              <w:rPr>
                <w:rFonts w:hint="eastAsia" w:ascii="仿宋_GB2312" w:hAnsi="仿宋_GB2312" w:eastAsia="仿宋_GB2312" w:cs="仿宋_GB2312"/>
                <w:color w:val="auto"/>
                <w:spacing w:val="-3"/>
                <w:lang w:val="en-US" w:eastAsia="zh-CN"/>
              </w:rPr>
              <w:t>8</w:t>
            </w:r>
            <w:r>
              <w:rPr>
                <w:rFonts w:hint="eastAsia" w:ascii="仿宋_GB2312" w:hAnsi="仿宋_GB2312" w:eastAsia="仿宋_GB2312" w:cs="仿宋_GB2312"/>
                <w:color w:val="auto"/>
                <w:spacing w:val="-3"/>
                <w:lang w:eastAsia="zh-CN"/>
              </w:rPr>
              <w:t>：</w:t>
            </w:r>
            <w:r>
              <w:rPr>
                <w:rFonts w:hint="eastAsia" w:ascii="仿宋_GB2312" w:hAnsi="仿宋_GB2312" w:eastAsia="仿宋_GB2312" w:cs="仿宋_GB2312"/>
                <w:color w:val="auto"/>
                <w:spacing w:val="-3"/>
                <w:lang w:val="en-US" w:eastAsia="zh-CN"/>
              </w:rPr>
              <w:t>3</w:t>
            </w:r>
            <w:r>
              <w:rPr>
                <w:rFonts w:hint="eastAsia" w:ascii="仿宋_GB2312" w:hAnsi="仿宋_GB2312" w:eastAsia="仿宋_GB2312" w:cs="仿宋_GB2312"/>
                <w:color w:val="auto"/>
                <w:spacing w:val="-3"/>
                <w:lang w:eastAsia="zh-CN"/>
              </w:rPr>
              <w:t>0前准时送达学校食堂，</w:t>
            </w:r>
            <w:r>
              <w:rPr>
                <w:rFonts w:hint="eastAsia" w:ascii="仿宋_GB2312" w:hAnsi="仿宋_GB2312" w:eastAsia="仿宋_GB2312" w:cs="仿宋_GB2312"/>
                <w:color w:val="auto"/>
                <w:spacing w:val="-3"/>
                <w:lang w:val="en-US" w:eastAsia="zh-CN"/>
              </w:rPr>
              <w:t>影响学生正常用餐</w:t>
            </w:r>
            <w:r>
              <w:rPr>
                <w:rFonts w:hint="eastAsia" w:ascii="仿宋_GB2312" w:hAnsi="仿宋_GB2312" w:eastAsia="仿宋_GB2312" w:cs="仿宋_GB2312"/>
                <w:color w:val="auto"/>
                <w:spacing w:val="-3"/>
                <w:lang w:eastAsia="zh-CN"/>
              </w:rPr>
              <w:t>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0887BBB7">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3872DC61">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01C22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jc w:val="center"/>
        </w:trPr>
        <w:tc>
          <w:tcPr>
            <w:tcW w:w="741" w:type="dxa"/>
            <w:vMerge w:val="continue"/>
            <w:vAlign w:val="center"/>
          </w:tcPr>
          <w:p w14:paraId="1DB3DC1C">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28275A63">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足额</w:t>
            </w:r>
          </w:p>
          <w:p w14:paraId="624B259D">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配送</w:t>
            </w:r>
          </w:p>
        </w:tc>
        <w:tc>
          <w:tcPr>
            <w:tcW w:w="6300" w:type="dxa"/>
            <w:vAlign w:val="center"/>
          </w:tcPr>
          <w:p w14:paraId="21261AC2">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val="en-US" w:eastAsia="zh-CN"/>
              </w:rPr>
            </w:pPr>
            <w:r>
              <w:rPr>
                <w:rFonts w:hint="eastAsia" w:ascii="仿宋_GB2312" w:hAnsi="仿宋_GB2312" w:eastAsia="仿宋_GB2312" w:cs="仿宋_GB2312"/>
                <w:color w:val="auto"/>
                <w:spacing w:val="-3"/>
                <w:lang w:eastAsia="zh-CN"/>
              </w:rPr>
              <w:t>发现某类食材缺斤少两的</w:t>
            </w:r>
            <w:r>
              <w:rPr>
                <w:rFonts w:hint="eastAsia" w:ascii="仿宋_GB2312" w:hAnsi="仿宋_GB2312" w:eastAsia="仿宋_GB2312" w:cs="仿宋_GB2312"/>
                <w:color w:val="auto"/>
                <w:spacing w:val="-3"/>
                <w:lang w:val="en-US" w:eastAsia="zh-CN"/>
              </w:rPr>
              <w:t>(</w:t>
            </w:r>
            <w:r>
              <w:rPr>
                <w:rFonts w:hint="eastAsia" w:ascii="仿宋_GB2312" w:hAnsi="仿宋_GB2312" w:eastAsia="仿宋_GB2312" w:cs="仿宋_GB2312"/>
                <w:color w:val="auto"/>
                <w:spacing w:val="-3"/>
                <w:lang w:eastAsia="zh-CN"/>
              </w:rPr>
              <w:t>份量短缺达到该类食材配送总量5%以上</w:t>
            </w:r>
            <w:r>
              <w:rPr>
                <w:rFonts w:hint="eastAsia" w:ascii="仿宋_GB2312" w:hAnsi="仿宋_GB2312" w:eastAsia="仿宋_GB2312" w:cs="仿宋_GB2312"/>
                <w:color w:val="auto"/>
                <w:spacing w:val="-3"/>
                <w:lang w:val="en-US" w:eastAsia="zh-CN"/>
              </w:rPr>
              <w:t>)</w:t>
            </w:r>
            <w:r>
              <w:rPr>
                <w:rFonts w:hint="eastAsia" w:ascii="仿宋_GB2312" w:hAnsi="仿宋_GB2312" w:eastAsia="仿宋_GB2312" w:cs="仿宋_GB2312"/>
                <w:color w:val="auto"/>
                <w:spacing w:val="-3"/>
                <w:lang w:eastAsia="zh-CN"/>
              </w:rPr>
              <w:t>,</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3D4E9F90">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4AFC4147">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713C4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741" w:type="dxa"/>
            <w:vMerge w:val="continue"/>
            <w:vAlign w:val="center"/>
          </w:tcPr>
          <w:p w14:paraId="5C5E6466">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52D3008C">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服务</w:t>
            </w:r>
          </w:p>
          <w:p w14:paraId="51DB93DF">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态度</w:t>
            </w:r>
          </w:p>
        </w:tc>
        <w:tc>
          <w:tcPr>
            <w:tcW w:w="6300" w:type="dxa"/>
            <w:vAlign w:val="center"/>
          </w:tcPr>
          <w:p w14:paraId="0BCCD4D9">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运送人员野蛮运装或无正当理由与食堂人员争执的,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 无正当理由不服从学校指挥管理的,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3BE2AA61">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1F034EC2">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3D212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741" w:type="dxa"/>
            <w:vMerge w:val="continue"/>
            <w:vAlign w:val="center"/>
          </w:tcPr>
          <w:p w14:paraId="22695CF8">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33607C11">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配送工</w:t>
            </w:r>
          </w:p>
          <w:p w14:paraId="2EAAD18E">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作细则</w:t>
            </w:r>
          </w:p>
        </w:tc>
        <w:tc>
          <w:tcPr>
            <w:tcW w:w="6300" w:type="dxa"/>
            <w:vAlign w:val="center"/>
          </w:tcPr>
          <w:p w14:paraId="49E3F2B1">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未按学校每周的《</w:t>
            </w:r>
            <w:r>
              <w:rPr>
                <w:rFonts w:hint="eastAsia" w:ascii="仿宋_GB2312" w:hAnsi="仿宋_GB2312" w:eastAsia="仿宋_GB2312" w:cs="仿宋_GB2312"/>
                <w:color w:val="auto"/>
                <w:spacing w:val="-3"/>
                <w:lang w:val="en-US" w:eastAsia="zh-CN"/>
              </w:rPr>
              <w:t>一周食谱</w:t>
            </w:r>
            <w:r>
              <w:rPr>
                <w:rFonts w:hint="eastAsia" w:ascii="仿宋_GB2312" w:hAnsi="仿宋_GB2312" w:eastAsia="仿宋_GB2312" w:cs="仿宋_GB2312"/>
                <w:color w:val="auto"/>
                <w:spacing w:val="-3"/>
                <w:lang w:eastAsia="zh-CN"/>
              </w:rPr>
              <w:t>建议》配送食材的（</w:t>
            </w:r>
            <w:r>
              <w:rPr>
                <w:rFonts w:hint="eastAsia" w:ascii="仿宋_GB2312" w:hAnsi="仿宋_GB2312" w:eastAsia="仿宋_GB2312" w:cs="仿宋_GB2312"/>
                <w:color w:val="auto"/>
                <w:spacing w:val="-3"/>
                <w:lang w:val="en-US" w:eastAsia="zh-CN"/>
              </w:rPr>
              <w:t>除市场确实缺货外),每次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6D4B063C">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39D83532">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68FDB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jc w:val="center"/>
        </w:trPr>
        <w:tc>
          <w:tcPr>
            <w:tcW w:w="741" w:type="dxa"/>
            <w:vMerge w:val="continue"/>
            <w:vAlign w:val="center"/>
          </w:tcPr>
          <w:p w14:paraId="41D5FBA5">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3663CE8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单据</w:t>
            </w:r>
          </w:p>
          <w:p w14:paraId="26B3D16B">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清晰</w:t>
            </w:r>
          </w:p>
        </w:tc>
        <w:tc>
          <w:tcPr>
            <w:tcW w:w="6300" w:type="dxa"/>
            <w:vAlign w:val="center"/>
          </w:tcPr>
          <w:p w14:paraId="63FA833E">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送货单（结算凭证）项目不齐全，不清晰、</w:t>
            </w:r>
            <w:r>
              <w:rPr>
                <w:rFonts w:hint="eastAsia" w:ascii="仿宋_GB2312" w:hAnsi="仿宋_GB2312" w:eastAsia="仿宋_GB2312" w:cs="仿宋_GB2312"/>
                <w:color w:val="auto"/>
                <w:spacing w:val="-3"/>
                <w:lang w:val="en-US" w:eastAsia="zh-CN"/>
              </w:rPr>
              <w:t>没有送货人签名</w:t>
            </w:r>
            <w:r>
              <w:rPr>
                <w:rFonts w:hint="eastAsia" w:ascii="仿宋_GB2312" w:hAnsi="仿宋_GB2312" w:eastAsia="仿宋_GB2312" w:cs="仿宋_GB2312"/>
                <w:color w:val="auto"/>
                <w:spacing w:val="-3"/>
                <w:lang w:eastAsia="zh-CN"/>
              </w:rPr>
              <w:t>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468C9435">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37304843">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3587B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jc w:val="center"/>
        </w:trPr>
        <w:tc>
          <w:tcPr>
            <w:tcW w:w="741" w:type="dxa"/>
            <w:vMerge w:val="continue"/>
            <w:vAlign w:val="center"/>
          </w:tcPr>
          <w:p w14:paraId="64B3871D">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1B2ABA83">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eastAsia="zh-CN"/>
              </w:rPr>
            </w:pPr>
            <w:r>
              <w:rPr>
                <w:rFonts w:hint="eastAsia" w:ascii="楷体_GB2312" w:hAnsi="楷体_GB2312" w:eastAsia="楷体_GB2312" w:cs="楷体_GB2312"/>
                <w:b/>
                <w:bCs/>
                <w:color w:val="auto"/>
                <w:lang w:eastAsia="zh-CN"/>
              </w:rPr>
              <w:t>食材</w:t>
            </w:r>
          </w:p>
          <w:p w14:paraId="70A0B260">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eastAsia="zh-CN"/>
              </w:rPr>
            </w:pPr>
            <w:r>
              <w:rPr>
                <w:rFonts w:hint="eastAsia" w:ascii="楷体_GB2312" w:hAnsi="楷体_GB2312" w:eastAsia="楷体_GB2312" w:cs="楷体_GB2312"/>
                <w:b/>
                <w:bCs/>
                <w:color w:val="auto"/>
                <w:lang w:eastAsia="zh-CN"/>
              </w:rPr>
              <w:t>留样</w:t>
            </w:r>
          </w:p>
        </w:tc>
        <w:tc>
          <w:tcPr>
            <w:tcW w:w="6300" w:type="dxa"/>
            <w:vAlign w:val="center"/>
          </w:tcPr>
          <w:p w14:paraId="360465F2">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不按规定对配送到学校食堂的食材抽取样品进行封存留样的，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1B8ABC02">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10557D10">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52F00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jc w:val="center"/>
        </w:trPr>
        <w:tc>
          <w:tcPr>
            <w:tcW w:w="741" w:type="dxa"/>
            <w:vMerge w:val="continue"/>
            <w:tcBorders>
              <w:bottom w:val="single" w:color="auto" w:sz="4" w:space="0"/>
            </w:tcBorders>
            <w:vAlign w:val="center"/>
          </w:tcPr>
          <w:p w14:paraId="57608994">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黑体" w:hAnsi="黑体" w:eastAsia="黑体" w:cs="黑体"/>
                <w:color w:val="auto"/>
                <w:sz w:val="21"/>
                <w:lang w:eastAsia="en-US"/>
              </w:rPr>
            </w:pPr>
          </w:p>
        </w:tc>
        <w:tc>
          <w:tcPr>
            <w:tcW w:w="889" w:type="dxa"/>
            <w:vAlign w:val="center"/>
          </w:tcPr>
          <w:p w14:paraId="68E839E2">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配送过</w:t>
            </w:r>
          </w:p>
          <w:p w14:paraId="7955F6AF">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程管理</w:t>
            </w:r>
          </w:p>
        </w:tc>
        <w:tc>
          <w:tcPr>
            <w:tcW w:w="6300" w:type="dxa"/>
            <w:vAlign w:val="center"/>
          </w:tcPr>
          <w:p w14:paraId="05EF83E3">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val="en-US" w:eastAsia="zh-CN"/>
              </w:rPr>
            </w:pPr>
            <w:r>
              <w:rPr>
                <w:rFonts w:hint="eastAsia" w:ascii="仿宋_GB2312" w:hAnsi="仿宋_GB2312" w:eastAsia="仿宋_GB2312" w:cs="仿宋_GB2312"/>
                <w:color w:val="auto"/>
                <w:spacing w:val="-3"/>
                <w:lang w:val="en-US" w:eastAsia="zh-CN"/>
              </w:rPr>
              <w:t>配送过程不严格，发现下游供应商直接供货的，每次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66FAA670">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68207312">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32772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jc w:val="center"/>
        </w:trPr>
        <w:tc>
          <w:tcPr>
            <w:tcW w:w="741" w:type="dxa"/>
            <w:vMerge w:val="restart"/>
            <w:vAlign w:val="center"/>
          </w:tcPr>
          <w:p w14:paraId="4668523D">
            <w:pPr>
              <w:pStyle w:val="141"/>
              <w:keepNext w:val="0"/>
              <w:keepLines w:val="0"/>
              <w:pageBreakBefore w:val="0"/>
              <w:widowControl w:val="0"/>
              <w:kinsoku/>
              <w:wordWrap/>
              <w:overflowPunct/>
              <w:topLinePunct w:val="0"/>
              <w:autoSpaceDE/>
              <w:autoSpaceDN/>
              <w:bidi w:val="0"/>
              <w:adjustRightInd/>
              <w:snapToGrid/>
              <w:spacing w:before="130" w:line="300" w:lineRule="exact"/>
              <w:ind w:left="118"/>
              <w:jc w:val="center"/>
              <w:rPr>
                <w:rFonts w:hint="eastAsia" w:ascii="黑体" w:hAnsi="黑体" w:eastAsia="黑体" w:cs="黑体"/>
                <w:color w:val="auto"/>
                <w:spacing w:val="-3"/>
              </w:rPr>
            </w:pPr>
            <w:r>
              <w:rPr>
                <w:rFonts w:hint="eastAsia" w:ascii="黑体" w:hAnsi="黑体" w:eastAsia="黑体" w:cs="黑体"/>
                <w:color w:val="auto"/>
                <w:spacing w:val="-3"/>
              </w:rPr>
              <w:t>质量</w:t>
            </w:r>
          </w:p>
          <w:p w14:paraId="682BAAB3">
            <w:pPr>
              <w:pStyle w:val="141"/>
              <w:keepNext w:val="0"/>
              <w:keepLines w:val="0"/>
              <w:pageBreakBefore w:val="0"/>
              <w:widowControl w:val="0"/>
              <w:kinsoku/>
              <w:wordWrap/>
              <w:overflowPunct/>
              <w:topLinePunct w:val="0"/>
              <w:autoSpaceDE/>
              <w:autoSpaceDN/>
              <w:bidi w:val="0"/>
              <w:adjustRightInd/>
              <w:snapToGrid/>
              <w:spacing w:before="130" w:line="300" w:lineRule="exact"/>
              <w:ind w:left="118"/>
              <w:jc w:val="center"/>
              <w:rPr>
                <w:rFonts w:hint="eastAsia" w:ascii="黑体" w:hAnsi="黑体" w:eastAsia="黑体" w:cs="黑体"/>
                <w:color w:val="auto"/>
              </w:rPr>
            </w:pPr>
            <w:r>
              <w:rPr>
                <w:rFonts w:hint="eastAsia" w:ascii="黑体" w:hAnsi="黑体" w:eastAsia="黑体" w:cs="黑体"/>
                <w:color w:val="auto"/>
                <w:spacing w:val="-3"/>
              </w:rPr>
              <w:t>管理</w:t>
            </w:r>
          </w:p>
        </w:tc>
        <w:tc>
          <w:tcPr>
            <w:tcW w:w="889" w:type="dxa"/>
            <w:vAlign w:val="center"/>
          </w:tcPr>
          <w:p w14:paraId="7D3A2D4D">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食材</w:t>
            </w:r>
          </w:p>
          <w:p w14:paraId="5B8D63F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default" w:ascii="楷体_GB2312" w:hAnsi="楷体_GB2312" w:eastAsia="楷体_GB2312" w:cs="楷体_GB2312"/>
                <w:b/>
                <w:bCs/>
                <w:color w:val="auto"/>
                <w:lang w:val="en-US" w:eastAsia="zh-CN"/>
              </w:rPr>
            </w:pPr>
            <w:r>
              <w:rPr>
                <w:rFonts w:hint="eastAsia" w:ascii="楷体_GB2312" w:hAnsi="楷体_GB2312" w:eastAsia="楷体_GB2312" w:cs="楷体_GB2312"/>
                <w:b/>
                <w:bCs/>
                <w:color w:val="auto"/>
                <w:lang w:val="en-US" w:eastAsia="zh-CN"/>
              </w:rPr>
              <w:t>质量</w:t>
            </w:r>
          </w:p>
        </w:tc>
        <w:tc>
          <w:tcPr>
            <w:tcW w:w="6300" w:type="dxa"/>
            <w:vAlign w:val="center"/>
          </w:tcPr>
          <w:p w14:paraId="5876BB14">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default" w:ascii="仿宋_GB2312" w:hAnsi="仿宋_GB2312" w:eastAsia="仿宋_GB2312" w:cs="仿宋_GB2312"/>
                <w:color w:val="auto"/>
                <w:spacing w:val="-3"/>
                <w:lang w:val="en-US" w:eastAsia="zh-CN"/>
              </w:rPr>
            </w:pPr>
            <w:r>
              <w:rPr>
                <w:rFonts w:hint="eastAsia" w:ascii="仿宋_GB2312" w:hAnsi="仿宋_GB2312" w:eastAsia="仿宋_GB2312" w:cs="仿宋_GB2312"/>
                <w:color w:val="auto"/>
                <w:spacing w:val="-3"/>
                <w:lang w:val="en-US" w:eastAsia="zh-CN"/>
              </w:rPr>
              <w:t>发现某类食材腐烂、发嗅、变质等</w:t>
            </w:r>
            <w:r>
              <w:rPr>
                <w:rFonts w:hint="eastAsia" w:ascii="仿宋_GB2312" w:hAnsi="仿宋_GB2312" w:eastAsia="仿宋_GB2312" w:cs="仿宋_GB2312"/>
                <w:color w:val="auto"/>
                <w:spacing w:val="-3"/>
                <w:lang w:eastAsia="zh-CN"/>
              </w:rPr>
              <w:t>（份量达到该类食材配送总量5%以上）,</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6D48782A">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1FBD10CD">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63398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jc w:val="center"/>
        </w:trPr>
        <w:tc>
          <w:tcPr>
            <w:tcW w:w="741" w:type="dxa"/>
            <w:vMerge w:val="continue"/>
            <w:tcBorders>
              <w:bottom w:val="single" w:color="auto" w:sz="4" w:space="0"/>
            </w:tcBorders>
            <w:vAlign w:val="center"/>
          </w:tcPr>
          <w:p w14:paraId="259CE397">
            <w:pPr>
              <w:pStyle w:val="141"/>
              <w:keepNext w:val="0"/>
              <w:keepLines w:val="0"/>
              <w:pageBreakBefore w:val="0"/>
              <w:widowControl w:val="0"/>
              <w:kinsoku/>
              <w:wordWrap/>
              <w:overflowPunct/>
              <w:topLinePunct w:val="0"/>
              <w:autoSpaceDE/>
              <w:autoSpaceDN/>
              <w:bidi w:val="0"/>
              <w:adjustRightInd/>
              <w:snapToGrid/>
              <w:spacing w:before="130" w:line="300" w:lineRule="exact"/>
              <w:ind w:left="118"/>
              <w:jc w:val="center"/>
              <w:rPr>
                <w:rFonts w:hint="eastAsia" w:ascii="黑体" w:hAnsi="黑体" w:eastAsia="黑体" w:cs="黑体"/>
                <w:color w:val="auto"/>
              </w:rPr>
            </w:pPr>
          </w:p>
        </w:tc>
        <w:tc>
          <w:tcPr>
            <w:tcW w:w="889" w:type="dxa"/>
            <w:tcBorders>
              <w:left w:val="single" w:color="auto" w:sz="4" w:space="0"/>
            </w:tcBorders>
            <w:vAlign w:val="center"/>
          </w:tcPr>
          <w:p w14:paraId="7A0B7519">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食材每</w:t>
            </w:r>
          </w:p>
          <w:p w14:paraId="4B61B465">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日评分</w:t>
            </w:r>
          </w:p>
          <w:p w14:paraId="213FC0DD">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汇总</w:t>
            </w:r>
          </w:p>
        </w:tc>
        <w:tc>
          <w:tcPr>
            <w:tcW w:w="6300" w:type="dxa"/>
            <w:vAlign w:val="center"/>
          </w:tcPr>
          <w:p w14:paraId="2F63FB35">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不提供</w:t>
            </w:r>
            <w:r>
              <w:rPr>
                <w:rFonts w:hint="eastAsia" w:ascii="仿宋_GB2312" w:hAnsi="仿宋_GB2312" w:eastAsia="仿宋_GB2312" w:cs="仿宋_GB2312"/>
                <w:color w:val="auto"/>
                <w:spacing w:val="-3"/>
                <w:lang w:val="en-US" w:eastAsia="zh-CN"/>
              </w:rPr>
              <w:t>当天食材</w:t>
            </w:r>
            <w:r>
              <w:rPr>
                <w:rFonts w:hint="eastAsia" w:ascii="仿宋_GB2312" w:hAnsi="仿宋_GB2312" w:eastAsia="仿宋_GB2312" w:cs="仿宋_GB2312"/>
                <w:color w:val="auto"/>
                <w:spacing w:val="-3"/>
                <w:lang w:eastAsia="zh-CN"/>
              </w:rPr>
              <w:t>有效的检测合格证的，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扣5分，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1770606D">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vAlign w:val="top"/>
          </w:tcPr>
          <w:p w14:paraId="656577E8">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7FB7E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14:paraId="64EBBF5E">
            <w:pPr>
              <w:pStyle w:val="141"/>
              <w:keepNext w:val="0"/>
              <w:keepLines w:val="0"/>
              <w:pageBreakBefore w:val="0"/>
              <w:widowControl w:val="0"/>
              <w:kinsoku/>
              <w:wordWrap/>
              <w:overflowPunct/>
              <w:topLinePunct w:val="0"/>
              <w:autoSpaceDE/>
              <w:autoSpaceDN/>
              <w:bidi w:val="0"/>
              <w:adjustRightInd/>
              <w:snapToGrid/>
              <w:spacing w:before="131" w:line="300" w:lineRule="exact"/>
              <w:ind w:left="117"/>
              <w:jc w:val="center"/>
              <w:rPr>
                <w:rFonts w:hint="eastAsia" w:ascii="黑体" w:hAnsi="黑体" w:eastAsia="黑体" w:cs="黑体"/>
                <w:color w:val="auto"/>
                <w:spacing w:val="-3"/>
              </w:rPr>
            </w:pPr>
            <w:r>
              <w:rPr>
                <w:rFonts w:hint="eastAsia" w:ascii="黑体" w:hAnsi="黑体" w:eastAsia="黑体" w:cs="黑体"/>
                <w:color w:val="auto"/>
                <w:spacing w:val="-3"/>
              </w:rPr>
              <w:t>科学</w:t>
            </w:r>
          </w:p>
          <w:p w14:paraId="52A68A52">
            <w:pPr>
              <w:pStyle w:val="141"/>
              <w:keepNext w:val="0"/>
              <w:keepLines w:val="0"/>
              <w:pageBreakBefore w:val="0"/>
              <w:widowControl w:val="0"/>
              <w:kinsoku/>
              <w:wordWrap/>
              <w:overflowPunct/>
              <w:topLinePunct w:val="0"/>
              <w:autoSpaceDE/>
              <w:autoSpaceDN/>
              <w:bidi w:val="0"/>
              <w:adjustRightInd/>
              <w:snapToGrid/>
              <w:spacing w:before="131" w:line="300" w:lineRule="exact"/>
              <w:ind w:left="117"/>
              <w:jc w:val="center"/>
              <w:rPr>
                <w:rFonts w:hint="eastAsia" w:ascii="黑体" w:hAnsi="黑体" w:eastAsia="黑体" w:cs="黑体"/>
                <w:color w:val="auto"/>
              </w:rPr>
            </w:pPr>
            <w:r>
              <w:rPr>
                <w:rFonts w:hint="eastAsia" w:ascii="黑体" w:hAnsi="黑体" w:eastAsia="黑体" w:cs="黑体"/>
                <w:color w:val="auto"/>
                <w:spacing w:val="-3"/>
              </w:rPr>
              <w:t>管理</w:t>
            </w:r>
          </w:p>
        </w:tc>
        <w:tc>
          <w:tcPr>
            <w:tcW w:w="889" w:type="dxa"/>
            <w:tcBorders>
              <w:left w:val="single" w:color="auto" w:sz="4" w:space="0"/>
            </w:tcBorders>
            <w:vAlign w:val="center"/>
          </w:tcPr>
          <w:p w14:paraId="182F3256">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应急</w:t>
            </w:r>
          </w:p>
          <w:p w14:paraId="726DE992">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rPr>
            </w:pPr>
            <w:r>
              <w:rPr>
                <w:rFonts w:hint="eastAsia" w:ascii="楷体_GB2312" w:hAnsi="楷体_GB2312" w:eastAsia="楷体_GB2312" w:cs="楷体_GB2312"/>
                <w:b/>
                <w:bCs/>
                <w:color w:val="auto"/>
              </w:rPr>
              <w:t>预案</w:t>
            </w:r>
          </w:p>
        </w:tc>
        <w:tc>
          <w:tcPr>
            <w:tcW w:w="6300" w:type="dxa"/>
            <w:vAlign w:val="center"/>
          </w:tcPr>
          <w:p w14:paraId="39FC8BD3">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出现突发事件，惊慌失措，无应对方案处理的，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38613309">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4143E86F">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03359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741" w:type="dxa"/>
            <w:vMerge w:val="continue"/>
            <w:tcBorders>
              <w:top w:val="single" w:color="auto" w:sz="4" w:space="0"/>
              <w:left w:val="single" w:color="auto" w:sz="4" w:space="0"/>
              <w:bottom w:val="single" w:color="auto" w:sz="4" w:space="0"/>
              <w:right w:val="single" w:color="auto" w:sz="4" w:space="0"/>
            </w:tcBorders>
          </w:tcPr>
          <w:p w14:paraId="06E96578">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889" w:type="dxa"/>
            <w:tcBorders>
              <w:left w:val="single" w:color="auto" w:sz="4" w:space="0"/>
            </w:tcBorders>
            <w:vAlign w:val="center"/>
          </w:tcPr>
          <w:p w14:paraId="4D5E39D2">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eastAsia="zh-CN"/>
              </w:rPr>
            </w:pPr>
            <w:r>
              <w:rPr>
                <w:rFonts w:hint="eastAsia" w:ascii="楷体_GB2312" w:hAnsi="楷体_GB2312" w:eastAsia="楷体_GB2312" w:cs="楷体_GB2312"/>
                <w:b/>
                <w:bCs/>
                <w:color w:val="auto"/>
                <w:lang w:eastAsia="zh-CN"/>
              </w:rPr>
              <w:t>清洁</w:t>
            </w:r>
          </w:p>
          <w:p w14:paraId="2178F91A">
            <w:pPr>
              <w:pStyle w:val="141"/>
              <w:keepNext w:val="0"/>
              <w:keepLines w:val="0"/>
              <w:pageBreakBefore w:val="0"/>
              <w:widowControl w:val="0"/>
              <w:kinsoku/>
              <w:wordWrap/>
              <w:overflowPunct/>
              <w:topLinePunct w:val="0"/>
              <w:autoSpaceDE/>
              <w:autoSpaceDN/>
              <w:bidi w:val="0"/>
              <w:adjustRightInd/>
              <w:snapToGrid/>
              <w:spacing w:line="300" w:lineRule="exact"/>
              <w:jc w:val="center"/>
              <w:rPr>
                <w:rFonts w:hint="eastAsia" w:ascii="楷体_GB2312" w:hAnsi="楷体_GB2312" w:eastAsia="楷体_GB2312" w:cs="楷体_GB2312"/>
                <w:b/>
                <w:bCs/>
                <w:color w:val="auto"/>
                <w:lang w:eastAsia="zh-CN"/>
              </w:rPr>
            </w:pPr>
            <w:r>
              <w:rPr>
                <w:rFonts w:hint="eastAsia" w:ascii="楷体_GB2312" w:hAnsi="楷体_GB2312" w:eastAsia="楷体_GB2312" w:cs="楷体_GB2312"/>
                <w:b/>
                <w:bCs/>
                <w:color w:val="auto"/>
                <w:lang w:eastAsia="zh-CN"/>
              </w:rPr>
              <w:t>管理</w:t>
            </w:r>
          </w:p>
        </w:tc>
        <w:tc>
          <w:tcPr>
            <w:tcW w:w="6300" w:type="dxa"/>
            <w:vAlign w:val="center"/>
          </w:tcPr>
          <w:p w14:paraId="6F637FF8">
            <w:pPr>
              <w:pStyle w:val="141"/>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rPr>
                <w:rFonts w:hint="eastAsia" w:ascii="仿宋_GB2312" w:hAnsi="仿宋_GB2312" w:eastAsia="仿宋_GB2312" w:cs="仿宋_GB2312"/>
                <w:color w:val="auto"/>
                <w:spacing w:val="-3"/>
                <w:lang w:eastAsia="zh-CN"/>
              </w:rPr>
            </w:pPr>
            <w:r>
              <w:rPr>
                <w:rFonts w:hint="eastAsia" w:ascii="仿宋_GB2312" w:hAnsi="仿宋_GB2312" w:eastAsia="仿宋_GB2312" w:cs="仿宋_GB2312"/>
                <w:color w:val="auto"/>
                <w:spacing w:val="-3"/>
                <w:lang w:eastAsia="zh-CN"/>
              </w:rPr>
              <w:t>经营场所、仓库、运输工具等应清洁卫生，发现脏、乱、差的，</w:t>
            </w:r>
            <w:r>
              <w:rPr>
                <w:rFonts w:hint="eastAsia" w:ascii="仿宋_GB2312" w:hAnsi="仿宋_GB2312" w:eastAsia="仿宋_GB2312" w:cs="仿宋_GB2312"/>
                <w:color w:val="auto"/>
                <w:spacing w:val="-3"/>
                <w:lang w:val="en-US" w:eastAsia="zh-CN"/>
              </w:rPr>
              <w:t>每次</w:t>
            </w:r>
            <w:r>
              <w:rPr>
                <w:rFonts w:hint="eastAsia" w:ascii="仿宋_GB2312" w:hAnsi="仿宋_GB2312" w:eastAsia="仿宋_GB2312" w:cs="仿宋_GB2312"/>
                <w:color w:val="auto"/>
                <w:spacing w:val="-3"/>
                <w:lang w:eastAsia="zh-CN"/>
              </w:rPr>
              <w:t>扣2分，</w:t>
            </w:r>
            <w:r>
              <w:rPr>
                <w:rFonts w:hint="eastAsia" w:ascii="仿宋_GB2312" w:hAnsi="仿宋_GB2312" w:eastAsia="仿宋_GB2312" w:cs="仿宋_GB2312"/>
                <w:color w:val="auto"/>
                <w:spacing w:val="-3"/>
                <w:lang w:val="en-US" w:eastAsia="zh-CN"/>
              </w:rPr>
              <w:t>并向发标人支付违约金3000元。</w:t>
            </w:r>
          </w:p>
        </w:tc>
        <w:tc>
          <w:tcPr>
            <w:tcW w:w="790" w:type="dxa"/>
          </w:tcPr>
          <w:p w14:paraId="09F27D2F">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3FA127E7">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1BFA4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jc w:val="center"/>
        </w:trPr>
        <w:tc>
          <w:tcPr>
            <w:tcW w:w="7930" w:type="dxa"/>
            <w:gridSpan w:val="3"/>
            <w:vAlign w:val="top"/>
          </w:tcPr>
          <w:p w14:paraId="3DD7E949">
            <w:pPr>
              <w:pStyle w:val="141"/>
              <w:keepNext w:val="0"/>
              <w:keepLines w:val="0"/>
              <w:pageBreakBefore w:val="0"/>
              <w:widowControl w:val="0"/>
              <w:kinsoku/>
              <w:wordWrap/>
              <w:overflowPunct/>
              <w:topLinePunct w:val="0"/>
              <w:autoSpaceDE/>
              <w:autoSpaceDN/>
              <w:bidi w:val="0"/>
              <w:adjustRightInd/>
              <w:snapToGrid/>
              <w:spacing w:before="132" w:line="300" w:lineRule="exact"/>
              <w:ind w:left="3041"/>
              <w:jc w:val="left"/>
              <w:rPr>
                <w:color w:val="auto"/>
              </w:rPr>
            </w:pPr>
            <w:r>
              <w:rPr>
                <w:rFonts w:hint="eastAsia" w:ascii="黑体" w:hAnsi="黑体" w:eastAsia="黑体" w:cs="黑体"/>
                <w:color w:val="auto"/>
                <w:spacing w:val="-6"/>
              </w:rPr>
              <w:t>合计</w:t>
            </w:r>
          </w:p>
        </w:tc>
        <w:tc>
          <w:tcPr>
            <w:tcW w:w="790" w:type="dxa"/>
          </w:tcPr>
          <w:p w14:paraId="14782CFA">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5E26C963">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18F76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7930" w:type="dxa"/>
            <w:gridSpan w:val="3"/>
            <w:vAlign w:val="top"/>
          </w:tcPr>
          <w:p w14:paraId="36DC4440">
            <w:pPr>
              <w:pStyle w:val="141"/>
              <w:keepNext w:val="0"/>
              <w:keepLines w:val="0"/>
              <w:pageBreakBefore w:val="0"/>
              <w:widowControl w:val="0"/>
              <w:kinsoku/>
              <w:wordWrap/>
              <w:overflowPunct/>
              <w:topLinePunct w:val="0"/>
              <w:autoSpaceDE/>
              <w:autoSpaceDN/>
              <w:bidi w:val="0"/>
              <w:adjustRightInd/>
              <w:snapToGrid/>
              <w:spacing w:before="129" w:line="300" w:lineRule="exact"/>
              <w:ind w:left="1307"/>
              <w:jc w:val="left"/>
              <w:rPr>
                <w:color w:val="auto"/>
                <w:lang w:eastAsia="zh-CN"/>
              </w:rPr>
            </w:pPr>
            <w:r>
              <w:rPr>
                <w:rFonts w:hint="eastAsia" w:ascii="黑体" w:hAnsi="黑体" w:eastAsia="黑体" w:cs="黑体"/>
                <w:color w:val="auto"/>
                <w:spacing w:val="-1"/>
                <w:lang w:eastAsia="zh-CN"/>
              </w:rPr>
              <w:t>总得分（总得分=100-合计的扣分值）</w:t>
            </w:r>
          </w:p>
        </w:tc>
        <w:tc>
          <w:tcPr>
            <w:tcW w:w="790" w:type="dxa"/>
          </w:tcPr>
          <w:p w14:paraId="09D47A9B">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c>
          <w:tcPr>
            <w:tcW w:w="712" w:type="dxa"/>
          </w:tcPr>
          <w:p w14:paraId="20B293F3">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tc>
      </w:tr>
      <w:tr w14:paraId="2095D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jc w:val="center"/>
        </w:trPr>
        <w:tc>
          <w:tcPr>
            <w:tcW w:w="741" w:type="dxa"/>
          </w:tcPr>
          <w:p w14:paraId="6DB1DF2F">
            <w:pPr>
              <w:keepNext w:val="0"/>
              <w:keepLines w:val="0"/>
              <w:pageBreakBefore w:val="0"/>
              <w:widowControl w:val="0"/>
              <w:kinsoku/>
              <w:wordWrap/>
              <w:overflowPunct/>
              <w:topLinePunct w:val="0"/>
              <w:autoSpaceDE/>
              <w:autoSpaceDN/>
              <w:bidi w:val="0"/>
              <w:adjustRightInd/>
              <w:snapToGrid/>
              <w:spacing w:line="300" w:lineRule="exact"/>
              <w:rPr>
                <w:rFonts w:ascii="Arial"/>
                <w:color w:val="auto"/>
                <w:sz w:val="21"/>
                <w:lang w:eastAsia="en-US"/>
              </w:rPr>
            </w:pPr>
          </w:p>
          <w:p w14:paraId="5415CD49">
            <w:pPr>
              <w:pStyle w:val="141"/>
              <w:keepNext w:val="0"/>
              <w:keepLines w:val="0"/>
              <w:pageBreakBefore w:val="0"/>
              <w:widowControl w:val="0"/>
              <w:kinsoku/>
              <w:wordWrap/>
              <w:overflowPunct/>
              <w:topLinePunct w:val="0"/>
              <w:autoSpaceDE/>
              <w:autoSpaceDN/>
              <w:bidi w:val="0"/>
              <w:adjustRightInd/>
              <w:snapToGrid/>
              <w:spacing w:before="78" w:line="300" w:lineRule="exact"/>
              <w:jc w:val="center"/>
              <w:rPr>
                <w:color w:val="auto"/>
              </w:rPr>
            </w:pPr>
            <w:r>
              <w:rPr>
                <w:rFonts w:hint="eastAsia" w:ascii="黑体" w:hAnsi="黑体" w:eastAsia="黑体" w:cs="黑体"/>
                <w:color w:val="auto"/>
                <w:spacing w:val="-7"/>
              </w:rPr>
              <w:t>说明</w:t>
            </w:r>
          </w:p>
        </w:tc>
        <w:tc>
          <w:tcPr>
            <w:tcW w:w="8691" w:type="dxa"/>
            <w:gridSpan w:val="4"/>
            <w:vAlign w:val="center"/>
          </w:tcPr>
          <w:p w14:paraId="68342B1F">
            <w:pPr>
              <w:pStyle w:val="141"/>
              <w:keepNext w:val="0"/>
              <w:keepLines w:val="0"/>
              <w:pageBreakBefore w:val="0"/>
              <w:widowControl w:val="0"/>
              <w:kinsoku/>
              <w:wordWrap/>
              <w:overflowPunct/>
              <w:topLinePunct w:val="0"/>
              <w:autoSpaceDE/>
              <w:autoSpaceDN/>
              <w:bidi w:val="0"/>
              <w:adjustRightInd/>
              <w:snapToGrid/>
              <w:spacing w:line="300" w:lineRule="exact"/>
              <w:ind w:left="113" w:right="108"/>
              <w:jc w:val="left"/>
              <w:rPr>
                <w:rFonts w:hint="eastAsia" w:eastAsia="宋体"/>
                <w:color w:val="auto"/>
                <w:lang w:eastAsia="zh-CN"/>
              </w:rPr>
            </w:pPr>
            <w:r>
              <w:rPr>
                <w:rFonts w:hint="eastAsia" w:ascii="仿宋_GB2312" w:hAnsi="仿宋_GB2312" w:eastAsia="仿宋_GB2312" w:cs="仿宋_GB2312"/>
                <w:color w:val="auto"/>
                <w:spacing w:val="-3"/>
                <w:sz w:val="24"/>
                <w:szCs w:val="24"/>
                <w:lang w:eastAsia="zh-CN"/>
              </w:rPr>
              <w:t>考核总得分为</w:t>
            </w:r>
            <w:r>
              <w:rPr>
                <w:rFonts w:hint="eastAsia" w:ascii="仿宋_GB2312" w:hAnsi="仿宋_GB2312" w:eastAsia="仿宋_GB2312" w:cs="仿宋_GB2312"/>
                <w:color w:val="auto"/>
                <w:spacing w:val="-49"/>
                <w:sz w:val="24"/>
                <w:szCs w:val="24"/>
                <w:lang w:eastAsia="zh-CN"/>
              </w:rPr>
              <w:t xml:space="preserve"> </w:t>
            </w:r>
            <w:r>
              <w:rPr>
                <w:rFonts w:hint="eastAsia" w:ascii="仿宋_GB2312" w:hAnsi="仿宋_GB2312" w:eastAsia="仿宋_GB2312" w:cs="仿宋_GB2312"/>
                <w:color w:val="auto"/>
                <w:spacing w:val="-3"/>
                <w:sz w:val="24"/>
                <w:szCs w:val="24"/>
                <w:lang w:val="en-US" w:eastAsia="zh-CN"/>
              </w:rPr>
              <w:t>8</w:t>
            </w:r>
            <w:r>
              <w:rPr>
                <w:rFonts w:hint="eastAsia" w:ascii="仿宋_GB2312" w:hAnsi="仿宋_GB2312" w:eastAsia="仿宋_GB2312" w:cs="仿宋_GB2312"/>
                <w:color w:val="auto"/>
                <w:spacing w:val="-3"/>
                <w:sz w:val="24"/>
                <w:szCs w:val="24"/>
                <w:lang w:eastAsia="zh-CN"/>
              </w:rPr>
              <w:t>0</w:t>
            </w:r>
            <w:r>
              <w:rPr>
                <w:rFonts w:hint="eastAsia" w:ascii="仿宋_GB2312" w:hAnsi="仿宋_GB2312" w:eastAsia="仿宋_GB2312" w:cs="仿宋_GB2312"/>
                <w:color w:val="auto"/>
                <w:spacing w:val="-48"/>
                <w:sz w:val="24"/>
                <w:szCs w:val="24"/>
                <w:lang w:eastAsia="zh-CN"/>
              </w:rPr>
              <w:t xml:space="preserve"> </w:t>
            </w:r>
            <w:r>
              <w:rPr>
                <w:rFonts w:hint="eastAsia" w:ascii="仿宋_GB2312" w:hAnsi="仿宋_GB2312" w:eastAsia="仿宋_GB2312" w:cs="仿宋_GB2312"/>
                <w:color w:val="auto"/>
                <w:spacing w:val="-3"/>
                <w:sz w:val="24"/>
                <w:szCs w:val="24"/>
                <w:lang w:eastAsia="zh-CN"/>
              </w:rPr>
              <w:t>分为合格，</w:t>
            </w:r>
            <w:r>
              <w:rPr>
                <w:rFonts w:hint="eastAsia" w:ascii="仿宋_GB2312" w:hAnsi="仿宋_GB2312" w:eastAsia="仿宋_GB2312" w:cs="仿宋_GB2312"/>
                <w:color w:val="auto"/>
                <w:sz w:val="24"/>
                <w:szCs w:val="24"/>
                <w:lang w:val="en-US" w:eastAsia="zh-CN"/>
              </w:rPr>
              <w:t>在教育局双减办每月</w:t>
            </w:r>
            <w:r>
              <w:rPr>
                <w:rFonts w:hint="eastAsia" w:ascii="仿宋_GB2312" w:hAnsi="仿宋_GB2312" w:eastAsia="仿宋_GB2312" w:cs="仿宋_GB2312"/>
                <w:color w:val="auto"/>
                <w:sz w:val="24"/>
                <w:szCs w:val="24"/>
              </w:rPr>
              <w:t>组织相关</w:t>
            </w:r>
            <w:r>
              <w:rPr>
                <w:rFonts w:hint="eastAsia" w:ascii="仿宋_GB2312" w:hAnsi="仿宋_GB2312" w:eastAsia="仿宋_GB2312" w:cs="仿宋_GB2312"/>
                <w:color w:val="auto"/>
                <w:sz w:val="24"/>
                <w:szCs w:val="24"/>
                <w:lang w:val="en-US" w:eastAsia="zh-CN"/>
              </w:rPr>
              <w:t>部门</w:t>
            </w:r>
            <w:r>
              <w:rPr>
                <w:rFonts w:hint="eastAsia" w:ascii="仿宋_GB2312" w:hAnsi="仿宋_GB2312" w:eastAsia="仿宋_GB2312" w:cs="仿宋_GB2312"/>
                <w:color w:val="auto"/>
                <w:sz w:val="24"/>
                <w:szCs w:val="24"/>
                <w:lang w:eastAsia="zh-CN"/>
              </w:rPr>
              <w:t>对食材配送企业</w:t>
            </w:r>
            <w:r>
              <w:rPr>
                <w:rFonts w:hint="eastAsia" w:ascii="仿宋_GB2312" w:hAnsi="仿宋_GB2312" w:eastAsia="仿宋_GB2312" w:cs="仿宋_GB2312"/>
                <w:color w:val="auto"/>
                <w:sz w:val="24"/>
                <w:szCs w:val="24"/>
              </w:rPr>
              <w:t>进行综合考核评议</w:t>
            </w:r>
            <w:r>
              <w:rPr>
                <w:rFonts w:hint="eastAsia" w:ascii="仿宋_GB2312" w:hAnsi="仿宋_GB2312" w:eastAsia="仿宋_GB2312" w:cs="仿宋_GB2312"/>
                <w:color w:val="auto"/>
                <w:sz w:val="24"/>
                <w:szCs w:val="24"/>
                <w:lang w:val="en-US" w:eastAsia="zh-CN"/>
              </w:rPr>
              <w:t>中</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每年有三次以上（含三次）得分低于80分</w:t>
            </w:r>
            <w:r>
              <w:rPr>
                <w:rFonts w:hint="eastAsia" w:ascii="仿宋_GB2312" w:hAnsi="仿宋_GB2312" w:eastAsia="仿宋_GB2312" w:cs="仿宋_GB2312"/>
                <w:color w:val="auto"/>
                <w:sz w:val="24"/>
                <w:szCs w:val="24"/>
              </w:rPr>
              <w:t>的</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教育局有权终</w:t>
            </w:r>
            <w:r>
              <w:rPr>
                <w:rFonts w:hint="eastAsia" w:ascii="仿宋_GB2312" w:hAnsi="仿宋_GB2312" w:eastAsia="仿宋_GB2312" w:cs="仿宋_GB2312"/>
                <w:color w:val="auto"/>
                <w:sz w:val="24"/>
                <w:szCs w:val="24"/>
              </w:rPr>
              <w:t>止与中标</w:t>
            </w:r>
            <w:r>
              <w:rPr>
                <w:rFonts w:hint="eastAsia" w:ascii="仿宋_GB2312" w:hAnsi="仿宋_GB2312" w:eastAsia="仿宋_GB2312" w:cs="仿宋_GB2312"/>
                <w:color w:val="auto"/>
                <w:sz w:val="24"/>
                <w:szCs w:val="24"/>
                <w:lang w:eastAsia="zh-CN"/>
              </w:rPr>
              <w:t>人</w:t>
            </w:r>
            <w:r>
              <w:rPr>
                <w:rFonts w:hint="eastAsia" w:ascii="仿宋_GB2312" w:hAnsi="仿宋_GB2312" w:eastAsia="仿宋_GB2312" w:cs="仿宋_GB2312"/>
                <w:color w:val="auto"/>
                <w:sz w:val="24"/>
                <w:szCs w:val="24"/>
              </w:rPr>
              <w:t>合作</w:t>
            </w:r>
            <w:r>
              <w:rPr>
                <w:rFonts w:hint="eastAsia" w:ascii="仿宋_GB2312" w:hAnsi="仿宋_GB2312" w:eastAsia="仿宋_GB2312" w:cs="仿宋_GB2312"/>
                <w:color w:val="auto"/>
                <w:sz w:val="24"/>
                <w:szCs w:val="24"/>
                <w:lang w:eastAsia="zh-CN"/>
              </w:rPr>
              <w:t>。</w:t>
            </w:r>
          </w:p>
        </w:tc>
      </w:tr>
    </w:tbl>
    <w:p w14:paraId="616D0B17">
      <w:pPr>
        <w:keepNext w:val="0"/>
        <w:keepLines w:val="0"/>
        <w:pageBreakBefore w:val="0"/>
        <w:widowControl w:val="0"/>
        <w:kinsoku/>
        <w:wordWrap/>
        <w:overflowPunct/>
        <w:topLinePunct w:val="0"/>
        <w:autoSpaceDE/>
        <w:autoSpaceDN/>
        <w:bidi w:val="0"/>
        <w:adjustRightInd/>
        <w:snapToGrid/>
        <w:spacing w:line="440" w:lineRule="exact"/>
        <w:rPr>
          <w:color w:val="auto"/>
        </w:rPr>
      </w:pPr>
      <w:r>
        <w:rPr>
          <w:rFonts w:hint="eastAsia"/>
          <w:color w:val="auto"/>
          <w:sz w:val="24"/>
          <w:lang w:val="en-US" w:eastAsia="zh-CN"/>
        </w:rPr>
        <w:t>考核人员</w:t>
      </w:r>
      <w:r>
        <w:rPr>
          <w:color w:val="auto"/>
          <w:sz w:val="24"/>
        </w:rPr>
        <w:t>签字：</w:t>
      </w:r>
    </w:p>
    <w:p w14:paraId="09AA2ADD">
      <w:pPr>
        <w:snapToGrid w:val="0"/>
        <w:spacing w:line="400" w:lineRule="exact"/>
        <w:ind w:firstLine="420" w:firstLineChars="200"/>
        <w:rPr>
          <w:rFonts w:hint="eastAsia" w:ascii="宋体" w:hAnsi="宋体" w:cs="宋体"/>
          <w:color w:val="auto"/>
          <w:kern w:val="0"/>
          <w:szCs w:val="21"/>
          <w:highlight w:val="none"/>
        </w:rPr>
      </w:pPr>
    </w:p>
    <w:p w14:paraId="4FCA61CC">
      <w:pPr>
        <w:adjustRightInd w:val="0"/>
        <w:snapToGrid w:val="0"/>
        <w:spacing w:line="520" w:lineRule="exact"/>
        <w:rPr>
          <w:color w:val="auto"/>
          <w:highlight w:val="none"/>
        </w:rPr>
      </w:pPr>
    </w:p>
    <w:p w14:paraId="24886AE0">
      <w:pPr>
        <w:pStyle w:val="19"/>
        <w:spacing w:line="360" w:lineRule="auto"/>
        <w:ind w:left="178" w:leftChars="85"/>
        <w:rPr>
          <w:rFonts w:hAnsi="宋体"/>
          <w:color w:val="auto"/>
          <w:highlight w:val="none"/>
        </w:rPr>
      </w:pPr>
    </w:p>
    <w:p w14:paraId="7CFFC7EC">
      <w:pPr>
        <w:pStyle w:val="19"/>
        <w:tabs>
          <w:tab w:val="left" w:pos="2472"/>
        </w:tabs>
        <w:spacing w:line="460" w:lineRule="exact"/>
        <w:jc w:val="center"/>
        <w:rPr>
          <w:rFonts w:ascii="Times New Roman" w:hAnsi="Times New Roman"/>
          <w:b/>
          <w:color w:val="auto"/>
          <w:sz w:val="36"/>
          <w:highlight w:val="none"/>
        </w:rPr>
      </w:pPr>
    </w:p>
    <w:p w14:paraId="01AA6D24">
      <w:pPr>
        <w:pStyle w:val="19"/>
        <w:tabs>
          <w:tab w:val="left" w:pos="2472"/>
        </w:tabs>
        <w:spacing w:line="460" w:lineRule="exact"/>
        <w:jc w:val="center"/>
        <w:rPr>
          <w:rFonts w:ascii="Times New Roman" w:hAnsi="Times New Roman"/>
          <w:b/>
          <w:color w:val="auto"/>
          <w:sz w:val="36"/>
          <w:highlight w:val="none"/>
        </w:rPr>
      </w:pPr>
    </w:p>
    <w:p w14:paraId="1E1668F8">
      <w:pPr>
        <w:pStyle w:val="19"/>
        <w:tabs>
          <w:tab w:val="left" w:pos="2472"/>
        </w:tabs>
        <w:spacing w:line="460" w:lineRule="exact"/>
        <w:jc w:val="center"/>
        <w:rPr>
          <w:rFonts w:ascii="Times New Roman" w:hAnsi="Times New Roman"/>
          <w:b/>
          <w:color w:val="auto"/>
          <w:sz w:val="36"/>
          <w:highlight w:val="none"/>
        </w:rPr>
      </w:pPr>
    </w:p>
    <w:p w14:paraId="52B2AD91">
      <w:pPr>
        <w:pStyle w:val="19"/>
        <w:tabs>
          <w:tab w:val="left" w:pos="2472"/>
        </w:tabs>
        <w:spacing w:line="460" w:lineRule="exact"/>
        <w:jc w:val="center"/>
        <w:rPr>
          <w:rFonts w:ascii="Times New Roman" w:hAnsi="Times New Roman"/>
          <w:b/>
          <w:color w:val="auto"/>
          <w:sz w:val="36"/>
          <w:highlight w:val="none"/>
        </w:rPr>
      </w:pPr>
    </w:p>
    <w:p w14:paraId="36422F61">
      <w:pPr>
        <w:pStyle w:val="19"/>
        <w:tabs>
          <w:tab w:val="left" w:pos="2472"/>
        </w:tabs>
        <w:spacing w:line="460" w:lineRule="exact"/>
        <w:jc w:val="center"/>
        <w:rPr>
          <w:rFonts w:ascii="Times New Roman" w:hAnsi="Times New Roman"/>
          <w:b/>
          <w:color w:val="auto"/>
          <w:sz w:val="36"/>
          <w:highlight w:val="none"/>
        </w:rPr>
      </w:pPr>
    </w:p>
    <w:p w14:paraId="41BCEC58">
      <w:pPr>
        <w:pStyle w:val="19"/>
        <w:tabs>
          <w:tab w:val="left" w:pos="2472"/>
        </w:tabs>
        <w:spacing w:line="460" w:lineRule="exact"/>
        <w:jc w:val="center"/>
        <w:rPr>
          <w:rFonts w:ascii="Times New Roman" w:hAnsi="Times New Roman"/>
          <w:b/>
          <w:color w:val="auto"/>
          <w:sz w:val="36"/>
          <w:highlight w:val="none"/>
        </w:rPr>
      </w:pPr>
    </w:p>
    <w:p w14:paraId="400316C3">
      <w:pPr>
        <w:pStyle w:val="19"/>
        <w:tabs>
          <w:tab w:val="left" w:pos="2472"/>
        </w:tabs>
        <w:spacing w:line="460" w:lineRule="exact"/>
        <w:jc w:val="center"/>
        <w:rPr>
          <w:rFonts w:ascii="Times New Roman" w:hAnsi="Times New Roman"/>
          <w:b/>
          <w:color w:val="auto"/>
          <w:sz w:val="36"/>
          <w:highlight w:val="none"/>
        </w:rPr>
      </w:pPr>
    </w:p>
    <w:p w14:paraId="746DDE6F">
      <w:pPr>
        <w:pStyle w:val="19"/>
        <w:tabs>
          <w:tab w:val="left" w:pos="2472"/>
        </w:tabs>
        <w:spacing w:line="460" w:lineRule="exact"/>
        <w:jc w:val="center"/>
        <w:rPr>
          <w:rFonts w:ascii="Times New Roman" w:hAnsi="Times New Roman"/>
          <w:b/>
          <w:color w:val="auto"/>
          <w:sz w:val="36"/>
          <w:highlight w:val="none"/>
        </w:rPr>
      </w:pPr>
    </w:p>
    <w:p w14:paraId="0A319012">
      <w:pPr>
        <w:pStyle w:val="19"/>
        <w:tabs>
          <w:tab w:val="left" w:pos="2472"/>
        </w:tabs>
        <w:spacing w:line="460" w:lineRule="exact"/>
        <w:jc w:val="center"/>
        <w:rPr>
          <w:rFonts w:ascii="Times New Roman" w:hAnsi="Times New Roman"/>
          <w:b/>
          <w:color w:val="auto"/>
          <w:sz w:val="36"/>
          <w:highlight w:val="none"/>
        </w:rPr>
      </w:pPr>
    </w:p>
    <w:p w14:paraId="2C3201E3">
      <w:pPr>
        <w:pStyle w:val="19"/>
        <w:tabs>
          <w:tab w:val="left" w:pos="2472"/>
        </w:tabs>
        <w:spacing w:line="460" w:lineRule="exact"/>
        <w:jc w:val="center"/>
        <w:outlineLvl w:val="0"/>
        <w:rPr>
          <w:rFonts w:ascii="Times New Roman" w:hAnsi="Times New Roman"/>
          <w:b/>
          <w:color w:val="auto"/>
          <w:sz w:val="36"/>
          <w:highlight w:val="none"/>
        </w:rPr>
      </w:pPr>
      <w:bookmarkStart w:id="149" w:name="_Toc80093010"/>
      <w:r>
        <w:rPr>
          <w:rFonts w:hint="eastAsia" w:ascii="Times New Roman" w:hAnsi="Times New Roman"/>
          <w:b/>
          <w:color w:val="auto"/>
          <w:sz w:val="36"/>
          <w:highlight w:val="none"/>
        </w:rPr>
        <w:t>第六章 投标文件格式</w:t>
      </w:r>
      <w:bookmarkEnd w:id="149"/>
    </w:p>
    <w:p w14:paraId="1F801FDC">
      <w:pPr>
        <w:pStyle w:val="19"/>
        <w:spacing w:line="360" w:lineRule="auto"/>
        <w:rPr>
          <w:rFonts w:hAnsi="宋体"/>
          <w:color w:val="auto"/>
          <w:highlight w:val="none"/>
        </w:rPr>
        <w:sectPr>
          <w:headerReference r:id="rId8" w:type="default"/>
          <w:pgSz w:w="11906" w:h="16838"/>
          <w:pgMar w:top="1134" w:right="1134" w:bottom="1134" w:left="1134" w:header="720" w:footer="720" w:gutter="0"/>
          <w:pgNumType w:fmt="decimal"/>
          <w:cols w:space="720" w:num="1"/>
          <w:docGrid w:type="lines" w:linePitch="331" w:charSpace="0"/>
        </w:sectPr>
      </w:pPr>
    </w:p>
    <w:p w14:paraId="0D42D819">
      <w:pPr>
        <w:jc w:val="center"/>
        <w:rPr>
          <w:b/>
          <w:bCs/>
          <w:color w:val="auto"/>
          <w:sz w:val="32"/>
          <w:szCs w:val="40"/>
          <w:highlight w:val="none"/>
        </w:rPr>
      </w:pPr>
      <w:bookmarkStart w:id="150" w:name="_Toc80093011"/>
      <w:r>
        <w:rPr>
          <w:b/>
          <w:bCs/>
          <w:color w:val="auto"/>
          <w:sz w:val="32"/>
          <w:szCs w:val="40"/>
          <w:highlight w:val="none"/>
        </w:rPr>
        <w:t>供应商提交电子响应文件须知</w:t>
      </w:r>
    </w:p>
    <w:p w14:paraId="5DA4BDDC">
      <w:pPr>
        <w:adjustRightInd w:val="0"/>
        <w:snapToGrid w:val="0"/>
        <w:spacing w:line="420" w:lineRule="exact"/>
        <w:ind w:firstLine="480"/>
        <w:jc w:val="left"/>
        <w:rPr>
          <w:rFonts w:ascii="Arial" w:hAnsi="Arial" w:cs="Arial"/>
          <w:b/>
          <w:color w:val="auto"/>
          <w:sz w:val="24"/>
          <w:highlight w:val="none"/>
        </w:rPr>
      </w:pPr>
    </w:p>
    <w:p w14:paraId="4E4C52CA">
      <w:pPr>
        <w:adjustRightInd w:val="0"/>
        <w:snapToGrid w:val="0"/>
        <w:spacing w:line="420" w:lineRule="exact"/>
        <w:ind w:firstLine="480"/>
        <w:jc w:val="left"/>
        <w:rPr>
          <w:rFonts w:ascii="宋体" w:hAnsi="宋体" w:cs="宋体"/>
          <w:b/>
          <w:color w:val="auto"/>
          <w:szCs w:val="21"/>
          <w:highlight w:val="none"/>
        </w:rPr>
      </w:pPr>
      <w:r>
        <w:rPr>
          <w:rFonts w:hint="eastAsia" w:ascii="宋体" w:hAnsi="宋体" w:cs="宋体"/>
          <w:b/>
          <w:color w:val="auto"/>
          <w:szCs w:val="21"/>
          <w:highlight w:val="none"/>
        </w:rPr>
        <w:t>参与电子标的供应商必须为</w:t>
      </w:r>
      <w:r>
        <w:rPr>
          <w:rFonts w:hint="eastAsia" w:ascii="宋体" w:hAnsi="宋体" w:cs="宋体"/>
          <w:b/>
          <w:color w:val="auto"/>
          <w:szCs w:val="21"/>
          <w:highlight w:val="none"/>
          <w:lang w:eastAsia="zh-CN"/>
        </w:rPr>
        <w:t>广西政府采购云</w:t>
      </w:r>
      <w:r>
        <w:rPr>
          <w:rFonts w:hint="eastAsia" w:ascii="宋体" w:hAnsi="宋体" w:cs="宋体"/>
          <w:b/>
          <w:color w:val="auto"/>
          <w:szCs w:val="21"/>
          <w:highlight w:val="none"/>
        </w:rPr>
        <w:t>平台的正式供应商且申领CA证书，各供应商应在开标前及时完成平台注册、CA证书申领、CA证书绑定、下载投标客户端，熟悉并掌握</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电子标系统操作。</w:t>
      </w:r>
    </w:p>
    <w:p w14:paraId="14B0AF22">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一、供应商应保证全部声明和问题的回答是真实的和准确的。</w:t>
      </w:r>
    </w:p>
    <w:p w14:paraId="7B88CAB1">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二、公开招标小组将应用供应商递交的资料作出自己的判断。</w:t>
      </w:r>
    </w:p>
    <w:p w14:paraId="6517B1EC">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三、供应商递交的材料将在一定期限内被保密保存，不予退还。</w:t>
      </w:r>
    </w:p>
    <w:p w14:paraId="53C88FBB">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四、电子响应文件编制格式及规范要求：</w:t>
      </w:r>
    </w:p>
    <w:p w14:paraId="345ACF91">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（一）响应文件应使用</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电子投标客户端软件，并按照本公开招标文件和</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平台要求编制并加密响应文件。未按规定加密的响应文件，</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平台将拒收。</w:t>
      </w:r>
    </w:p>
    <w:p w14:paraId="041131F1">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（二）响应文件制作并加密完成后应在</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平台上传完成。</w:t>
      </w:r>
    </w:p>
    <w:p w14:paraId="598B4A49">
      <w:pPr>
        <w:adjustRightInd w:val="0"/>
        <w:snapToGrid w:val="0"/>
        <w:spacing w:line="42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（三）响应文件应使用CA证书进行电子签章。在签章时，供应商应注意CA电子签章的位置，如因CA电子签章遮挡重要、关键信息导致评标委员会作出对供应商不利评审的，后果由供应商负责。</w:t>
      </w:r>
    </w:p>
    <w:p w14:paraId="424C360E">
      <w:pPr>
        <w:adjustRightInd w:val="0"/>
        <w:snapToGrid w:val="0"/>
        <w:spacing w:line="42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（四）供应商应准确设置评审关联点。未设置或设置错误导致响应文件被误读、漏读或者查找不到相关内容的，是供应商的责任。</w:t>
      </w:r>
    </w:p>
    <w:p w14:paraId="54DBCFF0">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（五）响应文件所提供的相关材料的尺寸和清晰度应该能够在电脑上被阅读、识别和判断。</w:t>
      </w:r>
    </w:p>
    <w:p w14:paraId="2216C8E4">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（六）响应文件内容无法阅读、识别和判断的，视为未提供。</w:t>
      </w:r>
    </w:p>
    <w:p w14:paraId="0B0322BF">
      <w:pPr>
        <w:adjustRightInd w:val="0"/>
        <w:snapToGrid w:val="0"/>
        <w:spacing w:line="42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（七）响应文件的容量大小须符合</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规定。</w:t>
      </w:r>
    </w:p>
    <w:p w14:paraId="73074687">
      <w:pPr>
        <w:adjustRightInd w:val="0"/>
        <w:snapToGrid w:val="0"/>
        <w:spacing w:line="42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五、供应商在使用</w:t>
      </w:r>
      <w:r>
        <w:rPr>
          <w:rFonts w:hint="eastAsia" w:ascii="宋体" w:hAnsi="宋体" w:cs="宋体"/>
          <w:b/>
          <w:color w:val="auto"/>
          <w:szCs w:val="21"/>
          <w:highlight w:val="none"/>
          <w:lang w:eastAsia="zh-CN"/>
        </w:rPr>
        <w:t>广西政府采购云</w:t>
      </w:r>
      <w:r>
        <w:rPr>
          <w:rFonts w:hint="eastAsia" w:ascii="宋体" w:hAnsi="宋体" w:cs="宋体"/>
          <w:b/>
          <w:color w:val="auto"/>
          <w:szCs w:val="21"/>
          <w:highlight w:val="none"/>
        </w:rPr>
        <w:t>平台进行投标过程中遇到涉及平台使用的任何问题，可致电平台技术支持热线咨询，联系方式：400-881-7190。</w:t>
      </w:r>
    </w:p>
    <w:p w14:paraId="054DF1CB">
      <w:pPr>
        <w:snapToGrid w:val="0"/>
        <w:spacing w:line="42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六、特别说明</w:t>
      </w:r>
    </w:p>
    <w:p w14:paraId="5EB593EA">
      <w:pPr>
        <w:adjustRightInd w:val="0"/>
        <w:snapToGrid w:val="0"/>
        <w:spacing w:line="42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（一）响应文件中须加盖公章部分均采用供应商CA电子签章，否则视为响应无效。</w:t>
      </w:r>
    </w:p>
    <w:p w14:paraId="366946A0">
      <w:pPr>
        <w:adjustRightInd w:val="0"/>
        <w:snapToGrid w:val="0"/>
        <w:spacing w:line="420" w:lineRule="exact"/>
        <w:ind w:firstLine="422" w:firstLineChars="200"/>
        <w:jc w:val="left"/>
        <w:rPr>
          <w:rFonts w:ascii="宋体" w:hAnsi="宋体" w:cs="宋体"/>
          <w:b/>
          <w:color w:val="auto"/>
          <w:szCs w:val="21"/>
          <w:highlight w:val="none"/>
        </w:rPr>
        <w:sectPr>
          <w:pgSz w:w="11910" w:h="16840"/>
          <w:pgMar w:top="1340" w:right="1500" w:bottom="280" w:left="1680" w:header="720" w:footer="720" w:gutter="0"/>
          <w:pgNumType w:fmt="decimal"/>
          <w:cols w:space="720" w:num="1"/>
        </w:sectPr>
      </w:pPr>
      <w:r>
        <w:rPr>
          <w:rFonts w:hint="eastAsia" w:ascii="宋体" w:hAnsi="宋体" w:cs="宋体"/>
          <w:b/>
          <w:color w:val="auto"/>
          <w:szCs w:val="21"/>
          <w:highlight w:val="none"/>
        </w:rPr>
        <w:t>（二）</w:t>
      </w:r>
      <w:r>
        <w:rPr>
          <w:rFonts w:hint="eastAsia" w:ascii="宋体" w:hAnsi="宋体" w:cs="宋体"/>
          <w:b/>
          <w:bCs/>
          <w:color w:val="auto"/>
          <w:szCs w:val="21"/>
          <w:highlight w:val="none"/>
        </w:rPr>
        <w:t>公开招标文件中规定须由法定代表人或授权委托代理人签字的内容，如果供应商没有法定代表人或授权委托代理人电子签章，涉及到法定代表人或其授权委托代理人签字或盖章的内容，供应商可以线下签字或盖章后扫描上传，</w:t>
      </w:r>
      <w:r>
        <w:rPr>
          <w:rFonts w:hint="eastAsia" w:ascii="宋体" w:hAnsi="宋体" w:cs="宋体"/>
          <w:b/>
          <w:color w:val="auto"/>
          <w:szCs w:val="21"/>
          <w:highlight w:val="none"/>
        </w:rPr>
        <w:t>否则视为响应无效。</w:t>
      </w:r>
    </w:p>
    <w:bookmarkEnd w:id="150"/>
    <w:p w14:paraId="0930BEB7">
      <w:pPr>
        <w:pStyle w:val="2"/>
        <w:spacing w:before="0" w:after="0"/>
        <w:jc w:val="center"/>
        <w:rPr>
          <w:color w:val="auto"/>
          <w:highlight w:val="none"/>
        </w:rPr>
      </w:pPr>
      <w:bookmarkStart w:id="151" w:name="_Toc74320805"/>
      <w:r>
        <w:rPr>
          <w:rFonts w:hint="eastAsia"/>
          <w:color w:val="auto"/>
          <w:highlight w:val="none"/>
        </w:rPr>
        <w:t>第六章　投标文件格式</w:t>
      </w:r>
      <w:bookmarkEnd w:id="151"/>
    </w:p>
    <w:p w14:paraId="0A791C70">
      <w:pPr>
        <w:rPr>
          <w:b/>
          <w:color w:val="auto"/>
          <w:sz w:val="28"/>
          <w:szCs w:val="28"/>
          <w:highlight w:val="none"/>
        </w:rPr>
      </w:pPr>
      <w:bookmarkStart w:id="152" w:name="_Toc19686836"/>
      <w:bookmarkStart w:id="153" w:name="_Toc254970557"/>
      <w:bookmarkStart w:id="154" w:name="_Toc254970698"/>
      <w:r>
        <w:rPr>
          <w:rFonts w:hint="eastAsia"/>
          <w:b/>
          <w:color w:val="auto"/>
          <w:sz w:val="28"/>
          <w:szCs w:val="28"/>
          <w:highlight w:val="none"/>
        </w:rPr>
        <w:t>一、报价文件格式</w:t>
      </w:r>
      <w:bookmarkEnd w:id="152"/>
    </w:p>
    <w:p w14:paraId="13ADE5F1">
      <w:pPr>
        <w:snapToGrid w:val="0"/>
        <w:spacing w:before="120" w:beforeLines="50" w:after="50" w:line="360" w:lineRule="auto"/>
        <w:ind w:left="142"/>
        <w:jc w:val="left"/>
        <w:rPr>
          <w:rFonts w:ascii="宋体" w:hAnsi="宋体"/>
          <w:color w:val="auto"/>
          <w:sz w:val="24"/>
          <w:szCs w:val="20"/>
          <w:highlight w:val="none"/>
        </w:rPr>
      </w:pPr>
      <w:r>
        <w:rPr>
          <w:rFonts w:hint="eastAsia" w:ascii="宋体" w:hAnsi="宋体"/>
          <w:b/>
          <w:color w:val="auto"/>
          <w:sz w:val="24"/>
          <w:highlight w:val="none"/>
        </w:rPr>
        <w:t xml:space="preserve">1. 报价文件封面格式： </w:t>
      </w:r>
    </w:p>
    <w:p w14:paraId="6CB3C437">
      <w:pPr>
        <w:snapToGrid w:val="0"/>
        <w:spacing w:before="120" w:beforeLines="50" w:after="50" w:line="400" w:lineRule="exact"/>
        <w:rPr>
          <w:rFonts w:ascii="宋体" w:hAnsi="宋体"/>
          <w:bCs/>
          <w:color w:val="auto"/>
          <w:sz w:val="32"/>
          <w:szCs w:val="20"/>
          <w:highlight w:val="none"/>
        </w:rPr>
      </w:pPr>
      <w:r>
        <w:rPr>
          <w:rFonts w:hint="eastAsia" w:ascii="宋体" w:hAnsi="宋体"/>
          <w:color w:val="auto"/>
          <w:sz w:val="24"/>
          <w:highlight w:val="none"/>
        </w:rPr>
        <w:t xml:space="preserve">                                                   </w:t>
      </w:r>
    </w:p>
    <w:p w14:paraId="5BE6B280">
      <w:pPr>
        <w:snapToGrid w:val="0"/>
        <w:spacing w:before="120" w:beforeLines="50" w:after="50" w:line="400" w:lineRule="exact"/>
        <w:jc w:val="center"/>
        <w:rPr>
          <w:rFonts w:ascii="宋体" w:hAnsi="宋体"/>
          <w:bCs/>
          <w:color w:val="auto"/>
          <w:sz w:val="24"/>
          <w:szCs w:val="20"/>
          <w:highlight w:val="none"/>
        </w:rPr>
      </w:pPr>
    </w:p>
    <w:p w14:paraId="4CB5E215">
      <w:pPr>
        <w:snapToGrid w:val="0"/>
        <w:spacing w:before="120" w:beforeLines="50" w:after="50"/>
        <w:jc w:val="center"/>
        <w:rPr>
          <w:rFonts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33BCCC83">
      <w:pPr>
        <w:snapToGrid w:val="0"/>
        <w:spacing w:before="120" w:beforeLines="50" w:after="50" w:line="400" w:lineRule="exact"/>
        <w:jc w:val="center"/>
        <w:rPr>
          <w:rFonts w:ascii="宋体" w:hAnsi="宋体"/>
          <w:bCs/>
          <w:color w:val="auto"/>
          <w:sz w:val="32"/>
          <w:szCs w:val="32"/>
          <w:highlight w:val="none"/>
        </w:rPr>
      </w:pPr>
    </w:p>
    <w:p w14:paraId="2F1ED03F">
      <w:pPr>
        <w:snapToGrid w:val="0"/>
        <w:spacing w:before="120" w:beforeLines="50" w:after="50" w:line="40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报  价  文  件</w:t>
      </w:r>
    </w:p>
    <w:p w14:paraId="131331A4">
      <w:pPr>
        <w:snapToGrid w:val="0"/>
        <w:spacing w:before="120" w:beforeLines="50" w:after="50" w:line="400" w:lineRule="exact"/>
        <w:rPr>
          <w:rFonts w:ascii="宋体" w:hAnsi="宋体"/>
          <w:bCs/>
          <w:color w:val="auto"/>
          <w:sz w:val="24"/>
          <w:szCs w:val="20"/>
          <w:highlight w:val="none"/>
        </w:rPr>
      </w:pPr>
    </w:p>
    <w:p w14:paraId="383F9F03">
      <w:pPr>
        <w:snapToGrid w:val="0"/>
        <w:spacing w:before="120" w:beforeLines="50" w:after="50" w:line="400" w:lineRule="exact"/>
        <w:rPr>
          <w:rFonts w:ascii="宋体" w:hAnsi="宋体"/>
          <w:bCs/>
          <w:color w:val="auto"/>
          <w:sz w:val="24"/>
          <w:szCs w:val="20"/>
          <w:highlight w:val="none"/>
        </w:rPr>
      </w:pPr>
    </w:p>
    <w:p w14:paraId="3E5EF2E2">
      <w:pPr>
        <w:snapToGrid w:val="0"/>
        <w:spacing w:before="120" w:beforeLines="50" w:after="50" w:line="400" w:lineRule="exact"/>
        <w:rPr>
          <w:rFonts w:ascii="宋体" w:hAnsi="宋体"/>
          <w:bCs/>
          <w:color w:val="auto"/>
          <w:sz w:val="24"/>
          <w:szCs w:val="20"/>
          <w:highlight w:val="none"/>
        </w:rPr>
      </w:pPr>
    </w:p>
    <w:p w14:paraId="1C529A14">
      <w:pPr>
        <w:snapToGrid w:val="0"/>
        <w:spacing w:before="120" w:beforeLines="50" w:after="50" w:line="400" w:lineRule="exact"/>
        <w:rPr>
          <w:rFonts w:ascii="宋体" w:hAnsi="宋体"/>
          <w:bCs/>
          <w:color w:val="auto"/>
          <w:sz w:val="24"/>
          <w:szCs w:val="20"/>
          <w:highlight w:val="none"/>
        </w:rPr>
      </w:pPr>
    </w:p>
    <w:p w14:paraId="6331A198">
      <w:pPr>
        <w:snapToGrid w:val="0"/>
        <w:spacing w:before="120" w:beforeLines="50" w:after="50"/>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3A29F793">
      <w:pPr>
        <w:snapToGrid w:val="0"/>
        <w:spacing w:before="120" w:beforeLines="50" w:after="50"/>
        <w:ind w:firstLine="360" w:firstLineChars="150"/>
        <w:rPr>
          <w:rFonts w:ascii="宋体" w:hAnsi="宋体"/>
          <w:bCs/>
          <w:color w:val="auto"/>
          <w:sz w:val="24"/>
          <w:highlight w:val="none"/>
        </w:rPr>
      </w:pPr>
    </w:p>
    <w:p w14:paraId="227A1C9F">
      <w:pPr>
        <w:snapToGrid w:val="0"/>
        <w:spacing w:before="120" w:beforeLines="50" w:after="50"/>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3499F154">
      <w:pPr>
        <w:snapToGrid w:val="0"/>
        <w:spacing w:before="120" w:beforeLines="50" w:after="50"/>
        <w:ind w:firstLine="360" w:firstLineChars="150"/>
        <w:rPr>
          <w:rFonts w:ascii="宋体" w:hAnsi="宋体"/>
          <w:bCs/>
          <w:color w:val="auto"/>
          <w:sz w:val="24"/>
          <w:highlight w:val="none"/>
        </w:rPr>
      </w:pPr>
    </w:p>
    <w:p w14:paraId="5842AC7E">
      <w:pPr>
        <w:snapToGrid w:val="0"/>
        <w:spacing w:before="120" w:beforeLines="50" w:after="50"/>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477F1A18">
      <w:pPr>
        <w:snapToGrid w:val="0"/>
        <w:spacing w:before="120" w:beforeLines="50" w:after="50"/>
        <w:ind w:firstLine="360" w:firstLineChars="150"/>
        <w:rPr>
          <w:rFonts w:ascii="宋体" w:hAnsi="宋体"/>
          <w:bCs/>
          <w:color w:val="auto"/>
          <w:sz w:val="24"/>
          <w:highlight w:val="none"/>
        </w:rPr>
      </w:pPr>
    </w:p>
    <w:p w14:paraId="1AC272B2">
      <w:pPr>
        <w:snapToGrid w:val="0"/>
        <w:spacing w:before="120" w:beforeLines="50" w:after="50"/>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34C0ED3C">
      <w:pPr>
        <w:snapToGrid w:val="0"/>
        <w:spacing w:before="120" w:beforeLines="50" w:after="50"/>
        <w:ind w:firstLine="360" w:firstLineChars="150"/>
        <w:rPr>
          <w:rFonts w:ascii="宋体" w:hAnsi="宋体"/>
          <w:bCs/>
          <w:color w:val="auto"/>
          <w:sz w:val="24"/>
          <w:highlight w:val="none"/>
        </w:rPr>
      </w:pPr>
    </w:p>
    <w:p w14:paraId="2503DC7B">
      <w:pPr>
        <w:snapToGrid w:val="0"/>
        <w:spacing w:before="120" w:beforeLines="50" w:after="50"/>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2DE25927">
      <w:pPr>
        <w:pStyle w:val="8"/>
        <w:snapToGrid w:val="0"/>
        <w:spacing w:before="50" w:after="50"/>
        <w:ind w:firstLine="960" w:firstLineChars="400"/>
        <w:rPr>
          <w:rFonts w:ascii="宋体" w:hAnsi="宋体"/>
          <w:bCs/>
          <w:color w:val="auto"/>
          <w:sz w:val="24"/>
          <w:szCs w:val="24"/>
          <w:highlight w:val="none"/>
        </w:rPr>
      </w:pPr>
    </w:p>
    <w:p w14:paraId="65DAAEA2">
      <w:pPr>
        <w:snapToGrid w:val="0"/>
        <w:spacing w:before="120" w:beforeLines="50" w:after="50"/>
        <w:rPr>
          <w:rFonts w:ascii="宋体" w:hAnsi="宋体"/>
          <w:color w:val="auto"/>
          <w:sz w:val="30"/>
          <w:szCs w:val="20"/>
          <w:highlight w:val="none"/>
        </w:rPr>
      </w:pPr>
      <w:r>
        <w:rPr>
          <w:rFonts w:hint="eastAsia" w:ascii="宋体" w:hAnsi="宋体"/>
          <w:color w:val="auto"/>
          <w:sz w:val="24"/>
          <w:highlight w:val="none"/>
        </w:rPr>
        <w:t xml:space="preserve">                                   年  月  日</w:t>
      </w:r>
    </w:p>
    <w:p w14:paraId="31B3843B">
      <w:pPr>
        <w:snapToGrid w:val="0"/>
        <w:spacing w:before="120" w:beforeLines="50" w:after="50" w:line="360" w:lineRule="auto"/>
        <w:jc w:val="left"/>
        <w:rPr>
          <w:rFonts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03FB7070">
      <w:pPr>
        <w:snapToGrid w:val="0"/>
        <w:spacing w:before="50" w:after="120" w:afterLines="50" w:line="360" w:lineRule="auto"/>
        <w:jc w:val="left"/>
        <w:rPr>
          <w:rFonts w:ascii="宋体" w:hAnsi="宋体"/>
          <w:b/>
          <w:color w:val="auto"/>
          <w:sz w:val="24"/>
          <w:highlight w:val="none"/>
        </w:rPr>
      </w:pPr>
      <w:r>
        <w:rPr>
          <w:rFonts w:hint="eastAsia" w:ascii="宋体" w:hAnsi="宋体"/>
          <w:color w:val="auto"/>
          <w:szCs w:val="21"/>
          <w:highlight w:val="none"/>
        </w:rPr>
        <w:t>根据招标文件规定及投标人提供的材料自行编写目录。</w:t>
      </w:r>
    </w:p>
    <w:p w14:paraId="2AACEFFE">
      <w:pPr>
        <w:snapToGrid w:val="0"/>
        <w:spacing w:before="120" w:beforeLines="50" w:after="50"/>
        <w:rPr>
          <w:rFonts w:ascii="宋体" w:hAnsi="宋体"/>
          <w:b/>
          <w:color w:val="auto"/>
          <w:sz w:val="24"/>
          <w:highlight w:val="none"/>
        </w:rPr>
      </w:pPr>
    </w:p>
    <w:p w14:paraId="193C8F83">
      <w:pPr>
        <w:snapToGrid w:val="0"/>
        <w:spacing w:before="120" w:beforeLines="50" w:after="50"/>
        <w:rPr>
          <w:rFonts w:ascii="宋体" w:hAnsi="宋体"/>
          <w:b/>
          <w:color w:val="auto"/>
          <w:sz w:val="24"/>
          <w:highlight w:val="none"/>
        </w:rPr>
      </w:pPr>
    </w:p>
    <w:p w14:paraId="7840E474">
      <w:pPr>
        <w:snapToGrid w:val="0"/>
        <w:spacing w:before="120" w:beforeLines="50" w:after="50"/>
        <w:rPr>
          <w:rFonts w:ascii="宋体" w:hAnsi="宋体"/>
          <w:b/>
          <w:color w:val="auto"/>
          <w:sz w:val="24"/>
          <w:highlight w:val="none"/>
        </w:rPr>
      </w:pPr>
    </w:p>
    <w:p w14:paraId="7453D961">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272A1137">
      <w:pPr>
        <w:snapToGrid w:val="0"/>
        <w:spacing w:before="120" w:beforeLines="50" w:after="50"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投 标 函</w:t>
      </w:r>
    </w:p>
    <w:p w14:paraId="4769A92E">
      <w:pPr>
        <w:spacing w:line="276" w:lineRule="auto"/>
        <w:contextualSpacing/>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314C791A">
      <w:pPr>
        <w:spacing w:line="276" w:lineRule="auto"/>
        <w:ind w:firstLine="480"/>
        <w:contextualSpacing/>
        <w:rPr>
          <w:rFonts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）的招标公告，签字代表______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4463479A">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据此函，我方宣布同意如下：</w:t>
      </w:r>
    </w:p>
    <w:p w14:paraId="0A06653E">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555700FA">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5C6CCFBB">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rPr>
        <w:t>日。</w:t>
      </w:r>
    </w:p>
    <w:p w14:paraId="04EEC368">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4.如中标，本投标文件至本项目合同履行完毕止均保持有效，我方将按“招标文件”及政府采购法律、法规的规定履行合同责任和义务。</w:t>
      </w:r>
    </w:p>
    <w:p w14:paraId="0875E69A">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6785977D">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0E7DA665">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4795118C">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14:paraId="2510098B">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7E4B96BE">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53363108">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9.与本投标有关的一切正式往来信函请寄：</w:t>
      </w:r>
    </w:p>
    <w:p w14:paraId="550F5925">
      <w:pPr>
        <w:spacing w:line="276" w:lineRule="auto"/>
        <w:ind w:firstLine="480" w:firstLineChars="200"/>
        <w:contextualSpacing/>
        <w:rPr>
          <w:rFonts w:ascii="宋体" w:hAnsi="宋体"/>
          <w:color w:val="auto"/>
          <w:sz w:val="24"/>
          <w:highlight w:val="none"/>
        </w:rPr>
      </w:pPr>
    </w:p>
    <w:p w14:paraId="4C01DA5F">
      <w:pPr>
        <w:spacing w:line="276" w:lineRule="auto"/>
        <w:ind w:firstLine="480" w:firstLineChars="200"/>
        <w:contextualSpacing/>
        <w:rPr>
          <w:rFonts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24FEFCFF">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p>
    <w:p w14:paraId="3995C96D">
      <w:pPr>
        <w:spacing w:line="276" w:lineRule="auto"/>
        <w:ind w:firstLine="480" w:firstLineChars="200"/>
        <w:contextualSpacing/>
        <w:rPr>
          <w:rFonts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14:paraId="1C67D84B">
      <w:pPr>
        <w:spacing w:line="276"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银行帐号：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3E30C0C1">
      <w:pPr>
        <w:spacing w:line="276"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 xml:space="preserve">法定代表人或者委托代理人签字:___________ </w:t>
      </w:r>
    </w:p>
    <w:p w14:paraId="2A780317">
      <w:pPr>
        <w:pStyle w:val="19"/>
        <w:spacing w:line="276" w:lineRule="auto"/>
        <w:contextualSpacing/>
        <w:jc w:val="center"/>
        <w:rPr>
          <w:rFonts w:hAnsi="宋体"/>
          <w:color w:val="auto"/>
          <w:sz w:val="24"/>
          <w:highlight w:val="none"/>
        </w:rPr>
      </w:pPr>
      <w:r>
        <w:rPr>
          <w:rFonts w:hint="eastAsia" w:hAnsi="宋体"/>
          <w:color w:val="auto"/>
          <w:sz w:val="24"/>
          <w:highlight w:val="none"/>
        </w:rPr>
        <w:t xml:space="preserve"> </w:t>
      </w:r>
      <w:r>
        <w:rPr>
          <w:rFonts w:hAnsi="宋体"/>
          <w:color w:val="auto"/>
          <w:sz w:val="24"/>
          <w:highlight w:val="none"/>
        </w:rPr>
        <w:t xml:space="preserve">                                  </w:t>
      </w:r>
    </w:p>
    <w:p w14:paraId="5F4B8430">
      <w:pPr>
        <w:pStyle w:val="19"/>
        <w:spacing w:line="276" w:lineRule="auto"/>
        <w:contextualSpacing/>
        <w:jc w:val="center"/>
        <w:rPr>
          <w:rFonts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投标人（盖公章）：</w:t>
      </w:r>
    </w:p>
    <w:p w14:paraId="54048EB9">
      <w:pPr>
        <w:pStyle w:val="19"/>
        <w:spacing w:line="276" w:lineRule="auto"/>
        <w:contextualSpacing/>
        <w:rPr>
          <w:rFonts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1D8C987B">
      <w:pPr>
        <w:snapToGrid w:val="0"/>
        <w:spacing w:before="120" w:beforeLines="50" w:after="50" w:line="440" w:lineRule="exact"/>
        <w:jc w:val="left"/>
        <w:rPr>
          <w:rFonts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开标一览表（服务类格式）</w:t>
      </w:r>
    </w:p>
    <w:p w14:paraId="32621887">
      <w:pPr>
        <w:snapToGrid w:val="0"/>
        <w:spacing w:before="50" w:after="50"/>
        <w:jc w:val="center"/>
        <w:rPr>
          <w:rFonts w:ascii="宋体" w:hAnsi="宋体"/>
          <w:b/>
          <w:color w:val="auto"/>
          <w:sz w:val="30"/>
          <w:highlight w:val="none"/>
        </w:rPr>
      </w:pPr>
      <w:r>
        <w:rPr>
          <w:rFonts w:hint="eastAsia" w:ascii="宋体" w:hAnsi="宋体"/>
          <w:b/>
          <w:color w:val="auto"/>
          <w:sz w:val="30"/>
          <w:highlight w:val="none"/>
        </w:rPr>
        <w:t>开标一览表</w:t>
      </w:r>
    </w:p>
    <w:p w14:paraId="3E9F035B">
      <w:pPr>
        <w:snapToGrid w:val="0"/>
        <w:spacing w:before="50" w:after="50"/>
        <w:jc w:val="center"/>
        <w:rPr>
          <w:rFonts w:ascii="宋体" w:hAnsi="宋体"/>
          <w:b/>
          <w:color w:val="auto"/>
          <w:sz w:val="30"/>
          <w:szCs w:val="20"/>
          <w:highlight w:val="none"/>
        </w:rPr>
      </w:pPr>
    </w:p>
    <w:p w14:paraId="24FBC484">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w:t>
      </w:r>
    </w:p>
    <w:p w14:paraId="555E4885">
      <w:pPr>
        <w:snapToGrid w:val="0"/>
        <w:spacing w:before="50" w:after="50" w:line="360" w:lineRule="auto"/>
        <w:rPr>
          <w:rFonts w:ascii="宋体" w:hAnsi="宋体" w:cs="仿宋_GB2312"/>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单位：元</w:t>
      </w:r>
      <w:r>
        <w:rPr>
          <w:rFonts w:hint="eastAsia" w:ascii="宋体" w:hAnsi="宋体" w:cs="仿宋_GB2312"/>
          <w:color w:val="auto"/>
          <w:sz w:val="24"/>
          <w:highlight w:val="none"/>
        </w:rPr>
        <w:t xml:space="preserve">                                        </w:t>
      </w:r>
    </w:p>
    <w:tbl>
      <w:tblPr>
        <w:tblStyle w:val="36"/>
        <w:tblW w:w="92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75"/>
        <w:gridCol w:w="2413"/>
        <w:gridCol w:w="2404"/>
        <w:gridCol w:w="1075"/>
      </w:tblGrid>
      <w:tr w14:paraId="51D58E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jc w:val="center"/>
        </w:trPr>
        <w:tc>
          <w:tcPr>
            <w:tcW w:w="3375" w:type="dxa"/>
            <w:tcBorders>
              <w:top w:val="single" w:color="auto" w:sz="4" w:space="0"/>
              <w:left w:val="single" w:color="auto" w:sz="4" w:space="0"/>
              <w:bottom w:val="single" w:color="auto" w:sz="4" w:space="0"/>
              <w:right w:val="single" w:color="auto" w:sz="4" w:space="0"/>
            </w:tcBorders>
            <w:noWrap w:val="0"/>
            <w:vAlign w:val="center"/>
          </w:tcPr>
          <w:p w14:paraId="6F888A37">
            <w:pPr>
              <w:shd w:val="clear" w:color="auto" w:fill="auto"/>
              <w:spacing w:line="42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服务项目名称</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26062CA">
            <w:pPr>
              <w:shd w:val="clear" w:color="auto" w:fill="auto"/>
              <w:spacing w:line="42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标的名称</w:t>
            </w:r>
          </w:p>
        </w:tc>
        <w:tc>
          <w:tcPr>
            <w:tcW w:w="2404" w:type="dxa"/>
            <w:tcBorders>
              <w:top w:val="single" w:color="auto" w:sz="4" w:space="0"/>
              <w:left w:val="single" w:color="auto" w:sz="4" w:space="0"/>
              <w:bottom w:val="single" w:color="auto" w:sz="4" w:space="0"/>
              <w:right w:val="single" w:color="auto" w:sz="4" w:space="0"/>
            </w:tcBorders>
            <w:noWrap w:val="0"/>
            <w:vAlign w:val="center"/>
          </w:tcPr>
          <w:p w14:paraId="4F899B37">
            <w:pPr>
              <w:shd w:val="clear" w:color="auto" w:fill="auto"/>
              <w:snapToGrid w:val="0"/>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lang w:eastAsia="zh-CN"/>
              </w:rPr>
              <w:t>投标折扣率</w:t>
            </w:r>
          </w:p>
        </w:tc>
        <w:tc>
          <w:tcPr>
            <w:tcW w:w="1075" w:type="dxa"/>
            <w:tcBorders>
              <w:top w:val="single" w:color="auto" w:sz="4" w:space="0"/>
              <w:left w:val="single" w:color="auto" w:sz="4" w:space="0"/>
              <w:bottom w:val="single" w:color="auto" w:sz="4" w:space="0"/>
            </w:tcBorders>
            <w:noWrap w:val="0"/>
            <w:vAlign w:val="center"/>
          </w:tcPr>
          <w:p w14:paraId="02ABB715">
            <w:pPr>
              <w:shd w:val="clear" w:color="auto" w:fill="auto"/>
              <w:spacing w:line="420" w:lineRule="exact"/>
              <w:jc w:val="center"/>
              <w:rPr>
                <w:rFonts w:hint="eastAsia" w:ascii="宋体" w:hAnsi="宋体" w:cs="宋体"/>
                <w:color w:val="auto"/>
                <w:sz w:val="24"/>
                <w:highlight w:val="none"/>
              </w:rPr>
            </w:pPr>
            <w:r>
              <w:rPr>
                <w:rFonts w:hint="eastAsia" w:ascii="宋体" w:hAnsi="宋体" w:cs="宋体"/>
                <w:color w:val="auto"/>
                <w:sz w:val="24"/>
                <w:highlight w:val="none"/>
              </w:rPr>
              <w:t>备注</w:t>
            </w:r>
          </w:p>
        </w:tc>
      </w:tr>
      <w:tr w14:paraId="6C900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05" w:hRule="atLeast"/>
          <w:jc w:val="center"/>
        </w:trPr>
        <w:tc>
          <w:tcPr>
            <w:tcW w:w="3375" w:type="dxa"/>
            <w:tcBorders>
              <w:top w:val="single" w:color="auto" w:sz="4" w:space="0"/>
              <w:left w:val="single" w:color="auto" w:sz="4" w:space="0"/>
              <w:bottom w:val="single" w:color="auto" w:sz="4" w:space="0"/>
              <w:right w:val="single" w:color="auto" w:sz="4" w:space="0"/>
            </w:tcBorders>
            <w:noWrap w:val="0"/>
            <w:vAlign w:val="center"/>
          </w:tcPr>
          <w:p w14:paraId="17E202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陆川县农村义务教育学生营养改善计划食材采购项目</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ADF5113">
            <w:pPr>
              <w:shd w:val="clear" w:color="auto" w:fill="auto"/>
              <w:snapToGrid w:val="0"/>
              <w:spacing w:line="420" w:lineRule="exact"/>
              <w:jc w:val="center"/>
              <w:rPr>
                <w:rFonts w:ascii="宋体" w:hAnsi="宋体" w:cs="宋体"/>
                <w:color w:val="auto"/>
                <w:sz w:val="24"/>
                <w:highlight w:val="none"/>
              </w:rPr>
            </w:pPr>
          </w:p>
        </w:tc>
        <w:tc>
          <w:tcPr>
            <w:tcW w:w="2404" w:type="dxa"/>
            <w:tcBorders>
              <w:top w:val="single" w:color="auto" w:sz="4" w:space="0"/>
              <w:left w:val="single" w:color="auto" w:sz="4" w:space="0"/>
              <w:bottom w:val="single" w:color="auto" w:sz="4" w:space="0"/>
              <w:right w:val="single" w:color="auto" w:sz="4" w:space="0"/>
            </w:tcBorders>
            <w:noWrap w:val="0"/>
            <w:vAlign w:val="center"/>
          </w:tcPr>
          <w:p w14:paraId="79BD9714">
            <w:pPr>
              <w:shd w:val="clear" w:color="auto" w:fill="auto"/>
              <w:spacing w:line="420" w:lineRule="exact"/>
              <w:jc w:val="center"/>
              <w:rPr>
                <w:rFonts w:hint="eastAsia" w:ascii="宋体" w:hAnsi="宋体" w:cs="宋体"/>
                <w:bCs/>
                <w:color w:val="auto"/>
                <w:sz w:val="24"/>
                <w:highlight w:val="none"/>
              </w:rPr>
            </w:pPr>
            <w:r>
              <w:rPr>
                <w:rFonts w:hint="eastAsia" w:ascii="宋体" w:hAnsi="宋体" w:cs="宋体"/>
                <w:color w:val="auto"/>
                <w:sz w:val="24"/>
                <w:highlight w:val="none"/>
                <w:lang w:val="en-US" w:eastAsia="zh-CN"/>
              </w:rPr>
              <w:t>%</w:t>
            </w:r>
          </w:p>
        </w:tc>
        <w:tc>
          <w:tcPr>
            <w:tcW w:w="1075" w:type="dxa"/>
            <w:tcBorders>
              <w:top w:val="single" w:color="auto" w:sz="4" w:space="0"/>
              <w:left w:val="single" w:color="auto" w:sz="4" w:space="0"/>
              <w:bottom w:val="single" w:color="auto" w:sz="4" w:space="0"/>
            </w:tcBorders>
            <w:noWrap w:val="0"/>
            <w:vAlign w:val="center"/>
          </w:tcPr>
          <w:p w14:paraId="095B785A">
            <w:pPr>
              <w:shd w:val="clear" w:color="auto" w:fill="auto"/>
              <w:spacing w:line="420" w:lineRule="exact"/>
              <w:jc w:val="center"/>
              <w:rPr>
                <w:rFonts w:hint="eastAsia" w:ascii="宋体" w:hAnsi="宋体" w:cs="宋体"/>
                <w:bCs/>
                <w:color w:val="auto"/>
                <w:sz w:val="24"/>
                <w:highlight w:val="none"/>
              </w:rPr>
            </w:pPr>
          </w:p>
        </w:tc>
      </w:tr>
      <w:tr w14:paraId="7E1CDF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9267" w:type="dxa"/>
            <w:gridSpan w:val="4"/>
            <w:tcBorders>
              <w:top w:val="single" w:color="auto" w:sz="4" w:space="0"/>
              <w:left w:val="single" w:color="auto" w:sz="4" w:space="0"/>
              <w:bottom w:val="single" w:color="auto" w:sz="4" w:space="0"/>
            </w:tcBorders>
            <w:noWrap w:val="0"/>
            <w:vAlign w:val="center"/>
          </w:tcPr>
          <w:p w14:paraId="04D51ADC">
            <w:pPr>
              <w:shd w:val="clear" w:color="auto" w:fill="auto"/>
              <w:spacing w:line="420" w:lineRule="exact"/>
              <w:rPr>
                <w:rFonts w:hint="eastAsia" w:ascii="宋体" w:hAnsi="宋体" w:eastAsia="宋体" w:cs="宋体"/>
                <w:bCs/>
                <w:color w:val="auto"/>
                <w:sz w:val="24"/>
                <w:highlight w:val="none"/>
                <w:lang w:eastAsia="zh-CN"/>
              </w:rPr>
            </w:pPr>
            <w:r>
              <w:rPr>
                <w:rFonts w:hint="eastAsia" w:ascii="宋体" w:hAnsi="宋体" w:cs="宋体"/>
                <w:color w:val="auto"/>
                <w:spacing w:val="-6"/>
                <w:sz w:val="24"/>
                <w:highlight w:val="none"/>
                <w:lang w:eastAsia="zh-CN"/>
              </w:rPr>
              <w:t>投标折扣率</w:t>
            </w:r>
            <w:r>
              <w:rPr>
                <w:rFonts w:hint="eastAsia" w:ascii="宋体" w:hAnsi="宋体" w:cs="宋体"/>
                <w:color w:val="auto"/>
                <w:spacing w:val="-6"/>
                <w:sz w:val="24"/>
                <w:highlight w:val="none"/>
              </w:rPr>
              <w:t>：</w:t>
            </w:r>
            <w:r>
              <w:rPr>
                <w:rFonts w:hint="eastAsia" w:ascii="宋体" w:hAnsi="宋体" w:cs="宋体"/>
                <w:color w:val="auto"/>
                <w:spacing w:val="-6"/>
                <w:sz w:val="24"/>
                <w:highlight w:val="none"/>
                <w:u w:val="single"/>
                <w:lang w:val="en-US" w:eastAsia="zh-CN"/>
              </w:rPr>
              <w:t xml:space="preserve">          </w:t>
            </w:r>
            <w:r>
              <w:rPr>
                <w:rFonts w:hint="eastAsia" w:ascii="宋体" w:hAnsi="宋体" w:cs="宋体"/>
                <w:color w:val="auto"/>
                <w:spacing w:val="-6"/>
                <w:sz w:val="24"/>
                <w:highlight w:val="none"/>
                <w:lang w:val="en-US" w:eastAsia="zh-CN"/>
              </w:rPr>
              <w:t>%</w:t>
            </w:r>
          </w:p>
        </w:tc>
      </w:tr>
      <w:tr w14:paraId="19356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8" w:hRule="atLeast"/>
          <w:jc w:val="center"/>
        </w:trPr>
        <w:tc>
          <w:tcPr>
            <w:tcW w:w="9267" w:type="dxa"/>
            <w:gridSpan w:val="4"/>
            <w:tcBorders>
              <w:top w:val="single" w:color="auto" w:sz="4" w:space="0"/>
              <w:left w:val="single" w:color="auto" w:sz="4" w:space="0"/>
              <w:bottom w:val="single" w:color="auto" w:sz="4" w:space="0"/>
            </w:tcBorders>
            <w:noWrap w:val="0"/>
            <w:vAlign w:val="center"/>
          </w:tcPr>
          <w:p w14:paraId="0DC5473D">
            <w:pPr>
              <w:shd w:val="clear" w:color="auto" w:fill="auto"/>
              <w:spacing w:line="240" w:lineRule="auto"/>
              <w:rPr>
                <w:rFonts w:hint="eastAsia" w:ascii="Times New Roman" w:hAnsi="Times New Roman"/>
                <w:color w:val="auto"/>
                <w:highlight w:val="none"/>
              </w:rPr>
            </w:pPr>
            <w:r>
              <w:rPr>
                <w:rFonts w:hint="eastAsia" w:ascii="宋体" w:hAnsi="宋体" w:cs="宋体"/>
                <w:color w:val="auto"/>
                <w:spacing w:val="-6"/>
                <w:sz w:val="24"/>
                <w:highlight w:val="none"/>
                <w:lang w:eastAsia="zh-CN"/>
              </w:rPr>
              <w:t>合同履行期限：</w:t>
            </w:r>
          </w:p>
        </w:tc>
      </w:tr>
      <w:tr w14:paraId="5740D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6" w:hRule="atLeast"/>
          <w:jc w:val="center"/>
        </w:trPr>
        <w:tc>
          <w:tcPr>
            <w:tcW w:w="9267" w:type="dxa"/>
            <w:gridSpan w:val="4"/>
            <w:tcBorders>
              <w:top w:val="single" w:color="auto" w:sz="4" w:space="0"/>
              <w:left w:val="single" w:color="auto" w:sz="4" w:space="0"/>
              <w:bottom w:val="single" w:color="auto" w:sz="4" w:space="0"/>
            </w:tcBorders>
            <w:noWrap w:val="0"/>
            <w:vAlign w:val="center"/>
          </w:tcPr>
          <w:p w14:paraId="79635F94">
            <w:pPr>
              <w:pStyle w:val="119"/>
              <w:numPr>
                <w:ilvl w:val="0"/>
                <w:numId w:val="0"/>
              </w:numPr>
              <w:tabs>
                <w:tab w:val="left" w:pos="1053"/>
              </w:tabs>
              <w:spacing w:before="110" w:line="240" w:lineRule="auto"/>
              <w:ind w:firstLine="418" w:firstLineChars="200"/>
              <w:jc w:val="left"/>
              <w:rPr>
                <w:rFonts w:hint="eastAsia" w:ascii="宋体" w:hAnsi="宋体" w:cs="宋体"/>
                <w:b/>
                <w:bCs/>
                <w:color w:val="auto"/>
                <w:spacing w:val="-6"/>
                <w:sz w:val="22"/>
                <w:szCs w:val="22"/>
                <w:highlight w:val="none"/>
              </w:rPr>
            </w:pPr>
            <w:r>
              <w:rPr>
                <w:rFonts w:hint="eastAsia" w:ascii="宋体" w:hAnsi="宋体" w:cs="宋体"/>
                <w:b/>
                <w:bCs/>
                <w:color w:val="auto"/>
                <w:spacing w:val="-6"/>
                <w:sz w:val="22"/>
                <w:szCs w:val="22"/>
                <w:highlight w:val="none"/>
              </w:rPr>
              <w:t>投标人须就第二章《招标项目服务需求》中所响应内容作完整唯一报价。</w:t>
            </w:r>
          </w:p>
          <w:p w14:paraId="222EFAA1">
            <w:pPr>
              <w:spacing w:line="360" w:lineRule="auto"/>
              <w:ind w:firstLine="420" w:firstLineChars="200"/>
              <w:jc w:val="both"/>
              <w:rPr>
                <w:rFonts w:hint="eastAsia" w:ascii="宋体" w:hAnsi="宋体" w:eastAsia="宋体" w:cs="宋体"/>
                <w:color w:val="auto"/>
                <w:sz w:val="21"/>
                <w:szCs w:val="21"/>
                <w:highlight w:val="none"/>
              </w:rPr>
            </w:pPr>
            <w:r>
              <w:rPr>
                <w:rFonts w:hint="eastAsia"/>
                <w:color w:val="auto"/>
                <w:highlight w:val="none"/>
                <w:lang w:val="en-US" w:eastAsia="zh-CN"/>
              </w:rPr>
              <w:t>1、</w:t>
            </w:r>
            <w:r>
              <w:rPr>
                <w:rFonts w:hint="eastAsia"/>
                <w:color w:val="auto"/>
                <w:highlight w:val="none"/>
              </w:rPr>
              <w:t>投标报价是履行合同的最终价格，必须包含满足本次投标全部采购需求所应提供的服务，以及伴随的货物的价格；包含投标服务、货物成本、运输（含保险）</w:t>
            </w:r>
            <w:r>
              <w:rPr>
                <w:rFonts w:hint="eastAsia" w:ascii="宋体" w:hAnsi="宋体" w:eastAsia="宋体" w:cs="宋体"/>
                <w:color w:val="auto"/>
                <w:sz w:val="21"/>
                <w:szCs w:val="21"/>
                <w:highlight w:val="none"/>
              </w:rPr>
              <w:t>装卸、搬运、</w:t>
            </w:r>
            <w:r>
              <w:rPr>
                <w:rFonts w:hint="eastAsia"/>
                <w:color w:val="auto"/>
                <w:highlight w:val="none"/>
              </w:rPr>
              <w:t>检验、</w:t>
            </w:r>
            <w:r>
              <w:rPr>
                <w:rFonts w:hint="eastAsia" w:ascii="宋体" w:hAnsi="宋体" w:eastAsia="宋体" w:cs="宋体"/>
                <w:color w:val="auto"/>
                <w:sz w:val="21"/>
                <w:szCs w:val="21"/>
                <w:highlight w:val="none"/>
              </w:rPr>
              <w:t>保险、利润、税</w:t>
            </w:r>
            <w:r>
              <w:rPr>
                <w:rFonts w:hint="eastAsia" w:ascii="宋体" w:hAnsi="宋体" w:cs="宋体"/>
                <w:color w:val="auto"/>
                <w:sz w:val="21"/>
                <w:szCs w:val="21"/>
                <w:highlight w:val="none"/>
                <w:lang w:val="en-US" w:eastAsia="zh-CN"/>
              </w:rPr>
              <w:t>费</w:t>
            </w:r>
            <w:r>
              <w:rPr>
                <w:rFonts w:hint="eastAsia" w:ascii="宋体" w:hAnsi="宋体" w:eastAsia="宋体" w:cs="宋体"/>
                <w:color w:val="auto"/>
                <w:sz w:val="21"/>
                <w:szCs w:val="21"/>
                <w:highlight w:val="none"/>
              </w:rPr>
              <w:t>、质保期售后服务、雇员费、合同实施过程中的应预见和或不可预见等费用总和。所产生的费用由中标人负责。</w:t>
            </w:r>
          </w:p>
          <w:p w14:paraId="3AD01789">
            <w:pPr>
              <w:pStyle w:val="119"/>
              <w:numPr>
                <w:ilvl w:val="0"/>
                <w:numId w:val="0"/>
              </w:numPr>
              <w:tabs>
                <w:tab w:val="left" w:pos="1053"/>
              </w:tabs>
              <w:spacing w:before="110" w:after="0" w:line="360" w:lineRule="auto"/>
              <w:ind w:right="0" w:rightChars="0" w:firstLine="420" w:firstLineChars="200"/>
              <w:jc w:val="left"/>
              <w:rPr>
                <w:rFonts w:hint="eastAsia" w:ascii="宋体" w:hAnsi="宋体" w:eastAsia="宋体" w:cs="宋体"/>
                <w:bCs/>
                <w:color w:val="auto"/>
                <w:sz w:val="21"/>
                <w:szCs w:val="21"/>
                <w:highlight w:val="none"/>
                <w:lang w:val="en-US" w:eastAsia="zh-CN" w:bidi="ar-SA"/>
              </w:rPr>
            </w:pPr>
            <w:r>
              <w:rPr>
                <w:rFonts w:hint="eastAsia" w:ascii="宋体" w:hAnsi="宋体" w:cs="宋体"/>
                <w:bCs/>
                <w:color w:val="auto"/>
                <w:sz w:val="21"/>
                <w:szCs w:val="21"/>
                <w:highlight w:val="none"/>
                <w:lang w:val="en-US" w:eastAsia="zh-CN" w:bidi="ar-SA"/>
              </w:rPr>
              <w:t>2</w:t>
            </w:r>
            <w:r>
              <w:rPr>
                <w:rFonts w:hint="eastAsia" w:ascii="宋体" w:hAnsi="宋体" w:eastAsia="宋体" w:cs="宋体"/>
                <w:bCs/>
                <w:color w:val="auto"/>
                <w:sz w:val="21"/>
                <w:szCs w:val="21"/>
                <w:highlight w:val="none"/>
                <w:lang w:val="en-US" w:eastAsia="zh-CN" w:bidi="ar-SA"/>
              </w:rPr>
              <w:t>、供应商投标报价采用折扣率报价（以%表示，</w:t>
            </w:r>
            <w:r>
              <w:rPr>
                <w:rFonts w:hint="eastAsia" w:ascii="宋体" w:hAnsi="宋体" w:eastAsia="宋体" w:cs="宋体"/>
                <w:b/>
                <w:bCs w:val="0"/>
                <w:color w:val="auto"/>
                <w:sz w:val="21"/>
                <w:szCs w:val="21"/>
                <w:highlight w:val="none"/>
                <w:lang w:val="en-US" w:eastAsia="zh-CN" w:bidi="ar-SA"/>
              </w:rPr>
              <w:t>折扣率报价精确到个位数</w:t>
            </w:r>
            <w:r>
              <w:rPr>
                <w:rFonts w:hint="eastAsia" w:ascii="宋体" w:hAnsi="宋体" w:eastAsia="宋体" w:cs="宋体"/>
                <w:bCs/>
                <w:color w:val="auto"/>
                <w:sz w:val="21"/>
                <w:szCs w:val="21"/>
                <w:highlight w:val="none"/>
                <w:lang w:val="en-US" w:eastAsia="zh-CN" w:bidi="ar-SA"/>
              </w:rPr>
              <w:t>）。</w:t>
            </w:r>
            <w:r>
              <w:rPr>
                <w:rFonts w:hint="eastAsia" w:ascii="宋体" w:hAnsi="宋体" w:eastAsia="宋体" w:cs="宋体"/>
                <w:b/>
                <w:bCs w:val="0"/>
                <w:color w:val="auto"/>
                <w:sz w:val="21"/>
                <w:szCs w:val="21"/>
                <w:highlight w:val="none"/>
                <w:lang w:val="en-US" w:eastAsia="zh-CN" w:bidi="ar-SA"/>
              </w:rPr>
              <w:t>投标报价范围：≤100%（</w:t>
            </w:r>
            <w:r>
              <w:rPr>
                <w:rFonts w:hint="eastAsia" w:ascii="宋体" w:hAnsi="宋体" w:eastAsia="宋体" w:cs="宋体"/>
                <w:bCs/>
                <w:color w:val="auto"/>
                <w:sz w:val="21"/>
                <w:szCs w:val="21"/>
                <w:highlight w:val="none"/>
                <w:lang w:val="en-US" w:eastAsia="zh-CN" w:bidi="ar-SA"/>
              </w:rPr>
              <w:t>如：供货产品打</w:t>
            </w:r>
            <w:r>
              <w:rPr>
                <w:rFonts w:hint="eastAsia" w:ascii="宋体" w:hAnsi="宋体" w:cs="宋体"/>
                <w:bCs/>
                <w:color w:val="auto"/>
                <w:sz w:val="21"/>
                <w:szCs w:val="21"/>
                <w:highlight w:val="none"/>
                <w:lang w:val="en-US" w:eastAsia="zh-CN" w:bidi="ar-SA"/>
              </w:rPr>
              <w:t>八</w:t>
            </w:r>
            <w:r>
              <w:rPr>
                <w:rFonts w:hint="eastAsia" w:ascii="宋体" w:hAnsi="宋体" w:eastAsia="宋体" w:cs="宋体"/>
                <w:bCs/>
                <w:color w:val="auto"/>
                <w:sz w:val="21"/>
                <w:szCs w:val="21"/>
                <w:highlight w:val="none"/>
                <w:lang w:val="en-US" w:eastAsia="zh-CN" w:bidi="ar-SA"/>
              </w:rPr>
              <w:t>折即投标折扣率为80%，以此类推），否则，作无效报价处理。</w:t>
            </w:r>
          </w:p>
          <w:p w14:paraId="37748254">
            <w:pPr>
              <w:pStyle w:val="119"/>
              <w:numPr>
                <w:ilvl w:val="0"/>
                <w:numId w:val="0"/>
              </w:numPr>
              <w:tabs>
                <w:tab w:val="left" w:pos="1053"/>
              </w:tabs>
              <w:spacing w:before="110" w:line="240" w:lineRule="auto"/>
              <w:ind w:firstLine="420" w:firstLineChars="200"/>
              <w:jc w:val="left"/>
              <w:rPr>
                <w:rFonts w:hint="default" w:ascii="宋体" w:hAnsi="宋体" w:eastAsia="宋体" w:cs="宋体"/>
                <w:color w:val="auto"/>
                <w:spacing w:val="-6"/>
                <w:sz w:val="24"/>
                <w:highlight w:val="none"/>
                <w:lang w:val="en-US" w:eastAsia="zh-CN"/>
              </w:rPr>
            </w:pPr>
            <w:r>
              <w:rPr>
                <w:rFonts w:hint="eastAsia" w:ascii="宋体" w:hAnsi="宋体" w:eastAsia="宋体" w:cs="宋体"/>
                <w:bCs/>
                <w:color w:val="auto"/>
                <w:sz w:val="21"/>
                <w:szCs w:val="21"/>
                <w:highlight w:val="none"/>
                <w:lang w:val="en-US" w:eastAsia="zh-CN" w:bidi="ar-SA"/>
              </w:rPr>
              <w:t>3、</w:t>
            </w:r>
            <w:r>
              <w:rPr>
                <w:rFonts w:hint="eastAsia" w:ascii="宋体" w:hAnsi="宋体" w:cs="宋体"/>
                <w:bCs/>
                <w:color w:val="auto"/>
                <w:sz w:val="21"/>
                <w:szCs w:val="21"/>
                <w:highlight w:val="none"/>
                <w:lang w:val="en-US" w:eastAsia="zh-CN" w:bidi="ar-SA"/>
              </w:rPr>
              <w:t>投标</w:t>
            </w:r>
            <w:r>
              <w:rPr>
                <w:rFonts w:hint="eastAsia" w:ascii="宋体" w:hAnsi="宋体" w:eastAsia="宋体" w:cs="宋体"/>
                <w:bCs/>
                <w:color w:val="auto"/>
                <w:sz w:val="21"/>
                <w:szCs w:val="21"/>
                <w:highlight w:val="none"/>
                <w:lang w:val="en-US" w:eastAsia="zh-CN" w:bidi="ar-SA"/>
              </w:rPr>
              <w:t>折扣率将作为食材或货物实际结算的</w:t>
            </w:r>
            <w:r>
              <w:rPr>
                <w:rFonts w:hint="eastAsia" w:ascii="宋体" w:hAnsi="宋体" w:cs="宋体"/>
                <w:bCs/>
                <w:color w:val="auto"/>
                <w:sz w:val="21"/>
                <w:szCs w:val="21"/>
                <w:highlight w:val="none"/>
                <w:lang w:val="en-US" w:eastAsia="zh-CN" w:bidi="ar-SA"/>
              </w:rPr>
              <w:t>合同</w:t>
            </w:r>
            <w:r>
              <w:rPr>
                <w:rFonts w:hint="eastAsia" w:ascii="宋体" w:hAnsi="宋体" w:eastAsia="宋体" w:cs="宋体"/>
                <w:bCs/>
                <w:color w:val="auto"/>
                <w:sz w:val="21"/>
                <w:szCs w:val="21"/>
                <w:highlight w:val="none"/>
                <w:lang w:val="en-US" w:eastAsia="zh-CN" w:bidi="ar-SA"/>
              </w:rPr>
              <w:t>折扣率，结算时以学校实际采购量进行结算</w:t>
            </w:r>
            <w:r>
              <w:rPr>
                <w:rFonts w:hint="eastAsia" w:ascii="宋体" w:hAnsi="宋体" w:cs="宋体"/>
                <w:bCs/>
                <w:color w:val="auto"/>
                <w:sz w:val="21"/>
                <w:szCs w:val="21"/>
                <w:highlight w:val="none"/>
                <w:lang w:val="en-US" w:eastAsia="zh-CN" w:bidi="ar-SA"/>
              </w:rPr>
              <w:t>。</w:t>
            </w:r>
            <w:r>
              <w:rPr>
                <w:rFonts w:hint="eastAsia" w:ascii="宋体" w:hAnsi="宋体" w:eastAsia="宋体" w:cs="宋体"/>
                <w:bCs/>
                <w:color w:val="auto"/>
                <w:sz w:val="21"/>
                <w:szCs w:val="21"/>
                <w:highlight w:val="none"/>
                <w:lang w:val="en-US" w:eastAsia="zh-CN" w:bidi="ar-SA"/>
              </w:rPr>
              <w:t>采购人根据各食材或货物的市场价格情况每个月在</w:t>
            </w:r>
            <w:r>
              <w:rPr>
                <w:rFonts w:hint="eastAsia" w:ascii="宋体" w:hAnsi="宋体" w:cs="宋体"/>
                <w:color w:val="auto"/>
                <w:szCs w:val="21"/>
                <w:highlight w:val="none"/>
                <w:lang w:val="en-US" w:eastAsia="zh-CN"/>
              </w:rPr>
              <w:t>本地不少于两家大型超市及两家农贸市场</w:t>
            </w:r>
            <w:r>
              <w:rPr>
                <w:rFonts w:hint="eastAsia" w:ascii="宋体" w:hAnsi="宋体" w:eastAsia="宋体" w:cs="宋体"/>
                <w:bCs/>
                <w:color w:val="auto"/>
                <w:sz w:val="21"/>
                <w:szCs w:val="21"/>
                <w:highlight w:val="none"/>
                <w:lang w:val="en-US" w:eastAsia="zh-CN" w:bidi="ar-SA"/>
              </w:rPr>
              <w:t>等地经过调查得出</w:t>
            </w:r>
            <w:r>
              <w:rPr>
                <w:rFonts w:hint="eastAsia" w:ascii="宋体" w:hAnsi="宋体" w:cs="宋体"/>
                <w:b w:val="0"/>
                <w:bCs/>
                <w:color w:val="auto"/>
                <w:sz w:val="21"/>
                <w:szCs w:val="21"/>
                <w:highlight w:val="none"/>
                <w:lang w:val="en-US" w:eastAsia="zh-CN" w:bidi="ar-SA"/>
              </w:rPr>
              <w:t>的</w:t>
            </w:r>
            <w:r>
              <w:rPr>
                <w:rFonts w:hint="eastAsia" w:ascii="宋体" w:hAnsi="宋体" w:eastAsia="宋体" w:cs="宋体"/>
                <w:bCs/>
                <w:color w:val="auto"/>
                <w:sz w:val="21"/>
                <w:szCs w:val="21"/>
                <w:highlight w:val="none"/>
                <w:lang w:val="en-US" w:eastAsia="zh-CN" w:bidi="ar-SA"/>
              </w:rPr>
              <w:t>市场批发均价</w:t>
            </w:r>
            <w:r>
              <w:rPr>
                <w:rFonts w:hint="eastAsia" w:ascii="宋体" w:hAnsi="宋体" w:eastAsia="宋体" w:cs="宋体"/>
                <w:bCs/>
                <w:color w:val="auto"/>
                <w:sz w:val="21"/>
                <w:szCs w:val="21"/>
                <w:highlight w:val="none"/>
                <w:lang w:val="en-US" w:eastAsia="zh-CN"/>
              </w:rPr>
              <w:t>即为标准</w:t>
            </w:r>
            <w:r>
              <w:rPr>
                <w:rFonts w:hint="eastAsia" w:ascii="宋体" w:hAnsi="宋体" w:eastAsia="宋体" w:cs="宋体"/>
                <w:bCs/>
                <w:color w:val="auto"/>
                <w:sz w:val="21"/>
                <w:szCs w:val="21"/>
                <w:highlight w:val="none"/>
                <w:lang w:val="en-US" w:eastAsia="zh-CN" w:bidi="ar-SA"/>
              </w:rPr>
              <w:t>单价，</w:t>
            </w:r>
            <w:r>
              <w:rPr>
                <w:rFonts w:hint="eastAsia" w:ascii="宋体" w:hAnsi="宋体" w:eastAsia="宋体" w:cs="宋体"/>
                <w:b/>
                <w:bCs w:val="0"/>
                <w:color w:val="auto"/>
                <w:sz w:val="21"/>
                <w:szCs w:val="21"/>
                <w:highlight w:val="none"/>
                <w:lang w:val="en-US" w:eastAsia="zh-CN" w:bidi="ar-SA"/>
              </w:rPr>
              <w:t>当期</w:t>
            </w:r>
            <w:r>
              <w:rPr>
                <w:rFonts w:hint="eastAsia" w:ascii="宋体" w:hAnsi="宋体" w:cs="宋体"/>
                <w:b/>
                <w:bCs w:val="0"/>
                <w:color w:val="auto"/>
                <w:sz w:val="21"/>
                <w:szCs w:val="21"/>
                <w:highlight w:val="none"/>
                <w:lang w:val="en-US" w:eastAsia="zh-CN" w:bidi="ar-SA"/>
              </w:rPr>
              <w:t>某食材或货物</w:t>
            </w:r>
            <w:r>
              <w:rPr>
                <w:rFonts w:hint="eastAsia" w:ascii="宋体" w:hAnsi="宋体" w:eastAsia="宋体" w:cs="宋体"/>
                <w:b/>
                <w:bCs w:val="0"/>
                <w:color w:val="auto"/>
                <w:sz w:val="21"/>
                <w:szCs w:val="21"/>
                <w:highlight w:val="none"/>
                <w:lang w:val="en-US" w:eastAsia="zh-CN" w:bidi="ar-SA"/>
              </w:rPr>
              <w:t>结算价=标准单价×</w:t>
            </w:r>
            <w:r>
              <w:rPr>
                <w:rFonts w:hint="eastAsia" w:ascii="宋体" w:hAnsi="宋体" w:cs="宋体"/>
                <w:b/>
                <w:bCs w:val="0"/>
                <w:color w:val="auto"/>
                <w:sz w:val="21"/>
                <w:szCs w:val="21"/>
                <w:highlight w:val="none"/>
                <w:lang w:val="en-US" w:eastAsia="zh-CN" w:bidi="ar-SA"/>
              </w:rPr>
              <w:t>合同折扣率</w:t>
            </w:r>
            <w:r>
              <w:rPr>
                <w:rFonts w:hint="eastAsia" w:ascii="宋体" w:hAnsi="宋体" w:eastAsia="宋体" w:cs="宋体"/>
                <w:b/>
                <w:bCs w:val="0"/>
                <w:color w:val="auto"/>
                <w:sz w:val="21"/>
                <w:szCs w:val="21"/>
                <w:highlight w:val="none"/>
                <w:lang w:val="en-US" w:eastAsia="zh-CN" w:bidi="ar-SA"/>
              </w:rPr>
              <w:t>×</w:t>
            </w:r>
            <w:r>
              <w:rPr>
                <w:rFonts w:hint="eastAsia" w:ascii="宋体" w:hAnsi="宋体" w:cs="宋体"/>
                <w:b/>
                <w:bCs w:val="0"/>
                <w:color w:val="auto"/>
                <w:sz w:val="21"/>
                <w:szCs w:val="21"/>
                <w:highlight w:val="none"/>
                <w:lang w:val="en-US" w:eastAsia="zh-CN" w:bidi="ar-SA"/>
              </w:rPr>
              <w:t>该食材或货物实际采购量</w:t>
            </w:r>
            <w:r>
              <w:rPr>
                <w:rFonts w:hint="eastAsia" w:ascii="宋体" w:hAnsi="宋体" w:eastAsia="宋体" w:cs="宋体"/>
                <w:b/>
                <w:color w:val="auto"/>
                <w:sz w:val="21"/>
                <w:szCs w:val="21"/>
                <w:highlight w:val="none"/>
              </w:rPr>
              <w:t>（例如：</w:t>
            </w:r>
            <w:r>
              <w:rPr>
                <w:rFonts w:hint="eastAsia" w:ascii="宋体" w:hAnsi="宋体" w:eastAsia="宋体" w:cs="宋体"/>
                <w:b/>
                <w:bCs w:val="0"/>
                <w:color w:val="auto"/>
                <w:sz w:val="21"/>
                <w:szCs w:val="21"/>
                <w:highlight w:val="none"/>
                <w:lang w:val="en-US" w:eastAsia="zh-CN" w:bidi="ar-SA"/>
              </w:rPr>
              <w:t>标准单价</w:t>
            </w:r>
            <w:r>
              <w:rPr>
                <w:rFonts w:hint="eastAsia" w:ascii="宋体" w:hAnsi="宋体" w:eastAsia="宋体" w:cs="宋体"/>
                <w:b/>
                <w:color w:val="auto"/>
                <w:sz w:val="21"/>
                <w:szCs w:val="21"/>
                <w:highlight w:val="none"/>
              </w:rPr>
              <w:t>＝100元</w:t>
            </w:r>
            <w:r>
              <w:rPr>
                <w:rFonts w:hint="eastAsia" w:ascii="宋体" w:hAnsi="宋体" w:cs="宋体"/>
                <w:b/>
                <w:color w:val="auto"/>
                <w:sz w:val="21"/>
                <w:szCs w:val="21"/>
                <w:highlight w:val="none"/>
                <w:lang w:val="en-US" w:eastAsia="zh-CN"/>
              </w:rPr>
              <w:t>/斤</w:t>
            </w:r>
            <w:r>
              <w:rPr>
                <w:rFonts w:hint="eastAsia" w:ascii="宋体" w:hAnsi="宋体" w:eastAsia="宋体" w:cs="宋体"/>
                <w:b/>
                <w:color w:val="auto"/>
                <w:sz w:val="21"/>
                <w:szCs w:val="21"/>
                <w:highlight w:val="none"/>
              </w:rPr>
              <w:t>，</w:t>
            </w:r>
            <w:r>
              <w:rPr>
                <w:rFonts w:hint="eastAsia" w:ascii="宋体" w:hAnsi="宋体" w:cs="宋体"/>
                <w:b/>
                <w:bCs w:val="0"/>
                <w:color w:val="auto"/>
                <w:sz w:val="21"/>
                <w:szCs w:val="21"/>
                <w:highlight w:val="none"/>
                <w:lang w:val="en-US" w:eastAsia="zh-CN" w:bidi="ar-SA"/>
              </w:rPr>
              <w:t>合同折扣率</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97</w:t>
            </w:r>
            <w:r>
              <w:rPr>
                <w:rFonts w:hint="eastAsia" w:ascii="宋体" w:hAnsi="宋体" w:eastAsia="宋体" w:cs="宋体"/>
                <w:b/>
                <w:color w:val="auto"/>
                <w:sz w:val="21"/>
                <w:szCs w:val="21"/>
                <w:highlight w:val="none"/>
              </w:rPr>
              <w:t>%，</w:t>
            </w:r>
            <w:r>
              <w:rPr>
                <w:rFonts w:hint="eastAsia" w:ascii="宋体" w:hAnsi="宋体" w:cs="宋体"/>
                <w:b/>
                <w:bCs w:val="0"/>
                <w:color w:val="auto"/>
                <w:sz w:val="21"/>
                <w:szCs w:val="21"/>
                <w:highlight w:val="none"/>
                <w:lang w:val="en-US" w:eastAsia="zh-CN" w:bidi="ar-SA"/>
              </w:rPr>
              <w:t>该食材或货物实际采购量</w:t>
            </w:r>
            <w:r>
              <w:rPr>
                <w:rFonts w:hint="eastAsia" w:ascii="宋体" w:hAnsi="宋体" w:eastAsia="宋体" w:cs="宋体"/>
                <w:b/>
                <w:color w:val="auto"/>
                <w:sz w:val="21"/>
                <w:szCs w:val="21"/>
                <w:highlight w:val="none"/>
              </w:rPr>
              <w:t>＝</w:t>
            </w:r>
            <w:r>
              <w:rPr>
                <w:rFonts w:hint="eastAsia" w:ascii="宋体" w:hAnsi="宋体" w:cs="宋体"/>
                <w:b/>
                <w:color w:val="auto"/>
                <w:sz w:val="21"/>
                <w:szCs w:val="21"/>
                <w:highlight w:val="none"/>
                <w:lang w:val="en-US" w:eastAsia="zh-CN"/>
              </w:rPr>
              <w:t>10斤，</w:t>
            </w:r>
            <w:r>
              <w:rPr>
                <w:rFonts w:hint="eastAsia" w:ascii="宋体" w:hAnsi="宋体" w:eastAsia="宋体" w:cs="宋体"/>
                <w:b/>
                <w:bCs w:val="0"/>
                <w:color w:val="auto"/>
                <w:sz w:val="21"/>
                <w:szCs w:val="21"/>
                <w:highlight w:val="none"/>
                <w:lang w:val="en-US" w:eastAsia="zh-CN" w:bidi="ar-SA"/>
              </w:rPr>
              <w:t>当期</w:t>
            </w:r>
            <w:r>
              <w:rPr>
                <w:rFonts w:hint="eastAsia" w:ascii="宋体" w:hAnsi="宋体" w:cs="宋体"/>
                <w:b/>
                <w:bCs w:val="0"/>
                <w:color w:val="auto"/>
                <w:sz w:val="21"/>
                <w:szCs w:val="21"/>
                <w:highlight w:val="none"/>
                <w:lang w:val="en-US" w:eastAsia="zh-CN" w:bidi="ar-SA"/>
              </w:rPr>
              <w:t>某食材或货物</w:t>
            </w:r>
            <w:r>
              <w:rPr>
                <w:rFonts w:hint="eastAsia" w:ascii="宋体" w:hAnsi="宋体" w:eastAsia="宋体" w:cs="宋体"/>
                <w:b/>
                <w:bCs w:val="0"/>
                <w:color w:val="auto"/>
                <w:sz w:val="21"/>
                <w:szCs w:val="21"/>
                <w:highlight w:val="none"/>
                <w:lang w:val="en-US" w:eastAsia="zh-CN" w:bidi="ar-SA"/>
              </w:rPr>
              <w:t>结算价</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100×0.97×</w:t>
            </w:r>
            <w:r>
              <w:rPr>
                <w:rFonts w:hint="eastAsia" w:ascii="宋体" w:hAnsi="宋体" w:cs="宋体"/>
                <w:b/>
                <w:color w:val="auto"/>
                <w:sz w:val="21"/>
                <w:szCs w:val="21"/>
                <w:highlight w:val="none"/>
                <w:lang w:val="en-US" w:eastAsia="zh-CN"/>
              </w:rPr>
              <w:t>10=970元</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w:t>
            </w:r>
          </w:p>
        </w:tc>
      </w:tr>
    </w:tbl>
    <w:p w14:paraId="58082B2D">
      <w:pPr>
        <w:snapToGrid w:val="0"/>
        <w:spacing w:before="50" w:after="50"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注： </w:t>
      </w:r>
    </w:p>
    <w:p w14:paraId="4A890CBD">
      <w:pPr>
        <w:snapToGrid w:val="0"/>
        <w:spacing w:before="50" w:after="50"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 投标人需按本表格式填写，不得自行更改，也不得留空（</w:t>
      </w:r>
      <w:r>
        <w:rPr>
          <w:rFonts w:hint="eastAsia" w:ascii="宋体" w:hAnsi="宋体" w:eastAsia="宋体" w:cs="宋体"/>
          <w:color w:val="auto"/>
          <w:sz w:val="21"/>
          <w:szCs w:val="21"/>
          <w:highlight w:val="none"/>
        </w:rPr>
        <w:t>备注</w:t>
      </w:r>
      <w:r>
        <w:rPr>
          <w:rFonts w:hint="eastAsia" w:ascii="宋体" w:hAnsi="宋体" w:eastAsia="宋体" w:cs="宋体"/>
          <w:color w:val="auto"/>
          <w:sz w:val="21"/>
          <w:szCs w:val="21"/>
          <w:highlight w:val="none"/>
          <w:lang w:eastAsia="zh-CN"/>
        </w:rPr>
        <w:t>除外</w:t>
      </w:r>
      <w:r>
        <w:rPr>
          <w:rFonts w:hint="eastAsia" w:ascii="宋体" w:hAnsi="宋体" w:eastAsia="宋体" w:cs="宋体"/>
          <w:color w:val="auto"/>
          <w:kern w:val="0"/>
          <w:sz w:val="21"/>
          <w:szCs w:val="21"/>
          <w:highlight w:val="none"/>
          <w:lang w:val="zh-CN"/>
        </w:rPr>
        <w:t>）,按提供开标一览表，必须加盖投标人有效公章，</w:t>
      </w:r>
      <w:r>
        <w:rPr>
          <w:rFonts w:hint="eastAsia" w:ascii="宋体" w:hAnsi="宋体" w:eastAsia="宋体" w:cs="宋体"/>
          <w:b/>
          <w:color w:val="auto"/>
          <w:kern w:val="0"/>
          <w:sz w:val="21"/>
          <w:szCs w:val="21"/>
          <w:highlight w:val="none"/>
          <w:lang w:val="zh-CN"/>
        </w:rPr>
        <w:t>否则其投标作无效标处理。</w:t>
      </w:r>
    </w:p>
    <w:p w14:paraId="45C1D526">
      <w:pPr>
        <w:snapToGrid w:val="0"/>
        <w:spacing w:before="50" w:after="50" w:line="24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2、本表内容均不能涂改，</w:t>
      </w:r>
      <w:r>
        <w:rPr>
          <w:rFonts w:hint="eastAsia" w:ascii="宋体" w:hAnsi="宋体" w:eastAsia="宋体" w:cs="宋体"/>
          <w:b/>
          <w:color w:val="auto"/>
          <w:kern w:val="0"/>
          <w:sz w:val="21"/>
          <w:szCs w:val="21"/>
          <w:highlight w:val="none"/>
          <w:lang w:val="zh-CN"/>
        </w:rPr>
        <w:t>否则其投标作无效标处理。</w:t>
      </w:r>
    </w:p>
    <w:p w14:paraId="49C3FBA6">
      <w:pPr>
        <w:snapToGrid w:val="0"/>
        <w:spacing w:before="50" w:after="50" w:line="360" w:lineRule="auto"/>
        <w:ind w:firstLine="420" w:firstLineChars="200"/>
        <w:rPr>
          <w:rFonts w:ascii="宋体" w:hAnsi="宋体"/>
          <w:b/>
          <w:color w:val="auto"/>
          <w:sz w:val="24"/>
          <w:highlight w:val="none"/>
        </w:rPr>
      </w:pPr>
      <w:r>
        <w:rPr>
          <w:rFonts w:hint="eastAsia" w:ascii="宋体" w:hAnsi="宋体" w:eastAsia="宋体" w:cs="宋体"/>
          <w:color w:val="auto"/>
          <w:kern w:val="0"/>
          <w:sz w:val="21"/>
          <w:szCs w:val="21"/>
          <w:highlight w:val="none"/>
          <w:lang w:val="zh-CN"/>
        </w:rPr>
        <w:t>3、</w:t>
      </w:r>
      <w:r>
        <w:rPr>
          <w:rFonts w:hint="eastAsia" w:ascii="宋体" w:hAnsi="宋体" w:cs="宋体"/>
          <w:color w:val="auto"/>
          <w:kern w:val="0"/>
          <w:sz w:val="21"/>
          <w:szCs w:val="21"/>
          <w:highlight w:val="none"/>
          <w:lang w:val="en-US" w:eastAsia="zh-CN"/>
        </w:rPr>
        <w:t>请</w:t>
      </w:r>
      <w:r>
        <w:rPr>
          <w:rFonts w:hint="eastAsia" w:ascii="宋体" w:hAnsi="宋体" w:eastAsia="宋体" w:cs="宋体"/>
          <w:color w:val="auto"/>
          <w:sz w:val="21"/>
          <w:szCs w:val="21"/>
          <w:highlight w:val="none"/>
        </w:rPr>
        <w:t>根据所投</w:t>
      </w:r>
      <w:r>
        <w:rPr>
          <w:rFonts w:hint="eastAsia" w:hAnsi="宋体" w:cs="宋体"/>
          <w:color w:val="auto"/>
          <w:sz w:val="21"/>
          <w:szCs w:val="21"/>
          <w:highlight w:val="none"/>
          <w:lang w:eastAsia="zh-CN"/>
        </w:rPr>
        <w:t>服务内容</w:t>
      </w:r>
      <w:r>
        <w:rPr>
          <w:rFonts w:hint="eastAsia" w:ascii="宋体" w:hAnsi="宋体" w:eastAsia="宋体" w:cs="宋体"/>
          <w:color w:val="auto"/>
          <w:sz w:val="21"/>
          <w:szCs w:val="21"/>
          <w:highlight w:val="none"/>
        </w:rPr>
        <w:t>，</w:t>
      </w:r>
      <w:r>
        <w:rPr>
          <w:rFonts w:hint="eastAsia" w:ascii="宋体" w:hAnsi="宋体" w:eastAsia="宋体" w:cs="宋体"/>
          <w:b w:val="0"/>
          <w:color w:val="auto"/>
          <w:sz w:val="21"/>
          <w:szCs w:val="21"/>
          <w:highlight w:val="none"/>
        </w:rPr>
        <w:t>逐条对应</w:t>
      </w:r>
      <w:r>
        <w:rPr>
          <w:rFonts w:hint="eastAsia" w:ascii="宋体" w:hAnsi="宋体" w:eastAsia="宋体" w:cs="宋体"/>
          <w:color w:val="auto"/>
          <w:sz w:val="21"/>
          <w:szCs w:val="21"/>
          <w:highlight w:val="none"/>
        </w:rPr>
        <w:t>本项目招标文件“第二章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rPr>
        <w:t>”的</w:t>
      </w:r>
      <w:r>
        <w:rPr>
          <w:rFonts w:hint="eastAsia" w:hAnsi="宋体" w:cs="宋体"/>
          <w:color w:val="auto"/>
          <w:sz w:val="21"/>
          <w:szCs w:val="21"/>
          <w:highlight w:val="none"/>
          <w:lang w:eastAsia="zh-CN"/>
        </w:rPr>
        <w:t>内容</w:t>
      </w:r>
      <w:r>
        <w:rPr>
          <w:rFonts w:hint="eastAsia" w:ascii="宋体" w:hAnsi="宋体" w:eastAsia="宋体" w:cs="宋体"/>
          <w:color w:val="auto"/>
          <w:sz w:val="21"/>
          <w:szCs w:val="21"/>
          <w:highlight w:val="none"/>
        </w:rPr>
        <w:t>详细填写相应的具体内容。</w:t>
      </w:r>
    </w:p>
    <w:p w14:paraId="4565ED97">
      <w:pPr>
        <w:snapToGrid w:val="0"/>
        <w:spacing w:before="50" w:after="50"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法定代表人或者委托代理人（签字）：                    </w:t>
      </w:r>
    </w:p>
    <w:p w14:paraId="64020F6A">
      <w:pPr>
        <w:snapToGrid w:val="0"/>
        <w:spacing w:before="50" w:after="50" w:line="360" w:lineRule="auto"/>
        <w:ind w:left="-3" w:leftChars="-15" w:right="-817" w:rightChars="-389" w:hanging="28" w:hangingChars="12"/>
        <w:rPr>
          <w:rFonts w:ascii="宋体" w:hAnsi="宋体"/>
          <w:color w:val="auto"/>
          <w:szCs w:val="21"/>
          <w:highlight w:val="none"/>
        </w:rPr>
      </w:pPr>
      <w:r>
        <w:rPr>
          <w:rFonts w:hint="eastAsia" w:ascii="宋体" w:hAnsi="宋体"/>
          <w:color w:val="auto"/>
          <w:sz w:val="24"/>
          <w:highlight w:val="none"/>
        </w:rPr>
        <w:t>投标人（盖公章）：                                 日期：    年   月   日</w:t>
      </w:r>
    </w:p>
    <w:p w14:paraId="3F8BDF51">
      <w:pPr>
        <w:rPr>
          <w:b/>
          <w:color w:val="auto"/>
          <w:sz w:val="28"/>
          <w:szCs w:val="28"/>
          <w:highlight w:val="none"/>
        </w:rPr>
      </w:pPr>
      <w:r>
        <w:rPr>
          <w:rFonts w:ascii="宋体" w:hAnsi="宋体"/>
          <w:b/>
          <w:bCs/>
          <w:color w:val="auto"/>
          <w:sz w:val="24"/>
          <w:highlight w:val="none"/>
        </w:rPr>
        <w:br w:type="page"/>
      </w:r>
      <w:bookmarkStart w:id="155" w:name="_Toc19686837"/>
      <w:r>
        <w:rPr>
          <w:rFonts w:hint="eastAsia"/>
          <w:b/>
          <w:color w:val="auto"/>
          <w:sz w:val="28"/>
          <w:szCs w:val="28"/>
          <w:highlight w:val="none"/>
        </w:rPr>
        <w:t>二、资格证明文件格式</w:t>
      </w:r>
      <w:bookmarkEnd w:id="153"/>
      <w:bookmarkEnd w:id="154"/>
      <w:bookmarkEnd w:id="155"/>
    </w:p>
    <w:p w14:paraId="3700726A">
      <w:pPr>
        <w:numPr>
          <w:ilvl w:val="2"/>
          <w:numId w:val="8"/>
        </w:numPr>
        <w:snapToGrid w:val="0"/>
        <w:spacing w:before="120" w:beforeLines="50" w:after="50" w:line="360" w:lineRule="auto"/>
        <w:ind w:left="0" w:firstLine="0"/>
        <w:jc w:val="left"/>
        <w:rPr>
          <w:rFonts w:ascii="宋体" w:hAnsi="宋体"/>
          <w:b/>
          <w:color w:val="auto"/>
          <w:sz w:val="24"/>
          <w:highlight w:val="none"/>
        </w:rPr>
      </w:pPr>
      <w:r>
        <w:rPr>
          <w:rFonts w:hint="eastAsia" w:ascii="宋体" w:hAnsi="宋体"/>
          <w:b/>
          <w:color w:val="auto"/>
          <w:sz w:val="24"/>
          <w:highlight w:val="none"/>
        </w:rPr>
        <w:t xml:space="preserve">资格证明文件封面格式： </w:t>
      </w:r>
    </w:p>
    <w:p w14:paraId="1126792F">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5E037AB5">
      <w:pPr>
        <w:snapToGrid w:val="0"/>
        <w:spacing w:before="120" w:beforeLines="50" w:after="50"/>
        <w:rPr>
          <w:rFonts w:ascii="宋体" w:hAnsi="宋体"/>
          <w:color w:val="auto"/>
          <w:sz w:val="24"/>
          <w:szCs w:val="20"/>
          <w:highlight w:val="none"/>
        </w:rPr>
      </w:pPr>
    </w:p>
    <w:p w14:paraId="1C966FC4">
      <w:pPr>
        <w:snapToGrid w:val="0"/>
        <w:spacing w:before="120" w:beforeLines="50" w:after="50"/>
        <w:rPr>
          <w:rFonts w:ascii="宋体" w:hAnsi="宋体"/>
          <w:color w:val="auto"/>
          <w:sz w:val="24"/>
          <w:szCs w:val="20"/>
          <w:highlight w:val="none"/>
        </w:rPr>
      </w:pPr>
    </w:p>
    <w:p w14:paraId="1015F382">
      <w:pPr>
        <w:snapToGrid w:val="0"/>
        <w:spacing w:before="120" w:beforeLines="50" w:after="50"/>
        <w:jc w:val="center"/>
        <w:rPr>
          <w:rFonts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2F5BA515">
      <w:pPr>
        <w:snapToGrid w:val="0"/>
        <w:spacing w:before="120" w:beforeLines="50" w:after="50"/>
        <w:rPr>
          <w:rFonts w:ascii="宋体" w:hAnsi="宋体"/>
          <w:color w:val="auto"/>
          <w:sz w:val="24"/>
          <w:szCs w:val="20"/>
          <w:highlight w:val="none"/>
        </w:rPr>
      </w:pPr>
    </w:p>
    <w:p w14:paraId="01A43AF2">
      <w:pPr>
        <w:snapToGrid w:val="0"/>
        <w:spacing w:before="120" w:beforeLines="50" w:after="50"/>
        <w:rPr>
          <w:rFonts w:ascii="宋体" w:hAnsi="宋体"/>
          <w:color w:val="auto"/>
          <w:sz w:val="24"/>
          <w:szCs w:val="20"/>
          <w:highlight w:val="none"/>
        </w:rPr>
      </w:pPr>
    </w:p>
    <w:p w14:paraId="135237B6">
      <w:pPr>
        <w:snapToGrid w:val="0"/>
        <w:spacing w:before="120" w:beforeLines="50" w:after="50"/>
        <w:jc w:val="center"/>
        <w:rPr>
          <w:rFonts w:ascii="宋体" w:hAnsi="宋体"/>
          <w:b/>
          <w:color w:val="auto"/>
          <w:sz w:val="24"/>
          <w:szCs w:val="20"/>
          <w:highlight w:val="none"/>
        </w:rPr>
      </w:pPr>
      <w:r>
        <w:rPr>
          <w:rFonts w:hint="eastAsia" w:ascii="宋体" w:hAnsi="宋体"/>
          <w:b/>
          <w:color w:val="auto"/>
          <w:sz w:val="32"/>
          <w:szCs w:val="32"/>
          <w:highlight w:val="none"/>
        </w:rPr>
        <w:t>资 格 证 明 文 件</w:t>
      </w:r>
    </w:p>
    <w:p w14:paraId="30E07A8B">
      <w:pPr>
        <w:snapToGrid w:val="0"/>
        <w:spacing w:before="120" w:beforeLines="50" w:after="50"/>
        <w:rPr>
          <w:rFonts w:ascii="宋体" w:hAnsi="宋体"/>
          <w:bCs/>
          <w:color w:val="auto"/>
          <w:sz w:val="24"/>
          <w:szCs w:val="20"/>
          <w:highlight w:val="none"/>
        </w:rPr>
      </w:pPr>
    </w:p>
    <w:p w14:paraId="355EA969">
      <w:pPr>
        <w:snapToGrid w:val="0"/>
        <w:spacing w:before="120" w:beforeLines="50" w:after="50"/>
        <w:rPr>
          <w:rFonts w:ascii="宋体" w:hAnsi="宋体"/>
          <w:bCs/>
          <w:color w:val="auto"/>
          <w:sz w:val="24"/>
          <w:szCs w:val="20"/>
          <w:highlight w:val="none"/>
        </w:rPr>
      </w:pPr>
    </w:p>
    <w:p w14:paraId="07E7FD29">
      <w:pPr>
        <w:snapToGrid w:val="0"/>
        <w:spacing w:before="120" w:beforeLines="50" w:after="50"/>
        <w:rPr>
          <w:rFonts w:ascii="宋体" w:hAnsi="宋体"/>
          <w:bCs/>
          <w:color w:val="auto"/>
          <w:sz w:val="24"/>
          <w:szCs w:val="20"/>
          <w:highlight w:val="none"/>
        </w:rPr>
      </w:pPr>
    </w:p>
    <w:p w14:paraId="2085DAD5">
      <w:pPr>
        <w:snapToGrid w:val="0"/>
        <w:spacing w:before="120" w:beforeLines="50" w:after="50"/>
        <w:rPr>
          <w:rFonts w:ascii="宋体" w:hAnsi="宋体"/>
          <w:bCs/>
          <w:color w:val="auto"/>
          <w:sz w:val="24"/>
          <w:szCs w:val="20"/>
          <w:highlight w:val="none"/>
        </w:rPr>
      </w:pPr>
    </w:p>
    <w:p w14:paraId="4B85D47A">
      <w:pPr>
        <w:snapToGrid w:val="0"/>
        <w:spacing w:before="120" w:beforeLines="50" w:after="50"/>
        <w:rPr>
          <w:rFonts w:ascii="宋体" w:hAnsi="宋体"/>
          <w:bCs/>
          <w:color w:val="auto"/>
          <w:sz w:val="24"/>
          <w:szCs w:val="20"/>
          <w:highlight w:val="none"/>
        </w:rPr>
      </w:pPr>
    </w:p>
    <w:p w14:paraId="3626612E">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7C8777A7">
      <w:pPr>
        <w:snapToGrid w:val="0"/>
        <w:spacing w:before="120" w:beforeLines="50" w:after="50"/>
        <w:ind w:firstLine="540" w:firstLineChars="225"/>
        <w:rPr>
          <w:rFonts w:ascii="宋体" w:hAnsi="宋体"/>
          <w:bCs/>
          <w:color w:val="auto"/>
          <w:sz w:val="24"/>
          <w:szCs w:val="20"/>
          <w:highlight w:val="none"/>
        </w:rPr>
      </w:pPr>
    </w:p>
    <w:p w14:paraId="4CD356CF">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4AC1B49B">
      <w:pPr>
        <w:snapToGrid w:val="0"/>
        <w:spacing w:before="120" w:beforeLines="50" w:after="50"/>
        <w:ind w:firstLine="540" w:firstLineChars="225"/>
        <w:rPr>
          <w:rFonts w:ascii="宋体" w:hAnsi="宋体"/>
          <w:bCs/>
          <w:color w:val="auto"/>
          <w:sz w:val="24"/>
          <w:szCs w:val="20"/>
          <w:highlight w:val="none"/>
        </w:rPr>
      </w:pPr>
      <w:r>
        <w:rPr>
          <w:rFonts w:hint="eastAsia" w:ascii="宋体" w:hAnsi="宋体"/>
          <w:bCs/>
          <w:color w:val="auto"/>
          <w:sz w:val="24"/>
          <w:highlight w:val="none"/>
        </w:rPr>
        <w:t xml:space="preserve"> </w:t>
      </w:r>
    </w:p>
    <w:p w14:paraId="0EBDC677">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00BCFDFD">
      <w:pPr>
        <w:pStyle w:val="8"/>
        <w:snapToGrid w:val="0"/>
        <w:spacing w:before="50" w:after="50"/>
        <w:ind w:firstLine="540" w:firstLineChars="225"/>
        <w:rPr>
          <w:rFonts w:ascii="宋体" w:hAnsi="宋体"/>
          <w:bCs/>
          <w:color w:val="auto"/>
          <w:sz w:val="24"/>
          <w:szCs w:val="24"/>
          <w:highlight w:val="none"/>
        </w:rPr>
      </w:pPr>
    </w:p>
    <w:p w14:paraId="66598F05">
      <w:pPr>
        <w:pStyle w:val="8"/>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204DF363">
      <w:pPr>
        <w:pStyle w:val="8"/>
        <w:snapToGrid w:val="0"/>
        <w:spacing w:before="50" w:after="50"/>
        <w:ind w:firstLine="540" w:firstLineChars="225"/>
        <w:rPr>
          <w:rFonts w:ascii="宋体" w:hAnsi="宋体"/>
          <w:bCs/>
          <w:color w:val="auto"/>
          <w:sz w:val="24"/>
          <w:szCs w:val="24"/>
          <w:highlight w:val="none"/>
        </w:rPr>
      </w:pPr>
    </w:p>
    <w:p w14:paraId="1F62FF92">
      <w:pPr>
        <w:pStyle w:val="8"/>
        <w:snapToGrid w:val="0"/>
        <w:spacing w:before="50" w:after="50"/>
        <w:ind w:firstLine="960" w:firstLineChars="400"/>
        <w:rPr>
          <w:rFonts w:ascii="宋体" w:hAnsi="宋体"/>
          <w:bCs/>
          <w:color w:val="auto"/>
          <w:sz w:val="24"/>
          <w:szCs w:val="24"/>
          <w:highlight w:val="none"/>
        </w:rPr>
      </w:pPr>
    </w:p>
    <w:p w14:paraId="514A86CD">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6AF3A5BC">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5644669A">
      <w:pPr>
        <w:snapToGrid w:val="0"/>
        <w:spacing w:before="120" w:beforeLines="50" w:after="50"/>
        <w:rPr>
          <w:rFonts w:ascii="宋体" w:hAnsi="宋体"/>
          <w:color w:val="auto"/>
          <w:sz w:val="24"/>
          <w:szCs w:val="20"/>
          <w:highlight w:val="none"/>
        </w:rPr>
      </w:pPr>
    </w:p>
    <w:p w14:paraId="59338A4F">
      <w:pPr>
        <w:numPr>
          <w:ilvl w:val="2"/>
          <w:numId w:val="8"/>
        </w:numPr>
        <w:snapToGrid w:val="0"/>
        <w:spacing w:before="120" w:beforeLines="50" w:after="50" w:line="360" w:lineRule="auto"/>
        <w:ind w:left="0" w:firstLine="0"/>
        <w:jc w:val="left"/>
        <w:rPr>
          <w:rFonts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2ACD2FBD">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根据招标文件规定及投标人提供的材料自行编写目录。</w:t>
      </w:r>
    </w:p>
    <w:p w14:paraId="5A14A959">
      <w:pPr>
        <w:snapToGrid w:val="0"/>
        <w:spacing w:before="50" w:after="120" w:afterLines="50"/>
        <w:jc w:val="left"/>
        <w:rPr>
          <w:rFonts w:ascii="宋体" w:hAnsi="宋体"/>
          <w:color w:val="auto"/>
          <w:sz w:val="24"/>
          <w:highlight w:val="none"/>
        </w:rPr>
      </w:pPr>
    </w:p>
    <w:p w14:paraId="355C90E4">
      <w:pPr>
        <w:snapToGrid w:val="0"/>
        <w:spacing w:before="50" w:after="120" w:afterLines="50"/>
        <w:jc w:val="left"/>
        <w:rPr>
          <w:rFonts w:ascii="宋体" w:hAnsi="宋体"/>
          <w:color w:val="auto"/>
          <w:sz w:val="24"/>
          <w:highlight w:val="none"/>
        </w:rPr>
      </w:pPr>
    </w:p>
    <w:p w14:paraId="13725C9E">
      <w:pPr>
        <w:rPr>
          <w:rFonts w:ascii="宋体" w:hAnsi="宋体"/>
          <w:b/>
          <w:color w:val="auto"/>
          <w:sz w:val="24"/>
          <w:highlight w:val="none"/>
        </w:rPr>
      </w:pPr>
      <w:r>
        <w:rPr>
          <w:rFonts w:ascii="宋体" w:hAnsi="宋体"/>
          <w:b/>
          <w:color w:val="auto"/>
          <w:sz w:val="24"/>
          <w:highlight w:val="none"/>
        </w:rPr>
        <w:br w:type="page"/>
      </w:r>
    </w:p>
    <w:p w14:paraId="1D0D290A">
      <w:pPr>
        <w:widowControl/>
        <w:shd w:val="clear" w:color="auto" w:fill="FFFFFF"/>
        <w:spacing w:line="360" w:lineRule="auto"/>
        <w:ind w:firstLine="48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投标人参加政府采购活动前3年内在经营活动中没有重大违法记录的声明</w:t>
      </w:r>
    </w:p>
    <w:p w14:paraId="7D5030F3">
      <w:pPr>
        <w:widowControl/>
        <w:shd w:val="clear" w:color="auto" w:fill="FFFFFF"/>
        <w:spacing w:line="360" w:lineRule="auto"/>
        <w:jc w:val="left"/>
        <w:rPr>
          <w:rFonts w:ascii="宋体" w:hAnsi="宋体" w:cs="宋体"/>
          <w:color w:val="auto"/>
          <w:kern w:val="0"/>
          <w:sz w:val="24"/>
          <w:highlight w:val="none"/>
        </w:rPr>
      </w:pPr>
    </w:p>
    <w:p w14:paraId="3DE44C66">
      <w:pPr>
        <w:widowControl/>
        <w:shd w:val="clear" w:color="auto" w:fill="FFFFFF"/>
        <w:spacing w:line="360" w:lineRule="auto"/>
        <w:jc w:val="left"/>
        <w:rPr>
          <w:rFonts w:ascii="宋体" w:hAnsi="宋体" w:cs="宋体"/>
          <w:color w:val="auto"/>
          <w:kern w:val="0"/>
          <w:sz w:val="24"/>
          <w:highlight w:val="none"/>
        </w:rPr>
      </w:pPr>
    </w:p>
    <w:p w14:paraId="727436D5">
      <w:pPr>
        <w:widowControl/>
        <w:shd w:val="clear" w:color="auto" w:fill="FFFFFF"/>
        <w:spacing w:line="360" w:lineRule="auto"/>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致：</w:t>
      </w:r>
      <w:r>
        <w:rPr>
          <w:rFonts w:hint="eastAsia" w:ascii="宋体" w:hAnsi="宋体" w:cs="宋体"/>
          <w:color w:val="auto"/>
          <w:kern w:val="0"/>
          <w:sz w:val="24"/>
          <w:highlight w:val="none"/>
          <w:lang w:eastAsia="zh-CN"/>
        </w:rPr>
        <w:t>广西建设工程机电设备招标中心有限公司</w:t>
      </w:r>
    </w:p>
    <w:p w14:paraId="79DF26FF">
      <w:pPr>
        <w:widowControl/>
        <w:shd w:val="clear" w:color="auto" w:fill="FFFFFF"/>
        <w:spacing w:line="360" w:lineRule="auto"/>
        <w:ind w:firstLine="48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 xml:space="preserve">    本公司郑重声明，在参加投标人参加政府采购活动前3年内在经营活动中没有重大违法记录（重大违法记录指因违法经营收到刑事处罚或者责令停产停业、吊销许可证或者执照、较大数额罚</w:t>
      </w:r>
      <w:r>
        <w:rPr>
          <w:rFonts w:hint="eastAsia" w:ascii="宋体" w:hAnsi="宋体" w:cs="宋体"/>
          <w:color w:val="auto"/>
          <w:sz w:val="24"/>
          <w:highlight w:val="none"/>
        </w:rPr>
        <w:t>款等行政处</w:t>
      </w:r>
      <w:r>
        <w:rPr>
          <w:rFonts w:hint="eastAsia" w:ascii="宋体" w:hAnsi="宋体" w:cs="宋体"/>
          <w:color w:val="auto"/>
          <w:kern w:val="0"/>
          <w:sz w:val="24"/>
          <w:highlight w:val="none"/>
        </w:rPr>
        <w:t>罚）</w:t>
      </w:r>
      <w:r>
        <w:rPr>
          <w:rFonts w:hint="eastAsia" w:ascii="宋体" w:hAnsi="宋体" w:cs="宋体"/>
          <w:color w:val="auto"/>
          <w:kern w:val="0"/>
          <w:sz w:val="24"/>
          <w:highlight w:val="none"/>
          <w:lang w:eastAsia="zh-CN"/>
        </w:rPr>
        <w:t>。</w:t>
      </w:r>
    </w:p>
    <w:p w14:paraId="3B493C5C">
      <w:pPr>
        <w:widowControl/>
        <w:shd w:val="clear" w:color="auto" w:fill="FFFFFF"/>
        <w:spacing w:line="360" w:lineRule="auto"/>
        <w:ind w:firstLine="480"/>
        <w:jc w:val="left"/>
        <w:rPr>
          <w:rFonts w:ascii="宋体" w:hAnsi="宋体" w:cs="宋体"/>
          <w:color w:val="auto"/>
          <w:kern w:val="0"/>
          <w:sz w:val="24"/>
          <w:highlight w:val="none"/>
        </w:rPr>
      </w:pPr>
    </w:p>
    <w:p w14:paraId="53BA2FFE">
      <w:pPr>
        <w:widowControl/>
        <w:shd w:val="clear" w:color="auto" w:fill="FFFFFF"/>
        <w:spacing w:line="360" w:lineRule="auto"/>
        <w:ind w:firstLine="480"/>
        <w:jc w:val="left"/>
        <w:rPr>
          <w:rFonts w:ascii="宋体" w:hAnsi="宋体" w:cs="宋体"/>
          <w:color w:val="auto"/>
          <w:kern w:val="0"/>
          <w:sz w:val="24"/>
          <w:highlight w:val="none"/>
        </w:rPr>
      </w:pPr>
    </w:p>
    <w:p w14:paraId="7AB0D3A7">
      <w:pPr>
        <w:widowControl/>
        <w:shd w:val="clear" w:color="auto" w:fill="FFFFFF"/>
        <w:spacing w:line="360" w:lineRule="auto"/>
        <w:ind w:firstLine="480"/>
        <w:jc w:val="left"/>
        <w:rPr>
          <w:rFonts w:ascii="宋体" w:hAnsi="宋体" w:cs="宋体"/>
          <w:color w:val="auto"/>
          <w:kern w:val="0"/>
          <w:sz w:val="24"/>
          <w:highlight w:val="none"/>
        </w:rPr>
      </w:pPr>
    </w:p>
    <w:p w14:paraId="63E92406">
      <w:pPr>
        <w:snapToGrid w:val="0"/>
        <w:ind w:left="149" w:hanging="148" w:hangingChars="62"/>
        <w:rPr>
          <w:rFonts w:ascii="宋体" w:hAnsi="宋体" w:cs="宋体"/>
          <w:color w:val="auto"/>
          <w:sz w:val="24"/>
          <w:highlight w:val="none"/>
        </w:rPr>
      </w:pPr>
      <w:r>
        <w:rPr>
          <w:rFonts w:hint="eastAsia" w:ascii="宋体" w:hAnsi="宋体" w:cs="宋体"/>
          <w:color w:val="auto"/>
          <w:sz w:val="24"/>
          <w:highlight w:val="none"/>
        </w:rPr>
        <w:t>投标人（</w:t>
      </w:r>
      <w:r>
        <w:rPr>
          <w:rFonts w:hint="eastAsia" w:asciiTheme="minorEastAsia" w:hAnsiTheme="minorEastAsia" w:eastAsiaTheme="minorEastAsia"/>
          <w:color w:val="auto"/>
          <w:sz w:val="24"/>
          <w:highlight w:val="none"/>
          <w:lang w:val="zh-CN"/>
        </w:rPr>
        <w:t>电子签章</w:t>
      </w:r>
      <w:r>
        <w:rPr>
          <w:rFonts w:hint="eastAsia" w:ascii="宋体" w:hAnsi="宋体" w:cs="宋体"/>
          <w:color w:val="auto"/>
          <w:sz w:val="24"/>
          <w:highlight w:val="none"/>
        </w:rPr>
        <w:t>，自然人除外）：</w:t>
      </w:r>
    </w:p>
    <w:p w14:paraId="0500465B">
      <w:pPr>
        <w:snapToGrid w:val="0"/>
        <w:ind w:firstLine="1920" w:firstLineChars="800"/>
        <w:rPr>
          <w:rFonts w:ascii="宋体" w:hAnsi="宋体" w:cs="宋体"/>
          <w:color w:val="auto"/>
          <w:sz w:val="24"/>
          <w:highlight w:val="none"/>
        </w:rPr>
      </w:pPr>
    </w:p>
    <w:p w14:paraId="02B65507">
      <w:pPr>
        <w:snapToGrid w:val="0"/>
        <w:ind w:left="149" w:hanging="148" w:hangingChars="62"/>
        <w:rPr>
          <w:rFonts w:ascii="宋体" w:hAnsi="宋体" w:cs="宋体"/>
          <w:color w:val="auto"/>
          <w:sz w:val="24"/>
          <w:highlight w:val="none"/>
        </w:rPr>
      </w:pPr>
      <w:r>
        <w:rPr>
          <w:rFonts w:hint="eastAsia" w:ascii="宋体" w:hAnsi="宋体" w:cs="宋体"/>
          <w:color w:val="auto"/>
          <w:sz w:val="24"/>
          <w:highlight w:val="none"/>
        </w:rPr>
        <w:t>法定代表人（签名或电子签章）</w:t>
      </w:r>
      <w:r>
        <w:rPr>
          <w:rFonts w:hint="eastAsia" w:ascii="宋体" w:hAnsi="宋体" w:cs="宋体"/>
          <w:color w:val="auto"/>
          <w:sz w:val="24"/>
          <w:highlight w:val="none"/>
          <w:lang w:val="zh-CN"/>
        </w:rPr>
        <w:t>：</w:t>
      </w:r>
    </w:p>
    <w:p w14:paraId="527C9C21">
      <w:pPr>
        <w:snapToGrid w:val="0"/>
        <w:rPr>
          <w:rFonts w:asciiTheme="minorEastAsia" w:hAnsiTheme="minorEastAsia" w:eastAsiaTheme="minorEastAsia"/>
          <w:color w:val="auto"/>
          <w:sz w:val="24"/>
          <w:highlight w:val="none"/>
        </w:rPr>
      </w:pPr>
    </w:p>
    <w:p w14:paraId="741DD5CB">
      <w:pPr>
        <w:snapToGrid w:val="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日期:_____年_____月_____日</w:t>
      </w:r>
    </w:p>
    <w:p w14:paraId="56CC21E0">
      <w:pPr>
        <w:snapToGrid w:val="0"/>
        <w:rPr>
          <w:rFonts w:ascii="宋体" w:hAnsi="宋体" w:cs="宋体"/>
          <w:color w:val="auto"/>
          <w:sz w:val="24"/>
          <w:highlight w:val="none"/>
        </w:rPr>
      </w:pPr>
    </w:p>
    <w:p w14:paraId="7E880906">
      <w:pPr>
        <w:spacing w:line="360" w:lineRule="auto"/>
        <w:jc w:val="center"/>
        <w:rPr>
          <w:rFonts w:hint="eastAsia" w:ascii="宋体" w:hAnsi="宋体" w:eastAsia="宋体" w:cs="宋体"/>
          <w:b/>
          <w:color w:val="auto"/>
          <w:kern w:val="0"/>
          <w:sz w:val="36"/>
          <w:szCs w:val="36"/>
          <w:highlight w:val="none"/>
          <w:lang w:eastAsia="zh-CN"/>
        </w:rPr>
      </w:pPr>
      <w:r>
        <w:rPr>
          <w:rFonts w:hint="eastAsia" w:ascii="宋体" w:hAnsi="宋体" w:cs="宋体"/>
          <w:b/>
          <w:color w:val="auto"/>
          <w:sz w:val="24"/>
          <w:highlight w:val="none"/>
        </w:rPr>
        <w:br w:type="page"/>
      </w:r>
      <w:r>
        <w:rPr>
          <w:rFonts w:hint="eastAsia" w:ascii="宋体" w:hAnsi="宋体" w:cs="宋体"/>
          <w:b/>
          <w:color w:val="auto"/>
          <w:kern w:val="0"/>
          <w:sz w:val="36"/>
          <w:szCs w:val="36"/>
          <w:highlight w:val="none"/>
          <w:lang w:eastAsia="zh-CN"/>
        </w:rPr>
        <w:t>玉林市</w:t>
      </w:r>
      <w:r>
        <w:rPr>
          <w:rFonts w:hint="eastAsia" w:ascii="宋体" w:hAnsi="宋体" w:cs="宋体"/>
          <w:b/>
          <w:color w:val="auto"/>
          <w:kern w:val="0"/>
          <w:sz w:val="36"/>
          <w:szCs w:val="36"/>
          <w:highlight w:val="none"/>
        </w:rPr>
        <w:t>政府采购项目投标资格承诺函</w:t>
      </w:r>
    </w:p>
    <w:p w14:paraId="4548F731">
      <w:pPr>
        <w:pStyle w:val="138"/>
        <w:rPr>
          <w:rFonts w:hint="eastAsia"/>
          <w:color w:val="auto"/>
          <w:highlight w:val="none"/>
          <w:lang w:eastAsia="zh-CN"/>
        </w:rPr>
      </w:pPr>
    </w:p>
    <w:p w14:paraId="07575DE6">
      <w:pPr>
        <w:pStyle w:val="138"/>
        <w:rPr>
          <w:rFonts w:hint="eastAsia"/>
          <w:color w:val="auto"/>
          <w:highlight w:val="none"/>
          <w:lang w:eastAsia="zh-CN"/>
        </w:rPr>
      </w:pPr>
    </w:p>
    <w:p w14:paraId="4AE1A5DC">
      <w:pPr>
        <w:spacing w:line="360" w:lineRule="auto"/>
        <w:ind w:firstLine="504" w:firstLineChars="200"/>
        <w:jc w:val="left"/>
        <w:rPr>
          <w:rFonts w:ascii="宋体" w:hAnsi="宋体" w:cs="宋体"/>
          <w:color w:val="auto"/>
          <w:sz w:val="24"/>
          <w:highlight w:val="none"/>
        </w:rPr>
      </w:pPr>
      <w:r>
        <w:rPr>
          <w:rFonts w:hint="eastAsia" w:ascii="宋体" w:hAnsi="宋体" w:eastAsia="宋体" w:cs="Times New Roman"/>
          <w:color w:val="auto"/>
          <w:spacing w:val="6"/>
          <w:sz w:val="24"/>
          <w:highlight w:val="none"/>
        </w:rPr>
        <w:t>本公司郑重承诺，根据《中华人民共和国政府采购法》第二十二条的规定，本公司为参加政府采购活动的合格供应商。即本公司同时满足以下条件：</w:t>
      </w:r>
    </w:p>
    <w:p w14:paraId="29186A16">
      <w:pPr>
        <w:widowControl/>
        <w:shd w:val="clear" w:color="auto" w:fill="FFFFFF"/>
        <w:spacing w:line="360" w:lineRule="auto"/>
        <w:ind w:left="479" w:leftChars="228" w:firstLine="0" w:firstLineChars="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ascii="宋体" w:hAnsi="宋体" w:cs="宋体"/>
          <w:color w:val="auto"/>
          <w:sz w:val="24"/>
          <w:highlight w:val="none"/>
        </w:rPr>
        <w:t>具有独立承担民事责任的能力。</w:t>
      </w:r>
    </w:p>
    <w:p w14:paraId="18CEA081">
      <w:pPr>
        <w:widowControl/>
        <w:shd w:val="clear" w:color="auto" w:fill="FFFFFF"/>
        <w:spacing w:line="360" w:lineRule="auto"/>
        <w:ind w:left="479" w:leftChars="228" w:firstLine="0" w:firstLineChars="0"/>
        <w:jc w:val="left"/>
        <w:rPr>
          <w:rFonts w:hint="eastAsia" w:ascii="宋体" w:hAnsi="宋体" w:eastAsia="宋体" w:cs="宋体"/>
          <w:color w:val="auto"/>
          <w:sz w:val="24"/>
          <w:highlight w:val="none"/>
          <w:lang w:eastAsia="zh-CN"/>
        </w:rPr>
      </w:pPr>
      <w:r>
        <w:rPr>
          <w:rFonts w:ascii="宋体" w:hAnsi="宋体" w:cs="宋体"/>
          <w:color w:val="auto"/>
          <w:sz w:val="24"/>
          <w:highlight w:val="none"/>
        </w:rPr>
        <w:t>2.具有良好的商业信誉和健全的财务会计制度。</w:t>
      </w:r>
    </w:p>
    <w:p w14:paraId="337517A3">
      <w:pPr>
        <w:widowControl/>
        <w:shd w:val="clear" w:color="auto" w:fill="FFFFFF"/>
        <w:spacing w:line="360" w:lineRule="auto"/>
        <w:ind w:left="479" w:leftChars="228" w:firstLine="0" w:firstLineChars="0"/>
        <w:jc w:val="left"/>
        <w:rPr>
          <w:rFonts w:hint="eastAsia" w:ascii="宋体" w:hAnsi="宋体" w:eastAsia="宋体" w:cs="宋体"/>
          <w:color w:val="auto"/>
          <w:sz w:val="24"/>
          <w:highlight w:val="none"/>
          <w:lang w:eastAsia="zh-CN"/>
        </w:rPr>
      </w:pPr>
      <w:r>
        <w:rPr>
          <w:rFonts w:ascii="宋体" w:hAnsi="宋体" w:cs="宋体"/>
          <w:color w:val="auto"/>
          <w:sz w:val="24"/>
          <w:highlight w:val="none"/>
        </w:rPr>
        <w:t>3.具有履行合同所必需的设备和专业技术能力。</w:t>
      </w:r>
    </w:p>
    <w:p w14:paraId="33D602AF">
      <w:pPr>
        <w:widowControl/>
        <w:shd w:val="clear" w:color="auto" w:fill="FFFFFF"/>
        <w:spacing w:line="360" w:lineRule="auto"/>
        <w:ind w:left="479" w:leftChars="228" w:firstLine="0" w:firstLineChars="0"/>
        <w:jc w:val="left"/>
        <w:rPr>
          <w:rFonts w:hint="eastAsia" w:ascii="宋体" w:hAnsi="宋体" w:eastAsia="宋体" w:cs="宋体"/>
          <w:color w:val="auto"/>
          <w:sz w:val="24"/>
          <w:highlight w:val="none"/>
          <w:lang w:eastAsia="zh-CN"/>
        </w:rPr>
      </w:pPr>
      <w:r>
        <w:rPr>
          <w:rFonts w:ascii="宋体" w:hAnsi="宋体" w:cs="宋体"/>
          <w:color w:val="auto"/>
          <w:sz w:val="24"/>
          <w:highlight w:val="none"/>
        </w:rPr>
        <w:t>4.有依法缴纳税收和社会保障资金的良好记录。</w:t>
      </w:r>
    </w:p>
    <w:p w14:paraId="465EBB37">
      <w:pPr>
        <w:widowControl/>
        <w:shd w:val="clear" w:color="auto" w:fill="FFFFFF"/>
        <w:spacing w:line="360" w:lineRule="auto"/>
        <w:ind w:left="479" w:leftChars="228" w:firstLine="0" w:firstLineChars="0"/>
        <w:jc w:val="left"/>
        <w:rPr>
          <w:rFonts w:ascii="宋体" w:hAnsi="宋体" w:cs="宋体"/>
          <w:color w:val="auto"/>
          <w:sz w:val="24"/>
          <w:highlight w:val="none"/>
        </w:rPr>
      </w:pPr>
      <w:r>
        <w:rPr>
          <w:rFonts w:ascii="宋体" w:hAnsi="宋体" w:cs="宋体"/>
          <w:color w:val="auto"/>
          <w:sz w:val="24"/>
          <w:highlight w:val="none"/>
        </w:rPr>
        <w:t>5.提交投标文件截止日期前三年内，在经营活动中没有重大违法记录。</w:t>
      </w:r>
    </w:p>
    <w:p w14:paraId="000BCB55">
      <w:pPr>
        <w:widowControl/>
        <w:shd w:val="clear" w:color="auto" w:fill="FFFFFF"/>
        <w:spacing w:line="360" w:lineRule="auto"/>
        <w:ind w:left="479" w:leftChars="228" w:firstLine="0" w:firstLineChars="0"/>
        <w:jc w:val="left"/>
        <w:rPr>
          <w:rFonts w:hint="eastAsia" w:ascii="宋体" w:hAnsi="宋体" w:eastAsia="宋体" w:cs="宋体"/>
          <w:color w:val="auto"/>
          <w:sz w:val="24"/>
          <w:highlight w:val="none"/>
          <w:lang w:eastAsia="zh-CN"/>
        </w:rPr>
      </w:pPr>
      <w:r>
        <w:rPr>
          <w:rFonts w:ascii="宋体" w:hAnsi="宋体" w:cs="宋体"/>
          <w:color w:val="auto"/>
          <w:sz w:val="24"/>
          <w:highlight w:val="none"/>
        </w:rPr>
        <w:t>本公司对上诉承诺的真实性负责，并接受政府采购、税务、社会保障等管理部门、采购文件规定的资格审查机构、社会公众的监督和检查、如有虚假、将依法承担相应责任。</w:t>
      </w:r>
    </w:p>
    <w:p w14:paraId="062F2AC7">
      <w:pPr>
        <w:pStyle w:val="138"/>
        <w:rPr>
          <w:rFonts w:hint="eastAsia"/>
          <w:color w:val="auto"/>
          <w:highlight w:val="none"/>
          <w:lang w:eastAsia="zh-CN"/>
        </w:rPr>
      </w:pPr>
    </w:p>
    <w:p w14:paraId="444D8C51">
      <w:pPr>
        <w:pStyle w:val="138"/>
        <w:rPr>
          <w:rFonts w:hint="eastAsia"/>
          <w:color w:val="auto"/>
          <w:highlight w:val="none"/>
          <w:lang w:eastAsia="zh-CN"/>
        </w:rPr>
      </w:pPr>
    </w:p>
    <w:p w14:paraId="0710E314">
      <w:pPr>
        <w:widowControl/>
        <w:shd w:val="clear" w:color="auto" w:fill="FFFFFF"/>
        <w:spacing w:line="360" w:lineRule="auto"/>
        <w:ind w:left="479" w:leftChars="228" w:firstLine="0" w:firstLineChars="0"/>
        <w:jc w:val="left"/>
        <w:rPr>
          <w:rFonts w:ascii="宋体" w:hAnsi="宋体" w:cs="宋体"/>
          <w:color w:val="auto"/>
          <w:kern w:val="0"/>
          <w:sz w:val="24"/>
          <w:highlight w:val="none"/>
        </w:rPr>
      </w:pPr>
      <w:r>
        <w:rPr>
          <w:rFonts w:ascii="宋体" w:hAnsi="宋体" w:cs="宋体"/>
          <w:color w:val="auto"/>
          <w:sz w:val="24"/>
          <w:highlight w:val="none"/>
        </w:rPr>
        <w:t>          </w:t>
      </w:r>
    </w:p>
    <w:p w14:paraId="293FE9CD">
      <w:pPr>
        <w:snapToGrid w:val="0"/>
        <w:ind w:left="149" w:hanging="148" w:hangingChars="62"/>
        <w:rPr>
          <w:rFonts w:ascii="宋体" w:hAnsi="宋体" w:cs="宋体"/>
          <w:color w:val="auto"/>
          <w:sz w:val="24"/>
          <w:highlight w:val="none"/>
        </w:rPr>
      </w:pPr>
      <w:r>
        <w:rPr>
          <w:rFonts w:hint="eastAsia" w:ascii="宋体" w:hAnsi="宋体" w:cs="宋体"/>
          <w:color w:val="auto"/>
          <w:sz w:val="24"/>
          <w:highlight w:val="none"/>
        </w:rPr>
        <w:t>投标人（</w:t>
      </w:r>
      <w:r>
        <w:rPr>
          <w:rFonts w:hint="eastAsia" w:asciiTheme="minorEastAsia" w:hAnsiTheme="minorEastAsia" w:eastAsiaTheme="minorEastAsia"/>
          <w:color w:val="auto"/>
          <w:sz w:val="24"/>
          <w:highlight w:val="none"/>
          <w:lang w:val="zh-CN"/>
        </w:rPr>
        <w:t>电子签章</w:t>
      </w:r>
      <w:r>
        <w:rPr>
          <w:rFonts w:hint="eastAsia" w:ascii="宋体" w:hAnsi="宋体" w:cs="宋体"/>
          <w:color w:val="auto"/>
          <w:sz w:val="24"/>
          <w:highlight w:val="none"/>
        </w:rPr>
        <w:t>，自然人除外）：</w:t>
      </w:r>
    </w:p>
    <w:p w14:paraId="0F124049">
      <w:pPr>
        <w:snapToGrid w:val="0"/>
        <w:ind w:firstLine="1920" w:firstLineChars="800"/>
        <w:rPr>
          <w:rFonts w:ascii="宋体" w:hAnsi="宋体" w:cs="宋体"/>
          <w:color w:val="auto"/>
          <w:sz w:val="24"/>
          <w:highlight w:val="none"/>
        </w:rPr>
      </w:pPr>
    </w:p>
    <w:p w14:paraId="57F85C19">
      <w:pPr>
        <w:snapToGrid w:val="0"/>
        <w:ind w:left="149" w:hanging="148" w:hangingChars="62"/>
        <w:rPr>
          <w:rFonts w:ascii="宋体" w:hAnsi="宋体" w:cs="宋体"/>
          <w:color w:val="auto"/>
          <w:sz w:val="24"/>
          <w:highlight w:val="none"/>
        </w:rPr>
      </w:pPr>
      <w:r>
        <w:rPr>
          <w:rFonts w:hint="eastAsia" w:ascii="宋体" w:hAnsi="宋体" w:cs="宋体"/>
          <w:color w:val="auto"/>
          <w:sz w:val="24"/>
          <w:highlight w:val="none"/>
        </w:rPr>
        <w:t>法定代表人（签名或电子签章）</w:t>
      </w:r>
      <w:r>
        <w:rPr>
          <w:rFonts w:hint="eastAsia" w:ascii="宋体" w:hAnsi="宋体" w:cs="宋体"/>
          <w:color w:val="auto"/>
          <w:sz w:val="24"/>
          <w:highlight w:val="none"/>
          <w:lang w:val="zh-CN"/>
        </w:rPr>
        <w:t>：</w:t>
      </w:r>
    </w:p>
    <w:p w14:paraId="5CB1619B">
      <w:pPr>
        <w:snapToGrid w:val="0"/>
        <w:rPr>
          <w:rFonts w:asciiTheme="minorEastAsia" w:hAnsiTheme="minorEastAsia" w:eastAsiaTheme="minorEastAsia"/>
          <w:color w:val="auto"/>
          <w:sz w:val="24"/>
          <w:highlight w:val="none"/>
        </w:rPr>
      </w:pPr>
    </w:p>
    <w:p w14:paraId="4699E4D5">
      <w:pPr>
        <w:snapToGrid w:val="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日期:_____年_____月_____日</w:t>
      </w:r>
    </w:p>
    <w:p w14:paraId="788C4250">
      <w:pPr>
        <w:numPr>
          <w:ilvl w:val="0"/>
          <w:numId w:val="0"/>
        </w:numPr>
        <w:snapToGrid w:val="0"/>
        <w:spacing w:before="120" w:beforeLines="50" w:after="50"/>
        <w:ind w:leftChars="0"/>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14:paraId="4DACE8C3">
      <w:pPr>
        <w:snapToGrid w:val="0"/>
        <w:spacing w:before="50" w:after="120" w:afterLines="50"/>
        <w:jc w:val="center"/>
        <w:rPr>
          <w:rFonts w:ascii="宋体" w:hAnsi="宋体"/>
          <w:b/>
          <w:color w:val="auto"/>
          <w:sz w:val="28"/>
          <w:szCs w:val="28"/>
          <w:highlight w:val="none"/>
        </w:rPr>
      </w:pPr>
    </w:p>
    <w:p w14:paraId="32B06DA8">
      <w:pPr>
        <w:snapToGrid w:val="0"/>
        <w:spacing w:before="50" w:after="120" w:afterLines="50"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3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9F26162">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BB863BE">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10B448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B29514E">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6B3198A">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3A275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EA25241">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40BD1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631012">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8165AA">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AE24F8">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73D471">
            <w:pPr>
              <w:spacing w:line="360" w:lineRule="auto"/>
              <w:jc w:val="center"/>
              <w:rPr>
                <w:rFonts w:ascii="宋体" w:hAnsi="宋体" w:cs="宋体"/>
                <w:color w:val="auto"/>
                <w:kern w:val="0"/>
                <w:sz w:val="24"/>
                <w:highlight w:val="none"/>
              </w:rPr>
            </w:pPr>
          </w:p>
        </w:tc>
      </w:tr>
      <w:tr w14:paraId="6F899B9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27CA10">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9228F1">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4ACB6E">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BF4F84">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7347BD">
            <w:pPr>
              <w:spacing w:line="360" w:lineRule="auto"/>
              <w:jc w:val="center"/>
              <w:rPr>
                <w:rFonts w:ascii="宋体" w:hAnsi="宋体" w:cs="宋体"/>
                <w:color w:val="auto"/>
                <w:kern w:val="0"/>
                <w:sz w:val="24"/>
                <w:highlight w:val="none"/>
              </w:rPr>
            </w:pPr>
          </w:p>
        </w:tc>
      </w:tr>
      <w:tr w14:paraId="6532159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29B02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61D479">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B00EF3">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E0D119">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C5F628">
            <w:pPr>
              <w:spacing w:line="360" w:lineRule="auto"/>
              <w:jc w:val="center"/>
              <w:rPr>
                <w:rFonts w:ascii="宋体" w:hAnsi="宋体" w:cs="宋体"/>
                <w:color w:val="auto"/>
                <w:kern w:val="0"/>
                <w:sz w:val="24"/>
                <w:highlight w:val="none"/>
              </w:rPr>
            </w:pPr>
          </w:p>
        </w:tc>
      </w:tr>
      <w:tr w14:paraId="7CFD5D49">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248FD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BD9DFE">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81756A">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CCB0CD">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8547DC">
            <w:pPr>
              <w:spacing w:line="360" w:lineRule="auto"/>
              <w:jc w:val="center"/>
              <w:rPr>
                <w:rFonts w:ascii="宋体" w:hAnsi="宋体" w:cs="宋体"/>
                <w:color w:val="auto"/>
                <w:kern w:val="0"/>
                <w:sz w:val="24"/>
                <w:highlight w:val="none"/>
              </w:rPr>
            </w:pPr>
          </w:p>
        </w:tc>
      </w:tr>
    </w:tbl>
    <w:p w14:paraId="5CC87C0A">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47E9471A">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F67808A">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63F8E67C">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3.供应商不存在直接控股股东的，则填“无”。</w:t>
      </w:r>
    </w:p>
    <w:p w14:paraId="5AA99952">
      <w:pPr>
        <w:snapToGrid w:val="0"/>
        <w:spacing w:line="360" w:lineRule="auto"/>
        <w:jc w:val="left"/>
        <w:rPr>
          <w:rFonts w:ascii="宋体" w:hAnsi="宋体"/>
          <w:color w:val="auto"/>
          <w:sz w:val="24"/>
          <w:highlight w:val="none"/>
        </w:rPr>
      </w:pPr>
    </w:p>
    <w:p w14:paraId="2DBE1BAA">
      <w:pPr>
        <w:snapToGrid w:val="0"/>
        <w:spacing w:line="360" w:lineRule="auto"/>
        <w:jc w:val="left"/>
        <w:rPr>
          <w:rFonts w:ascii="宋体" w:hAnsi="宋体"/>
          <w:color w:val="auto"/>
          <w:sz w:val="24"/>
          <w:highlight w:val="none"/>
        </w:rPr>
      </w:pPr>
    </w:p>
    <w:p w14:paraId="20647AC3">
      <w:pPr>
        <w:snapToGrid w:val="0"/>
        <w:spacing w:line="360" w:lineRule="auto"/>
        <w:jc w:val="left"/>
        <w:rPr>
          <w:rFonts w:ascii="宋体" w:hAnsi="宋体"/>
          <w:color w:val="auto"/>
          <w:sz w:val="24"/>
          <w:highlight w:val="none"/>
        </w:rPr>
      </w:pPr>
    </w:p>
    <w:p w14:paraId="2A7CF7C1">
      <w:pPr>
        <w:snapToGrid w:val="0"/>
        <w:spacing w:line="360" w:lineRule="auto"/>
        <w:jc w:val="left"/>
        <w:rPr>
          <w:rFonts w:ascii="宋体" w:hAnsi="宋体"/>
          <w:color w:val="auto"/>
          <w:sz w:val="24"/>
          <w:highlight w:val="none"/>
        </w:rPr>
      </w:pPr>
    </w:p>
    <w:p w14:paraId="71093F37">
      <w:pPr>
        <w:snapToGrid w:val="0"/>
        <w:spacing w:line="360" w:lineRule="auto"/>
        <w:jc w:val="left"/>
        <w:rPr>
          <w:rFonts w:ascii="宋体" w:hAnsi="宋体"/>
          <w:color w:val="auto"/>
          <w:sz w:val="24"/>
          <w:highlight w:val="none"/>
        </w:rPr>
      </w:pPr>
    </w:p>
    <w:p w14:paraId="01054D07">
      <w:pPr>
        <w:snapToGrid w:val="0"/>
        <w:spacing w:before="120" w:beforeLines="50" w:line="360" w:lineRule="auto"/>
        <w:ind w:right="480" w:firstLine="3967" w:firstLineChars="1653"/>
        <w:rPr>
          <w:rFonts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0A360914">
      <w:pPr>
        <w:snapToGrid w:val="0"/>
        <w:spacing w:before="120" w:beforeLines="50" w:after="50" w:line="360" w:lineRule="auto"/>
        <w:ind w:right="480" w:firstLine="5520" w:firstLineChars="2300"/>
        <w:rPr>
          <w:rFonts w:ascii="宋体" w:hAnsi="宋体"/>
          <w:color w:val="auto"/>
          <w:sz w:val="24"/>
          <w:highlight w:val="none"/>
          <w:u w:val="singl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7A703116">
      <w:pPr>
        <w:snapToGrid w:val="0"/>
        <w:spacing w:before="120" w:beforeLines="50" w:after="50" w:line="360" w:lineRule="auto"/>
        <w:ind w:right="480" w:firstLine="5520" w:firstLineChars="2300"/>
        <w:rPr>
          <w:rFonts w:ascii="宋体" w:hAnsi="宋体"/>
          <w:color w:val="auto"/>
          <w:sz w:val="32"/>
          <w:szCs w:val="32"/>
          <w:highlight w:val="none"/>
        </w:rPr>
      </w:pPr>
      <w:r>
        <w:rPr>
          <w:rFonts w:hint="eastAsia" w:ascii="宋体" w:hAnsi="宋体"/>
          <w:color w:val="auto"/>
          <w:sz w:val="24"/>
          <w:highlight w:val="none"/>
        </w:rPr>
        <w:t>年    月    日</w:t>
      </w:r>
      <w:r>
        <w:rPr>
          <w:rFonts w:ascii="宋体" w:hAnsi="宋体"/>
          <w:b/>
          <w:color w:val="auto"/>
          <w:sz w:val="32"/>
          <w:szCs w:val="32"/>
          <w:highlight w:val="none"/>
        </w:rPr>
        <w:br w:type="page"/>
      </w:r>
      <w:r>
        <w:rPr>
          <w:rFonts w:hint="eastAsia" w:ascii="宋体" w:hAnsi="宋体"/>
          <w:b/>
          <w:color w:val="auto"/>
          <w:sz w:val="32"/>
          <w:szCs w:val="32"/>
          <w:highlight w:val="none"/>
        </w:rPr>
        <w:t>投标人直接管理关系信息表</w:t>
      </w:r>
    </w:p>
    <w:tbl>
      <w:tblPr>
        <w:tblStyle w:val="36"/>
        <w:tblW w:w="0" w:type="auto"/>
        <w:tblInd w:w="0" w:type="dxa"/>
        <w:tblLayout w:type="fixed"/>
        <w:tblCellMar>
          <w:top w:w="0" w:type="dxa"/>
          <w:left w:w="0" w:type="dxa"/>
          <w:bottom w:w="0" w:type="dxa"/>
          <w:right w:w="0" w:type="dxa"/>
        </w:tblCellMar>
      </w:tblPr>
      <w:tblGrid>
        <w:gridCol w:w="1005"/>
        <w:gridCol w:w="2659"/>
        <w:gridCol w:w="3924"/>
        <w:gridCol w:w="2064"/>
      </w:tblGrid>
      <w:tr w14:paraId="1479549C">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240567C">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BDB4406">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E707840">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3217B3C">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7779C0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78D270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EA68FFB">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CB65BCF">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5295CFF">
            <w:pPr>
              <w:spacing w:line="360" w:lineRule="auto"/>
              <w:jc w:val="center"/>
              <w:rPr>
                <w:rFonts w:ascii="宋体" w:hAnsi="宋体" w:cs="宋体"/>
                <w:color w:val="auto"/>
                <w:kern w:val="0"/>
                <w:sz w:val="24"/>
                <w:highlight w:val="none"/>
              </w:rPr>
            </w:pPr>
          </w:p>
        </w:tc>
      </w:tr>
      <w:tr w14:paraId="6E0C1EF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24E1A0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2B5FDE2">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38CACD4">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B866869">
            <w:pPr>
              <w:spacing w:line="360" w:lineRule="auto"/>
              <w:jc w:val="center"/>
              <w:rPr>
                <w:rFonts w:ascii="宋体" w:hAnsi="宋体" w:cs="宋体"/>
                <w:color w:val="auto"/>
                <w:kern w:val="0"/>
                <w:sz w:val="24"/>
                <w:highlight w:val="none"/>
              </w:rPr>
            </w:pPr>
          </w:p>
        </w:tc>
      </w:tr>
      <w:tr w14:paraId="0E243122">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90B099A">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A2C8DA0">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F0C4C11">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3B6F6C6">
            <w:pPr>
              <w:spacing w:line="360" w:lineRule="auto"/>
              <w:jc w:val="center"/>
              <w:rPr>
                <w:rFonts w:ascii="宋体" w:hAnsi="宋体" w:cs="宋体"/>
                <w:color w:val="auto"/>
                <w:kern w:val="0"/>
                <w:sz w:val="24"/>
                <w:highlight w:val="none"/>
              </w:rPr>
            </w:pPr>
          </w:p>
        </w:tc>
      </w:tr>
      <w:tr w14:paraId="1EFB246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055E25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E257542">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56EBB58">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8460CF4">
            <w:pPr>
              <w:spacing w:line="360" w:lineRule="auto"/>
              <w:jc w:val="center"/>
              <w:rPr>
                <w:rFonts w:ascii="宋体" w:hAnsi="宋体" w:cs="宋体"/>
                <w:color w:val="auto"/>
                <w:kern w:val="0"/>
                <w:sz w:val="24"/>
                <w:highlight w:val="none"/>
              </w:rPr>
            </w:pPr>
          </w:p>
        </w:tc>
      </w:tr>
    </w:tbl>
    <w:p w14:paraId="08C3E240">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736C0037">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3F2A717C">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558937DC">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3.供应商不存在直接管理关系的，则填“无”。</w:t>
      </w:r>
    </w:p>
    <w:p w14:paraId="04CF09C1">
      <w:pPr>
        <w:snapToGrid w:val="0"/>
        <w:spacing w:line="360" w:lineRule="auto"/>
        <w:jc w:val="left"/>
        <w:rPr>
          <w:rFonts w:ascii="宋体" w:hAnsi="宋体"/>
          <w:color w:val="auto"/>
          <w:sz w:val="24"/>
          <w:highlight w:val="none"/>
        </w:rPr>
      </w:pPr>
    </w:p>
    <w:p w14:paraId="15C1C4E0">
      <w:pPr>
        <w:snapToGrid w:val="0"/>
        <w:spacing w:line="360" w:lineRule="auto"/>
        <w:jc w:val="left"/>
        <w:rPr>
          <w:rFonts w:ascii="宋体" w:hAnsi="宋体"/>
          <w:color w:val="auto"/>
          <w:sz w:val="24"/>
          <w:highlight w:val="none"/>
        </w:rPr>
      </w:pPr>
    </w:p>
    <w:p w14:paraId="0B4E56C1">
      <w:pPr>
        <w:snapToGrid w:val="0"/>
        <w:spacing w:line="360" w:lineRule="auto"/>
        <w:jc w:val="left"/>
        <w:rPr>
          <w:rFonts w:ascii="宋体" w:hAnsi="宋体"/>
          <w:color w:val="auto"/>
          <w:sz w:val="24"/>
          <w:highlight w:val="none"/>
        </w:rPr>
      </w:pPr>
    </w:p>
    <w:p w14:paraId="5F94E210">
      <w:pPr>
        <w:snapToGrid w:val="0"/>
        <w:spacing w:line="360" w:lineRule="auto"/>
        <w:jc w:val="left"/>
        <w:rPr>
          <w:color w:val="auto"/>
          <w:sz w:val="24"/>
          <w:highlight w:val="none"/>
        </w:rPr>
      </w:pPr>
    </w:p>
    <w:p w14:paraId="29F442FB">
      <w:pPr>
        <w:snapToGrid w:val="0"/>
        <w:spacing w:line="360" w:lineRule="auto"/>
        <w:jc w:val="left"/>
        <w:rPr>
          <w:color w:val="auto"/>
          <w:sz w:val="24"/>
          <w:highlight w:val="none"/>
        </w:rPr>
      </w:pPr>
    </w:p>
    <w:p w14:paraId="668C2B87">
      <w:pPr>
        <w:snapToGrid w:val="0"/>
        <w:spacing w:line="360" w:lineRule="auto"/>
        <w:jc w:val="left"/>
        <w:rPr>
          <w:color w:val="auto"/>
          <w:sz w:val="24"/>
          <w:highlight w:val="none"/>
        </w:rPr>
      </w:pPr>
    </w:p>
    <w:p w14:paraId="6E39BA2E">
      <w:pPr>
        <w:snapToGrid w:val="0"/>
        <w:spacing w:line="360" w:lineRule="auto"/>
        <w:jc w:val="left"/>
        <w:rPr>
          <w:rFonts w:ascii="宋体" w:hAnsi="宋体"/>
          <w:color w:val="auto"/>
          <w:sz w:val="24"/>
          <w:highlight w:val="none"/>
        </w:rPr>
      </w:pPr>
    </w:p>
    <w:p w14:paraId="7A801DD5">
      <w:pPr>
        <w:snapToGrid w:val="0"/>
        <w:spacing w:before="120" w:beforeLines="50" w:line="360" w:lineRule="auto"/>
        <w:ind w:right="480" w:firstLine="3967" w:firstLineChars="1653"/>
        <w:rPr>
          <w:rFonts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298576C8">
      <w:pPr>
        <w:snapToGrid w:val="0"/>
        <w:spacing w:before="120" w:beforeLines="50" w:after="50" w:line="360" w:lineRule="auto"/>
        <w:ind w:right="480" w:firstLine="5520" w:firstLineChars="2300"/>
        <w:rPr>
          <w:rFonts w:ascii="宋体" w:hAnsi="宋体"/>
          <w:color w:val="auto"/>
          <w:sz w:val="24"/>
          <w:highlight w:val="non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0EC5A13F">
      <w:pPr>
        <w:snapToGrid w:val="0"/>
        <w:spacing w:before="120" w:beforeLines="50" w:after="50" w:line="360" w:lineRule="auto"/>
        <w:ind w:right="480" w:firstLine="240" w:firstLineChars="100"/>
        <w:jc w:val="right"/>
        <w:rPr>
          <w:rFonts w:ascii="宋体" w:hAnsi="宋体"/>
          <w:color w:val="auto"/>
          <w:sz w:val="24"/>
          <w:highlight w:val="none"/>
        </w:rPr>
      </w:pPr>
      <w:r>
        <w:rPr>
          <w:rFonts w:hint="eastAsia" w:ascii="宋体" w:hAnsi="宋体"/>
          <w:color w:val="auto"/>
          <w:sz w:val="24"/>
          <w:highlight w:val="none"/>
        </w:rPr>
        <w:t xml:space="preserve"> 年    月    日</w:t>
      </w:r>
    </w:p>
    <w:p w14:paraId="26DBE0C3">
      <w:pPr>
        <w:snapToGrid w:val="0"/>
        <w:spacing w:before="50" w:after="120" w:afterLines="50"/>
        <w:jc w:val="left"/>
        <w:rPr>
          <w:rFonts w:ascii="宋体" w:hAnsi="宋体"/>
          <w:color w:val="auto"/>
          <w:szCs w:val="21"/>
          <w:highlight w:val="none"/>
        </w:rPr>
      </w:pPr>
    </w:p>
    <w:p w14:paraId="2A5FC49C">
      <w:pPr>
        <w:snapToGrid w:val="0"/>
        <w:spacing w:before="120" w:beforeLines="50" w:after="50"/>
        <w:jc w:val="left"/>
        <w:rPr>
          <w:rFonts w:ascii="宋体" w:hAnsi="宋体"/>
          <w:b/>
          <w:color w:val="auto"/>
          <w:sz w:val="24"/>
          <w:szCs w:val="20"/>
          <w:highlight w:val="none"/>
        </w:rPr>
      </w:pPr>
    </w:p>
    <w:p w14:paraId="2D9F3340">
      <w:pPr>
        <w:numPr>
          <w:ilvl w:val="2"/>
          <w:numId w:val="8"/>
        </w:numPr>
        <w:snapToGrid w:val="0"/>
        <w:spacing w:before="120" w:beforeLines="50" w:after="50"/>
        <w:ind w:left="0" w:firstLine="0"/>
        <w:jc w:val="left"/>
        <w:rPr>
          <w:rFonts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投标声明格式</w:t>
      </w:r>
    </w:p>
    <w:p w14:paraId="01CEAE81">
      <w:pPr>
        <w:snapToGrid w:val="0"/>
        <w:spacing w:before="50" w:after="120" w:afterLines="50"/>
        <w:jc w:val="left"/>
        <w:rPr>
          <w:rFonts w:ascii="宋体" w:hAnsi="宋体"/>
          <w:color w:val="auto"/>
          <w:highlight w:val="none"/>
        </w:rPr>
      </w:pPr>
    </w:p>
    <w:p w14:paraId="0EEFE0BA">
      <w:pPr>
        <w:snapToGrid w:val="0"/>
        <w:spacing w:before="50" w:after="120" w:afterLines="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投标声明</w:t>
      </w:r>
    </w:p>
    <w:p w14:paraId="2EE2733D">
      <w:pPr>
        <w:snapToGrid w:val="0"/>
        <w:spacing w:before="50" w:after="120" w:afterLines="50"/>
        <w:jc w:val="center"/>
        <w:rPr>
          <w:rFonts w:ascii="方正小标宋简体" w:hAnsi="方正小标宋简体" w:eastAsia="方正小标宋简体" w:cs="方正小标宋简体"/>
          <w:bCs/>
          <w:color w:val="auto"/>
          <w:sz w:val="44"/>
          <w:szCs w:val="44"/>
          <w:highlight w:val="none"/>
        </w:rPr>
      </w:pPr>
    </w:p>
    <w:p w14:paraId="11CE941D">
      <w:pPr>
        <w:spacing w:line="400" w:lineRule="exact"/>
        <w:contextualSpacing/>
        <w:jc w:val="left"/>
        <w:rPr>
          <w:color w:val="auto"/>
          <w:sz w:val="24"/>
          <w:highlight w:val="none"/>
        </w:rPr>
      </w:pPr>
      <w:r>
        <w:rPr>
          <w:rFonts w:hint="eastAsia"/>
          <w:color w:val="auto"/>
          <w:sz w:val="24"/>
          <w:highlight w:val="none"/>
        </w:rPr>
        <w:t>（采购人名称）：</w:t>
      </w:r>
    </w:p>
    <w:p w14:paraId="0C4AE1BB">
      <w:pPr>
        <w:spacing w:line="400" w:lineRule="exact"/>
        <w:ind w:firstLine="523" w:firstLineChars="218"/>
        <w:contextualSpacing/>
        <w:jc w:val="left"/>
        <w:rPr>
          <w:rFonts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13FEBE31">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563FB3D">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14:paraId="370E132F">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5D67B75B">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063B4AAA">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1B723A66">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4DDBEE89">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440593EC">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6BF422F2">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（六）法律、行政法规规定的其他条件。</w:t>
      </w:r>
    </w:p>
    <w:p w14:paraId="59CEEEB8">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1968AE3C">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5C9A649C">
      <w:pPr>
        <w:spacing w:line="400" w:lineRule="exact"/>
        <w:contextualSpacing/>
        <w:jc w:val="left"/>
        <w:rPr>
          <w:rFonts w:ascii="宋体" w:hAnsi="宋体"/>
          <w:b/>
          <w:color w:val="auto"/>
          <w:sz w:val="24"/>
          <w:highlight w:val="none"/>
        </w:rPr>
      </w:pPr>
      <w:r>
        <w:rPr>
          <w:rFonts w:hint="eastAsia" w:ascii="宋体" w:hAnsi="宋体"/>
          <w:b/>
          <w:color w:val="auto"/>
          <w:sz w:val="24"/>
          <w:highlight w:val="none"/>
        </w:rPr>
        <w:t xml:space="preserve">  </w:t>
      </w:r>
    </w:p>
    <w:p w14:paraId="5FBE84C0">
      <w:pPr>
        <w:pStyle w:val="15"/>
        <w:rPr>
          <w:rFonts w:ascii="宋体" w:hAnsi="宋体"/>
          <w:b/>
          <w:color w:val="auto"/>
          <w:sz w:val="24"/>
          <w:highlight w:val="none"/>
        </w:rPr>
      </w:pPr>
    </w:p>
    <w:p w14:paraId="2B1292EC">
      <w:pPr>
        <w:rPr>
          <w:color w:val="auto"/>
          <w:highlight w:val="none"/>
        </w:rPr>
      </w:pPr>
    </w:p>
    <w:p w14:paraId="059E2C5C">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79CB048A">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投标人（盖公章）：</w:t>
      </w:r>
      <w:r>
        <w:rPr>
          <w:rFonts w:hint="eastAsia" w:ascii="宋体" w:hAnsi="宋体"/>
          <w:color w:val="auto"/>
          <w:sz w:val="24"/>
          <w:highlight w:val="none"/>
          <w:u w:val="single"/>
        </w:rPr>
        <w:t xml:space="preserve">                 </w:t>
      </w:r>
    </w:p>
    <w:p w14:paraId="1A225E65">
      <w:pPr>
        <w:spacing w:line="400" w:lineRule="exact"/>
        <w:contextualSpacing/>
        <w:jc w:val="left"/>
        <w:rPr>
          <w:rFonts w:ascii="宋体" w:hAnsi="宋体"/>
          <w:color w:val="auto"/>
          <w:highlight w:val="none"/>
        </w:rPr>
      </w:pPr>
      <w:r>
        <w:rPr>
          <w:rFonts w:hint="eastAsia" w:ascii="宋体" w:hAnsi="宋体"/>
          <w:color w:val="auto"/>
          <w:sz w:val="24"/>
          <w:highlight w:val="none"/>
        </w:rPr>
        <w:t xml:space="preserve">                                                  年    月    日</w:t>
      </w:r>
    </w:p>
    <w:p w14:paraId="66D52501">
      <w:pPr>
        <w:rPr>
          <w:b/>
          <w:color w:val="auto"/>
          <w:sz w:val="28"/>
          <w:szCs w:val="28"/>
          <w:highlight w:val="none"/>
        </w:rPr>
      </w:pPr>
      <w:bookmarkStart w:id="156" w:name="_Toc19686838"/>
      <w:r>
        <w:rPr>
          <w:b/>
          <w:color w:val="auto"/>
          <w:sz w:val="28"/>
          <w:szCs w:val="28"/>
          <w:highlight w:val="none"/>
        </w:rPr>
        <w:br w:type="page"/>
      </w:r>
    </w:p>
    <w:p w14:paraId="08359137">
      <w:pPr>
        <w:pStyle w:val="19"/>
        <w:spacing w:line="600" w:lineRule="exact"/>
        <w:jc w:val="center"/>
        <w:rPr>
          <w:rFonts w:ascii="Times New Roman" w:hAnsi="Times New Roman"/>
          <w:color w:val="auto"/>
          <w:highlight w:val="none"/>
        </w:rPr>
      </w:pPr>
      <w:r>
        <w:rPr>
          <w:rFonts w:hint="eastAsia" w:ascii="Times New Roman" w:hAnsi="Times New Roman"/>
          <w:b/>
          <w:bCs/>
          <w:color w:val="auto"/>
          <w:sz w:val="30"/>
          <w:szCs w:val="30"/>
          <w:highlight w:val="none"/>
        </w:rPr>
        <w:t>联合体协议书（格式）</w:t>
      </w:r>
    </w:p>
    <w:p w14:paraId="046E65AD">
      <w:pPr>
        <w:autoSpaceDE w:val="0"/>
        <w:autoSpaceDN w:val="0"/>
        <w:adjustRightInd w:val="0"/>
        <w:spacing w:line="360" w:lineRule="auto"/>
        <w:jc w:val="left"/>
        <w:rPr>
          <w:rFonts w:ascii="宋体" w:cs="宋体"/>
          <w:color w:val="auto"/>
          <w:kern w:val="0"/>
          <w:szCs w:val="21"/>
          <w:highlight w:val="none"/>
          <w:u w:val="single"/>
        </w:rPr>
      </w:pPr>
    </w:p>
    <w:p w14:paraId="2949C181">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（所有成员单位名称）自愿组成联合体，共同参加</w:t>
      </w:r>
      <w:r>
        <w:rPr>
          <w:rFonts w:hint="eastAsia" w:ascii="宋体" w:cs="宋体"/>
          <w:color w:val="auto"/>
          <w:kern w:val="0"/>
          <w:szCs w:val="21"/>
          <w:highlight w:val="none"/>
          <w:u w:val="single"/>
        </w:rPr>
        <w:t xml:space="preserve">     </w:t>
      </w:r>
      <w:bookmarkStart w:id="157" w:name="PO_3000001917_PM031_1"/>
      <w:r>
        <w:rPr>
          <w:rFonts w:hint="eastAsia" w:ascii="宋体" w:cs="宋体"/>
          <w:color w:val="auto"/>
          <w:kern w:val="0"/>
          <w:szCs w:val="21"/>
          <w:highlight w:val="none"/>
          <w:u w:val="single"/>
        </w:rPr>
        <w:t>广西建设工程机电设备招标中心有限公司</w:t>
      </w:r>
      <w:bookmarkEnd w:id="157"/>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组织的</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（项目编号：</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）投标。现就联合体投标事宜订立如下协议：</w:t>
      </w:r>
    </w:p>
    <w:p w14:paraId="5B3064B2">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1</w:t>
      </w:r>
      <w:r>
        <w:rPr>
          <w:rFonts w:hint="eastAsia" w:ascii="宋体" w:hAnsi="宋体" w:cs="宋体"/>
          <w:color w:val="auto"/>
          <w:kern w:val="0"/>
          <w:szCs w:val="21"/>
          <w:highlight w:val="none"/>
        </w:rPr>
        <w:t>、</w:t>
      </w:r>
      <w:r>
        <w:rPr>
          <w:color w:val="auto"/>
          <w:highlight w:val="none"/>
        </w:rPr>
        <w:t>________________________</w:t>
      </w:r>
      <w:r>
        <w:rPr>
          <w:rFonts w:hint="eastAsia" w:ascii="宋体" w:hAnsi="宋体" w:cs="宋体"/>
          <w:color w:val="auto"/>
          <w:kern w:val="0"/>
          <w:szCs w:val="21"/>
          <w:highlight w:val="none"/>
        </w:rPr>
        <w:t>（某成员单位名称）为联合体名称牵头人。</w:t>
      </w:r>
    </w:p>
    <w:p w14:paraId="2DA695CA">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2</w:t>
      </w:r>
      <w:r>
        <w:rPr>
          <w:rFonts w:hint="eastAsia" w:ascii="宋体" w:hAnsi="宋体" w:cs="宋体"/>
          <w:color w:val="auto"/>
          <w:kern w:val="0"/>
          <w:szCs w:val="21"/>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1606BE93">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联合体各成员将严格按照招标文件、投标文件和合同的要求全面履行义务，并向招标人承担连带责任。</w:t>
      </w:r>
    </w:p>
    <w:p w14:paraId="2D64315D">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4</w:t>
      </w:r>
      <w:r>
        <w:rPr>
          <w:rFonts w:hint="eastAsia" w:ascii="宋体" w:hAnsi="宋体" w:cs="宋体"/>
          <w:color w:val="auto"/>
          <w:kern w:val="0"/>
          <w:szCs w:val="21"/>
          <w:highlight w:val="none"/>
        </w:rPr>
        <w:t>、联合体各成员单位内部的职责分工如下：</w:t>
      </w:r>
      <w:r>
        <w:rPr>
          <w:color w:val="auto"/>
          <w:szCs w:val="21"/>
          <w:highlight w:val="none"/>
        </w:rPr>
        <w:t>________________________________</w:t>
      </w:r>
      <w:r>
        <w:rPr>
          <w:rFonts w:hint="eastAsia" w:ascii="宋体" w:hAnsi="宋体" w:cs="宋体"/>
          <w:color w:val="auto"/>
          <w:kern w:val="0"/>
          <w:szCs w:val="21"/>
          <w:highlight w:val="none"/>
        </w:rPr>
        <w:t>。</w:t>
      </w:r>
    </w:p>
    <w:p w14:paraId="37C85824">
      <w:pPr>
        <w:pStyle w:val="19"/>
        <w:spacing w:line="360" w:lineRule="auto"/>
        <w:ind w:firstLine="420" w:firstLineChars="200"/>
        <w:rPr>
          <w:rFonts w:ascii="Times New Roman" w:hAnsi="Times New Roman"/>
          <w:color w:val="auto"/>
          <w:szCs w:val="21"/>
          <w:highlight w:val="none"/>
        </w:rPr>
      </w:pPr>
      <w:r>
        <w:rPr>
          <w:rFonts w:hint="eastAsia" w:hAnsi="宋体" w:cs="宋体"/>
          <w:color w:val="auto"/>
          <w:kern w:val="0"/>
          <w:highlight w:val="none"/>
        </w:rPr>
        <w:t>5、本联合体中</w:t>
      </w:r>
      <w:r>
        <w:rPr>
          <w:rFonts w:hint="eastAsia" w:hAnsi="宋体" w:cs="宋体"/>
          <w:color w:val="auto"/>
          <w:kern w:val="0"/>
          <w:highlight w:val="none"/>
          <w:u w:val="single"/>
        </w:rPr>
        <w:t>，</w:t>
      </w:r>
      <w:r>
        <w:rPr>
          <w:rFonts w:hint="eastAsia"/>
          <w:color w:val="auto"/>
          <w:highlight w:val="none"/>
          <w:u w:val="single"/>
        </w:rPr>
        <w:t>________________________</w:t>
      </w:r>
      <w:r>
        <w:rPr>
          <w:rFonts w:hint="eastAsia" w:hAnsi="宋体" w:cs="宋体"/>
          <w:color w:val="auto"/>
          <w:kern w:val="0"/>
          <w:highlight w:val="none"/>
          <w:u w:val="single"/>
        </w:rPr>
        <w:t>（某成员单位名称）为</w:t>
      </w:r>
      <w:r>
        <w:rPr>
          <w:rFonts w:hint="eastAsia"/>
          <w:color w:val="auto"/>
          <w:highlight w:val="none"/>
          <w:u w:val="single"/>
        </w:rPr>
        <w:t>______</w:t>
      </w:r>
      <w:r>
        <w:rPr>
          <w:rFonts w:hint="eastAsia"/>
          <w:color w:val="auto"/>
          <w:highlight w:val="none"/>
        </w:rPr>
        <w:t>（请填写：中型、小型、微型）企业，其协议合同金额占联合体协议合同总金额的______%。【如联合体成员中有小型、微型企业的，请填写此条，否则无需填写；如联合体成员中有多个小型、微型企业的，请逐一列出。】</w:t>
      </w:r>
    </w:p>
    <w:p w14:paraId="0810139B">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6</w:t>
      </w:r>
      <w:r>
        <w:rPr>
          <w:rFonts w:hint="eastAsia" w:ascii="宋体" w:hAnsi="宋体" w:cs="宋体"/>
          <w:color w:val="auto"/>
          <w:kern w:val="0"/>
          <w:szCs w:val="21"/>
          <w:highlight w:val="none"/>
        </w:rPr>
        <w:t>、本协议书自签署之日起生效，合同履行完毕后自动失效。</w:t>
      </w:r>
    </w:p>
    <w:p w14:paraId="5EF4280F">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7</w:t>
      </w:r>
      <w:r>
        <w:rPr>
          <w:rFonts w:hint="eastAsia" w:ascii="宋体" w:hAnsi="宋体" w:cs="宋体"/>
          <w:color w:val="auto"/>
          <w:kern w:val="0"/>
          <w:szCs w:val="21"/>
          <w:highlight w:val="none"/>
        </w:rPr>
        <w:t>、本协议书一式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份，联合体成员和采购代理机构各执一份。</w:t>
      </w:r>
    </w:p>
    <w:p w14:paraId="773D4141">
      <w:pPr>
        <w:autoSpaceDE w:val="0"/>
        <w:autoSpaceDN w:val="0"/>
        <w:adjustRightInd w:val="0"/>
        <w:spacing w:line="360" w:lineRule="auto"/>
        <w:ind w:firstLine="420"/>
        <w:jc w:val="left"/>
        <w:rPr>
          <w:rFonts w:ascii="宋体" w:cs="宋体"/>
          <w:color w:val="auto"/>
          <w:kern w:val="0"/>
          <w:szCs w:val="21"/>
          <w:highlight w:val="none"/>
        </w:rPr>
      </w:pPr>
      <w:r>
        <w:rPr>
          <w:rFonts w:hint="eastAsia" w:ascii="宋体" w:cs="宋体"/>
          <w:color w:val="auto"/>
          <w:kern w:val="0"/>
          <w:szCs w:val="21"/>
          <w:highlight w:val="none"/>
        </w:rPr>
        <w:t>注：本协议书由法定代表人签字的，应附法定代表人身份证明；本协议书由委托代理人签字的，应附法定代表人授权委托书。</w:t>
      </w:r>
    </w:p>
    <w:p w14:paraId="3EA74718">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牵头人名称：</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（公章/电子签章）</w:t>
      </w:r>
    </w:p>
    <w:p w14:paraId="00DE317F">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（手写签名/电子签名）</w:t>
      </w:r>
    </w:p>
    <w:p w14:paraId="38E1DCFA">
      <w:pPr>
        <w:autoSpaceDE w:val="0"/>
        <w:autoSpaceDN w:val="0"/>
        <w:adjustRightInd w:val="0"/>
        <w:spacing w:line="360" w:lineRule="auto"/>
        <w:jc w:val="left"/>
        <w:rPr>
          <w:rFonts w:ascii="宋体" w:cs="宋体"/>
          <w:color w:val="auto"/>
          <w:kern w:val="0"/>
          <w:szCs w:val="21"/>
          <w:highlight w:val="none"/>
        </w:rPr>
      </w:pPr>
    </w:p>
    <w:p w14:paraId="72CF73B4">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成员一名称：</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（公章/电子签章）</w:t>
      </w:r>
    </w:p>
    <w:p w14:paraId="7EB50A27">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（手写签名/电子签名）</w:t>
      </w:r>
    </w:p>
    <w:p w14:paraId="47A57F98">
      <w:pPr>
        <w:autoSpaceDE w:val="0"/>
        <w:autoSpaceDN w:val="0"/>
        <w:adjustRightInd w:val="0"/>
        <w:spacing w:line="360" w:lineRule="auto"/>
        <w:jc w:val="left"/>
        <w:rPr>
          <w:rFonts w:ascii="宋体" w:cs="宋体"/>
          <w:color w:val="auto"/>
          <w:kern w:val="0"/>
          <w:szCs w:val="21"/>
          <w:highlight w:val="none"/>
        </w:rPr>
      </w:pPr>
    </w:p>
    <w:p w14:paraId="25449436">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成员二名称：</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（公章/电子签章）</w:t>
      </w:r>
    </w:p>
    <w:p w14:paraId="2F84B26E">
      <w:pPr>
        <w:pStyle w:val="19"/>
        <w:spacing w:line="600" w:lineRule="exact"/>
        <w:rPr>
          <w:rFonts w:cs="宋体"/>
          <w:color w:val="auto"/>
          <w:kern w:val="0"/>
          <w:szCs w:val="21"/>
          <w:highlight w:val="none"/>
        </w:rPr>
      </w:pPr>
      <w:r>
        <w:rPr>
          <w:rFonts w:hint="eastAsia" w:cs="宋体"/>
          <w:color w:val="auto"/>
          <w:kern w:val="0"/>
          <w:szCs w:val="21"/>
          <w:highlight w:val="none"/>
        </w:rPr>
        <w:t>法定代表人或其委托代理人：</w:t>
      </w:r>
      <w:r>
        <w:rPr>
          <w:rFonts w:hint="eastAsia" w:cs="宋体"/>
          <w:color w:val="auto"/>
          <w:kern w:val="0"/>
          <w:szCs w:val="21"/>
          <w:highlight w:val="none"/>
          <w:u w:val="single"/>
        </w:rPr>
        <w:t xml:space="preserve">                         </w:t>
      </w:r>
      <w:r>
        <w:rPr>
          <w:rFonts w:hint="eastAsia" w:cs="宋体"/>
          <w:color w:val="auto"/>
          <w:kern w:val="0"/>
          <w:szCs w:val="21"/>
          <w:highlight w:val="none"/>
        </w:rPr>
        <w:t>（</w:t>
      </w:r>
      <w:r>
        <w:rPr>
          <w:rFonts w:hint="eastAsia" w:hAnsi="Times New Roman" w:cs="宋体"/>
          <w:color w:val="auto"/>
          <w:kern w:val="0"/>
          <w:szCs w:val="21"/>
          <w:highlight w:val="none"/>
        </w:rPr>
        <w:t>手写签名</w:t>
      </w:r>
      <w:r>
        <w:rPr>
          <w:rFonts w:hint="eastAsia" w:cs="宋体"/>
          <w:color w:val="auto"/>
          <w:kern w:val="0"/>
          <w:szCs w:val="21"/>
          <w:highlight w:val="none"/>
        </w:rPr>
        <w:t>/</w:t>
      </w:r>
      <w:r>
        <w:rPr>
          <w:rFonts w:hint="eastAsia" w:hAnsi="Times New Roman" w:cs="宋体"/>
          <w:color w:val="auto"/>
          <w:kern w:val="0"/>
          <w:szCs w:val="21"/>
          <w:highlight w:val="none"/>
        </w:rPr>
        <w:t>电子签名</w:t>
      </w:r>
      <w:r>
        <w:rPr>
          <w:rFonts w:hint="eastAsia" w:cs="宋体"/>
          <w:color w:val="auto"/>
          <w:kern w:val="0"/>
          <w:szCs w:val="21"/>
          <w:highlight w:val="none"/>
        </w:rPr>
        <w:t>）</w:t>
      </w:r>
    </w:p>
    <w:p w14:paraId="64633EBF">
      <w:pPr>
        <w:rPr>
          <w:b/>
          <w:color w:val="auto"/>
          <w:sz w:val="28"/>
          <w:szCs w:val="28"/>
          <w:highlight w:val="none"/>
        </w:rPr>
      </w:pPr>
      <w:r>
        <w:rPr>
          <w:b/>
          <w:color w:val="auto"/>
          <w:sz w:val="28"/>
          <w:szCs w:val="28"/>
          <w:highlight w:val="none"/>
        </w:rPr>
        <w:br w:type="page"/>
      </w:r>
      <w:r>
        <w:rPr>
          <w:rFonts w:hint="eastAsia"/>
          <w:b/>
          <w:color w:val="auto"/>
          <w:sz w:val="28"/>
          <w:szCs w:val="28"/>
          <w:highlight w:val="none"/>
        </w:rPr>
        <w:t>三、商务文件格式</w:t>
      </w:r>
      <w:bookmarkEnd w:id="156"/>
    </w:p>
    <w:p w14:paraId="0977D3B2">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24"/>
          <w:highlight w:val="none"/>
        </w:rPr>
        <w:t xml:space="preserve">1.商务文件封面格式： </w:t>
      </w:r>
    </w:p>
    <w:p w14:paraId="50F387B4">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43ABEE6F">
      <w:pPr>
        <w:snapToGrid w:val="0"/>
        <w:spacing w:before="120" w:beforeLines="50" w:after="50"/>
        <w:rPr>
          <w:rFonts w:ascii="宋体" w:hAnsi="宋体"/>
          <w:color w:val="auto"/>
          <w:sz w:val="24"/>
          <w:szCs w:val="20"/>
          <w:highlight w:val="none"/>
        </w:rPr>
      </w:pPr>
    </w:p>
    <w:p w14:paraId="529054FC">
      <w:pPr>
        <w:snapToGrid w:val="0"/>
        <w:spacing w:before="120" w:beforeLines="50" w:after="50"/>
        <w:rPr>
          <w:rFonts w:ascii="宋体" w:hAnsi="宋体"/>
          <w:color w:val="auto"/>
          <w:sz w:val="24"/>
          <w:szCs w:val="20"/>
          <w:highlight w:val="none"/>
        </w:rPr>
      </w:pPr>
    </w:p>
    <w:p w14:paraId="686DD6E4">
      <w:pPr>
        <w:snapToGrid w:val="0"/>
        <w:spacing w:before="120" w:beforeLines="50" w:after="50"/>
        <w:rPr>
          <w:rFonts w:ascii="宋体" w:hAnsi="宋体"/>
          <w:color w:val="auto"/>
          <w:sz w:val="24"/>
          <w:szCs w:val="20"/>
          <w:highlight w:val="none"/>
        </w:rPr>
      </w:pPr>
    </w:p>
    <w:p w14:paraId="7EA5C642">
      <w:pPr>
        <w:snapToGrid w:val="0"/>
        <w:spacing w:before="120" w:beforeLines="50" w:after="50"/>
        <w:jc w:val="center"/>
        <w:rPr>
          <w:rFonts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5D2C057D">
      <w:pPr>
        <w:snapToGrid w:val="0"/>
        <w:spacing w:before="120" w:beforeLines="50" w:after="50"/>
        <w:rPr>
          <w:rFonts w:ascii="宋体" w:hAnsi="宋体"/>
          <w:color w:val="auto"/>
          <w:sz w:val="24"/>
          <w:szCs w:val="20"/>
          <w:highlight w:val="none"/>
        </w:rPr>
      </w:pPr>
    </w:p>
    <w:p w14:paraId="07326847">
      <w:pPr>
        <w:snapToGrid w:val="0"/>
        <w:spacing w:before="120" w:beforeLines="50" w:after="50"/>
        <w:rPr>
          <w:rFonts w:ascii="宋体" w:hAnsi="宋体"/>
          <w:color w:val="auto"/>
          <w:sz w:val="24"/>
          <w:szCs w:val="20"/>
          <w:highlight w:val="none"/>
        </w:rPr>
      </w:pPr>
    </w:p>
    <w:p w14:paraId="06F35139">
      <w:pPr>
        <w:snapToGrid w:val="0"/>
        <w:spacing w:before="120" w:beforeLines="50" w:after="50"/>
        <w:jc w:val="center"/>
        <w:rPr>
          <w:rFonts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商  务  文  件</w:t>
      </w:r>
    </w:p>
    <w:p w14:paraId="0314D716">
      <w:pPr>
        <w:snapToGrid w:val="0"/>
        <w:spacing w:before="120" w:beforeLines="50" w:after="50"/>
        <w:rPr>
          <w:rFonts w:ascii="宋体" w:hAnsi="宋体"/>
          <w:bCs/>
          <w:color w:val="auto"/>
          <w:sz w:val="24"/>
          <w:szCs w:val="20"/>
          <w:highlight w:val="none"/>
        </w:rPr>
      </w:pPr>
    </w:p>
    <w:p w14:paraId="4DA58B73">
      <w:pPr>
        <w:snapToGrid w:val="0"/>
        <w:spacing w:before="120" w:beforeLines="50" w:after="50"/>
        <w:ind w:firstLine="540" w:firstLineChars="225"/>
        <w:rPr>
          <w:rFonts w:ascii="宋体" w:hAnsi="宋体"/>
          <w:bCs/>
          <w:color w:val="auto"/>
          <w:sz w:val="24"/>
          <w:highlight w:val="none"/>
        </w:rPr>
      </w:pPr>
    </w:p>
    <w:p w14:paraId="633F744A">
      <w:pPr>
        <w:snapToGrid w:val="0"/>
        <w:spacing w:before="120" w:beforeLines="50" w:after="50"/>
        <w:ind w:firstLine="540" w:firstLineChars="225"/>
        <w:rPr>
          <w:rFonts w:ascii="宋体" w:hAnsi="宋体"/>
          <w:bCs/>
          <w:color w:val="auto"/>
          <w:sz w:val="24"/>
          <w:highlight w:val="none"/>
        </w:rPr>
      </w:pPr>
    </w:p>
    <w:p w14:paraId="06D44676">
      <w:pPr>
        <w:snapToGrid w:val="0"/>
        <w:spacing w:before="120" w:beforeLines="50" w:after="50"/>
        <w:ind w:firstLine="540" w:firstLineChars="225"/>
        <w:rPr>
          <w:rFonts w:ascii="宋体" w:hAnsi="宋体"/>
          <w:bCs/>
          <w:color w:val="auto"/>
          <w:sz w:val="24"/>
          <w:highlight w:val="none"/>
        </w:rPr>
      </w:pPr>
    </w:p>
    <w:p w14:paraId="34C3F6A5">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4FB0B7C0">
      <w:pPr>
        <w:snapToGrid w:val="0"/>
        <w:spacing w:before="120" w:beforeLines="50" w:after="50"/>
        <w:ind w:firstLine="540" w:firstLineChars="225"/>
        <w:rPr>
          <w:rFonts w:ascii="宋体" w:hAnsi="宋体"/>
          <w:bCs/>
          <w:color w:val="auto"/>
          <w:sz w:val="24"/>
          <w:szCs w:val="20"/>
          <w:highlight w:val="none"/>
        </w:rPr>
      </w:pPr>
    </w:p>
    <w:p w14:paraId="654EFCFF">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5DAB230C">
      <w:pPr>
        <w:snapToGrid w:val="0"/>
        <w:spacing w:before="120" w:beforeLines="50" w:after="50"/>
        <w:ind w:firstLine="540" w:firstLineChars="225"/>
        <w:rPr>
          <w:rFonts w:ascii="宋体" w:hAnsi="宋体"/>
          <w:bCs/>
          <w:color w:val="auto"/>
          <w:sz w:val="24"/>
          <w:szCs w:val="20"/>
          <w:highlight w:val="none"/>
        </w:rPr>
      </w:pPr>
      <w:r>
        <w:rPr>
          <w:rFonts w:hint="eastAsia" w:ascii="宋体" w:hAnsi="宋体"/>
          <w:bCs/>
          <w:color w:val="auto"/>
          <w:sz w:val="24"/>
          <w:highlight w:val="none"/>
        </w:rPr>
        <w:t xml:space="preserve"> </w:t>
      </w:r>
    </w:p>
    <w:p w14:paraId="7620874D">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37118007">
      <w:pPr>
        <w:snapToGrid w:val="0"/>
        <w:spacing w:before="120" w:beforeLines="50" w:after="50"/>
        <w:ind w:firstLine="540" w:firstLineChars="225"/>
        <w:rPr>
          <w:rFonts w:ascii="宋体" w:hAnsi="宋体"/>
          <w:bCs/>
          <w:color w:val="auto"/>
          <w:sz w:val="24"/>
          <w:szCs w:val="20"/>
          <w:highlight w:val="none"/>
        </w:rPr>
      </w:pPr>
    </w:p>
    <w:p w14:paraId="1498B524">
      <w:pPr>
        <w:pStyle w:val="8"/>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7C612637">
      <w:pPr>
        <w:pStyle w:val="8"/>
        <w:snapToGrid w:val="0"/>
        <w:spacing w:before="50" w:after="50"/>
        <w:ind w:firstLine="540" w:firstLineChars="225"/>
        <w:rPr>
          <w:rFonts w:ascii="宋体" w:hAnsi="宋体"/>
          <w:bCs/>
          <w:color w:val="auto"/>
          <w:sz w:val="24"/>
          <w:szCs w:val="24"/>
          <w:highlight w:val="none"/>
        </w:rPr>
      </w:pPr>
    </w:p>
    <w:p w14:paraId="74DF1C4C">
      <w:pPr>
        <w:pStyle w:val="8"/>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投标人地址：</w:t>
      </w:r>
    </w:p>
    <w:p w14:paraId="6AC5E4AE">
      <w:pPr>
        <w:pStyle w:val="8"/>
        <w:snapToGrid w:val="0"/>
        <w:spacing w:before="50" w:after="50"/>
        <w:ind w:firstLine="960" w:firstLineChars="400"/>
        <w:rPr>
          <w:rFonts w:ascii="宋体" w:hAnsi="宋体"/>
          <w:bCs/>
          <w:color w:val="auto"/>
          <w:sz w:val="24"/>
          <w:szCs w:val="24"/>
          <w:highlight w:val="none"/>
        </w:rPr>
      </w:pPr>
    </w:p>
    <w:p w14:paraId="368CC5D7">
      <w:pPr>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0F185BC0">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7446EDE9">
      <w:pPr>
        <w:snapToGrid w:val="0"/>
        <w:spacing w:line="360" w:lineRule="auto"/>
        <w:jc w:val="left"/>
        <w:rPr>
          <w:rFonts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2.商务文件目录</w:t>
      </w:r>
    </w:p>
    <w:p w14:paraId="428875FE">
      <w:pPr>
        <w:snapToGrid w:val="0"/>
        <w:spacing w:before="50" w:after="120" w:afterLines="50" w:line="360" w:lineRule="auto"/>
        <w:ind w:firstLine="480" w:firstLineChars="200"/>
        <w:jc w:val="left"/>
        <w:rPr>
          <w:rFonts w:ascii="微软雅黑" w:hAnsi="微软雅黑" w:eastAsia="微软雅黑"/>
          <w:b/>
          <w:bCs/>
          <w:color w:val="auto"/>
          <w:sz w:val="32"/>
          <w:szCs w:val="32"/>
          <w:highlight w:val="none"/>
        </w:rPr>
      </w:pPr>
      <w:r>
        <w:rPr>
          <w:rFonts w:hint="eastAsia" w:ascii="宋体" w:hAnsi="宋体"/>
          <w:color w:val="auto"/>
          <w:sz w:val="24"/>
          <w:highlight w:val="none"/>
        </w:rPr>
        <w:t>根据招标文件规定及投标人提供的材料自行编写目录。</w:t>
      </w:r>
    </w:p>
    <w:p w14:paraId="7188D99F">
      <w:pPr>
        <w:snapToGrid w:val="0"/>
        <w:spacing w:before="50" w:after="120" w:afterLines="50"/>
        <w:jc w:val="left"/>
        <w:rPr>
          <w:rFonts w:ascii="宋体" w:hAnsi="宋体"/>
          <w:color w:val="auto"/>
          <w:highlight w:val="none"/>
        </w:rPr>
      </w:pPr>
    </w:p>
    <w:p w14:paraId="65FD4C0E">
      <w:pPr>
        <w:snapToGrid w:val="0"/>
        <w:spacing w:before="120" w:beforeLines="50" w:after="50"/>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14:paraId="570EBE00">
      <w:pPr>
        <w:snapToGrid w:val="0"/>
        <w:spacing w:before="120" w:beforeLines="50" w:after="50"/>
        <w:jc w:val="left"/>
        <w:rPr>
          <w:rFonts w:ascii="宋体" w:hAnsi="宋体"/>
          <w:b/>
          <w:color w:val="auto"/>
          <w:sz w:val="24"/>
          <w:highlight w:val="none"/>
        </w:rPr>
      </w:pPr>
    </w:p>
    <w:p w14:paraId="0D5C7CDA">
      <w:pPr>
        <w:spacing w:line="360" w:lineRule="auto"/>
        <w:ind w:left="420"/>
        <w:contextualSpacing/>
        <w:jc w:val="center"/>
        <w:rPr>
          <w:rFonts w:ascii="宋体" w:hAnsi="宋体"/>
          <w:b/>
          <w:color w:val="auto"/>
          <w:sz w:val="24"/>
          <w:highlight w:val="none"/>
        </w:rPr>
      </w:pPr>
      <w:r>
        <w:rPr>
          <w:rFonts w:hint="eastAsia" w:ascii="方正小标宋简体" w:hAnsi="方正小标宋简体" w:eastAsia="方正小标宋简体" w:cs="方正小标宋简体"/>
          <w:bCs/>
          <w:color w:val="auto"/>
          <w:spacing w:val="-11"/>
          <w:sz w:val="44"/>
          <w:szCs w:val="44"/>
          <w:highlight w:val="none"/>
        </w:rPr>
        <w:t>投标人参加本项目无围标串标行为的承诺函</w:t>
      </w:r>
    </w:p>
    <w:p w14:paraId="20C440AE">
      <w:pPr>
        <w:spacing w:line="440" w:lineRule="exact"/>
        <w:contextualSpacing/>
        <w:jc w:val="left"/>
        <w:rPr>
          <w:rFonts w:ascii="宋体" w:hAnsi="宋体"/>
          <w:b/>
          <w:color w:val="auto"/>
          <w:sz w:val="24"/>
          <w:highlight w:val="none"/>
        </w:rPr>
      </w:pPr>
      <w:r>
        <w:rPr>
          <w:rFonts w:hint="eastAsia" w:ascii="宋体" w:hAnsi="宋体"/>
          <w:b/>
          <w:color w:val="auto"/>
          <w:sz w:val="24"/>
          <w:highlight w:val="none"/>
        </w:rPr>
        <w:t>一、我方承诺无下列相互串通投标的情形：</w:t>
      </w:r>
    </w:p>
    <w:p w14:paraId="5117E80E">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1.不同投标人的投标文件由同一单位或者个人编制；</w:t>
      </w:r>
    </w:p>
    <w:p w14:paraId="637ABB3E">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2.不同投标人委托同一单位或者个人办理投标事宜；</w:t>
      </w:r>
    </w:p>
    <w:p w14:paraId="1AE6F366">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746448F4">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1A7EDDFF">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5.不同投标人的投标文件相互混装；</w:t>
      </w:r>
    </w:p>
    <w:p w14:paraId="530770DD">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3BEF7767">
      <w:pPr>
        <w:spacing w:line="440" w:lineRule="exact"/>
        <w:contextualSpacing/>
        <w:jc w:val="left"/>
        <w:rPr>
          <w:rFonts w:ascii="宋体" w:hAnsi="宋体"/>
          <w:color w:val="auto"/>
          <w:sz w:val="24"/>
          <w:highlight w:val="none"/>
        </w:rPr>
      </w:pPr>
      <w:r>
        <w:rPr>
          <w:rFonts w:hint="eastAsia" w:ascii="宋体" w:hAnsi="宋体"/>
          <w:b/>
          <w:color w:val="auto"/>
          <w:sz w:val="24"/>
          <w:highlight w:val="none"/>
        </w:rPr>
        <w:t>二、我方承诺无下列恶意串通的情形：</w:t>
      </w:r>
    </w:p>
    <w:p w14:paraId="0BB179BC">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2C953FD3">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365609C0">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31E381C8">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3FF4D8E9">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65112347">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1C4E6B5A">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46845338">
      <w:pPr>
        <w:spacing w:line="440" w:lineRule="exact"/>
        <w:ind w:firstLine="472" w:firstLineChars="196"/>
        <w:contextualSpacing/>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123CC093">
      <w:pPr>
        <w:pStyle w:val="19"/>
        <w:spacing w:line="440" w:lineRule="exact"/>
        <w:ind w:firstLine="6840" w:firstLineChars="2850"/>
        <w:contextualSpacing/>
        <w:rPr>
          <w:rFonts w:hAnsi="宋体"/>
          <w:color w:val="auto"/>
          <w:sz w:val="24"/>
          <w:szCs w:val="24"/>
          <w:highlight w:val="none"/>
        </w:rPr>
      </w:pPr>
    </w:p>
    <w:p w14:paraId="684270D0">
      <w:pPr>
        <w:pStyle w:val="19"/>
        <w:spacing w:line="440" w:lineRule="exact"/>
        <w:contextualSpacing/>
        <w:jc w:val="center"/>
        <w:rPr>
          <w:rFonts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投标人名称（公章）</w:t>
      </w:r>
    </w:p>
    <w:p w14:paraId="04F735CD">
      <w:pPr>
        <w:pStyle w:val="19"/>
        <w:spacing w:line="440" w:lineRule="exact"/>
        <w:contextualSpacing/>
        <w:rPr>
          <w:rFonts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224BF8A8">
      <w:pPr>
        <w:snapToGrid w:val="0"/>
        <w:spacing w:before="120" w:beforeLines="50" w:after="50"/>
        <w:jc w:val="left"/>
        <w:rPr>
          <w:rFonts w:ascii="宋体" w:hAnsi="宋体"/>
          <w:b/>
          <w:color w:val="auto"/>
          <w:sz w:val="24"/>
          <w:highlight w:val="none"/>
        </w:rPr>
      </w:pPr>
    </w:p>
    <w:p w14:paraId="5BAB5E58">
      <w:pPr>
        <w:snapToGrid w:val="0"/>
        <w:spacing w:before="120" w:beforeLines="50" w:after="50"/>
        <w:jc w:val="left"/>
        <w:rPr>
          <w:rFonts w:ascii="宋体" w:hAnsi="宋体"/>
          <w:b/>
          <w:color w:val="auto"/>
          <w:sz w:val="24"/>
          <w:highlight w:val="none"/>
        </w:rPr>
      </w:pPr>
    </w:p>
    <w:p w14:paraId="47852DF6">
      <w:pPr>
        <w:snapToGrid w:val="0"/>
        <w:spacing w:before="120" w:beforeLines="50" w:after="50"/>
        <w:jc w:val="left"/>
        <w:rPr>
          <w:rFonts w:ascii="宋体" w:hAnsi="宋体"/>
          <w:b/>
          <w:color w:val="auto"/>
          <w:sz w:val="24"/>
          <w:szCs w:val="20"/>
          <w:highlight w:val="none"/>
        </w:rPr>
      </w:pPr>
      <w:r>
        <w:rPr>
          <w:rFonts w:hint="eastAsia" w:ascii="宋体" w:hAnsi="宋体"/>
          <w:b/>
          <w:color w:val="auto"/>
          <w:sz w:val="24"/>
          <w:highlight w:val="none"/>
        </w:rPr>
        <w:t>4.法定代表人身份证明</w:t>
      </w:r>
    </w:p>
    <w:p w14:paraId="7F82EE78">
      <w:pPr>
        <w:spacing w:before="240" w:beforeLines="100" w:after="120" w:afterLines="50"/>
        <w:ind w:left="54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法定代表人身份证明</w:t>
      </w:r>
    </w:p>
    <w:p w14:paraId="7A8D6573">
      <w:pPr>
        <w:spacing w:line="500" w:lineRule="exact"/>
        <w:ind w:left="540"/>
        <w:rPr>
          <w:rFonts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76A26CF1">
      <w:pPr>
        <w:spacing w:line="500" w:lineRule="exact"/>
        <w:ind w:left="540"/>
        <w:rPr>
          <w:rFonts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2476DE6A">
      <w:pPr>
        <w:spacing w:line="500" w:lineRule="exact"/>
        <w:ind w:left="540"/>
        <w:rPr>
          <w:rFonts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0595D627">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64CC19D0">
      <w:pPr>
        <w:spacing w:line="500" w:lineRule="exact"/>
        <w:ind w:left="540"/>
        <w:rPr>
          <w:rFonts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17083D03">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7EDA369A">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14:paraId="6AB55A77">
      <w:pPr>
        <w:spacing w:line="500" w:lineRule="exact"/>
        <w:ind w:left="540"/>
        <w:rPr>
          <w:rFonts w:ascii="宋体" w:hAnsi="宋体"/>
          <w:color w:val="auto"/>
          <w:sz w:val="24"/>
          <w:highlight w:val="none"/>
        </w:rPr>
      </w:pPr>
    </w:p>
    <w:p w14:paraId="6727727A">
      <w:pPr>
        <w:spacing w:line="500" w:lineRule="exact"/>
        <w:ind w:left="540"/>
        <w:rPr>
          <w:rFonts w:ascii="宋体" w:hAnsi="宋体"/>
          <w:color w:val="auto"/>
          <w:sz w:val="24"/>
          <w:highlight w:val="none"/>
        </w:rPr>
      </w:pPr>
    </w:p>
    <w:p w14:paraId="321A9F57">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附件：法定代表人有效身份证正反面复印件</w:t>
      </w:r>
    </w:p>
    <w:p w14:paraId="130CD30E">
      <w:pPr>
        <w:spacing w:line="500" w:lineRule="exact"/>
        <w:ind w:left="540"/>
        <w:rPr>
          <w:rFonts w:ascii="宋体" w:hAnsi="宋体"/>
          <w:color w:val="auto"/>
          <w:sz w:val="24"/>
          <w:highlight w:val="none"/>
        </w:rPr>
      </w:pPr>
    </w:p>
    <w:p w14:paraId="4A15BD35">
      <w:pPr>
        <w:spacing w:line="500" w:lineRule="exact"/>
        <w:ind w:left="540"/>
        <w:jc w:val="right"/>
        <w:rPr>
          <w:rFonts w:ascii="宋体" w:hAnsi="宋体"/>
          <w:color w:val="auto"/>
          <w:sz w:val="24"/>
          <w:highlight w:val="none"/>
        </w:rPr>
      </w:pPr>
      <w:r>
        <w:rPr>
          <w:rFonts w:hint="eastAsia" w:ascii="宋体" w:hAnsi="宋体"/>
          <w:color w:val="auto"/>
          <w:sz w:val="24"/>
          <w:highlight w:val="none"/>
        </w:rPr>
        <w:t>投标人名称（公章）</w:t>
      </w:r>
    </w:p>
    <w:p w14:paraId="383A8E00">
      <w:pPr>
        <w:spacing w:line="500" w:lineRule="exact"/>
        <w:ind w:left="540"/>
        <w:jc w:val="right"/>
        <w:rPr>
          <w:rFonts w:ascii="宋体" w:hAnsi="宋体"/>
          <w:color w:val="auto"/>
          <w:sz w:val="24"/>
          <w:highlight w:val="none"/>
        </w:rPr>
      </w:pPr>
    </w:p>
    <w:p w14:paraId="4053493F">
      <w:pPr>
        <w:snapToGrid w:val="0"/>
        <w:spacing w:before="120" w:beforeLines="50" w:after="50"/>
        <w:ind w:left="540"/>
        <w:jc w:val="righ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4E244F09">
      <w:pPr>
        <w:snapToGrid w:val="0"/>
        <w:spacing w:before="120" w:beforeLines="50" w:after="50"/>
        <w:jc w:val="center"/>
        <w:rPr>
          <w:rFonts w:ascii="宋体" w:hAnsi="宋体"/>
          <w:b/>
          <w:color w:val="auto"/>
          <w:sz w:val="24"/>
          <w:highlight w:val="none"/>
        </w:rPr>
      </w:pPr>
    </w:p>
    <w:p w14:paraId="23D1D3EC">
      <w:pPr>
        <w:snapToGrid w:val="0"/>
        <w:spacing w:before="120" w:beforeLines="50" w:after="50"/>
        <w:jc w:val="left"/>
        <w:rPr>
          <w:rFonts w:ascii="宋体" w:hAnsi="宋体"/>
          <w:b/>
          <w:color w:val="auto"/>
          <w:sz w:val="24"/>
          <w:szCs w:val="20"/>
          <w:highlight w:val="none"/>
        </w:rPr>
      </w:pPr>
      <w:r>
        <w:rPr>
          <w:rFonts w:hint="eastAsia" w:ascii="宋体" w:hAnsi="宋体"/>
          <w:color w:val="auto"/>
          <w:sz w:val="24"/>
          <w:highlight w:val="none"/>
        </w:rPr>
        <w:t>注：自然人投标的无需提供</w:t>
      </w:r>
    </w:p>
    <w:p w14:paraId="64D1C0C0">
      <w:pPr>
        <w:snapToGrid w:val="0"/>
        <w:spacing w:before="120" w:beforeLines="50" w:after="50"/>
        <w:jc w:val="left"/>
        <w:rPr>
          <w:rFonts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5.授权委托书格式</w:t>
      </w:r>
    </w:p>
    <w:p w14:paraId="6FAE31E5">
      <w:pPr>
        <w:snapToGrid w:val="0"/>
        <w:spacing w:before="120" w:beforeLines="50" w:after="50"/>
        <w:jc w:val="center"/>
        <w:rPr>
          <w:rFonts w:ascii="宋体" w:hAnsi="宋体"/>
          <w:b/>
          <w:color w:val="auto"/>
          <w:sz w:val="44"/>
          <w:szCs w:val="44"/>
          <w:highlight w:val="none"/>
        </w:rPr>
      </w:pPr>
    </w:p>
    <w:p w14:paraId="5AEE9EEA">
      <w:pPr>
        <w:spacing w:line="360" w:lineRule="auto"/>
        <w:contextualSpacing/>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授权委托书</w:t>
      </w:r>
    </w:p>
    <w:p w14:paraId="7800CCED">
      <w:pPr>
        <w:spacing w:line="360" w:lineRule="auto"/>
        <w:contextualSpacing/>
        <w:jc w:val="center"/>
        <w:rPr>
          <w:rFonts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（非联合体投标格式）</w:t>
      </w:r>
    </w:p>
    <w:p w14:paraId="4F012181">
      <w:pPr>
        <w:spacing w:line="360" w:lineRule="auto"/>
        <w:contextualSpacing/>
        <w:jc w:val="center"/>
        <w:rPr>
          <w:rFonts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32"/>
          <w:szCs w:val="32"/>
          <w:highlight w:val="none"/>
        </w:rPr>
        <w:t>（如有委托时）</w:t>
      </w:r>
    </w:p>
    <w:p w14:paraId="34C1B40C">
      <w:pPr>
        <w:spacing w:line="440" w:lineRule="exact"/>
        <w:contextualSpacing/>
        <w:jc w:val="center"/>
        <w:rPr>
          <w:rFonts w:ascii="宋体" w:hAnsi="宋体"/>
          <w:b/>
          <w:color w:val="auto"/>
          <w:sz w:val="24"/>
          <w:highlight w:val="none"/>
        </w:rPr>
      </w:pPr>
    </w:p>
    <w:p w14:paraId="683DCC22">
      <w:pPr>
        <w:spacing w:line="440" w:lineRule="exact"/>
        <w:contextualSpacing/>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281FA369">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72DA0B83">
      <w:pPr>
        <w:spacing w:line="440" w:lineRule="exact"/>
        <w:contextualSpacing/>
        <w:rPr>
          <w:rFonts w:ascii="宋体" w:hAnsi="宋体"/>
          <w:color w:val="auto"/>
          <w:sz w:val="24"/>
          <w:highlight w:val="none"/>
        </w:rPr>
      </w:pPr>
      <w:r>
        <w:rPr>
          <w:rFonts w:hint="eastAsia" w:ascii="宋体" w:hAnsi="宋体"/>
          <w:color w:val="auto"/>
          <w:sz w:val="24"/>
          <w:highlight w:val="none"/>
        </w:rPr>
        <w:t xml:space="preserve">    我方对委托代理人的签字事项负全部责任。</w:t>
      </w:r>
    </w:p>
    <w:p w14:paraId="59291B10">
      <w:pPr>
        <w:spacing w:line="440" w:lineRule="exact"/>
        <w:ind w:firstLine="480"/>
        <w:contextualSpacing/>
        <w:rPr>
          <w:rFonts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0DD3853B">
      <w:pPr>
        <w:spacing w:line="440" w:lineRule="exact"/>
        <w:ind w:firstLine="480"/>
        <w:contextualSpacing/>
        <w:rPr>
          <w:rFonts w:ascii="宋体" w:hAnsi="宋体"/>
          <w:color w:val="auto"/>
          <w:sz w:val="24"/>
          <w:highlight w:val="none"/>
        </w:rPr>
      </w:pPr>
      <w:r>
        <w:rPr>
          <w:rFonts w:hint="eastAsia" w:ascii="宋体" w:hAnsi="宋体"/>
          <w:color w:val="auto"/>
          <w:sz w:val="24"/>
          <w:highlight w:val="none"/>
        </w:rPr>
        <w:t>委托代理人无转委托权，特此委托。</w:t>
      </w:r>
    </w:p>
    <w:p w14:paraId="4574B4F1">
      <w:pPr>
        <w:spacing w:line="440" w:lineRule="exact"/>
        <w:ind w:firstLine="480"/>
        <w:contextualSpacing/>
        <w:rPr>
          <w:rFonts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30EE86BC">
      <w:pPr>
        <w:spacing w:line="440" w:lineRule="exact"/>
        <w:contextualSpacing/>
        <w:rPr>
          <w:rFonts w:ascii="宋体" w:hAnsi="宋体"/>
          <w:color w:val="auto"/>
          <w:sz w:val="24"/>
          <w:highlight w:val="none"/>
        </w:rPr>
      </w:pPr>
    </w:p>
    <w:p w14:paraId="583A1094">
      <w:pPr>
        <w:spacing w:line="440" w:lineRule="exact"/>
        <w:contextualSpacing/>
        <w:rPr>
          <w:rFonts w:ascii="宋体" w:hAnsi="宋体"/>
          <w:color w:val="auto"/>
          <w:sz w:val="24"/>
          <w:highlight w:val="none"/>
          <w:u w:val="single"/>
        </w:rPr>
      </w:pPr>
      <w:r>
        <w:rPr>
          <w:rFonts w:hint="eastAsia" w:ascii="宋体" w:hAnsi="宋体"/>
          <w:color w:val="auto"/>
          <w:sz w:val="24"/>
          <w:highlight w:val="none"/>
        </w:rPr>
        <w:t>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5414501B">
      <w:pPr>
        <w:spacing w:line="440" w:lineRule="exact"/>
        <w:contextualSpacing/>
        <w:rPr>
          <w:rFonts w:ascii="宋体" w:hAnsi="宋体"/>
          <w:color w:val="auto"/>
          <w:sz w:val="24"/>
          <w:highlight w:val="non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65DAE814">
      <w:pPr>
        <w:spacing w:line="440" w:lineRule="exact"/>
        <w:contextualSpacing/>
        <w:jc w:val="center"/>
        <w:rPr>
          <w:rFonts w:ascii="宋体" w:hAnsi="宋体"/>
          <w:color w:val="auto"/>
          <w:sz w:val="24"/>
          <w:highlight w:val="none"/>
        </w:rPr>
      </w:pPr>
      <w:r>
        <w:rPr>
          <w:rFonts w:hint="eastAsia" w:ascii="宋体" w:hAnsi="宋体"/>
          <w:color w:val="auto"/>
          <w:sz w:val="24"/>
          <w:highlight w:val="none"/>
        </w:rPr>
        <w:t xml:space="preserve">                                                投标人（盖公章）：</w:t>
      </w:r>
    </w:p>
    <w:p w14:paraId="7155CB0A">
      <w:pPr>
        <w:spacing w:line="440" w:lineRule="exact"/>
        <w:contextualSpacing/>
        <w:jc w:val="center"/>
        <w:rPr>
          <w:rFonts w:ascii="宋体" w:hAnsi="宋体"/>
          <w:color w:val="auto"/>
          <w:sz w:val="24"/>
          <w:highlight w:val="none"/>
        </w:rPr>
      </w:pPr>
      <w:r>
        <w:rPr>
          <w:rFonts w:hint="eastAsia" w:ascii="宋体" w:hAnsi="宋体"/>
          <w:color w:val="auto"/>
          <w:sz w:val="24"/>
          <w:highlight w:val="none"/>
        </w:rPr>
        <w:t xml:space="preserve">                                              年    月    日</w:t>
      </w:r>
    </w:p>
    <w:p w14:paraId="5DA74955">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注：1.</w:t>
      </w:r>
      <w:bookmarkStart w:id="158" w:name="_Hlk65851555"/>
      <w:bookmarkStart w:id="159" w:name="_Hlk65851620"/>
      <w:r>
        <w:rPr>
          <w:rFonts w:hint="eastAsia" w:ascii="宋体" w:hAnsi="宋体" w:cs="仿宋_GB2312"/>
          <w:color w:val="auto"/>
          <w:sz w:val="24"/>
          <w:highlight w:val="none"/>
        </w:rPr>
        <w:t>法定代表人必须在授权委托书上亲笔签字或者盖章，</w:t>
      </w:r>
      <w:bookmarkEnd w:id="158"/>
      <w:r>
        <w:rPr>
          <w:rFonts w:hint="eastAsia" w:ascii="宋体" w:hAnsi="宋体" w:cs="仿宋_GB2312"/>
          <w:color w:val="auto"/>
          <w:sz w:val="24"/>
          <w:highlight w:val="none"/>
        </w:rPr>
        <w:t>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59"/>
    </w:p>
    <w:p w14:paraId="4A5D6F80">
      <w:pPr>
        <w:spacing w:line="440" w:lineRule="exact"/>
        <w:ind w:firstLine="480" w:firstLineChars="200"/>
        <w:contextualSpacing/>
        <w:jc w:val="left"/>
        <w:rPr>
          <w:rFonts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1AE9BC06">
      <w:pPr>
        <w:rPr>
          <w:rFonts w:ascii="宋体" w:hAnsi="宋体"/>
          <w:color w:val="auto"/>
          <w:sz w:val="24"/>
          <w:highlight w:val="none"/>
        </w:rPr>
      </w:pPr>
      <w:r>
        <w:rPr>
          <w:rFonts w:ascii="宋体" w:hAnsi="宋体"/>
          <w:color w:val="auto"/>
          <w:sz w:val="24"/>
          <w:highlight w:val="none"/>
        </w:rPr>
        <w:br w:type="page"/>
      </w:r>
    </w:p>
    <w:p w14:paraId="45FE2B88">
      <w:pPr>
        <w:rPr>
          <w:rFonts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14:paraId="6BD1C057">
      <w:pPr>
        <w:snapToGrid w:val="0"/>
        <w:spacing w:before="50"/>
        <w:jc w:val="left"/>
        <w:rPr>
          <w:rFonts w:ascii="宋体" w:hAnsi="宋体"/>
          <w:color w:val="auto"/>
          <w:sz w:val="24"/>
          <w:highlight w:val="none"/>
        </w:rPr>
      </w:pPr>
    </w:p>
    <w:p w14:paraId="681FC76C">
      <w:pPr>
        <w:pStyle w:val="19"/>
        <w:rPr>
          <w:rFonts w:hint="eastAsia" w:hAnsi="宋体" w:eastAsia="宋体"/>
          <w:color w:val="auto"/>
          <w:sz w:val="24"/>
          <w:szCs w:val="24"/>
          <w:highlight w:val="none"/>
          <w:lang w:eastAsia="zh-CN"/>
        </w:rPr>
      </w:pPr>
      <w:r>
        <w:rPr>
          <w:rFonts w:hint="eastAsia" w:hAnsi="宋体"/>
          <w:color w:val="auto"/>
          <w:sz w:val="24"/>
          <w:szCs w:val="24"/>
          <w:highlight w:val="none"/>
        </w:rPr>
        <w:t>所投</w:t>
      </w:r>
      <w:r>
        <w:rPr>
          <w:rFonts w:hint="eastAsia" w:hAnsi="宋体"/>
          <w:color w:val="auto"/>
          <w:sz w:val="24"/>
          <w:szCs w:val="24"/>
          <w:highlight w:val="none"/>
          <w:lang w:val="en-US" w:eastAsia="zh-CN"/>
        </w:rPr>
        <w:t>分标</w:t>
      </w:r>
      <w:r>
        <w:rPr>
          <w:rFonts w:hint="eastAsia" w:hAnsi="宋体"/>
          <w:color w:val="auto"/>
          <w:sz w:val="24"/>
          <w:szCs w:val="24"/>
          <w:highlight w:val="none"/>
        </w:rPr>
        <w:t>：</w:t>
      </w:r>
      <w:r>
        <w:rPr>
          <w:rFonts w:hint="eastAsia" w:hAnsi="宋体"/>
          <w:color w:val="auto"/>
          <w:sz w:val="24"/>
          <w:szCs w:val="24"/>
          <w:highlight w:val="none"/>
          <w:u w:val="single"/>
        </w:rPr>
        <w:t xml:space="preserve">     </w:t>
      </w:r>
      <w:r>
        <w:rPr>
          <w:rFonts w:hint="eastAsia" w:hAnsi="宋体"/>
          <w:color w:val="auto"/>
          <w:sz w:val="24"/>
          <w:szCs w:val="24"/>
          <w:highlight w:val="none"/>
          <w:lang w:val="en-US" w:eastAsia="zh-CN"/>
        </w:rPr>
        <w:t xml:space="preserve"> </w:t>
      </w:r>
    </w:p>
    <w:p w14:paraId="23834ADC">
      <w:pPr>
        <w:snapToGrid w:val="0"/>
        <w:spacing w:before="50"/>
        <w:jc w:val="left"/>
        <w:rPr>
          <w:rFonts w:ascii="宋体" w:hAnsi="宋体"/>
          <w:color w:val="auto"/>
          <w:sz w:val="24"/>
          <w:highlight w:val="none"/>
          <w:u w:val="single"/>
        </w:rPr>
      </w:pPr>
    </w:p>
    <w:tbl>
      <w:tblPr>
        <w:tblStyle w:val="36"/>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793918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tcPr>
          <w:p w14:paraId="3A659905">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项目</w:t>
            </w:r>
          </w:p>
        </w:tc>
        <w:tc>
          <w:tcPr>
            <w:tcW w:w="3336" w:type="dxa"/>
            <w:tcBorders>
              <w:top w:val="single" w:color="auto" w:sz="4" w:space="0"/>
              <w:left w:val="single" w:color="auto" w:sz="4" w:space="0"/>
              <w:bottom w:val="single" w:color="auto" w:sz="4" w:space="0"/>
              <w:right w:val="single" w:color="auto" w:sz="4" w:space="0"/>
            </w:tcBorders>
          </w:tcPr>
          <w:p w14:paraId="70CE3C53">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tcPr>
          <w:p w14:paraId="33F3D9B2">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tcPr>
          <w:p w14:paraId="0BAECDCE">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偏离说明</w:t>
            </w:r>
          </w:p>
        </w:tc>
      </w:tr>
      <w:tr w14:paraId="2B3EB9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vAlign w:val="center"/>
          </w:tcPr>
          <w:p w14:paraId="2CE29D15">
            <w:pPr>
              <w:jc w:val="center"/>
              <w:rPr>
                <w:rFonts w:ascii="宋体" w:hAnsi="宋体"/>
                <w:color w:val="auto"/>
                <w:sz w:val="24"/>
                <w:highlight w:val="none"/>
              </w:rPr>
            </w:pPr>
          </w:p>
        </w:tc>
        <w:tc>
          <w:tcPr>
            <w:tcW w:w="3336" w:type="dxa"/>
            <w:tcBorders>
              <w:top w:val="single" w:color="auto" w:sz="4" w:space="0"/>
              <w:left w:val="single" w:color="auto" w:sz="4" w:space="0"/>
              <w:bottom w:val="single" w:color="auto" w:sz="4" w:space="0"/>
              <w:right w:val="single" w:color="auto" w:sz="4" w:space="0"/>
            </w:tcBorders>
          </w:tcPr>
          <w:p w14:paraId="5AAEA89E">
            <w:pPr>
              <w:snapToGrid w:val="0"/>
              <w:spacing w:before="120" w:beforeLines="50"/>
              <w:jc w:val="center"/>
              <w:rPr>
                <w:rFonts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tcPr>
          <w:p w14:paraId="75AA8A17">
            <w:pPr>
              <w:snapToGrid w:val="0"/>
              <w:spacing w:before="120" w:beforeLines="50"/>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02D793D4">
            <w:pPr>
              <w:snapToGrid w:val="0"/>
              <w:spacing w:before="120" w:beforeLines="50"/>
              <w:jc w:val="center"/>
              <w:rPr>
                <w:rFonts w:ascii="宋体" w:hAnsi="宋体"/>
                <w:color w:val="auto"/>
                <w:sz w:val="24"/>
                <w:highlight w:val="none"/>
              </w:rPr>
            </w:pPr>
          </w:p>
        </w:tc>
      </w:tr>
      <w:tr w14:paraId="0A16F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vAlign w:val="center"/>
          </w:tcPr>
          <w:p w14:paraId="4B783B0A">
            <w:pPr>
              <w:jc w:val="center"/>
              <w:rPr>
                <w:rFonts w:ascii="宋体" w:hAnsi="宋体"/>
                <w:color w:val="auto"/>
                <w:sz w:val="24"/>
                <w:highlight w:val="none"/>
              </w:rPr>
            </w:pPr>
          </w:p>
        </w:tc>
        <w:tc>
          <w:tcPr>
            <w:tcW w:w="3336" w:type="dxa"/>
            <w:tcBorders>
              <w:top w:val="single" w:color="auto" w:sz="4" w:space="0"/>
              <w:left w:val="single" w:color="auto" w:sz="4" w:space="0"/>
              <w:bottom w:val="single" w:color="auto" w:sz="4" w:space="0"/>
              <w:right w:val="single" w:color="auto" w:sz="4" w:space="0"/>
            </w:tcBorders>
          </w:tcPr>
          <w:p w14:paraId="43DCF7D3">
            <w:pPr>
              <w:snapToGrid w:val="0"/>
              <w:spacing w:before="120" w:beforeLines="50"/>
              <w:rPr>
                <w:rFonts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45549675">
            <w:pPr>
              <w:snapToGrid w:val="0"/>
              <w:spacing w:before="120" w:beforeLines="50"/>
              <w:ind w:left="43"/>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4D39F51F">
            <w:pPr>
              <w:snapToGrid w:val="0"/>
              <w:spacing w:before="120" w:beforeLines="50"/>
              <w:ind w:left="43"/>
              <w:jc w:val="center"/>
              <w:rPr>
                <w:rFonts w:ascii="宋体" w:hAnsi="宋体"/>
                <w:color w:val="auto"/>
                <w:sz w:val="24"/>
                <w:highlight w:val="none"/>
              </w:rPr>
            </w:pPr>
          </w:p>
        </w:tc>
      </w:tr>
      <w:tr w14:paraId="14B629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tcPr>
          <w:p w14:paraId="6F5E9ECF">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w:t>
            </w:r>
          </w:p>
        </w:tc>
        <w:tc>
          <w:tcPr>
            <w:tcW w:w="3336" w:type="dxa"/>
            <w:tcBorders>
              <w:top w:val="single" w:color="auto" w:sz="4" w:space="0"/>
              <w:left w:val="single" w:color="auto" w:sz="4" w:space="0"/>
              <w:bottom w:val="single" w:color="auto" w:sz="4" w:space="0"/>
              <w:right w:val="single" w:color="auto" w:sz="4" w:space="0"/>
            </w:tcBorders>
          </w:tcPr>
          <w:p w14:paraId="4C5BE2BA">
            <w:pPr>
              <w:snapToGrid w:val="0"/>
              <w:spacing w:before="120" w:beforeLines="50"/>
              <w:jc w:val="center"/>
              <w:rPr>
                <w:rFonts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tcPr>
          <w:p w14:paraId="0FAB2903">
            <w:pPr>
              <w:snapToGrid w:val="0"/>
              <w:spacing w:before="120" w:beforeLines="50"/>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2000CEFA">
            <w:pPr>
              <w:snapToGrid w:val="0"/>
              <w:spacing w:before="120" w:beforeLines="50"/>
              <w:jc w:val="center"/>
              <w:rPr>
                <w:rFonts w:ascii="宋体" w:hAnsi="宋体"/>
                <w:color w:val="auto"/>
                <w:sz w:val="24"/>
                <w:highlight w:val="none"/>
              </w:rPr>
            </w:pPr>
          </w:p>
        </w:tc>
      </w:tr>
    </w:tbl>
    <w:p w14:paraId="6B3BC4DF">
      <w:pPr>
        <w:pStyle w:val="14"/>
        <w:rPr>
          <w:rFonts w:ascii="宋体" w:hAnsi="宋体"/>
          <w:color w:val="auto"/>
          <w:highlight w:val="none"/>
        </w:rPr>
      </w:pPr>
    </w:p>
    <w:p w14:paraId="04507A21">
      <w:pPr>
        <w:pStyle w:val="14"/>
        <w:rPr>
          <w:rFonts w:ascii="宋体" w:hAnsi="宋体"/>
          <w:color w:val="auto"/>
          <w:highlight w:val="none"/>
        </w:rPr>
      </w:pPr>
    </w:p>
    <w:p w14:paraId="64C506CC">
      <w:pPr>
        <w:pStyle w:val="14"/>
        <w:rPr>
          <w:rFonts w:ascii="宋体" w:hAnsi="宋体"/>
          <w:color w:val="auto"/>
          <w:spacing w:val="-4"/>
          <w:sz w:val="21"/>
          <w:szCs w:val="21"/>
          <w:highlight w:val="none"/>
        </w:rPr>
      </w:pPr>
      <w:r>
        <w:rPr>
          <w:rFonts w:hint="eastAsia" w:ascii="宋体" w:hAnsi="宋体"/>
          <w:color w:val="auto"/>
          <w:spacing w:val="-4"/>
          <w:sz w:val="21"/>
          <w:szCs w:val="21"/>
          <w:highlight w:val="none"/>
        </w:rPr>
        <w:t>注：</w:t>
      </w:r>
    </w:p>
    <w:p w14:paraId="025586CD">
      <w:pPr>
        <w:pStyle w:val="16"/>
        <w:spacing w:line="400" w:lineRule="exact"/>
        <w:ind w:firstLine="0"/>
        <w:rPr>
          <w:rFonts w:hAnsi="仿宋_GB2312" w:cs="仿宋_GB2312"/>
          <w:color w:val="auto"/>
          <w:sz w:val="21"/>
          <w:szCs w:val="21"/>
          <w:highlight w:val="none"/>
        </w:rPr>
      </w:pPr>
      <w:r>
        <w:rPr>
          <w:rFonts w:hint="eastAsia" w:hAnsi="宋体"/>
          <w:color w:val="auto"/>
          <w:sz w:val="21"/>
          <w:szCs w:val="21"/>
          <w:highlight w:val="none"/>
        </w:rPr>
        <w:t>1.</w:t>
      </w:r>
      <w:r>
        <w:rPr>
          <w:rFonts w:hint="eastAsia"/>
          <w:color w:val="auto"/>
          <w:sz w:val="21"/>
          <w:szCs w:val="21"/>
          <w:highlight w:val="none"/>
        </w:rPr>
        <w:t xml:space="preserve"> </w:t>
      </w:r>
      <w:r>
        <w:rPr>
          <w:rFonts w:hint="eastAsia" w:hAnsi="宋体"/>
          <w:color w:val="auto"/>
          <w:sz w:val="21"/>
          <w:szCs w:val="21"/>
          <w:highlight w:val="none"/>
        </w:rPr>
        <w:t>说明：应对照招标文件“第二章 采购需求”中的商务要求逐条作明确的投标响应，并作出偏离说明。</w:t>
      </w:r>
    </w:p>
    <w:p w14:paraId="27D7E722">
      <w:pPr>
        <w:pStyle w:val="14"/>
        <w:spacing w:after="0" w:line="400" w:lineRule="exact"/>
        <w:rPr>
          <w:rFonts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rPr>
        <w:t>投标人应根据自身的承诺，对照招标文件要求在“偏离说明”中注明“正偏离”、“负偏离”或者“无偏离”。既不属于“正偏离”也不属于“负偏离”即为“无偏离”。</w:t>
      </w:r>
    </w:p>
    <w:p w14:paraId="24A45E8D">
      <w:pPr>
        <w:snapToGrid w:val="0"/>
        <w:spacing w:line="400" w:lineRule="exact"/>
        <w:rPr>
          <w:rFonts w:ascii="宋体" w:hAnsi="宋体"/>
          <w:color w:val="auto"/>
          <w:szCs w:val="21"/>
          <w:highlight w:val="none"/>
        </w:rPr>
      </w:pPr>
    </w:p>
    <w:p w14:paraId="70EE62ED">
      <w:pPr>
        <w:snapToGrid w:val="0"/>
        <w:spacing w:line="400" w:lineRule="exact"/>
        <w:rPr>
          <w:rFonts w:ascii="宋体" w:hAnsi="宋体"/>
          <w:color w:val="auto"/>
          <w:spacing w:val="20"/>
          <w:szCs w:val="21"/>
          <w:highlight w:val="none"/>
          <w:u w:val="single"/>
        </w:rPr>
      </w:pPr>
      <w:r>
        <w:rPr>
          <w:rFonts w:hint="eastAsia" w:ascii="宋体" w:hAnsi="宋体"/>
          <w:color w:val="auto"/>
          <w:szCs w:val="21"/>
          <w:highlight w:val="none"/>
        </w:rPr>
        <w:t>法定代表人或者委托代理人</w:t>
      </w:r>
      <w:r>
        <w:rPr>
          <w:rFonts w:hint="eastAsia" w:ascii="宋体" w:hAnsi="宋体"/>
          <w:color w:val="auto"/>
          <w:spacing w:val="20"/>
          <w:szCs w:val="21"/>
          <w:highlight w:val="none"/>
        </w:rPr>
        <w:t>（签字）：</w:t>
      </w:r>
      <w:r>
        <w:rPr>
          <w:rFonts w:hint="eastAsia" w:ascii="宋体" w:hAnsi="宋体"/>
          <w:color w:val="auto"/>
          <w:spacing w:val="20"/>
          <w:szCs w:val="21"/>
          <w:highlight w:val="none"/>
          <w:u w:val="single"/>
        </w:rPr>
        <w:t xml:space="preserve">        </w:t>
      </w:r>
    </w:p>
    <w:p w14:paraId="3069BBCB">
      <w:pPr>
        <w:snapToGrid w:val="0"/>
        <w:spacing w:line="400" w:lineRule="exact"/>
        <w:rPr>
          <w:rFonts w:ascii="宋体" w:hAnsi="宋体"/>
          <w:color w:val="auto"/>
          <w:spacing w:val="20"/>
          <w:szCs w:val="21"/>
          <w:highlight w:val="none"/>
        </w:rPr>
      </w:pPr>
      <w:r>
        <w:rPr>
          <w:rFonts w:hint="eastAsia" w:ascii="宋体" w:hAnsi="宋体"/>
          <w:color w:val="auto"/>
          <w:spacing w:val="20"/>
          <w:szCs w:val="21"/>
          <w:highlight w:val="none"/>
        </w:rPr>
        <w:t>投标人盖公章：</w:t>
      </w:r>
      <w:r>
        <w:rPr>
          <w:rFonts w:hint="eastAsia" w:ascii="宋体" w:hAnsi="宋体"/>
          <w:color w:val="auto"/>
          <w:spacing w:val="20"/>
          <w:szCs w:val="21"/>
          <w:highlight w:val="none"/>
          <w:u w:val="single"/>
        </w:rPr>
        <w:t xml:space="preserve">            </w:t>
      </w:r>
      <w:r>
        <w:rPr>
          <w:rFonts w:hint="eastAsia" w:ascii="宋体" w:hAnsi="宋体"/>
          <w:color w:val="auto"/>
          <w:spacing w:val="20"/>
          <w:szCs w:val="21"/>
          <w:highlight w:val="none"/>
        </w:rPr>
        <w:t xml:space="preserve">   </w:t>
      </w:r>
    </w:p>
    <w:p w14:paraId="6D77A80B">
      <w:pPr>
        <w:snapToGrid w:val="0"/>
        <w:spacing w:line="400" w:lineRule="exact"/>
        <w:rPr>
          <w:rFonts w:ascii="宋体" w:hAnsi="宋体"/>
          <w:color w:val="auto"/>
          <w:szCs w:val="21"/>
          <w:highlight w:val="none"/>
        </w:rPr>
      </w:pPr>
      <w:r>
        <w:rPr>
          <w:rFonts w:hint="eastAsia" w:ascii="宋体" w:hAnsi="宋体"/>
          <w:color w:val="auto"/>
          <w:spacing w:val="20"/>
          <w:szCs w:val="21"/>
          <w:highlight w:val="none"/>
        </w:rPr>
        <w:t>日  期：</w:t>
      </w:r>
      <w:r>
        <w:rPr>
          <w:rFonts w:hint="eastAsia" w:ascii="宋体" w:hAnsi="宋体"/>
          <w:color w:val="auto"/>
          <w:spacing w:val="20"/>
          <w:szCs w:val="21"/>
          <w:highlight w:val="none"/>
          <w:u w:val="single"/>
        </w:rPr>
        <w:t xml:space="preserve">         </w:t>
      </w:r>
    </w:p>
    <w:p w14:paraId="40716FDB">
      <w:pPr>
        <w:snapToGrid w:val="0"/>
        <w:spacing w:before="120" w:beforeLines="50"/>
        <w:rPr>
          <w:rFonts w:ascii="宋体" w:hAnsi="宋体"/>
          <w:color w:val="auto"/>
          <w:sz w:val="24"/>
          <w:szCs w:val="20"/>
          <w:highlight w:val="none"/>
        </w:rPr>
      </w:pPr>
    </w:p>
    <w:p w14:paraId="5B954985">
      <w:pPr>
        <w:snapToGrid w:val="0"/>
        <w:spacing w:before="120" w:beforeLines="50" w:after="50"/>
        <w:jc w:val="left"/>
        <w:rPr>
          <w:rFonts w:ascii="宋体" w:hAnsi="宋体"/>
          <w:color w:val="auto"/>
          <w:sz w:val="24"/>
          <w:szCs w:val="20"/>
          <w:highlight w:val="none"/>
        </w:rPr>
      </w:pPr>
    </w:p>
    <w:p w14:paraId="5410C27B">
      <w:pPr>
        <w:snapToGrid w:val="0"/>
        <w:spacing w:before="120" w:beforeLines="50" w:after="50"/>
        <w:jc w:val="left"/>
        <w:rPr>
          <w:rFonts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rPr>
        <w:t>7.投标人业绩证明材料</w:t>
      </w:r>
    </w:p>
    <w:p w14:paraId="78479212">
      <w:pPr>
        <w:pStyle w:val="29"/>
        <w:snapToGrid w:val="0"/>
        <w:ind w:left="480" w:hanging="480"/>
        <w:rPr>
          <w:rFonts w:ascii="宋体" w:hAnsi="宋体"/>
          <w:color w:val="auto"/>
          <w:sz w:val="24"/>
          <w:highlight w:val="none"/>
        </w:rPr>
      </w:pPr>
    </w:p>
    <w:p w14:paraId="0235D8A3">
      <w:pPr>
        <w:pStyle w:val="29"/>
        <w:snapToGrid w:val="0"/>
        <w:ind w:left="480" w:hanging="480"/>
        <w:rPr>
          <w:rFonts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3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3"/>
        <w:gridCol w:w="1770"/>
        <w:gridCol w:w="1770"/>
        <w:gridCol w:w="2855"/>
      </w:tblGrid>
      <w:tr w14:paraId="3D2A6D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133" w:type="dxa"/>
            <w:vMerge w:val="restart"/>
            <w:tcBorders>
              <w:top w:val="single" w:color="auto" w:sz="4" w:space="0"/>
              <w:left w:val="single" w:color="auto" w:sz="4" w:space="0"/>
              <w:bottom w:val="single" w:color="auto" w:sz="4" w:space="0"/>
              <w:right w:val="single" w:color="auto" w:sz="4" w:space="0"/>
            </w:tcBorders>
            <w:vAlign w:val="center"/>
          </w:tcPr>
          <w:p w14:paraId="0AC22EDC">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14:paraId="2FE2CA41">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14:paraId="24DD7942">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合同金额</w:t>
            </w:r>
          </w:p>
          <w:p w14:paraId="3F7D6400">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2855" w:type="dxa"/>
            <w:vMerge w:val="restart"/>
            <w:tcBorders>
              <w:top w:val="single" w:color="auto" w:sz="4" w:space="0"/>
              <w:left w:val="single" w:color="auto" w:sz="4" w:space="0"/>
              <w:bottom w:val="single" w:color="auto" w:sz="4" w:space="0"/>
              <w:right w:val="single" w:color="auto" w:sz="4" w:space="0"/>
            </w:tcBorders>
            <w:vAlign w:val="center"/>
          </w:tcPr>
          <w:p w14:paraId="177E9886">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w:t>
            </w:r>
          </w:p>
          <w:p w14:paraId="2EA549F4">
            <w:pPr>
              <w:snapToGrid w:val="0"/>
              <w:spacing w:line="240" w:lineRule="exact"/>
              <w:jc w:val="center"/>
              <w:rPr>
                <w:rFonts w:ascii="宋体" w:hAnsi="宋体"/>
                <w:color w:val="auto"/>
                <w:sz w:val="24"/>
                <w:highlight w:val="none"/>
              </w:rPr>
            </w:pPr>
            <w:r>
              <w:rPr>
                <w:rFonts w:hint="eastAsia" w:ascii="宋体" w:hAnsi="宋体"/>
                <w:color w:val="auto"/>
                <w:sz w:val="24"/>
                <w:highlight w:val="none"/>
              </w:rPr>
              <w:t>联系电话</w:t>
            </w:r>
          </w:p>
        </w:tc>
      </w:tr>
      <w:tr w14:paraId="626196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133" w:type="dxa"/>
            <w:vMerge w:val="continue"/>
            <w:tcBorders>
              <w:top w:val="single" w:color="auto" w:sz="4" w:space="0"/>
              <w:left w:val="single" w:color="auto" w:sz="4" w:space="0"/>
              <w:bottom w:val="single" w:color="auto" w:sz="4" w:space="0"/>
              <w:right w:val="single" w:color="auto" w:sz="4" w:space="0"/>
            </w:tcBorders>
            <w:vAlign w:val="center"/>
          </w:tcPr>
          <w:p w14:paraId="3D4903BE">
            <w:pPr>
              <w:jc w:val="left"/>
              <w:rPr>
                <w:rFonts w:ascii="宋体" w:hAnsi="宋体"/>
                <w:color w:val="auto"/>
                <w:sz w:val="24"/>
                <w:highlight w:val="none"/>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14:paraId="11DF6BBC">
            <w:pPr>
              <w:jc w:val="left"/>
              <w:rPr>
                <w:rFonts w:ascii="宋体" w:hAnsi="宋体"/>
                <w:color w:val="auto"/>
                <w:sz w:val="24"/>
                <w:highlight w:val="none"/>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14:paraId="0C45610A">
            <w:pPr>
              <w:jc w:val="left"/>
              <w:rPr>
                <w:rFonts w:ascii="宋体" w:hAnsi="宋体"/>
                <w:color w:val="auto"/>
                <w:sz w:val="24"/>
                <w:highlight w:val="none"/>
              </w:rPr>
            </w:pPr>
          </w:p>
        </w:tc>
        <w:tc>
          <w:tcPr>
            <w:tcW w:w="2855" w:type="dxa"/>
            <w:vMerge w:val="continue"/>
            <w:tcBorders>
              <w:top w:val="single" w:color="auto" w:sz="4" w:space="0"/>
              <w:left w:val="single" w:color="auto" w:sz="4" w:space="0"/>
              <w:bottom w:val="single" w:color="auto" w:sz="4" w:space="0"/>
              <w:right w:val="single" w:color="auto" w:sz="4" w:space="0"/>
            </w:tcBorders>
            <w:vAlign w:val="center"/>
          </w:tcPr>
          <w:p w14:paraId="2264680E">
            <w:pPr>
              <w:jc w:val="left"/>
              <w:rPr>
                <w:rFonts w:ascii="宋体" w:hAnsi="宋体"/>
                <w:color w:val="auto"/>
                <w:sz w:val="24"/>
                <w:highlight w:val="none"/>
              </w:rPr>
            </w:pPr>
          </w:p>
        </w:tc>
      </w:tr>
      <w:tr w14:paraId="63FF8D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133" w:type="dxa"/>
            <w:tcBorders>
              <w:top w:val="single" w:color="auto" w:sz="4" w:space="0"/>
              <w:left w:val="single" w:color="auto" w:sz="4" w:space="0"/>
              <w:bottom w:val="single" w:color="auto" w:sz="4" w:space="0"/>
              <w:right w:val="single" w:color="auto" w:sz="4" w:space="0"/>
            </w:tcBorders>
          </w:tcPr>
          <w:p w14:paraId="7FE28942">
            <w:pPr>
              <w:snapToGrid w:val="0"/>
              <w:spacing w:line="24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6440CAC7">
            <w:pPr>
              <w:snapToGrid w:val="0"/>
              <w:spacing w:line="24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6A65E475">
            <w:pPr>
              <w:snapToGrid w:val="0"/>
              <w:spacing w:line="240" w:lineRule="exact"/>
              <w:jc w:val="left"/>
              <w:rPr>
                <w:rFonts w:ascii="宋体" w:hAnsi="宋体"/>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2351C91B">
            <w:pPr>
              <w:snapToGrid w:val="0"/>
              <w:spacing w:line="240" w:lineRule="exact"/>
              <w:jc w:val="left"/>
              <w:rPr>
                <w:rFonts w:ascii="宋体" w:hAnsi="宋体"/>
                <w:color w:val="auto"/>
                <w:sz w:val="24"/>
                <w:highlight w:val="none"/>
              </w:rPr>
            </w:pPr>
          </w:p>
        </w:tc>
      </w:tr>
      <w:tr w14:paraId="71D73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14:paraId="18451071">
            <w:pPr>
              <w:snapToGrid w:val="0"/>
              <w:spacing w:before="50" w:after="120" w:afterLines="50" w:line="40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47ED0529">
            <w:pPr>
              <w:snapToGrid w:val="0"/>
              <w:spacing w:before="50" w:after="120" w:afterLines="50" w:line="40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0EAF7F36">
            <w:pPr>
              <w:snapToGrid w:val="0"/>
              <w:spacing w:before="50" w:after="120" w:afterLines="50" w:line="400" w:lineRule="exact"/>
              <w:jc w:val="left"/>
              <w:rPr>
                <w:rFonts w:ascii="宋体" w:hAnsi="宋体"/>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72C935E4">
            <w:pPr>
              <w:snapToGrid w:val="0"/>
              <w:spacing w:before="50" w:after="120" w:afterLines="50" w:line="400" w:lineRule="exact"/>
              <w:jc w:val="left"/>
              <w:rPr>
                <w:rFonts w:ascii="宋体" w:hAnsi="宋体"/>
                <w:color w:val="auto"/>
                <w:sz w:val="24"/>
                <w:highlight w:val="none"/>
              </w:rPr>
            </w:pPr>
          </w:p>
        </w:tc>
      </w:tr>
      <w:tr w14:paraId="39B762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133" w:type="dxa"/>
            <w:tcBorders>
              <w:top w:val="single" w:color="auto" w:sz="4" w:space="0"/>
              <w:left w:val="single" w:color="auto" w:sz="4" w:space="0"/>
              <w:bottom w:val="single" w:color="auto" w:sz="4" w:space="0"/>
              <w:right w:val="single" w:color="auto" w:sz="4" w:space="0"/>
            </w:tcBorders>
          </w:tcPr>
          <w:p w14:paraId="1448DE14">
            <w:pPr>
              <w:snapToGrid w:val="0"/>
              <w:spacing w:before="50" w:after="120" w:afterLines="50" w:line="40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37384586">
            <w:pPr>
              <w:snapToGrid w:val="0"/>
              <w:spacing w:before="50" w:after="120" w:afterLines="50" w:line="40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67CE9568">
            <w:pPr>
              <w:snapToGrid w:val="0"/>
              <w:spacing w:before="50" w:after="120" w:afterLines="50" w:line="400" w:lineRule="exact"/>
              <w:jc w:val="left"/>
              <w:rPr>
                <w:rFonts w:ascii="宋体" w:hAnsi="宋体"/>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176A0200">
            <w:pPr>
              <w:snapToGrid w:val="0"/>
              <w:spacing w:before="50" w:after="120" w:afterLines="50" w:line="400" w:lineRule="exact"/>
              <w:jc w:val="left"/>
              <w:rPr>
                <w:rFonts w:ascii="宋体" w:hAnsi="宋体"/>
                <w:color w:val="auto"/>
                <w:sz w:val="24"/>
                <w:highlight w:val="none"/>
              </w:rPr>
            </w:pPr>
          </w:p>
        </w:tc>
      </w:tr>
      <w:tr w14:paraId="3E0A63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14:paraId="36D34940">
            <w:pPr>
              <w:snapToGrid w:val="0"/>
              <w:spacing w:before="50" w:after="120" w:afterLines="50" w:line="40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0B3CC259">
            <w:pPr>
              <w:snapToGrid w:val="0"/>
              <w:spacing w:before="50" w:after="120" w:afterLines="50" w:line="40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5C10C827">
            <w:pPr>
              <w:snapToGrid w:val="0"/>
              <w:spacing w:before="50" w:after="120" w:afterLines="50" w:line="400" w:lineRule="exact"/>
              <w:jc w:val="left"/>
              <w:rPr>
                <w:rFonts w:ascii="宋体" w:hAnsi="宋体"/>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50BFC1A8">
            <w:pPr>
              <w:snapToGrid w:val="0"/>
              <w:spacing w:before="50" w:after="120" w:afterLines="50" w:line="400" w:lineRule="exact"/>
              <w:jc w:val="left"/>
              <w:rPr>
                <w:rFonts w:ascii="宋体" w:hAnsi="宋体"/>
                <w:color w:val="auto"/>
                <w:sz w:val="24"/>
                <w:highlight w:val="none"/>
              </w:rPr>
            </w:pPr>
          </w:p>
        </w:tc>
      </w:tr>
      <w:tr w14:paraId="0EC6AA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14:paraId="559D88D4">
            <w:pPr>
              <w:snapToGrid w:val="0"/>
              <w:spacing w:before="50" w:after="120" w:afterLines="50" w:line="40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3D2BF605">
            <w:pPr>
              <w:snapToGrid w:val="0"/>
              <w:spacing w:before="50" w:after="120" w:afterLines="50" w:line="400" w:lineRule="exact"/>
              <w:jc w:val="left"/>
              <w:rPr>
                <w:rFonts w:ascii="宋体" w:hAnsi="宋体"/>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tcPr>
          <w:p w14:paraId="4A1D1EBA">
            <w:pPr>
              <w:snapToGrid w:val="0"/>
              <w:spacing w:before="50" w:after="120" w:afterLines="50" w:line="400" w:lineRule="exact"/>
              <w:jc w:val="left"/>
              <w:rPr>
                <w:rFonts w:ascii="宋体" w:hAnsi="宋体"/>
                <w:color w:val="auto"/>
                <w:sz w:val="24"/>
                <w:highlight w:val="none"/>
              </w:rPr>
            </w:pPr>
          </w:p>
        </w:tc>
        <w:tc>
          <w:tcPr>
            <w:tcW w:w="2855" w:type="dxa"/>
            <w:tcBorders>
              <w:top w:val="single" w:color="auto" w:sz="4" w:space="0"/>
              <w:left w:val="single" w:color="auto" w:sz="4" w:space="0"/>
              <w:bottom w:val="single" w:color="auto" w:sz="4" w:space="0"/>
              <w:right w:val="single" w:color="auto" w:sz="4" w:space="0"/>
            </w:tcBorders>
          </w:tcPr>
          <w:p w14:paraId="63744B73">
            <w:pPr>
              <w:snapToGrid w:val="0"/>
              <w:spacing w:before="50" w:after="120" w:afterLines="50" w:line="400" w:lineRule="exact"/>
              <w:jc w:val="left"/>
              <w:rPr>
                <w:rFonts w:ascii="宋体" w:hAnsi="宋体"/>
                <w:color w:val="auto"/>
                <w:sz w:val="24"/>
                <w:highlight w:val="none"/>
              </w:rPr>
            </w:pPr>
          </w:p>
        </w:tc>
      </w:tr>
    </w:tbl>
    <w:p w14:paraId="093756D6">
      <w:pPr>
        <w:pStyle w:val="11"/>
        <w:spacing w:before="0" w:after="0" w:line="360" w:lineRule="auto"/>
        <w:contextualSpacing/>
        <w:rPr>
          <w:rFonts w:ascii="宋体" w:hAnsi="宋体" w:eastAsia="宋体"/>
          <w:color w:val="auto"/>
          <w:sz w:val="24"/>
          <w:szCs w:val="24"/>
          <w:highlight w:val="none"/>
        </w:rPr>
      </w:pPr>
    </w:p>
    <w:p w14:paraId="6409785F">
      <w:pPr>
        <w:pStyle w:val="11"/>
        <w:spacing w:before="0" w:after="0" w:line="360" w:lineRule="auto"/>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14:paraId="0E633223">
      <w:pPr>
        <w:pStyle w:val="11"/>
        <w:spacing w:before="0" w:after="0" w:line="360" w:lineRule="auto"/>
        <w:contextualSpacing/>
        <w:jc w:val="left"/>
        <w:rPr>
          <w:rFonts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w:t>
      </w:r>
      <w:r>
        <w:rPr>
          <w:rFonts w:hint="eastAsia" w:ascii="宋体" w:hAnsi="宋体" w:eastAsia="宋体"/>
          <w:color w:val="auto"/>
          <w:sz w:val="24"/>
          <w:szCs w:val="24"/>
          <w:highlight w:val="none"/>
          <w:u w:val="single"/>
        </w:rPr>
        <w:t>　　　　　</w:t>
      </w:r>
    </w:p>
    <w:p w14:paraId="7F576B36">
      <w:pPr>
        <w:spacing w:line="360" w:lineRule="auto"/>
        <w:ind w:right="480"/>
        <w:contextualSpacing/>
        <w:jc w:val="left"/>
        <w:rPr>
          <w:rFonts w:ascii="宋体" w:hAnsi="宋体"/>
          <w:color w:val="auto"/>
          <w:sz w:val="24"/>
          <w:szCs w:val="20"/>
          <w:highlight w:val="none"/>
        </w:rPr>
      </w:pPr>
      <w:r>
        <w:rPr>
          <w:rFonts w:hint="eastAsia" w:ascii="宋体" w:hAnsi="宋体" w:cs="Arial"/>
          <w:color w:val="auto"/>
          <w:sz w:val="24"/>
          <w:highlight w:val="none"/>
        </w:rPr>
        <w:t xml:space="preserve">投标人（盖公章）：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2B4CA738">
      <w:pPr>
        <w:snapToGrid w:val="0"/>
        <w:spacing w:before="50"/>
        <w:ind w:firstLine="480" w:firstLineChars="200"/>
        <w:jc w:val="left"/>
        <w:rPr>
          <w:rFonts w:ascii="宋体" w:hAnsi="宋体"/>
          <w:color w:val="auto"/>
          <w:sz w:val="24"/>
          <w:szCs w:val="20"/>
          <w:highlight w:val="none"/>
        </w:rPr>
      </w:pPr>
    </w:p>
    <w:p w14:paraId="24A058EB">
      <w:pPr>
        <w:snapToGrid w:val="0"/>
        <w:spacing w:before="50"/>
        <w:jc w:val="left"/>
        <w:rPr>
          <w:rFonts w:ascii="宋体" w:hAnsi="宋体"/>
          <w:color w:val="auto"/>
          <w:sz w:val="24"/>
          <w:highlight w:val="none"/>
        </w:rPr>
      </w:pPr>
    </w:p>
    <w:p w14:paraId="0A959A27">
      <w:pPr>
        <w:snapToGrid w:val="0"/>
        <w:spacing w:before="120" w:beforeLines="50"/>
        <w:rPr>
          <w:rFonts w:ascii="宋体" w:hAnsi="宋体"/>
          <w:color w:val="auto"/>
          <w:sz w:val="24"/>
          <w:szCs w:val="20"/>
          <w:highlight w:val="none"/>
        </w:rPr>
        <w:sectPr>
          <w:headerReference r:id="rId9" w:type="default"/>
          <w:footerReference r:id="rId10" w:type="default"/>
          <w:pgSz w:w="11906" w:h="16838"/>
          <w:pgMar w:top="1440" w:right="1797" w:bottom="1440" w:left="1797" w:header="851" w:footer="992" w:gutter="0"/>
          <w:pgNumType w:fmt="decimal"/>
          <w:cols w:space="720" w:num="1"/>
          <w:docGrid w:linePitch="312" w:charSpace="0"/>
        </w:sectPr>
      </w:pPr>
    </w:p>
    <w:p w14:paraId="6B9E5822">
      <w:pPr>
        <w:rPr>
          <w:b/>
          <w:color w:val="auto"/>
          <w:sz w:val="28"/>
          <w:szCs w:val="28"/>
          <w:highlight w:val="none"/>
        </w:rPr>
      </w:pPr>
      <w:r>
        <w:rPr>
          <w:rFonts w:hint="eastAsia"/>
          <w:b/>
          <w:color w:val="auto"/>
          <w:sz w:val="28"/>
          <w:szCs w:val="28"/>
          <w:highlight w:val="none"/>
        </w:rPr>
        <w:t>四、技术文件格式</w:t>
      </w:r>
    </w:p>
    <w:p w14:paraId="00CBD2D3">
      <w:pPr>
        <w:snapToGrid w:val="0"/>
        <w:spacing w:before="165" w:beforeLines="50" w:after="50"/>
        <w:ind w:left="142"/>
        <w:jc w:val="left"/>
        <w:rPr>
          <w:rFonts w:ascii="宋体" w:hAnsi="宋体"/>
          <w:b/>
          <w:color w:val="auto"/>
          <w:sz w:val="24"/>
          <w:highlight w:val="none"/>
        </w:rPr>
      </w:pPr>
      <w:r>
        <w:rPr>
          <w:rFonts w:hint="eastAsia" w:ascii="宋体" w:hAnsi="宋体"/>
          <w:b/>
          <w:color w:val="auto"/>
          <w:sz w:val="24"/>
          <w:highlight w:val="none"/>
        </w:rPr>
        <w:t xml:space="preserve">1. 技术文件封面格式： </w:t>
      </w:r>
    </w:p>
    <w:p w14:paraId="624615C9">
      <w:pPr>
        <w:snapToGrid w:val="0"/>
        <w:spacing w:before="165" w:beforeLines="50" w:after="50"/>
        <w:rPr>
          <w:rFonts w:ascii="宋体" w:hAnsi="宋体"/>
          <w:b/>
          <w:bCs/>
          <w:color w:val="auto"/>
          <w:sz w:val="32"/>
          <w:szCs w:val="20"/>
          <w:highlight w:val="none"/>
        </w:rPr>
      </w:pPr>
      <w:r>
        <w:rPr>
          <w:rFonts w:hint="eastAsia" w:ascii="宋体" w:hAnsi="宋体"/>
          <w:color w:val="auto"/>
          <w:sz w:val="24"/>
          <w:highlight w:val="none"/>
        </w:rPr>
        <w:t xml:space="preserve">                                                   </w:t>
      </w:r>
    </w:p>
    <w:p w14:paraId="3DB53B5B">
      <w:pPr>
        <w:snapToGrid w:val="0"/>
        <w:spacing w:before="165" w:beforeLines="50" w:after="50"/>
        <w:rPr>
          <w:rFonts w:ascii="宋体" w:hAnsi="宋体"/>
          <w:color w:val="auto"/>
          <w:sz w:val="24"/>
          <w:szCs w:val="20"/>
          <w:highlight w:val="none"/>
        </w:rPr>
      </w:pPr>
    </w:p>
    <w:p w14:paraId="43308A12">
      <w:pPr>
        <w:snapToGrid w:val="0"/>
        <w:spacing w:before="165" w:beforeLines="50" w:after="50"/>
        <w:rPr>
          <w:rFonts w:ascii="宋体" w:hAnsi="宋体"/>
          <w:color w:val="auto"/>
          <w:sz w:val="24"/>
          <w:szCs w:val="20"/>
          <w:highlight w:val="none"/>
        </w:rPr>
      </w:pPr>
    </w:p>
    <w:p w14:paraId="4EC54330">
      <w:pPr>
        <w:snapToGrid w:val="0"/>
        <w:spacing w:before="165" w:beforeLines="50" w:after="50"/>
        <w:jc w:val="center"/>
        <w:rPr>
          <w:rFonts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60B6646E">
      <w:pPr>
        <w:snapToGrid w:val="0"/>
        <w:spacing w:before="165" w:beforeLines="50" w:after="50"/>
        <w:rPr>
          <w:rFonts w:ascii="宋体" w:hAnsi="宋体"/>
          <w:color w:val="auto"/>
          <w:sz w:val="24"/>
          <w:szCs w:val="20"/>
          <w:highlight w:val="none"/>
        </w:rPr>
      </w:pPr>
    </w:p>
    <w:p w14:paraId="3F312DF6">
      <w:pPr>
        <w:snapToGrid w:val="0"/>
        <w:spacing w:before="165" w:beforeLines="50" w:after="50"/>
        <w:rPr>
          <w:rFonts w:ascii="宋体" w:hAnsi="宋体"/>
          <w:color w:val="auto"/>
          <w:sz w:val="24"/>
          <w:szCs w:val="20"/>
          <w:highlight w:val="none"/>
        </w:rPr>
      </w:pPr>
    </w:p>
    <w:p w14:paraId="26971E2A">
      <w:pPr>
        <w:snapToGrid w:val="0"/>
        <w:spacing w:before="165" w:beforeLines="50" w:after="50"/>
        <w:jc w:val="center"/>
        <w:rPr>
          <w:rFonts w:ascii="宋体" w:hAnsi="宋体"/>
          <w:b/>
          <w:bCs/>
          <w:color w:val="auto"/>
          <w:sz w:val="32"/>
          <w:szCs w:val="32"/>
          <w:highlight w:val="none"/>
        </w:rPr>
      </w:pPr>
      <w:r>
        <w:rPr>
          <w:rFonts w:hint="eastAsia" w:ascii="宋体" w:hAnsi="宋体"/>
          <w:b/>
          <w:bCs/>
          <w:color w:val="auto"/>
          <w:sz w:val="32"/>
          <w:szCs w:val="32"/>
          <w:highlight w:val="none"/>
        </w:rPr>
        <w:t>技  术  文  件</w:t>
      </w:r>
    </w:p>
    <w:p w14:paraId="5013D6B9">
      <w:pPr>
        <w:snapToGrid w:val="0"/>
        <w:spacing w:before="165" w:beforeLines="50" w:after="50"/>
        <w:rPr>
          <w:rFonts w:ascii="宋体" w:hAnsi="宋体"/>
          <w:bCs/>
          <w:color w:val="auto"/>
          <w:sz w:val="24"/>
          <w:szCs w:val="20"/>
          <w:highlight w:val="none"/>
        </w:rPr>
      </w:pPr>
    </w:p>
    <w:p w14:paraId="0FF38FD1">
      <w:pPr>
        <w:snapToGrid w:val="0"/>
        <w:spacing w:before="165" w:beforeLines="50" w:after="50"/>
        <w:rPr>
          <w:rFonts w:ascii="宋体" w:hAnsi="宋体"/>
          <w:bCs/>
          <w:color w:val="auto"/>
          <w:sz w:val="24"/>
          <w:szCs w:val="20"/>
          <w:highlight w:val="none"/>
        </w:rPr>
      </w:pPr>
    </w:p>
    <w:p w14:paraId="17938C28">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011F7208">
      <w:pPr>
        <w:snapToGrid w:val="0"/>
        <w:spacing w:before="165" w:beforeLines="50" w:after="50" w:line="400" w:lineRule="exact"/>
        <w:ind w:firstLine="360" w:firstLineChars="150"/>
        <w:rPr>
          <w:rFonts w:ascii="宋体" w:hAnsi="宋体"/>
          <w:bCs/>
          <w:color w:val="auto"/>
          <w:sz w:val="24"/>
          <w:szCs w:val="20"/>
          <w:highlight w:val="none"/>
        </w:rPr>
      </w:pPr>
    </w:p>
    <w:p w14:paraId="646B647A">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2DE582E7">
      <w:pPr>
        <w:snapToGrid w:val="0"/>
        <w:spacing w:before="165" w:beforeLines="50" w:after="50" w:line="400" w:lineRule="exact"/>
        <w:ind w:firstLine="360" w:firstLineChars="150"/>
        <w:rPr>
          <w:rFonts w:ascii="宋体" w:hAnsi="宋体"/>
          <w:bCs/>
          <w:color w:val="auto"/>
          <w:sz w:val="24"/>
          <w:highlight w:val="none"/>
        </w:rPr>
      </w:pPr>
    </w:p>
    <w:p w14:paraId="4B3E79C0">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440DADF6">
      <w:pPr>
        <w:snapToGrid w:val="0"/>
        <w:spacing w:before="165" w:beforeLines="50" w:after="50" w:line="400" w:lineRule="exact"/>
        <w:ind w:firstLine="360" w:firstLineChars="150"/>
        <w:rPr>
          <w:rFonts w:ascii="宋体" w:hAnsi="宋体"/>
          <w:bCs/>
          <w:color w:val="auto"/>
          <w:sz w:val="24"/>
          <w:highlight w:val="none"/>
        </w:rPr>
      </w:pPr>
    </w:p>
    <w:p w14:paraId="73AB2816">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56C160FC">
      <w:pPr>
        <w:snapToGrid w:val="0"/>
        <w:spacing w:before="165" w:beforeLines="50" w:after="50" w:line="400" w:lineRule="exact"/>
        <w:ind w:firstLine="360" w:firstLineChars="150"/>
        <w:rPr>
          <w:rFonts w:ascii="宋体" w:hAnsi="宋体"/>
          <w:bCs/>
          <w:color w:val="auto"/>
          <w:sz w:val="24"/>
          <w:highlight w:val="none"/>
        </w:rPr>
      </w:pPr>
    </w:p>
    <w:p w14:paraId="3B56B2E5">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254F3510">
      <w:pPr>
        <w:snapToGrid w:val="0"/>
        <w:spacing w:before="165" w:beforeLines="50" w:after="50" w:line="400" w:lineRule="exact"/>
        <w:ind w:firstLine="360" w:firstLineChars="150"/>
        <w:rPr>
          <w:rFonts w:ascii="宋体" w:hAnsi="宋体"/>
          <w:bCs/>
          <w:color w:val="auto"/>
          <w:sz w:val="24"/>
          <w:highlight w:val="none"/>
        </w:rPr>
      </w:pPr>
    </w:p>
    <w:p w14:paraId="7C8953CD">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 xml:space="preserve">               </w:t>
      </w:r>
    </w:p>
    <w:p w14:paraId="3A8A3CFE">
      <w:pPr>
        <w:snapToGrid w:val="0"/>
        <w:spacing w:before="165" w:beforeLines="50" w:after="50"/>
        <w:ind w:firstLine="645"/>
        <w:jc w:val="center"/>
        <w:rPr>
          <w:rFonts w:ascii="宋体" w:hAnsi="宋体"/>
          <w:color w:val="auto"/>
          <w:sz w:val="24"/>
          <w:highlight w:val="none"/>
        </w:rPr>
      </w:pPr>
    </w:p>
    <w:p w14:paraId="78AA9EEF">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362FC469">
      <w:pPr>
        <w:snapToGrid w:val="0"/>
        <w:spacing w:before="165" w:beforeLines="50" w:after="50"/>
        <w:ind w:firstLine="645"/>
        <w:jc w:val="center"/>
        <w:rPr>
          <w:rFonts w:ascii="宋体" w:hAnsi="宋体"/>
          <w:color w:val="auto"/>
          <w:sz w:val="24"/>
          <w:szCs w:val="20"/>
          <w:highlight w:val="none"/>
        </w:rPr>
      </w:pPr>
    </w:p>
    <w:p w14:paraId="66B30F29">
      <w:pPr>
        <w:snapToGrid w:val="0"/>
        <w:spacing w:before="165" w:beforeLines="50" w:after="50"/>
        <w:ind w:left="142"/>
        <w:jc w:val="left"/>
        <w:rPr>
          <w:rFonts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2.技术文件目录</w:t>
      </w:r>
    </w:p>
    <w:p w14:paraId="6976CCFB">
      <w:pPr>
        <w:snapToGrid w:val="0"/>
        <w:spacing w:before="50" w:after="165" w:afterLines="5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根据招标文件规定及投标人提供的材料自行编写目录。</w:t>
      </w:r>
    </w:p>
    <w:p w14:paraId="15A17090">
      <w:pPr>
        <w:snapToGrid w:val="0"/>
        <w:spacing w:before="165"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技术要求偏离表格式</w:t>
      </w:r>
    </w:p>
    <w:p w14:paraId="22A0E358">
      <w:pPr>
        <w:snapToGrid w:val="0"/>
        <w:spacing w:before="165" w:beforeLines="50" w:after="50"/>
        <w:ind w:left="142"/>
        <w:jc w:val="left"/>
        <w:rPr>
          <w:rFonts w:ascii="宋体" w:hAnsi="宋体"/>
          <w:b/>
          <w:color w:val="auto"/>
          <w:sz w:val="24"/>
          <w:highlight w:val="none"/>
        </w:rPr>
      </w:pPr>
    </w:p>
    <w:p w14:paraId="22458FEA">
      <w:pPr>
        <w:snapToGrid w:val="0"/>
        <w:spacing w:before="165"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技术要求偏离表</w:t>
      </w:r>
    </w:p>
    <w:p w14:paraId="5C2E9926">
      <w:pPr>
        <w:pStyle w:val="19"/>
        <w:rPr>
          <w:rFonts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73B6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4AB71F48">
            <w:pPr>
              <w:pStyle w:val="19"/>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项号</w:t>
            </w:r>
          </w:p>
        </w:tc>
        <w:tc>
          <w:tcPr>
            <w:tcW w:w="2143" w:type="dxa"/>
            <w:vAlign w:val="center"/>
          </w:tcPr>
          <w:p w14:paraId="715742E2">
            <w:pPr>
              <w:pStyle w:val="19"/>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标的的名称</w:t>
            </w:r>
          </w:p>
        </w:tc>
        <w:tc>
          <w:tcPr>
            <w:tcW w:w="1834" w:type="dxa"/>
            <w:vAlign w:val="center"/>
          </w:tcPr>
          <w:p w14:paraId="59F76E29">
            <w:pPr>
              <w:pStyle w:val="19"/>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技术要求</w:t>
            </w:r>
          </w:p>
        </w:tc>
        <w:tc>
          <w:tcPr>
            <w:tcW w:w="2181" w:type="dxa"/>
            <w:vAlign w:val="center"/>
          </w:tcPr>
          <w:p w14:paraId="652CE90C">
            <w:pPr>
              <w:pStyle w:val="19"/>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投标响应</w:t>
            </w:r>
          </w:p>
        </w:tc>
        <w:tc>
          <w:tcPr>
            <w:tcW w:w="1934" w:type="dxa"/>
            <w:vAlign w:val="center"/>
          </w:tcPr>
          <w:p w14:paraId="61EF6A34">
            <w:pPr>
              <w:pStyle w:val="19"/>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偏离说明</w:t>
            </w:r>
          </w:p>
        </w:tc>
      </w:tr>
      <w:tr w14:paraId="0578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81EF2CF">
            <w:pPr>
              <w:pStyle w:val="19"/>
              <w:spacing w:line="600" w:lineRule="exact"/>
              <w:jc w:val="center"/>
              <w:rPr>
                <w:rFonts w:hAnsi="宋体" w:cs="Courier New"/>
                <w:color w:val="auto"/>
                <w:sz w:val="24"/>
                <w:szCs w:val="24"/>
                <w:highlight w:val="none"/>
              </w:rPr>
            </w:pPr>
          </w:p>
        </w:tc>
        <w:tc>
          <w:tcPr>
            <w:tcW w:w="2143" w:type="dxa"/>
            <w:vAlign w:val="center"/>
          </w:tcPr>
          <w:p w14:paraId="1375F6A6">
            <w:pPr>
              <w:pStyle w:val="19"/>
              <w:spacing w:line="600" w:lineRule="exact"/>
              <w:jc w:val="center"/>
              <w:rPr>
                <w:rFonts w:hAnsi="宋体" w:cs="Courier New"/>
                <w:color w:val="auto"/>
                <w:sz w:val="24"/>
                <w:szCs w:val="24"/>
                <w:highlight w:val="none"/>
              </w:rPr>
            </w:pPr>
          </w:p>
        </w:tc>
        <w:tc>
          <w:tcPr>
            <w:tcW w:w="1834" w:type="dxa"/>
            <w:vAlign w:val="center"/>
          </w:tcPr>
          <w:p w14:paraId="1052542F">
            <w:pPr>
              <w:pStyle w:val="19"/>
              <w:spacing w:line="600" w:lineRule="exact"/>
              <w:jc w:val="center"/>
              <w:rPr>
                <w:rFonts w:hAnsi="宋体" w:cs="Courier New"/>
                <w:color w:val="auto"/>
                <w:sz w:val="24"/>
                <w:szCs w:val="24"/>
                <w:highlight w:val="none"/>
              </w:rPr>
            </w:pPr>
          </w:p>
        </w:tc>
        <w:tc>
          <w:tcPr>
            <w:tcW w:w="2181" w:type="dxa"/>
            <w:vAlign w:val="center"/>
          </w:tcPr>
          <w:p w14:paraId="55231A69">
            <w:pPr>
              <w:pStyle w:val="19"/>
              <w:spacing w:line="600" w:lineRule="exact"/>
              <w:jc w:val="center"/>
              <w:rPr>
                <w:rFonts w:hAnsi="宋体" w:cs="Courier New"/>
                <w:color w:val="auto"/>
                <w:sz w:val="24"/>
                <w:szCs w:val="24"/>
                <w:highlight w:val="none"/>
              </w:rPr>
            </w:pPr>
          </w:p>
        </w:tc>
        <w:tc>
          <w:tcPr>
            <w:tcW w:w="1934" w:type="dxa"/>
            <w:vAlign w:val="center"/>
          </w:tcPr>
          <w:p w14:paraId="531E5132">
            <w:pPr>
              <w:pStyle w:val="19"/>
              <w:spacing w:line="600" w:lineRule="exact"/>
              <w:jc w:val="center"/>
              <w:rPr>
                <w:rFonts w:hAnsi="宋体" w:cs="Courier New"/>
                <w:color w:val="auto"/>
                <w:sz w:val="24"/>
                <w:szCs w:val="24"/>
                <w:highlight w:val="none"/>
              </w:rPr>
            </w:pPr>
          </w:p>
        </w:tc>
      </w:tr>
      <w:tr w14:paraId="16DC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786F115">
            <w:pPr>
              <w:pStyle w:val="19"/>
              <w:spacing w:line="600" w:lineRule="exact"/>
              <w:rPr>
                <w:rFonts w:hAnsi="宋体" w:cs="Courier New"/>
                <w:color w:val="auto"/>
                <w:sz w:val="24"/>
                <w:szCs w:val="24"/>
                <w:highlight w:val="none"/>
              </w:rPr>
            </w:pPr>
          </w:p>
        </w:tc>
        <w:tc>
          <w:tcPr>
            <w:tcW w:w="2143" w:type="dxa"/>
          </w:tcPr>
          <w:p w14:paraId="4B2D3E90">
            <w:pPr>
              <w:pStyle w:val="19"/>
              <w:spacing w:line="600" w:lineRule="exact"/>
              <w:rPr>
                <w:rFonts w:hAnsi="宋体" w:cs="Courier New"/>
                <w:color w:val="auto"/>
                <w:sz w:val="24"/>
                <w:szCs w:val="24"/>
                <w:highlight w:val="none"/>
              </w:rPr>
            </w:pPr>
          </w:p>
        </w:tc>
        <w:tc>
          <w:tcPr>
            <w:tcW w:w="1834" w:type="dxa"/>
          </w:tcPr>
          <w:p w14:paraId="2E26E450">
            <w:pPr>
              <w:pStyle w:val="19"/>
              <w:spacing w:line="600" w:lineRule="exact"/>
              <w:rPr>
                <w:rFonts w:hAnsi="宋体" w:cs="Courier New"/>
                <w:color w:val="auto"/>
                <w:sz w:val="24"/>
                <w:szCs w:val="24"/>
                <w:highlight w:val="none"/>
              </w:rPr>
            </w:pPr>
          </w:p>
        </w:tc>
        <w:tc>
          <w:tcPr>
            <w:tcW w:w="2181" w:type="dxa"/>
          </w:tcPr>
          <w:p w14:paraId="6B94E89A">
            <w:pPr>
              <w:pStyle w:val="19"/>
              <w:spacing w:line="600" w:lineRule="exact"/>
              <w:rPr>
                <w:rFonts w:hAnsi="宋体" w:cs="Courier New"/>
                <w:color w:val="auto"/>
                <w:sz w:val="24"/>
                <w:szCs w:val="24"/>
                <w:highlight w:val="none"/>
              </w:rPr>
            </w:pPr>
          </w:p>
        </w:tc>
        <w:tc>
          <w:tcPr>
            <w:tcW w:w="1934" w:type="dxa"/>
          </w:tcPr>
          <w:p w14:paraId="42758DAA">
            <w:pPr>
              <w:pStyle w:val="19"/>
              <w:spacing w:line="600" w:lineRule="exact"/>
              <w:rPr>
                <w:rFonts w:hAnsi="宋体" w:cs="Courier New"/>
                <w:color w:val="auto"/>
                <w:sz w:val="24"/>
                <w:szCs w:val="24"/>
                <w:highlight w:val="none"/>
              </w:rPr>
            </w:pPr>
          </w:p>
        </w:tc>
      </w:tr>
      <w:tr w14:paraId="6D2E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955AD5A">
            <w:pPr>
              <w:pStyle w:val="19"/>
              <w:spacing w:line="600" w:lineRule="exact"/>
              <w:rPr>
                <w:rFonts w:hAnsi="宋体" w:cs="Courier New"/>
                <w:color w:val="auto"/>
                <w:sz w:val="24"/>
                <w:szCs w:val="24"/>
                <w:highlight w:val="none"/>
              </w:rPr>
            </w:pPr>
          </w:p>
        </w:tc>
        <w:tc>
          <w:tcPr>
            <w:tcW w:w="2143" w:type="dxa"/>
          </w:tcPr>
          <w:p w14:paraId="67CCD080">
            <w:pPr>
              <w:pStyle w:val="19"/>
              <w:spacing w:line="600" w:lineRule="exact"/>
              <w:rPr>
                <w:rFonts w:hAnsi="宋体" w:cs="Courier New"/>
                <w:color w:val="auto"/>
                <w:sz w:val="24"/>
                <w:szCs w:val="24"/>
                <w:highlight w:val="none"/>
              </w:rPr>
            </w:pPr>
          </w:p>
        </w:tc>
        <w:tc>
          <w:tcPr>
            <w:tcW w:w="1834" w:type="dxa"/>
          </w:tcPr>
          <w:p w14:paraId="49C69C7C">
            <w:pPr>
              <w:pStyle w:val="19"/>
              <w:spacing w:line="600" w:lineRule="exact"/>
              <w:rPr>
                <w:rFonts w:hAnsi="宋体" w:cs="Courier New"/>
                <w:color w:val="auto"/>
                <w:sz w:val="24"/>
                <w:szCs w:val="24"/>
                <w:highlight w:val="none"/>
              </w:rPr>
            </w:pPr>
          </w:p>
        </w:tc>
        <w:tc>
          <w:tcPr>
            <w:tcW w:w="2181" w:type="dxa"/>
          </w:tcPr>
          <w:p w14:paraId="6560B68A">
            <w:pPr>
              <w:pStyle w:val="19"/>
              <w:spacing w:line="600" w:lineRule="exact"/>
              <w:rPr>
                <w:rFonts w:hAnsi="宋体" w:cs="Courier New"/>
                <w:color w:val="auto"/>
                <w:sz w:val="24"/>
                <w:szCs w:val="24"/>
                <w:highlight w:val="none"/>
              </w:rPr>
            </w:pPr>
          </w:p>
        </w:tc>
        <w:tc>
          <w:tcPr>
            <w:tcW w:w="1934" w:type="dxa"/>
          </w:tcPr>
          <w:p w14:paraId="0F9DAD93">
            <w:pPr>
              <w:pStyle w:val="19"/>
              <w:spacing w:line="600" w:lineRule="exact"/>
              <w:rPr>
                <w:rFonts w:hAnsi="宋体" w:cs="Courier New"/>
                <w:color w:val="auto"/>
                <w:sz w:val="24"/>
                <w:szCs w:val="24"/>
                <w:highlight w:val="none"/>
              </w:rPr>
            </w:pPr>
          </w:p>
        </w:tc>
      </w:tr>
      <w:tr w14:paraId="109C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F5B5233">
            <w:pPr>
              <w:pStyle w:val="19"/>
              <w:spacing w:line="600" w:lineRule="exact"/>
              <w:rPr>
                <w:rFonts w:hAnsi="宋体" w:cs="Courier New"/>
                <w:color w:val="auto"/>
                <w:sz w:val="24"/>
                <w:szCs w:val="24"/>
                <w:highlight w:val="none"/>
              </w:rPr>
            </w:pPr>
          </w:p>
        </w:tc>
        <w:tc>
          <w:tcPr>
            <w:tcW w:w="2143" w:type="dxa"/>
          </w:tcPr>
          <w:p w14:paraId="09836B37">
            <w:pPr>
              <w:pStyle w:val="19"/>
              <w:spacing w:line="600" w:lineRule="exact"/>
              <w:rPr>
                <w:rFonts w:hAnsi="宋体" w:cs="Courier New"/>
                <w:color w:val="auto"/>
                <w:sz w:val="24"/>
                <w:szCs w:val="24"/>
                <w:highlight w:val="none"/>
              </w:rPr>
            </w:pPr>
          </w:p>
        </w:tc>
        <w:tc>
          <w:tcPr>
            <w:tcW w:w="1834" w:type="dxa"/>
          </w:tcPr>
          <w:p w14:paraId="78BC56A1">
            <w:pPr>
              <w:pStyle w:val="19"/>
              <w:spacing w:line="600" w:lineRule="exact"/>
              <w:rPr>
                <w:rFonts w:hAnsi="宋体" w:cs="Courier New"/>
                <w:color w:val="auto"/>
                <w:sz w:val="24"/>
                <w:szCs w:val="24"/>
                <w:highlight w:val="none"/>
              </w:rPr>
            </w:pPr>
          </w:p>
        </w:tc>
        <w:tc>
          <w:tcPr>
            <w:tcW w:w="2181" w:type="dxa"/>
          </w:tcPr>
          <w:p w14:paraId="35FF5782">
            <w:pPr>
              <w:pStyle w:val="19"/>
              <w:spacing w:line="600" w:lineRule="exact"/>
              <w:rPr>
                <w:rFonts w:hAnsi="宋体" w:cs="Courier New"/>
                <w:color w:val="auto"/>
                <w:sz w:val="24"/>
                <w:szCs w:val="24"/>
                <w:highlight w:val="none"/>
              </w:rPr>
            </w:pPr>
          </w:p>
        </w:tc>
        <w:tc>
          <w:tcPr>
            <w:tcW w:w="1934" w:type="dxa"/>
          </w:tcPr>
          <w:p w14:paraId="67CFBA5E">
            <w:pPr>
              <w:pStyle w:val="19"/>
              <w:spacing w:line="600" w:lineRule="exact"/>
              <w:rPr>
                <w:rFonts w:hAnsi="宋体" w:cs="Courier New"/>
                <w:color w:val="auto"/>
                <w:sz w:val="24"/>
                <w:szCs w:val="24"/>
                <w:highlight w:val="none"/>
              </w:rPr>
            </w:pPr>
          </w:p>
        </w:tc>
      </w:tr>
      <w:tr w14:paraId="4444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5DF76BE9">
            <w:pPr>
              <w:pStyle w:val="19"/>
              <w:spacing w:line="600" w:lineRule="exact"/>
              <w:rPr>
                <w:rFonts w:hAnsi="宋体" w:cs="Courier New"/>
                <w:color w:val="auto"/>
                <w:sz w:val="24"/>
                <w:szCs w:val="24"/>
                <w:highlight w:val="none"/>
              </w:rPr>
            </w:pPr>
          </w:p>
        </w:tc>
        <w:tc>
          <w:tcPr>
            <w:tcW w:w="2143" w:type="dxa"/>
          </w:tcPr>
          <w:p w14:paraId="3BE77E25">
            <w:pPr>
              <w:pStyle w:val="19"/>
              <w:spacing w:line="600" w:lineRule="exact"/>
              <w:rPr>
                <w:rFonts w:hAnsi="宋体" w:cs="Courier New"/>
                <w:color w:val="auto"/>
                <w:sz w:val="24"/>
                <w:szCs w:val="24"/>
                <w:highlight w:val="none"/>
              </w:rPr>
            </w:pPr>
          </w:p>
        </w:tc>
        <w:tc>
          <w:tcPr>
            <w:tcW w:w="1834" w:type="dxa"/>
          </w:tcPr>
          <w:p w14:paraId="75A679D7">
            <w:pPr>
              <w:pStyle w:val="19"/>
              <w:spacing w:line="600" w:lineRule="exact"/>
              <w:rPr>
                <w:rFonts w:hAnsi="宋体" w:cs="Courier New"/>
                <w:color w:val="auto"/>
                <w:sz w:val="24"/>
                <w:szCs w:val="24"/>
                <w:highlight w:val="none"/>
              </w:rPr>
            </w:pPr>
          </w:p>
        </w:tc>
        <w:tc>
          <w:tcPr>
            <w:tcW w:w="2181" w:type="dxa"/>
          </w:tcPr>
          <w:p w14:paraId="5EE58144">
            <w:pPr>
              <w:pStyle w:val="19"/>
              <w:spacing w:line="600" w:lineRule="exact"/>
              <w:rPr>
                <w:rFonts w:hAnsi="宋体" w:cs="Courier New"/>
                <w:color w:val="auto"/>
                <w:sz w:val="24"/>
                <w:szCs w:val="24"/>
                <w:highlight w:val="none"/>
              </w:rPr>
            </w:pPr>
          </w:p>
        </w:tc>
        <w:tc>
          <w:tcPr>
            <w:tcW w:w="1934" w:type="dxa"/>
          </w:tcPr>
          <w:p w14:paraId="059AAEFC">
            <w:pPr>
              <w:pStyle w:val="19"/>
              <w:spacing w:line="600" w:lineRule="exact"/>
              <w:rPr>
                <w:rFonts w:hAnsi="宋体" w:cs="Courier New"/>
                <w:color w:val="auto"/>
                <w:sz w:val="24"/>
                <w:szCs w:val="24"/>
                <w:highlight w:val="none"/>
              </w:rPr>
            </w:pPr>
          </w:p>
        </w:tc>
      </w:tr>
      <w:tr w14:paraId="16E6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2E21B83">
            <w:pPr>
              <w:pStyle w:val="19"/>
              <w:spacing w:line="600" w:lineRule="exact"/>
              <w:rPr>
                <w:rFonts w:hAnsi="宋体" w:cs="Courier New"/>
                <w:color w:val="auto"/>
                <w:sz w:val="24"/>
                <w:szCs w:val="24"/>
                <w:highlight w:val="none"/>
              </w:rPr>
            </w:pPr>
          </w:p>
        </w:tc>
        <w:tc>
          <w:tcPr>
            <w:tcW w:w="2143" w:type="dxa"/>
          </w:tcPr>
          <w:p w14:paraId="73FF5543">
            <w:pPr>
              <w:pStyle w:val="19"/>
              <w:spacing w:line="600" w:lineRule="exact"/>
              <w:rPr>
                <w:rFonts w:hAnsi="宋体" w:cs="Courier New"/>
                <w:color w:val="auto"/>
                <w:sz w:val="24"/>
                <w:szCs w:val="24"/>
                <w:highlight w:val="none"/>
              </w:rPr>
            </w:pPr>
          </w:p>
        </w:tc>
        <w:tc>
          <w:tcPr>
            <w:tcW w:w="1834" w:type="dxa"/>
          </w:tcPr>
          <w:p w14:paraId="0FA18212">
            <w:pPr>
              <w:pStyle w:val="19"/>
              <w:spacing w:line="600" w:lineRule="exact"/>
              <w:rPr>
                <w:rFonts w:hAnsi="宋体" w:cs="Courier New"/>
                <w:color w:val="auto"/>
                <w:sz w:val="24"/>
                <w:szCs w:val="24"/>
                <w:highlight w:val="none"/>
              </w:rPr>
            </w:pPr>
          </w:p>
        </w:tc>
        <w:tc>
          <w:tcPr>
            <w:tcW w:w="2181" w:type="dxa"/>
          </w:tcPr>
          <w:p w14:paraId="7C482B48">
            <w:pPr>
              <w:pStyle w:val="19"/>
              <w:spacing w:line="600" w:lineRule="exact"/>
              <w:rPr>
                <w:rFonts w:hAnsi="宋体" w:cs="Courier New"/>
                <w:color w:val="auto"/>
                <w:sz w:val="24"/>
                <w:szCs w:val="24"/>
                <w:highlight w:val="none"/>
              </w:rPr>
            </w:pPr>
          </w:p>
        </w:tc>
        <w:tc>
          <w:tcPr>
            <w:tcW w:w="1934" w:type="dxa"/>
          </w:tcPr>
          <w:p w14:paraId="3ABB6E38">
            <w:pPr>
              <w:pStyle w:val="19"/>
              <w:spacing w:line="600" w:lineRule="exact"/>
              <w:rPr>
                <w:rFonts w:hAnsi="宋体" w:cs="Courier New"/>
                <w:color w:val="auto"/>
                <w:sz w:val="24"/>
                <w:szCs w:val="24"/>
                <w:highlight w:val="none"/>
              </w:rPr>
            </w:pPr>
          </w:p>
        </w:tc>
      </w:tr>
    </w:tbl>
    <w:p w14:paraId="6B4A31B7">
      <w:pPr>
        <w:pStyle w:val="14"/>
        <w:rPr>
          <w:rFonts w:ascii="宋体" w:hAnsi="宋体"/>
          <w:color w:val="auto"/>
          <w:highlight w:val="none"/>
        </w:rPr>
      </w:pPr>
    </w:p>
    <w:p w14:paraId="3C4F2FAD">
      <w:pPr>
        <w:pStyle w:val="14"/>
        <w:spacing w:after="0" w:line="400" w:lineRule="exact"/>
        <w:rPr>
          <w:rFonts w:ascii="宋体" w:hAnsi="宋体"/>
          <w:color w:val="auto"/>
          <w:sz w:val="21"/>
          <w:szCs w:val="21"/>
          <w:highlight w:val="none"/>
        </w:rPr>
      </w:pPr>
      <w:r>
        <w:rPr>
          <w:rFonts w:hint="eastAsia" w:ascii="宋体" w:hAnsi="宋体"/>
          <w:color w:val="auto"/>
          <w:sz w:val="21"/>
          <w:szCs w:val="21"/>
          <w:highlight w:val="none"/>
        </w:rPr>
        <w:t>注：</w:t>
      </w:r>
    </w:p>
    <w:p w14:paraId="16EC82FE">
      <w:pPr>
        <w:pStyle w:val="16"/>
        <w:spacing w:line="400" w:lineRule="exact"/>
        <w:ind w:firstLine="0"/>
        <w:contextualSpacing/>
        <w:rPr>
          <w:rFonts w:hAnsi="仿宋_GB2312" w:cs="仿宋_GB2312"/>
          <w:color w:val="auto"/>
          <w:sz w:val="21"/>
          <w:szCs w:val="21"/>
          <w:highlight w:val="none"/>
        </w:rPr>
      </w:pPr>
      <w:r>
        <w:rPr>
          <w:rFonts w:hint="eastAsia" w:hAnsi="宋体"/>
          <w:color w:val="auto"/>
          <w:sz w:val="21"/>
          <w:szCs w:val="21"/>
          <w:highlight w:val="none"/>
        </w:rPr>
        <w:t>1.说明：应对照招标文件“第二章 采购需求”中的“技术要求”逐条作明确的投标响应，并作出偏离说明。</w:t>
      </w:r>
    </w:p>
    <w:p w14:paraId="419AD7EF">
      <w:pPr>
        <w:pStyle w:val="14"/>
        <w:spacing w:after="0" w:line="400" w:lineRule="exact"/>
        <w:contextualSpacing/>
        <w:rPr>
          <w:rFonts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rPr>
        <w:t>投标人应根据自身的承诺，对照招标文件要求，在“偏离说明”中注明“正偏离”、“负偏离”或者“无偏离”。既不属于“正偏离”也不属于“负偏离”即为“无偏离”。</w:t>
      </w:r>
    </w:p>
    <w:p w14:paraId="7F622DB0">
      <w:pPr>
        <w:snapToGrid w:val="0"/>
        <w:spacing w:line="400" w:lineRule="exact"/>
        <w:rPr>
          <w:rFonts w:ascii="宋体" w:hAnsi="宋体"/>
          <w:color w:val="auto"/>
          <w:szCs w:val="21"/>
          <w:highlight w:val="none"/>
        </w:rPr>
      </w:pPr>
    </w:p>
    <w:p w14:paraId="4FE109E7">
      <w:pPr>
        <w:snapToGrid w:val="0"/>
        <w:spacing w:line="400" w:lineRule="exact"/>
        <w:rPr>
          <w:rFonts w:ascii="宋体" w:hAnsi="宋体"/>
          <w:color w:val="auto"/>
          <w:szCs w:val="21"/>
          <w:highlight w:val="none"/>
        </w:rPr>
      </w:pPr>
    </w:p>
    <w:p w14:paraId="31C7E9E2">
      <w:pPr>
        <w:snapToGrid w:val="0"/>
        <w:spacing w:line="400" w:lineRule="exact"/>
        <w:rPr>
          <w:rFonts w:ascii="宋体" w:hAnsi="宋体"/>
          <w:color w:val="auto"/>
          <w:szCs w:val="21"/>
          <w:highlight w:val="none"/>
        </w:rPr>
      </w:pPr>
    </w:p>
    <w:p w14:paraId="1C405353">
      <w:pPr>
        <w:snapToGrid w:val="0"/>
        <w:spacing w:line="400" w:lineRule="exact"/>
        <w:rPr>
          <w:rFonts w:ascii="宋体" w:hAnsi="宋体"/>
          <w:color w:val="auto"/>
          <w:spacing w:val="20"/>
          <w:szCs w:val="21"/>
          <w:highlight w:val="none"/>
          <w:u w:val="single"/>
        </w:rPr>
      </w:pPr>
      <w:r>
        <w:rPr>
          <w:rFonts w:hint="eastAsia" w:ascii="宋体" w:hAnsi="宋体"/>
          <w:color w:val="auto"/>
          <w:szCs w:val="21"/>
          <w:highlight w:val="none"/>
        </w:rPr>
        <w:t>法定代表人或者委托代理人</w:t>
      </w:r>
      <w:r>
        <w:rPr>
          <w:rFonts w:hint="eastAsia" w:ascii="宋体" w:hAnsi="宋体"/>
          <w:color w:val="auto"/>
          <w:spacing w:val="20"/>
          <w:szCs w:val="21"/>
          <w:highlight w:val="none"/>
        </w:rPr>
        <w:t>（签字）：</w:t>
      </w:r>
      <w:r>
        <w:rPr>
          <w:rFonts w:hint="eastAsia" w:ascii="宋体" w:hAnsi="宋体"/>
          <w:color w:val="auto"/>
          <w:spacing w:val="20"/>
          <w:szCs w:val="21"/>
          <w:highlight w:val="none"/>
          <w:u w:val="single"/>
        </w:rPr>
        <w:t xml:space="preserve">        </w:t>
      </w:r>
    </w:p>
    <w:p w14:paraId="52C21C80">
      <w:pPr>
        <w:snapToGrid w:val="0"/>
        <w:spacing w:line="400" w:lineRule="exact"/>
        <w:rPr>
          <w:rFonts w:ascii="宋体" w:hAnsi="宋体"/>
          <w:color w:val="auto"/>
          <w:spacing w:val="20"/>
          <w:sz w:val="24"/>
          <w:highlight w:val="none"/>
          <w:u w:val="single"/>
        </w:rPr>
      </w:pPr>
      <w:r>
        <w:rPr>
          <w:rFonts w:hint="eastAsia" w:ascii="宋体" w:hAnsi="宋体"/>
          <w:color w:val="auto"/>
          <w:spacing w:val="20"/>
          <w:szCs w:val="21"/>
          <w:highlight w:val="none"/>
        </w:rPr>
        <w:t>投标人（盖公章）：</w:t>
      </w:r>
      <w:r>
        <w:rPr>
          <w:rFonts w:hint="eastAsia" w:ascii="宋体" w:hAnsi="宋体"/>
          <w:color w:val="auto"/>
          <w:spacing w:val="20"/>
          <w:szCs w:val="21"/>
          <w:highlight w:val="none"/>
          <w:u w:val="single"/>
        </w:rPr>
        <w:t xml:space="preserve">            </w:t>
      </w:r>
      <w:r>
        <w:rPr>
          <w:rFonts w:hint="eastAsia" w:ascii="宋体" w:hAnsi="宋体"/>
          <w:color w:val="auto"/>
          <w:spacing w:val="20"/>
          <w:szCs w:val="21"/>
          <w:highlight w:val="none"/>
        </w:rPr>
        <w:t xml:space="preserve">              日 期：</w:t>
      </w:r>
      <w:r>
        <w:rPr>
          <w:rFonts w:hint="eastAsia" w:ascii="宋体" w:hAnsi="宋体"/>
          <w:color w:val="auto"/>
          <w:spacing w:val="20"/>
          <w:szCs w:val="21"/>
          <w:highlight w:val="none"/>
          <w:u w:val="single"/>
        </w:rPr>
        <w:t xml:space="preserve">       </w:t>
      </w:r>
      <w:r>
        <w:rPr>
          <w:rFonts w:hint="eastAsia" w:ascii="宋体" w:hAnsi="宋体"/>
          <w:color w:val="auto"/>
          <w:spacing w:val="20"/>
          <w:sz w:val="24"/>
          <w:highlight w:val="none"/>
          <w:u w:val="single"/>
        </w:rPr>
        <w:t xml:space="preserve"> </w:t>
      </w:r>
    </w:p>
    <w:p w14:paraId="4EC8FD23">
      <w:pPr>
        <w:snapToGrid w:val="0"/>
        <w:spacing w:before="50" w:after="50" w:line="360" w:lineRule="auto"/>
        <w:rPr>
          <w:rFonts w:ascii="宋体" w:hAnsi="宋体"/>
          <w:color w:val="auto"/>
          <w:sz w:val="24"/>
          <w:szCs w:val="20"/>
          <w:highlight w:val="none"/>
        </w:rPr>
      </w:pPr>
    </w:p>
    <w:p w14:paraId="0BD4F80C">
      <w:pPr>
        <w:snapToGrid w:val="0"/>
        <w:spacing w:before="165"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4. 项目实施人员一览表格式</w:t>
      </w:r>
    </w:p>
    <w:p w14:paraId="1B654210">
      <w:pPr>
        <w:snapToGrid w:val="0"/>
        <w:spacing w:before="165" w:beforeLines="50" w:after="50"/>
        <w:ind w:left="142"/>
        <w:jc w:val="left"/>
        <w:rPr>
          <w:rFonts w:ascii="宋体" w:hAnsi="宋体"/>
          <w:b/>
          <w:color w:val="auto"/>
          <w:sz w:val="24"/>
          <w:highlight w:val="none"/>
        </w:rPr>
      </w:pPr>
    </w:p>
    <w:p w14:paraId="1D285D1D">
      <w:pPr>
        <w:snapToGrid w:val="0"/>
        <w:spacing w:before="165"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14:paraId="0E262B19">
      <w:pPr>
        <w:pStyle w:val="19"/>
        <w:rPr>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7B8E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0FC662">
            <w:pPr>
              <w:snapToGrid w:val="0"/>
              <w:spacing w:before="50" w:after="165" w:afterLines="50"/>
              <w:jc w:val="center"/>
              <w:rPr>
                <w:rFonts w:ascii="宋体" w:hAnsi="宋体"/>
                <w:color w:val="auto"/>
                <w:sz w:val="24"/>
                <w:szCs w:val="20"/>
                <w:highlight w:val="none"/>
              </w:rPr>
            </w:pPr>
            <w:r>
              <w:rPr>
                <w:rFonts w:hint="eastAsia" w:ascii="宋体" w:hAnsi="宋体"/>
                <w:color w:val="auto"/>
                <w:sz w:val="24"/>
                <w:szCs w:val="20"/>
                <w:highlight w:val="none"/>
              </w:rPr>
              <w:t>姓名</w:t>
            </w:r>
          </w:p>
        </w:tc>
        <w:tc>
          <w:tcPr>
            <w:tcW w:w="709" w:type="dxa"/>
            <w:vAlign w:val="center"/>
          </w:tcPr>
          <w:p w14:paraId="47C80601">
            <w:pPr>
              <w:snapToGrid w:val="0"/>
              <w:spacing w:before="50" w:after="165" w:afterLines="50"/>
              <w:jc w:val="center"/>
              <w:rPr>
                <w:rFonts w:ascii="宋体" w:hAnsi="宋体"/>
                <w:color w:val="auto"/>
                <w:sz w:val="24"/>
                <w:szCs w:val="20"/>
                <w:highlight w:val="none"/>
              </w:rPr>
            </w:pPr>
            <w:r>
              <w:rPr>
                <w:rFonts w:hint="eastAsia" w:ascii="宋体" w:hAnsi="宋体"/>
                <w:color w:val="auto"/>
                <w:sz w:val="24"/>
                <w:szCs w:val="20"/>
                <w:highlight w:val="none"/>
              </w:rPr>
              <w:t>职务</w:t>
            </w:r>
          </w:p>
        </w:tc>
        <w:tc>
          <w:tcPr>
            <w:tcW w:w="1701" w:type="dxa"/>
            <w:vAlign w:val="center"/>
          </w:tcPr>
          <w:p w14:paraId="20A070F4">
            <w:pPr>
              <w:snapToGrid w:val="0"/>
              <w:spacing w:before="50" w:after="165" w:afterLines="50"/>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20" w:type="dxa"/>
            <w:vAlign w:val="center"/>
          </w:tcPr>
          <w:p w14:paraId="15AB7C9F">
            <w:pPr>
              <w:snapToGrid w:val="0"/>
              <w:spacing w:before="50" w:after="165" w:afterLines="50"/>
              <w:jc w:val="center"/>
              <w:rPr>
                <w:rFonts w:ascii="宋体" w:hAnsi="宋体"/>
                <w:color w:val="auto"/>
                <w:sz w:val="24"/>
                <w:szCs w:val="20"/>
                <w:highlight w:val="none"/>
              </w:rPr>
            </w:pPr>
            <w:r>
              <w:rPr>
                <w:rFonts w:hint="eastAsia" w:ascii="宋体" w:hAnsi="宋体"/>
                <w:color w:val="auto"/>
                <w:sz w:val="24"/>
                <w:szCs w:val="20"/>
                <w:highlight w:val="none"/>
              </w:rPr>
              <w:t>证书编号</w:t>
            </w:r>
          </w:p>
        </w:tc>
        <w:tc>
          <w:tcPr>
            <w:tcW w:w="1698" w:type="dxa"/>
            <w:vAlign w:val="center"/>
          </w:tcPr>
          <w:p w14:paraId="7B9B35ED">
            <w:pPr>
              <w:snapToGrid w:val="0"/>
              <w:spacing w:before="50" w:after="165" w:afterLines="50"/>
              <w:jc w:val="center"/>
              <w:rPr>
                <w:rFonts w:ascii="宋体" w:hAnsi="宋体"/>
                <w:color w:val="auto"/>
                <w:sz w:val="24"/>
                <w:szCs w:val="20"/>
                <w:highlight w:val="none"/>
              </w:rPr>
            </w:pPr>
            <w:r>
              <w:rPr>
                <w:rFonts w:hint="eastAsia" w:ascii="宋体" w:hAnsi="宋体"/>
                <w:color w:val="auto"/>
                <w:sz w:val="24"/>
                <w:szCs w:val="20"/>
                <w:highlight w:val="none"/>
              </w:rPr>
              <w:t>参加本单位</w:t>
            </w:r>
          </w:p>
          <w:p w14:paraId="42CBB05A">
            <w:pPr>
              <w:snapToGrid w:val="0"/>
              <w:spacing w:before="50" w:after="165" w:afterLines="50"/>
              <w:jc w:val="center"/>
              <w:rPr>
                <w:rFonts w:ascii="宋体" w:hAnsi="宋体"/>
                <w:color w:val="auto"/>
                <w:sz w:val="24"/>
                <w:szCs w:val="20"/>
                <w:highlight w:val="none"/>
              </w:rPr>
            </w:pPr>
            <w:r>
              <w:rPr>
                <w:rFonts w:hint="eastAsia" w:ascii="宋体" w:hAnsi="宋体"/>
                <w:color w:val="auto"/>
                <w:sz w:val="24"/>
                <w:szCs w:val="20"/>
                <w:highlight w:val="none"/>
              </w:rPr>
              <w:t>工作时间</w:t>
            </w:r>
          </w:p>
        </w:tc>
        <w:tc>
          <w:tcPr>
            <w:tcW w:w="1843" w:type="dxa"/>
            <w:vAlign w:val="center"/>
          </w:tcPr>
          <w:p w14:paraId="4C6A2480">
            <w:pPr>
              <w:snapToGrid w:val="0"/>
              <w:spacing w:before="50" w:after="165" w:afterLines="50"/>
              <w:jc w:val="center"/>
              <w:rPr>
                <w:rFonts w:ascii="宋体" w:hAnsi="宋体"/>
                <w:color w:val="auto"/>
                <w:sz w:val="24"/>
                <w:szCs w:val="20"/>
                <w:highlight w:val="none"/>
              </w:rPr>
            </w:pPr>
            <w:r>
              <w:rPr>
                <w:rFonts w:hint="eastAsia" w:ascii="宋体" w:hAnsi="宋体"/>
                <w:color w:val="auto"/>
                <w:sz w:val="24"/>
                <w:szCs w:val="20"/>
                <w:highlight w:val="none"/>
              </w:rPr>
              <w:t>劳动合同编号</w:t>
            </w:r>
          </w:p>
        </w:tc>
      </w:tr>
      <w:tr w14:paraId="14EC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5A614DA">
            <w:pPr>
              <w:snapToGrid w:val="0"/>
              <w:spacing w:before="50" w:after="165" w:afterLines="50"/>
              <w:jc w:val="center"/>
              <w:rPr>
                <w:rFonts w:ascii="宋体" w:hAnsi="宋体"/>
                <w:color w:val="auto"/>
                <w:sz w:val="24"/>
                <w:szCs w:val="20"/>
                <w:highlight w:val="none"/>
              </w:rPr>
            </w:pPr>
          </w:p>
        </w:tc>
        <w:tc>
          <w:tcPr>
            <w:tcW w:w="709" w:type="dxa"/>
            <w:vAlign w:val="center"/>
          </w:tcPr>
          <w:p w14:paraId="25747E30">
            <w:pPr>
              <w:snapToGrid w:val="0"/>
              <w:spacing w:before="50" w:after="165" w:afterLines="50"/>
              <w:jc w:val="center"/>
              <w:rPr>
                <w:rFonts w:ascii="宋体" w:hAnsi="宋体"/>
                <w:color w:val="auto"/>
                <w:sz w:val="24"/>
                <w:szCs w:val="20"/>
                <w:highlight w:val="none"/>
              </w:rPr>
            </w:pPr>
          </w:p>
        </w:tc>
        <w:tc>
          <w:tcPr>
            <w:tcW w:w="1701" w:type="dxa"/>
            <w:vAlign w:val="center"/>
          </w:tcPr>
          <w:p w14:paraId="0FC83944">
            <w:pPr>
              <w:snapToGrid w:val="0"/>
              <w:spacing w:before="50" w:after="165" w:afterLines="50"/>
              <w:jc w:val="center"/>
              <w:rPr>
                <w:rFonts w:ascii="宋体" w:hAnsi="宋体"/>
                <w:color w:val="auto"/>
                <w:sz w:val="24"/>
                <w:szCs w:val="20"/>
                <w:highlight w:val="none"/>
              </w:rPr>
            </w:pPr>
          </w:p>
        </w:tc>
        <w:tc>
          <w:tcPr>
            <w:tcW w:w="1420" w:type="dxa"/>
            <w:vAlign w:val="center"/>
          </w:tcPr>
          <w:p w14:paraId="623285A1">
            <w:pPr>
              <w:snapToGrid w:val="0"/>
              <w:spacing w:before="50" w:after="165" w:afterLines="50"/>
              <w:jc w:val="center"/>
              <w:rPr>
                <w:rFonts w:ascii="宋体" w:hAnsi="宋体"/>
                <w:color w:val="auto"/>
                <w:sz w:val="24"/>
                <w:szCs w:val="20"/>
                <w:highlight w:val="none"/>
              </w:rPr>
            </w:pPr>
          </w:p>
        </w:tc>
        <w:tc>
          <w:tcPr>
            <w:tcW w:w="1698" w:type="dxa"/>
            <w:vAlign w:val="center"/>
          </w:tcPr>
          <w:p w14:paraId="2822C1E0">
            <w:pPr>
              <w:snapToGrid w:val="0"/>
              <w:spacing w:before="50" w:after="165" w:afterLines="50"/>
              <w:jc w:val="center"/>
              <w:rPr>
                <w:rFonts w:ascii="宋体" w:hAnsi="宋体"/>
                <w:color w:val="auto"/>
                <w:sz w:val="24"/>
                <w:szCs w:val="20"/>
                <w:highlight w:val="none"/>
              </w:rPr>
            </w:pPr>
          </w:p>
        </w:tc>
        <w:tc>
          <w:tcPr>
            <w:tcW w:w="1843" w:type="dxa"/>
            <w:vAlign w:val="center"/>
          </w:tcPr>
          <w:p w14:paraId="2ABEE710">
            <w:pPr>
              <w:snapToGrid w:val="0"/>
              <w:spacing w:before="50" w:after="165" w:afterLines="50"/>
              <w:jc w:val="center"/>
              <w:rPr>
                <w:rFonts w:ascii="宋体" w:hAnsi="宋体"/>
                <w:color w:val="auto"/>
                <w:sz w:val="24"/>
                <w:szCs w:val="20"/>
                <w:highlight w:val="none"/>
              </w:rPr>
            </w:pPr>
          </w:p>
        </w:tc>
      </w:tr>
      <w:tr w14:paraId="6E03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C4FA018">
            <w:pPr>
              <w:snapToGrid w:val="0"/>
              <w:spacing w:before="50" w:after="165" w:afterLines="50"/>
              <w:jc w:val="center"/>
              <w:rPr>
                <w:rFonts w:ascii="宋体" w:hAnsi="宋体"/>
                <w:color w:val="auto"/>
                <w:sz w:val="24"/>
                <w:szCs w:val="20"/>
                <w:highlight w:val="none"/>
              </w:rPr>
            </w:pPr>
          </w:p>
        </w:tc>
        <w:tc>
          <w:tcPr>
            <w:tcW w:w="709" w:type="dxa"/>
            <w:vAlign w:val="center"/>
          </w:tcPr>
          <w:p w14:paraId="625A0EA4">
            <w:pPr>
              <w:snapToGrid w:val="0"/>
              <w:spacing w:before="50" w:after="165" w:afterLines="50"/>
              <w:jc w:val="center"/>
              <w:rPr>
                <w:rFonts w:ascii="宋体" w:hAnsi="宋体"/>
                <w:color w:val="auto"/>
                <w:sz w:val="24"/>
                <w:szCs w:val="20"/>
                <w:highlight w:val="none"/>
              </w:rPr>
            </w:pPr>
          </w:p>
        </w:tc>
        <w:tc>
          <w:tcPr>
            <w:tcW w:w="1701" w:type="dxa"/>
            <w:vAlign w:val="center"/>
          </w:tcPr>
          <w:p w14:paraId="22CFC9A5">
            <w:pPr>
              <w:snapToGrid w:val="0"/>
              <w:spacing w:before="50" w:after="165" w:afterLines="50"/>
              <w:jc w:val="center"/>
              <w:rPr>
                <w:rFonts w:ascii="宋体" w:hAnsi="宋体"/>
                <w:color w:val="auto"/>
                <w:sz w:val="24"/>
                <w:szCs w:val="20"/>
                <w:highlight w:val="none"/>
              </w:rPr>
            </w:pPr>
          </w:p>
        </w:tc>
        <w:tc>
          <w:tcPr>
            <w:tcW w:w="1420" w:type="dxa"/>
            <w:vAlign w:val="center"/>
          </w:tcPr>
          <w:p w14:paraId="022C6148">
            <w:pPr>
              <w:snapToGrid w:val="0"/>
              <w:spacing w:before="50" w:after="165" w:afterLines="50"/>
              <w:jc w:val="center"/>
              <w:rPr>
                <w:rFonts w:ascii="宋体" w:hAnsi="宋体"/>
                <w:color w:val="auto"/>
                <w:sz w:val="24"/>
                <w:szCs w:val="20"/>
                <w:highlight w:val="none"/>
              </w:rPr>
            </w:pPr>
          </w:p>
        </w:tc>
        <w:tc>
          <w:tcPr>
            <w:tcW w:w="1698" w:type="dxa"/>
            <w:vAlign w:val="center"/>
          </w:tcPr>
          <w:p w14:paraId="4246C3AC">
            <w:pPr>
              <w:snapToGrid w:val="0"/>
              <w:spacing w:before="50" w:after="165" w:afterLines="50"/>
              <w:jc w:val="center"/>
              <w:rPr>
                <w:rFonts w:ascii="宋体" w:hAnsi="宋体"/>
                <w:color w:val="auto"/>
                <w:sz w:val="24"/>
                <w:szCs w:val="20"/>
                <w:highlight w:val="none"/>
              </w:rPr>
            </w:pPr>
          </w:p>
        </w:tc>
        <w:tc>
          <w:tcPr>
            <w:tcW w:w="1843" w:type="dxa"/>
            <w:vAlign w:val="center"/>
          </w:tcPr>
          <w:p w14:paraId="0FFE9065">
            <w:pPr>
              <w:snapToGrid w:val="0"/>
              <w:spacing w:before="50" w:after="165" w:afterLines="50"/>
              <w:jc w:val="center"/>
              <w:rPr>
                <w:rFonts w:ascii="宋体" w:hAnsi="宋体"/>
                <w:color w:val="auto"/>
                <w:sz w:val="24"/>
                <w:szCs w:val="20"/>
                <w:highlight w:val="none"/>
              </w:rPr>
            </w:pPr>
          </w:p>
        </w:tc>
      </w:tr>
      <w:tr w14:paraId="5E50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A3F9039">
            <w:pPr>
              <w:snapToGrid w:val="0"/>
              <w:spacing w:before="50" w:after="165" w:afterLines="50"/>
              <w:jc w:val="center"/>
              <w:rPr>
                <w:rFonts w:ascii="宋体" w:hAnsi="宋体"/>
                <w:color w:val="auto"/>
                <w:sz w:val="24"/>
                <w:szCs w:val="20"/>
                <w:highlight w:val="none"/>
              </w:rPr>
            </w:pPr>
          </w:p>
        </w:tc>
        <w:tc>
          <w:tcPr>
            <w:tcW w:w="709" w:type="dxa"/>
            <w:vAlign w:val="center"/>
          </w:tcPr>
          <w:p w14:paraId="5089151A">
            <w:pPr>
              <w:snapToGrid w:val="0"/>
              <w:spacing w:before="50" w:after="165" w:afterLines="50"/>
              <w:jc w:val="center"/>
              <w:rPr>
                <w:rFonts w:ascii="宋体" w:hAnsi="宋体"/>
                <w:color w:val="auto"/>
                <w:sz w:val="24"/>
                <w:szCs w:val="20"/>
                <w:highlight w:val="none"/>
              </w:rPr>
            </w:pPr>
          </w:p>
        </w:tc>
        <w:tc>
          <w:tcPr>
            <w:tcW w:w="1701" w:type="dxa"/>
            <w:vAlign w:val="center"/>
          </w:tcPr>
          <w:p w14:paraId="7CEAB617">
            <w:pPr>
              <w:snapToGrid w:val="0"/>
              <w:spacing w:before="50" w:after="165" w:afterLines="50"/>
              <w:jc w:val="center"/>
              <w:rPr>
                <w:rFonts w:ascii="宋体" w:hAnsi="宋体"/>
                <w:color w:val="auto"/>
                <w:sz w:val="24"/>
                <w:szCs w:val="20"/>
                <w:highlight w:val="none"/>
              </w:rPr>
            </w:pPr>
          </w:p>
        </w:tc>
        <w:tc>
          <w:tcPr>
            <w:tcW w:w="1420" w:type="dxa"/>
            <w:vAlign w:val="center"/>
          </w:tcPr>
          <w:p w14:paraId="7BA8E409">
            <w:pPr>
              <w:snapToGrid w:val="0"/>
              <w:spacing w:before="50" w:after="165" w:afterLines="50"/>
              <w:jc w:val="center"/>
              <w:rPr>
                <w:rFonts w:ascii="宋体" w:hAnsi="宋体"/>
                <w:color w:val="auto"/>
                <w:sz w:val="24"/>
                <w:szCs w:val="20"/>
                <w:highlight w:val="none"/>
              </w:rPr>
            </w:pPr>
          </w:p>
        </w:tc>
        <w:tc>
          <w:tcPr>
            <w:tcW w:w="1698" w:type="dxa"/>
            <w:vAlign w:val="center"/>
          </w:tcPr>
          <w:p w14:paraId="56D3312B">
            <w:pPr>
              <w:snapToGrid w:val="0"/>
              <w:spacing w:before="50" w:after="165" w:afterLines="50"/>
              <w:jc w:val="center"/>
              <w:rPr>
                <w:rFonts w:ascii="宋体" w:hAnsi="宋体"/>
                <w:color w:val="auto"/>
                <w:sz w:val="24"/>
                <w:szCs w:val="20"/>
                <w:highlight w:val="none"/>
              </w:rPr>
            </w:pPr>
          </w:p>
        </w:tc>
        <w:tc>
          <w:tcPr>
            <w:tcW w:w="1843" w:type="dxa"/>
            <w:vAlign w:val="center"/>
          </w:tcPr>
          <w:p w14:paraId="1E10996B">
            <w:pPr>
              <w:snapToGrid w:val="0"/>
              <w:spacing w:before="50" w:after="165" w:afterLines="50"/>
              <w:jc w:val="center"/>
              <w:rPr>
                <w:rFonts w:ascii="宋体" w:hAnsi="宋体"/>
                <w:color w:val="auto"/>
                <w:sz w:val="24"/>
                <w:szCs w:val="20"/>
                <w:highlight w:val="none"/>
              </w:rPr>
            </w:pPr>
          </w:p>
        </w:tc>
      </w:tr>
    </w:tbl>
    <w:p w14:paraId="00A8CF8A">
      <w:pPr>
        <w:snapToGrid w:val="0"/>
        <w:spacing w:before="50" w:after="165" w:afterLines="50"/>
        <w:jc w:val="left"/>
        <w:rPr>
          <w:rFonts w:ascii="宋体" w:hAnsi="宋体"/>
          <w:color w:val="auto"/>
          <w:sz w:val="24"/>
          <w:szCs w:val="20"/>
          <w:highlight w:val="none"/>
        </w:rPr>
      </w:pPr>
    </w:p>
    <w:p w14:paraId="5AAEDDA0">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472FBD6F">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在填写时，如本表格不适合投标单位的实际情况，可根据本表格式自行制表填写。</w:t>
      </w:r>
    </w:p>
    <w:p w14:paraId="710AF40F">
      <w:pPr>
        <w:spacing w:line="360" w:lineRule="auto"/>
        <w:contextualSpacing/>
        <w:jc w:val="left"/>
        <w:rPr>
          <w:rFonts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投标人应当附本表所列证书的复印件并加盖投标人公章。</w:t>
      </w:r>
    </w:p>
    <w:p w14:paraId="724DA290">
      <w:pPr>
        <w:spacing w:line="360" w:lineRule="auto"/>
        <w:contextualSpacing/>
        <w:rPr>
          <w:rFonts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07A68B23">
      <w:pPr>
        <w:spacing w:line="360" w:lineRule="auto"/>
        <w:contextualSpacing/>
        <w:jc w:val="left"/>
        <w:rPr>
          <w:rFonts w:ascii="宋体" w:hAnsi="宋体"/>
          <w:color w:val="auto"/>
          <w:sz w:val="24"/>
          <w:szCs w:val="20"/>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3FCD5402">
      <w:pPr>
        <w:snapToGrid w:val="0"/>
        <w:spacing w:before="50" w:after="165" w:afterLines="50"/>
        <w:jc w:val="left"/>
        <w:rPr>
          <w:rFonts w:ascii="宋体" w:hAnsi="宋体"/>
          <w:color w:val="auto"/>
          <w:sz w:val="24"/>
          <w:szCs w:val="20"/>
          <w:highlight w:val="none"/>
        </w:rPr>
      </w:pPr>
    </w:p>
    <w:p w14:paraId="0C1A2B37">
      <w:pPr>
        <w:snapToGrid w:val="0"/>
        <w:spacing w:before="165" w:beforeLines="50" w:after="50"/>
        <w:ind w:left="142"/>
        <w:jc w:val="left"/>
        <w:rPr>
          <w:b/>
          <w:color w:val="auto"/>
          <w:sz w:val="28"/>
          <w:szCs w:val="28"/>
          <w:highlight w:val="none"/>
        </w:rPr>
      </w:pPr>
      <w:r>
        <w:rPr>
          <w:rFonts w:ascii="宋体" w:hAnsi="宋体"/>
          <w:b/>
          <w:color w:val="auto"/>
          <w:sz w:val="24"/>
          <w:highlight w:val="none"/>
        </w:rPr>
        <w:br w:type="page"/>
      </w:r>
      <w:r>
        <w:rPr>
          <w:rFonts w:hint="eastAsia"/>
          <w:b/>
          <w:color w:val="auto"/>
          <w:sz w:val="28"/>
          <w:szCs w:val="28"/>
          <w:highlight w:val="none"/>
        </w:rPr>
        <w:t>五、其他文书、文件格式</w:t>
      </w:r>
    </w:p>
    <w:p w14:paraId="6BF152B9">
      <w:pPr>
        <w:snapToGrid w:val="0"/>
        <w:spacing w:before="165" w:beforeLines="50" w:after="50"/>
        <w:jc w:val="left"/>
        <w:rPr>
          <w:rFonts w:ascii="宋体" w:hAnsi="宋体"/>
          <w:b/>
          <w:color w:val="auto"/>
          <w:sz w:val="24"/>
          <w:highlight w:val="none"/>
        </w:rPr>
      </w:pPr>
    </w:p>
    <w:p w14:paraId="2AB8E8D4">
      <w:pPr>
        <w:snapToGrid w:val="0"/>
        <w:spacing w:before="165" w:beforeLines="50" w:after="50"/>
        <w:jc w:val="left"/>
        <w:rPr>
          <w:color w:val="auto"/>
          <w:highlight w:val="none"/>
        </w:rPr>
      </w:pPr>
      <w:r>
        <w:rPr>
          <w:rFonts w:hint="eastAsia" w:ascii="宋体" w:hAnsi="宋体"/>
          <w:b/>
          <w:color w:val="auto"/>
          <w:sz w:val="24"/>
          <w:highlight w:val="none"/>
        </w:rPr>
        <w:t xml:space="preserve"> 1.中小企业声明函格式</w:t>
      </w:r>
    </w:p>
    <w:p w14:paraId="649F0137">
      <w:pPr>
        <w:rPr>
          <w:color w:val="auto"/>
          <w:highlight w:val="none"/>
        </w:rPr>
      </w:pPr>
    </w:p>
    <w:p w14:paraId="3DC550BD">
      <w:pPr>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中小企业声明函（服务）</w:t>
      </w:r>
    </w:p>
    <w:p w14:paraId="4FBE9D1D">
      <w:pPr>
        <w:spacing w:before="2" w:line="500" w:lineRule="exact"/>
        <w:rPr>
          <w:rFonts w:ascii="宋体" w:hAnsi="宋体" w:cs="宋体"/>
          <w:b/>
          <w:bCs/>
          <w:color w:val="auto"/>
          <w:sz w:val="27"/>
          <w:szCs w:val="27"/>
          <w:highlight w:val="none"/>
        </w:rPr>
      </w:pPr>
    </w:p>
    <w:p w14:paraId="2989E8EA">
      <w:pPr>
        <w:pStyle w:val="15"/>
        <w:spacing w:line="360" w:lineRule="auto"/>
        <w:ind w:left="-426" w:leftChars="-203" w:right="142" w:firstLine="420" w:firstLineChars="200"/>
        <w:contextualSpacing/>
        <w:rPr>
          <w:rFonts w:ascii="宋体" w:hAnsi="宋体"/>
          <w:color w:val="auto"/>
          <w:kern w:val="24"/>
          <w:highlight w:val="none"/>
        </w:rPr>
      </w:pPr>
      <w:r>
        <w:rPr>
          <w:rFonts w:ascii="宋体" w:hAnsi="宋体"/>
          <w:color w:val="auto"/>
          <w:highlight w:val="none"/>
        </w:rPr>
        <w:t>本公司（联合体）郑重声明，根据《政府采购促进中小企业发展管理办法》（财库﹝2020﹞46号）的规定，本公司（联合体）参加</w:t>
      </w:r>
      <w:r>
        <w:rPr>
          <w:rFonts w:ascii="宋体" w:hAnsi="宋体"/>
          <w:color w:val="auto"/>
          <w:highlight w:val="none"/>
          <w:u w:val="single"/>
        </w:rPr>
        <w:t>（单位名称）</w:t>
      </w:r>
      <w:r>
        <w:rPr>
          <w:rFonts w:ascii="宋体" w:hAnsi="宋体"/>
          <w:color w:val="auto"/>
          <w:highlight w:val="none"/>
        </w:rPr>
        <w:t>的</w:t>
      </w:r>
      <w:r>
        <w:rPr>
          <w:rFonts w:ascii="宋体" w:hAnsi="宋体"/>
          <w:color w:val="auto"/>
          <w:highlight w:val="none"/>
          <w:u w:val="single"/>
        </w:rPr>
        <w:t>（项目名称）</w:t>
      </w:r>
      <w:r>
        <w:rPr>
          <w:rFonts w:ascii="宋体" w:hAnsi="宋体"/>
          <w:color w:val="auto"/>
          <w:highlight w:val="none"/>
        </w:rPr>
        <w:t>采购活动，</w:t>
      </w:r>
      <w:r>
        <w:rPr>
          <w:rFonts w:hint="eastAsia" w:ascii="宋体" w:hAnsi="宋体"/>
          <w:color w:val="auto"/>
          <w:highlight w:val="none"/>
        </w:rPr>
        <w:t>服务全部由符合政策要求的中小企业承接。相关企业（含联合体中的中小企业、签订分包意向协议的中小企业）的具体情况如下：</w:t>
      </w:r>
    </w:p>
    <w:p w14:paraId="7A2149EB">
      <w:pPr>
        <w:tabs>
          <w:tab w:val="left" w:pos="1384"/>
          <w:tab w:val="left" w:pos="4562"/>
          <w:tab w:val="left" w:pos="6803"/>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1.</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w:t>
      </w:r>
      <w:r>
        <w:rPr>
          <w:rFonts w:hint="eastAsia" w:ascii="宋体" w:hAnsi="宋体"/>
          <w:color w:val="auto"/>
          <w:kern w:val="24"/>
          <w:sz w:val="24"/>
          <w:highlight w:val="none"/>
        </w:rPr>
        <w:t>承接企业</w:t>
      </w:r>
      <w:r>
        <w:rPr>
          <w:rFonts w:ascii="宋体" w:hAnsi="宋体"/>
          <w:color w:val="auto"/>
          <w:kern w:val="24"/>
          <w:sz w:val="24"/>
          <w:highlight w:val="none"/>
        </w:rPr>
        <w:t>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06335907">
      <w:pPr>
        <w:tabs>
          <w:tab w:val="left" w:pos="1065"/>
          <w:tab w:val="left" w:pos="6477"/>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2.</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w:t>
      </w:r>
      <w:r>
        <w:rPr>
          <w:rFonts w:hint="eastAsia" w:ascii="宋体" w:hAnsi="宋体"/>
          <w:color w:val="auto"/>
          <w:kern w:val="24"/>
          <w:sz w:val="24"/>
          <w:highlight w:val="none"/>
        </w:rPr>
        <w:t>承接企业</w:t>
      </w:r>
      <w:r>
        <w:rPr>
          <w:rFonts w:ascii="宋体" w:hAnsi="宋体"/>
          <w:color w:val="auto"/>
          <w:kern w:val="24"/>
          <w:sz w:val="24"/>
          <w:highlight w:val="none"/>
        </w:rPr>
        <w:t>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5AD91310">
      <w:pPr>
        <w:pStyle w:val="15"/>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14:paraId="228970F2">
      <w:pPr>
        <w:pStyle w:val="15"/>
        <w:spacing w:line="360" w:lineRule="auto"/>
        <w:ind w:left="-405" w:leftChars="-193" w:right="142" w:firstLine="396"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14:paraId="013C1BE1">
      <w:pPr>
        <w:pStyle w:val="15"/>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14:paraId="5E14B67D">
      <w:pPr>
        <w:pStyle w:val="15"/>
        <w:spacing w:line="360" w:lineRule="auto"/>
        <w:ind w:left="3960" w:right="1808"/>
        <w:contextualSpacing/>
        <w:rPr>
          <w:rFonts w:ascii="宋体" w:hAnsi="宋体"/>
          <w:color w:val="auto"/>
          <w:kern w:val="24"/>
          <w:highlight w:val="none"/>
        </w:rPr>
      </w:pPr>
    </w:p>
    <w:p w14:paraId="4777F110">
      <w:pPr>
        <w:pStyle w:val="15"/>
        <w:spacing w:line="360" w:lineRule="auto"/>
        <w:ind w:left="3960" w:right="1808"/>
        <w:contextualSpacing/>
        <w:rPr>
          <w:rFonts w:ascii="宋体" w:hAnsi="宋体"/>
          <w:color w:val="auto"/>
          <w:kern w:val="24"/>
          <w:highlight w:val="none"/>
        </w:rPr>
      </w:pPr>
      <w:r>
        <w:rPr>
          <w:rFonts w:ascii="宋体" w:hAnsi="宋体"/>
          <w:color w:val="auto"/>
          <w:kern w:val="24"/>
          <w:highlight w:val="none"/>
        </w:rPr>
        <w:t xml:space="preserve">企业名称（章）： </w:t>
      </w:r>
    </w:p>
    <w:p w14:paraId="500DB6B2">
      <w:pPr>
        <w:pStyle w:val="15"/>
        <w:spacing w:line="360" w:lineRule="auto"/>
        <w:ind w:left="3960" w:right="1808"/>
        <w:contextualSpacing/>
        <w:rPr>
          <w:rFonts w:ascii="宋体" w:hAnsi="宋体"/>
          <w:color w:val="auto"/>
          <w:kern w:val="24"/>
          <w:highlight w:val="none"/>
        </w:rPr>
      </w:pPr>
      <w:r>
        <w:rPr>
          <w:rFonts w:ascii="宋体" w:hAnsi="宋体"/>
          <w:color w:val="auto"/>
          <w:kern w:val="24"/>
          <w:highlight w:val="none"/>
        </w:rPr>
        <w:t>日</w:t>
      </w:r>
      <w:r>
        <w:rPr>
          <w:rFonts w:hint="eastAsia" w:ascii="宋体" w:hAnsi="宋体"/>
          <w:color w:val="auto"/>
          <w:kern w:val="24"/>
          <w:highlight w:val="none"/>
        </w:rPr>
        <w:t xml:space="preserve"> </w:t>
      </w:r>
      <w:r>
        <w:rPr>
          <w:rFonts w:ascii="宋体" w:hAnsi="宋体"/>
          <w:color w:val="auto"/>
          <w:kern w:val="24"/>
          <w:highlight w:val="none"/>
        </w:rPr>
        <w:t>期：</w:t>
      </w:r>
    </w:p>
    <w:p w14:paraId="38011737">
      <w:pPr>
        <w:pStyle w:val="15"/>
        <w:spacing w:line="360" w:lineRule="auto"/>
        <w:ind w:left="3960" w:right="1808"/>
        <w:contextualSpacing/>
        <w:rPr>
          <w:rFonts w:ascii="宋体" w:hAnsi="宋体"/>
          <w:color w:val="auto"/>
          <w:kern w:val="24"/>
          <w:highlight w:val="none"/>
        </w:rPr>
      </w:pPr>
    </w:p>
    <w:p w14:paraId="053F7BD9">
      <w:pPr>
        <w:pStyle w:val="15"/>
        <w:spacing w:line="360" w:lineRule="auto"/>
        <w:ind w:left="3960" w:right="1808"/>
        <w:contextualSpacing/>
        <w:rPr>
          <w:rFonts w:ascii="宋体" w:hAnsi="宋体"/>
          <w:color w:val="auto"/>
          <w:kern w:val="24"/>
          <w:highlight w:val="none"/>
        </w:rPr>
      </w:pPr>
    </w:p>
    <w:p w14:paraId="6DF29EE2">
      <w:pPr>
        <w:pStyle w:val="15"/>
        <w:spacing w:line="360" w:lineRule="auto"/>
        <w:ind w:left="-426" w:right="142" w:firstLine="567"/>
        <w:contextualSpacing/>
        <w:rPr>
          <w:rFonts w:ascii="宋体" w:hAnsi="宋体"/>
          <w:color w:val="auto"/>
          <w:kern w:val="24"/>
          <w:highlight w:val="none"/>
        </w:rPr>
      </w:pPr>
      <w:r>
        <w:rPr>
          <w:rFonts w:hint="eastAsia" w:ascii="宋体" w:hAnsi="宋体"/>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4571F09E">
      <w:pPr>
        <w:snapToGrid w:val="0"/>
        <w:spacing w:before="165" w:beforeLines="50" w:after="50"/>
        <w:ind w:left="142"/>
        <w:jc w:val="left"/>
        <w:rPr>
          <w:rFonts w:ascii="宋体" w:hAnsi="宋体"/>
          <w:b/>
          <w:color w:val="auto"/>
          <w:sz w:val="24"/>
          <w:highlight w:val="none"/>
        </w:rPr>
      </w:pPr>
    </w:p>
    <w:p w14:paraId="7211E174">
      <w:pPr>
        <w:pStyle w:val="19"/>
        <w:jc w:val="left"/>
        <w:rPr>
          <w:rFonts w:ascii="Arial Unicode MS" w:hAnsi="Arial Unicode MS" w:eastAsia="Arial Unicode MS" w:cs="Arial Unicode MS"/>
          <w:color w:val="auto"/>
          <w:sz w:val="32"/>
          <w:szCs w:val="32"/>
          <w:highlight w:val="none"/>
        </w:rPr>
      </w:pPr>
      <w:r>
        <w:rPr>
          <w:rFonts w:ascii="Arial Unicode MS" w:hAnsi="Arial Unicode MS" w:eastAsia="Arial Unicode MS" w:cs="Arial Unicode MS"/>
          <w:color w:val="auto"/>
          <w:sz w:val="32"/>
          <w:szCs w:val="32"/>
          <w:highlight w:val="none"/>
        </w:rPr>
        <w:br w:type="page"/>
      </w:r>
      <w:r>
        <w:rPr>
          <w:rFonts w:hint="eastAsia" w:ascii="Arial Unicode MS" w:hAnsi="Arial Unicode MS" w:eastAsia="Arial Unicode MS" w:cs="Arial Unicode MS"/>
          <w:color w:val="auto"/>
          <w:sz w:val="32"/>
          <w:szCs w:val="32"/>
          <w:highlight w:val="none"/>
        </w:rPr>
        <w:t>附：</w:t>
      </w:r>
    </w:p>
    <w:p w14:paraId="6BCDF176">
      <w:pPr>
        <w:jc w:val="center"/>
        <w:rPr>
          <w:rFonts w:ascii="宋体" w:hAnsi="宋体" w:cs="Arial Unicode MS"/>
          <w:color w:val="auto"/>
          <w:sz w:val="44"/>
          <w:szCs w:val="44"/>
          <w:highlight w:val="none"/>
        </w:rPr>
      </w:pPr>
      <w:r>
        <w:rPr>
          <w:rFonts w:hint="eastAsia" w:ascii="宋体" w:hAnsi="宋体" w:cs="Arial Unicode MS"/>
          <w:color w:val="auto"/>
          <w:sz w:val="44"/>
          <w:szCs w:val="44"/>
          <w:highlight w:val="none"/>
        </w:rPr>
        <w:t>中小微企业划型标准</w:t>
      </w:r>
    </w:p>
    <w:p w14:paraId="3049616A">
      <w:pPr>
        <w:ind w:left="1871"/>
        <w:rPr>
          <w:rFonts w:ascii="宋体" w:hAnsi="宋体" w:cs="Arial Unicode MS"/>
          <w:color w:val="auto"/>
          <w:szCs w:val="21"/>
          <w:highlight w:val="none"/>
        </w:rPr>
      </w:pPr>
    </w:p>
    <w:tbl>
      <w:tblPr>
        <w:tblStyle w:val="36"/>
        <w:tblW w:w="0" w:type="auto"/>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190D0585">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699B25D5">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0D6B69E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4ABDAEB9">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vAlign w:val="center"/>
          </w:tcPr>
          <w:p w14:paraId="3C9CA77E">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vAlign w:val="center"/>
          </w:tcPr>
          <w:p w14:paraId="5E482CA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14:paraId="470FEC2E">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24F98691">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20E10AF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vAlign w:val="center"/>
          </w:tcPr>
          <w:p w14:paraId="62A909D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F0350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FB61E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20C1D06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14:paraId="79CD3C0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4E6585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E5A886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vAlign w:val="center"/>
          </w:tcPr>
          <w:p w14:paraId="01D1665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6B2BDC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719E5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03E72F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0AEEF65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2117F8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DB61CE6">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0872C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CC2D2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96899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vAlign w:val="center"/>
          </w:tcPr>
          <w:p w14:paraId="3773F9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14:paraId="4AD1F9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544D26C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3522DF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vAlign w:val="center"/>
          </w:tcPr>
          <w:p w14:paraId="3224C98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D6FDC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28450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vAlign w:val="center"/>
          </w:tcPr>
          <w:p w14:paraId="0CEBFB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14:paraId="3A8509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045665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6AA7052">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0DC70E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227804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C160A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vAlign w:val="center"/>
          </w:tcPr>
          <w:p w14:paraId="7D6210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14:paraId="176D89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32EBF60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586E1B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vAlign w:val="center"/>
          </w:tcPr>
          <w:p w14:paraId="75CFFC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7FEEF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E4450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vAlign w:val="center"/>
          </w:tcPr>
          <w:p w14:paraId="235D8D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14:paraId="250C205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5FEAEE5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B362685">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7C22E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9BB07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ECDFF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vAlign w:val="center"/>
          </w:tcPr>
          <w:p w14:paraId="4206C6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14:paraId="406769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38A5333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9B10B7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vAlign w:val="center"/>
          </w:tcPr>
          <w:p w14:paraId="17ED8A5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E47B8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050BF9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vAlign w:val="center"/>
          </w:tcPr>
          <w:p w14:paraId="3B2018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14:paraId="63C105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129AED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A81D6A5">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30995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5F5B8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1B121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45ACEE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14:paraId="3B249B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A0A6EF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9B6277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vAlign w:val="center"/>
          </w:tcPr>
          <w:p w14:paraId="773665D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F4379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3093F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269D7E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3D3C3ED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F2E05E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6D112ED">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96F01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8C6DA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74DC5E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40" w:type="dxa"/>
            <w:tcBorders>
              <w:top w:val="nil"/>
              <w:left w:val="nil"/>
              <w:bottom w:val="single" w:color="auto" w:sz="4" w:space="0"/>
              <w:right w:val="single" w:color="auto" w:sz="4" w:space="0"/>
            </w:tcBorders>
            <w:vAlign w:val="center"/>
          </w:tcPr>
          <w:p w14:paraId="6F21CEB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14:paraId="19B1D7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4DC424F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A723DA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vAlign w:val="center"/>
          </w:tcPr>
          <w:p w14:paraId="76E4A27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6F0D9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6C4084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vAlign w:val="center"/>
          </w:tcPr>
          <w:p w14:paraId="013ECE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14:paraId="16B621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EA68EA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D5DBB59">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8EC7D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147C04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97CD6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40" w:type="dxa"/>
            <w:tcBorders>
              <w:top w:val="nil"/>
              <w:left w:val="nil"/>
              <w:bottom w:val="single" w:color="auto" w:sz="4" w:space="0"/>
              <w:right w:val="single" w:color="auto" w:sz="4" w:space="0"/>
            </w:tcBorders>
            <w:vAlign w:val="center"/>
          </w:tcPr>
          <w:p w14:paraId="689A2B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320966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E06B71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C1145B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vAlign w:val="center"/>
          </w:tcPr>
          <w:p w14:paraId="5481E60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41B2A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8384EC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3150C9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65A1B4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7DA976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4BB1EB9">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055275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26F39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60AD60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40" w:type="dxa"/>
            <w:tcBorders>
              <w:top w:val="nil"/>
              <w:left w:val="nil"/>
              <w:bottom w:val="single" w:color="auto" w:sz="4" w:space="0"/>
              <w:right w:val="single" w:color="auto" w:sz="4" w:space="0"/>
            </w:tcBorders>
            <w:vAlign w:val="center"/>
          </w:tcPr>
          <w:p w14:paraId="09A9C7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203707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B20D95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95ABF9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vAlign w:val="center"/>
          </w:tcPr>
          <w:p w14:paraId="003244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BB205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6A873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13EF715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07A8F8C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BDAE3F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BDCBA9B">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D7D93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9829E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CD4E1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66D2FC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3B0AAC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CB17C0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B0CBFE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vAlign w:val="center"/>
          </w:tcPr>
          <w:p w14:paraId="66CC61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AA236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15CA0D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32F45E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30ECD4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EF9A41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C21A657">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321123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0A06C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72C34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7F9E9E1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791F7A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CBDC1D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39167F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vAlign w:val="center"/>
          </w:tcPr>
          <w:p w14:paraId="293D4F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CC219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43EB8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vAlign w:val="center"/>
          </w:tcPr>
          <w:p w14:paraId="4E736B4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7452BFF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9335D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560F7EF">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A87E2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CC759A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840E3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vAlign w:val="center"/>
          </w:tcPr>
          <w:p w14:paraId="36F8D8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6CCDA76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0D3131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FABE3F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vAlign w:val="center"/>
          </w:tcPr>
          <w:p w14:paraId="3A1200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76A94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E5934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4F6049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484D62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4E3C5B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C4FB17E">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77B559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B36BD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3CD663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vAlign w:val="center"/>
          </w:tcPr>
          <w:p w14:paraId="0283484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14:paraId="1BBF90F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7EFEA74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107DCD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vAlign w:val="center"/>
          </w:tcPr>
          <w:p w14:paraId="134923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B5284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87FF7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vAlign w:val="center"/>
          </w:tcPr>
          <w:p w14:paraId="030A62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14:paraId="294B21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EC33B5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A1E42EB">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06B764D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22711BA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C51EF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vAlign w:val="center"/>
          </w:tcPr>
          <w:p w14:paraId="0774A8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14:paraId="542935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3D91E07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9A792C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vAlign w:val="center"/>
          </w:tcPr>
          <w:p w14:paraId="491063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7C769F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732A4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7F599A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14:paraId="6551F4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1E08F8F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9CEBD9F">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56558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B03EA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B02698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vAlign w:val="center"/>
          </w:tcPr>
          <w:p w14:paraId="1589FF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14:paraId="30185B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64533ED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DD7357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vAlign w:val="center"/>
          </w:tcPr>
          <w:p w14:paraId="7129A85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D810F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30C1CD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08A1BCE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5DCF47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3614F5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C8F11B9">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357FF2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0CA5A3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AC8E0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vAlign w:val="center"/>
          </w:tcPr>
          <w:p w14:paraId="713264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14:paraId="4E5380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1224CDD">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59CAD9D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vAlign w:val="center"/>
          </w:tcPr>
          <w:p w14:paraId="6407DBA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E6A9EA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DBC57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45A77D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459186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4980693A">
      <w:pPr>
        <w:ind w:firstLine="525" w:firstLineChars="250"/>
        <w:rPr>
          <w:rFonts w:ascii="宋体" w:hAnsi="宋体"/>
          <w:b/>
          <w:color w:val="auto"/>
          <w:sz w:val="24"/>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2A14D5B">
      <w:pPr>
        <w:snapToGrid w:val="0"/>
        <w:spacing w:before="165"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2.残疾人福利性单位声明函格式</w:t>
      </w:r>
    </w:p>
    <w:p w14:paraId="0D36CED0">
      <w:pPr>
        <w:spacing w:line="588" w:lineRule="exact"/>
        <w:jc w:val="center"/>
        <w:rPr>
          <w:rFonts w:ascii="仿宋_GB2312" w:eastAsia="仿宋_GB2312"/>
          <w:b/>
          <w:color w:val="auto"/>
          <w:spacing w:val="6"/>
          <w:sz w:val="32"/>
          <w:szCs w:val="32"/>
          <w:highlight w:val="none"/>
        </w:rPr>
      </w:pPr>
    </w:p>
    <w:p w14:paraId="2A8564DD">
      <w:pPr>
        <w:spacing w:line="588" w:lineRule="exact"/>
        <w:jc w:val="center"/>
        <w:rPr>
          <w:rFonts w:ascii="方正小标宋简体" w:hAnsi="方正小标宋简体" w:eastAsia="方正小标宋简体" w:cs="方正小标宋简体"/>
          <w:bCs/>
          <w:color w:val="auto"/>
          <w:spacing w:val="6"/>
          <w:sz w:val="44"/>
          <w:szCs w:val="44"/>
          <w:highlight w:val="none"/>
        </w:rPr>
      </w:pPr>
      <w:r>
        <w:rPr>
          <w:rFonts w:hint="eastAsia" w:ascii="方正小标宋简体" w:hAnsi="方正小标宋简体" w:eastAsia="方正小标宋简体" w:cs="方正小标宋简体"/>
          <w:bCs/>
          <w:color w:val="auto"/>
          <w:spacing w:val="6"/>
          <w:sz w:val="44"/>
          <w:szCs w:val="44"/>
          <w:highlight w:val="none"/>
        </w:rPr>
        <w:t>残疾人福利性单位声明函</w:t>
      </w:r>
    </w:p>
    <w:p w14:paraId="2395B72A">
      <w:pPr>
        <w:spacing w:line="360" w:lineRule="auto"/>
        <w:contextualSpacing/>
        <w:rPr>
          <w:rFonts w:ascii="仿宋_GB2312" w:eastAsia="仿宋_GB2312"/>
          <w:bCs/>
          <w:color w:val="auto"/>
          <w:spacing w:val="6"/>
          <w:sz w:val="30"/>
          <w:szCs w:val="30"/>
          <w:highlight w:val="none"/>
        </w:rPr>
      </w:pPr>
    </w:p>
    <w:p w14:paraId="3885DB81">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28490C55">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5010B733">
      <w:pPr>
        <w:spacing w:line="360" w:lineRule="auto"/>
        <w:ind w:firstLine="504" w:firstLineChars="200"/>
        <w:contextualSpacing/>
        <w:rPr>
          <w:rFonts w:ascii="宋体" w:hAnsi="宋体"/>
          <w:color w:val="auto"/>
          <w:spacing w:val="6"/>
          <w:sz w:val="24"/>
          <w:highlight w:val="none"/>
        </w:rPr>
      </w:pPr>
    </w:p>
    <w:p w14:paraId="74F765EF">
      <w:pPr>
        <w:spacing w:line="360" w:lineRule="auto"/>
        <w:ind w:firstLine="504" w:firstLineChars="200"/>
        <w:contextualSpacing/>
        <w:rPr>
          <w:rFonts w:ascii="宋体" w:hAnsi="宋体"/>
          <w:color w:val="auto"/>
          <w:spacing w:val="6"/>
          <w:sz w:val="24"/>
          <w:highlight w:val="none"/>
        </w:rPr>
      </w:pPr>
    </w:p>
    <w:p w14:paraId="5AB31328">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44F94B4D">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0F53F987">
      <w:pPr>
        <w:spacing w:line="360" w:lineRule="auto"/>
        <w:contextualSpacing/>
        <w:rPr>
          <w:rFonts w:ascii="宋体" w:hAnsi="宋体"/>
          <w:color w:val="auto"/>
          <w:sz w:val="24"/>
          <w:highlight w:val="none"/>
        </w:rPr>
      </w:pPr>
    </w:p>
    <w:p w14:paraId="675F25F3">
      <w:pPr>
        <w:spacing w:line="360" w:lineRule="auto"/>
        <w:contextualSpacing/>
        <w:rPr>
          <w:rFonts w:ascii="宋体" w:hAnsi="宋体"/>
          <w:color w:val="auto"/>
          <w:sz w:val="24"/>
          <w:highlight w:val="none"/>
        </w:rPr>
      </w:pPr>
    </w:p>
    <w:p w14:paraId="0F23161C">
      <w:pPr>
        <w:spacing w:line="360" w:lineRule="auto"/>
        <w:contextualSpacing/>
        <w:rPr>
          <w:rFonts w:ascii="宋体" w:hAnsi="宋体"/>
          <w:color w:val="auto"/>
          <w:sz w:val="24"/>
          <w:highlight w:val="none"/>
        </w:rPr>
      </w:pPr>
    </w:p>
    <w:p w14:paraId="218DEA43">
      <w:pPr>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779AAAB2">
      <w:pPr>
        <w:spacing w:line="360" w:lineRule="auto"/>
        <w:jc w:val="left"/>
        <w:rPr>
          <w:rFonts w:ascii="宋体" w:hAnsi="宋体"/>
          <w:color w:val="auto"/>
          <w:sz w:val="24"/>
          <w:highlight w:val="none"/>
        </w:rPr>
      </w:pPr>
      <w:r>
        <w:rPr>
          <w:rFonts w:ascii="宋体" w:hAnsi="宋体"/>
          <w:color w:val="auto"/>
          <w:sz w:val="24"/>
          <w:highlight w:val="none"/>
        </w:rPr>
        <w:br w:type="page"/>
      </w:r>
      <w:r>
        <w:rPr>
          <w:rFonts w:hint="eastAsia" w:ascii="宋体" w:hAnsi="宋体"/>
          <w:b/>
          <w:color w:val="auto"/>
          <w:sz w:val="24"/>
          <w:highlight w:val="none"/>
        </w:rPr>
        <w:t>3.质疑函格式</w:t>
      </w:r>
    </w:p>
    <w:p w14:paraId="43A60937">
      <w:pPr>
        <w:spacing w:line="360" w:lineRule="auto"/>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质疑函</w:t>
      </w:r>
    </w:p>
    <w:p w14:paraId="13E1787D">
      <w:pPr>
        <w:pStyle w:val="19"/>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085A333A">
      <w:pPr>
        <w:pStyle w:val="19"/>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EBB02AD">
      <w:pPr>
        <w:pStyle w:val="19"/>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3699E54">
      <w:pPr>
        <w:pStyle w:val="19"/>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3399DF80">
      <w:pPr>
        <w:pStyle w:val="19"/>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6E10576A">
      <w:pPr>
        <w:pStyle w:val="19"/>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29378AC">
      <w:pPr>
        <w:pStyle w:val="19"/>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8DC0479">
      <w:pPr>
        <w:pStyle w:val="19"/>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12C2FE13">
      <w:pPr>
        <w:pStyle w:val="19"/>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09DBAD61">
      <w:pPr>
        <w:pStyle w:val="19"/>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E27A893">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3CF0ABE9">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w:t>
      </w:r>
    </w:p>
    <w:p w14:paraId="518846A5">
      <w:pPr>
        <w:pStyle w:val="19"/>
        <w:spacing w:line="360" w:lineRule="auto"/>
        <w:ind w:left="25" w:leftChars="12" w:firstLine="352" w:firstLineChars="147"/>
        <w:rPr>
          <w:rFonts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1365D42D">
      <w:pPr>
        <w:pStyle w:val="19"/>
        <w:spacing w:line="360" w:lineRule="auto"/>
        <w:ind w:left="25" w:leftChars="12" w:firstLine="352" w:firstLineChars="147"/>
        <w:rPr>
          <w:rFonts w:hAnsi="宋体"/>
          <w:color w:val="auto"/>
          <w:sz w:val="24"/>
          <w:szCs w:val="24"/>
          <w:highlight w:val="none"/>
        </w:rPr>
      </w:pPr>
      <w:r>
        <w:rPr>
          <w:rFonts w:hint="eastAsia" w:hAnsi="宋体"/>
          <w:color w:val="auto"/>
          <w:sz w:val="24"/>
          <w:szCs w:val="24"/>
          <w:highlight w:val="none"/>
        </w:rPr>
        <w:t xml:space="preserve">□采购过程   </w:t>
      </w:r>
    </w:p>
    <w:p w14:paraId="6E5A0C26">
      <w:pPr>
        <w:pStyle w:val="19"/>
        <w:spacing w:line="360" w:lineRule="auto"/>
        <w:ind w:left="25" w:leftChars="12" w:firstLine="352" w:firstLineChars="147"/>
        <w:rPr>
          <w:rFonts w:hAnsi="宋体"/>
          <w:bCs/>
          <w:color w:val="auto"/>
          <w:sz w:val="24"/>
          <w:szCs w:val="24"/>
          <w:highlight w:val="none"/>
          <w:u w:val="single"/>
        </w:rPr>
      </w:pPr>
      <w:r>
        <w:rPr>
          <w:rFonts w:hint="eastAsia" w:hAnsi="宋体"/>
          <w:color w:val="auto"/>
          <w:sz w:val="24"/>
          <w:szCs w:val="24"/>
          <w:highlight w:val="none"/>
        </w:rPr>
        <w:t xml:space="preserve">□中标结果   </w:t>
      </w:r>
    </w:p>
    <w:p w14:paraId="58856C3A">
      <w:pPr>
        <w:pStyle w:val="19"/>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三、质疑事项具体内容</w:t>
      </w:r>
    </w:p>
    <w:p w14:paraId="202B5E0D">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2232E9C8">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19530BD5">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4DB44A6C">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质疑事项2</w:t>
      </w:r>
    </w:p>
    <w:p w14:paraId="4BF9F930">
      <w:pPr>
        <w:pStyle w:val="19"/>
        <w:spacing w:line="360" w:lineRule="auto"/>
        <w:ind w:left="25" w:leftChars="12" w:firstLine="472" w:firstLineChars="197"/>
        <w:rPr>
          <w:rFonts w:hAnsi="宋体"/>
          <w:color w:val="auto"/>
          <w:sz w:val="24"/>
          <w:szCs w:val="24"/>
          <w:highlight w:val="none"/>
        </w:rPr>
      </w:pPr>
      <w:r>
        <w:rPr>
          <w:rFonts w:hAnsi="宋体"/>
          <w:color w:val="auto"/>
          <w:sz w:val="24"/>
          <w:szCs w:val="24"/>
          <w:highlight w:val="none"/>
        </w:rPr>
        <w:t>……</w:t>
      </w:r>
    </w:p>
    <w:p w14:paraId="262815B3">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四、与质疑事项相关的质疑请求：</w:t>
      </w:r>
    </w:p>
    <w:p w14:paraId="7928D834">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6CD9130A">
      <w:pPr>
        <w:pStyle w:val="19"/>
        <w:spacing w:line="360" w:lineRule="auto"/>
        <w:ind w:left="25" w:leftChars="12" w:firstLine="352" w:firstLineChars="147"/>
        <w:rPr>
          <w:rFonts w:hAnsi="宋体"/>
          <w:color w:val="auto"/>
          <w:sz w:val="24"/>
          <w:szCs w:val="24"/>
          <w:highlight w:val="none"/>
        </w:rPr>
      </w:pPr>
    </w:p>
    <w:p w14:paraId="0427C84B">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2B98E854">
      <w:pPr>
        <w:pStyle w:val="19"/>
        <w:spacing w:line="360" w:lineRule="auto"/>
        <w:ind w:left="25" w:leftChars="12" w:firstLine="352" w:firstLineChars="147"/>
        <w:rPr>
          <w:rFonts w:hAnsi="宋体"/>
          <w:color w:val="auto"/>
          <w:sz w:val="24"/>
          <w:szCs w:val="24"/>
          <w:highlight w:val="none"/>
        </w:rPr>
      </w:pPr>
    </w:p>
    <w:p w14:paraId="2B6A238D">
      <w:pPr>
        <w:pStyle w:val="19"/>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3CA734E6">
      <w:pPr>
        <w:pStyle w:val="19"/>
        <w:snapToGrid w:val="0"/>
        <w:spacing w:line="360" w:lineRule="auto"/>
        <w:rPr>
          <w:rFonts w:hAnsi="宋体"/>
          <w:b/>
          <w:color w:val="auto"/>
          <w:sz w:val="24"/>
          <w:szCs w:val="24"/>
          <w:highlight w:val="none"/>
        </w:rPr>
      </w:pPr>
    </w:p>
    <w:p w14:paraId="48C13A7F">
      <w:pPr>
        <w:pStyle w:val="19"/>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0F461CDF">
      <w:pPr>
        <w:pStyle w:val="19"/>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68301402">
      <w:pPr>
        <w:pStyle w:val="1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5A116F">
      <w:pPr>
        <w:pStyle w:val="1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26E6E63E">
      <w:pPr>
        <w:pStyle w:val="19"/>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3388965F">
      <w:pPr>
        <w:pStyle w:val="19"/>
        <w:spacing w:line="360" w:lineRule="auto"/>
        <w:ind w:left="25" w:leftChars="12" w:firstLine="354" w:firstLineChars="147"/>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12E1EC92">
      <w:pPr>
        <w:pStyle w:val="19"/>
        <w:snapToGrid w:val="0"/>
        <w:rPr>
          <w:b/>
          <w:color w:val="auto"/>
          <w:sz w:val="24"/>
          <w:szCs w:val="24"/>
          <w:highlight w:val="none"/>
        </w:rPr>
      </w:pPr>
    </w:p>
    <w:p w14:paraId="3C7778C6">
      <w:pPr>
        <w:spacing w:line="360" w:lineRule="auto"/>
        <w:jc w:val="left"/>
        <w:rPr>
          <w:rFonts w:ascii="宋体" w:hAnsi="宋体"/>
          <w:b/>
          <w:bCs/>
          <w:color w:val="auto"/>
          <w:sz w:val="32"/>
          <w:szCs w:val="32"/>
          <w:highlight w:val="none"/>
        </w:rPr>
      </w:pPr>
      <w:r>
        <w:rPr>
          <w:rFonts w:eastAsia="隶书"/>
          <w:color w:val="auto"/>
          <w:sz w:val="44"/>
          <w:highlight w:val="none"/>
        </w:rPr>
        <w:br w:type="page"/>
      </w:r>
      <w:r>
        <w:rPr>
          <w:rFonts w:hint="eastAsia" w:ascii="宋体" w:hAnsi="宋体" w:eastAsia="隶书"/>
          <w:b/>
          <w:color w:val="auto"/>
          <w:sz w:val="24"/>
          <w:highlight w:val="none"/>
        </w:rPr>
        <w:t>4</w:t>
      </w:r>
      <w:r>
        <w:rPr>
          <w:rFonts w:hint="eastAsia" w:ascii="宋体" w:hAnsi="宋体"/>
          <w:b/>
          <w:color w:val="auto"/>
          <w:sz w:val="24"/>
          <w:highlight w:val="none"/>
        </w:rPr>
        <w:t>.投诉书格式</w:t>
      </w:r>
    </w:p>
    <w:p w14:paraId="59172C17">
      <w:pPr>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w:t>
      </w:r>
    </w:p>
    <w:p w14:paraId="4E451ACC">
      <w:pPr>
        <w:pStyle w:val="19"/>
        <w:snapToGrid w:val="0"/>
        <w:spacing w:line="440" w:lineRule="exact"/>
        <w:ind w:firstLine="482" w:firstLineChars="200"/>
        <w:rPr>
          <w:rFonts w:hAnsi="宋体"/>
          <w:b/>
          <w:bCs/>
          <w:color w:val="auto"/>
          <w:sz w:val="24"/>
          <w:szCs w:val="24"/>
          <w:highlight w:val="none"/>
        </w:rPr>
      </w:pPr>
    </w:p>
    <w:p w14:paraId="21517658">
      <w:pPr>
        <w:pStyle w:val="19"/>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111579AF">
      <w:pPr>
        <w:pStyle w:val="19"/>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D35A53A">
      <w:pPr>
        <w:pStyle w:val="19"/>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718338F">
      <w:pPr>
        <w:pStyle w:val="19"/>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503388DE">
      <w:pPr>
        <w:pStyle w:val="19"/>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DAB7618">
      <w:pPr>
        <w:pStyle w:val="19"/>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E17DB0F">
      <w:pPr>
        <w:pStyle w:val="19"/>
        <w:snapToGrid w:val="0"/>
        <w:spacing w:line="440" w:lineRule="exact"/>
        <w:ind w:firstLine="480" w:firstLineChars="200"/>
        <w:jc w:val="left"/>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53EA19F">
      <w:pPr>
        <w:pStyle w:val="19"/>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D3DFD92">
      <w:pPr>
        <w:pStyle w:val="19"/>
        <w:snapToGrid w:val="0"/>
        <w:spacing w:line="440" w:lineRule="exact"/>
        <w:ind w:firstLine="480" w:firstLineChars="200"/>
        <w:jc w:val="left"/>
        <w:rPr>
          <w:rFonts w:hAnsi="宋体"/>
          <w:bCs/>
          <w:color w:val="auto"/>
          <w:sz w:val="24"/>
          <w:szCs w:val="24"/>
          <w:highlight w:val="none"/>
        </w:rPr>
      </w:pPr>
      <w:r>
        <w:rPr>
          <w:rFonts w:hint="eastAsia" w:hAnsi="宋体"/>
          <w:bCs/>
          <w:color w:val="auto"/>
          <w:sz w:val="24"/>
          <w:szCs w:val="24"/>
          <w:highlight w:val="none"/>
        </w:rPr>
        <w:t>被投诉人1：</w:t>
      </w:r>
    </w:p>
    <w:p w14:paraId="68D7C249">
      <w:pPr>
        <w:pStyle w:val="19"/>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01445BEA">
      <w:pPr>
        <w:pStyle w:val="19"/>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E6F59E5">
      <w:pPr>
        <w:pStyle w:val="19"/>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3B4E67E">
      <w:pPr>
        <w:pStyle w:val="19"/>
        <w:snapToGrid w:val="0"/>
        <w:spacing w:line="440" w:lineRule="exact"/>
        <w:ind w:firstLine="480" w:firstLineChars="200"/>
        <w:jc w:val="left"/>
        <w:rPr>
          <w:rFonts w:hAnsi="宋体"/>
          <w:bCs/>
          <w:color w:val="auto"/>
          <w:sz w:val="24"/>
          <w:szCs w:val="24"/>
          <w:highlight w:val="none"/>
        </w:rPr>
      </w:pPr>
      <w:r>
        <w:rPr>
          <w:rFonts w:hint="eastAsia" w:hAnsi="宋体"/>
          <w:bCs/>
          <w:color w:val="auto"/>
          <w:sz w:val="24"/>
          <w:szCs w:val="24"/>
          <w:highlight w:val="none"/>
        </w:rPr>
        <w:t>被投诉人2：</w:t>
      </w:r>
    </w:p>
    <w:p w14:paraId="21F9A7AB">
      <w:pPr>
        <w:pStyle w:val="19"/>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w:t>
      </w:r>
    </w:p>
    <w:p w14:paraId="1FF7102D">
      <w:pPr>
        <w:pStyle w:val="19"/>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298DB124">
      <w:pPr>
        <w:pStyle w:val="19"/>
        <w:snapToGrid w:val="0"/>
        <w:spacing w:line="440" w:lineRule="exact"/>
        <w:ind w:firstLine="480" w:firstLineChars="200"/>
        <w:jc w:val="left"/>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CD75BDC">
      <w:pPr>
        <w:pStyle w:val="19"/>
        <w:snapToGrid w:val="0"/>
        <w:spacing w:line="440" w:lineRule="exact"/>
        <w:ind w:firstLine="480" w:firstLineChars="200"/>
        <w:jc w:val="left"/>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2F7A0CF">
      <w:pPr>
        <w:pStyle w:val="19"/>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1A10234A">
      <w:pPr>
        <w:pStyle w:val="19"/>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74418C83">
      <w:pPr>
        <w:pStyle w:val="19"/>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74910661">
      <w:pPr>
        <w:pStyle w:val="19"/>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1418993">
      <w:pPr>
        <w:pStyle w:val="19"/>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14CD800D">
      <w:pPr>
        <w:pStyle w:val="19"/>
        <w:spacing w:line="440" w:lineRule="exact"/>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0845FD67">
      <w:pPr>
        <w:pStyle w:val="19"/>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01BFFFF3">
      <w:pPr>
        <w:pStyle w:val="19"/>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2B2D44F9">
      <w:pPr>
        <w:pStyle w:val="19"/>
        <w:spacing w:line="440" w:lineRule="exact"/>
        <w:ind w:left="25" w:leftChars="12"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041140B6">
      <w:pPr>
        <w:pStyle w:val="19"/>
        <w:spacing w:line="440" w:lineRule="exact"/>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5C73B00">
      <w:pPr>
        <w:pStyle w:val="19"/>
        <w:spacing w:line="440" w:lineRule="exact"/>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CAEBB25">
      <w:pPr>
        <w:pStyle w:val="19"/>
        <w:spacing w:line="440" w:lineRule="exact"/>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59E826BA">
      <w:pPr>
        <w:pStyle w:val="19"/>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3C59B1D8">
      <w:pPr>
        <w:pStyle w:val="19"/>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01B8C4E0">
      <w:pPr>
        <w:pStyle w:val="19"/>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ADBA57E">
      <w:pPr>
        <w:pStyle w:val="19"/>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236B75C8">
      <w:pPr>
        <w:pStyle w:val="19"/>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4652258">
      <w:pPr>
        <w:pStyle w:val="19"/>
        <w:spacing w:line="440" w:lineRule="exact"/>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474841E">
      <w:pPr>
        <w:pStyle w:val="19"/>
        <w:spacing w:line="440" w:lineRule="exact"/>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250D9EA8">
      <w:pPr>
        <w:pStyle w:val="19"/>
        <w:spacing w:line="440" w:lineRule="exact"/>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1D4F663E">
      <w:pPr>
        <w:pStyle w:val="19"/>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7C5ADDD7">
      <w:pPr>
        <w:pStyle w:val="19"/>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FE38884">
      <w:pPr>
        <w:pStyle w:val="19"/>
        <w:spacing w:line="440" w:lineRule="exact"/>
        <w:ind w:left="25" w:leftChars="12" w:firstLine="352" w:firstLineChars="147"/>
        <w:rPr>
          <w:rFonts w:hAnsi="宋体"/>
          <w:color w:val="auto"/>
          <w:sz w:val="24"/>
          <w:szCs w:val="24"/>
          <w:highlight w:val="none"/>
        </w:rPr>
      </w:pPr>
    </w:p>
    <w:p w14:paraId="1E7F5B99">
      <w:pPr>
        <w:pStyle w:val="19"/>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6B1DA746">
      <w:pPr>
        <w:pStyle w:val="19"/>
        <w:spacing w:line="440" w:lineRule="exact"/>
        <w:ind w:left="25" w:leftChars="12" w:firstLine="352" w:firstLineChars="147"/>
        <w:rPr>
          <w:rFonts w:hAnsi="宋体"/>
          <w:color w:val="auto"/>
          <w:sz w:val="24"/>
          <w:szCs w:val="24"/>
          <w:highlight w:val="none"/>
        </w:rPr>
      </w:pPr>
    </w:p>
    <w:p w14:paraId="3CC15F71">
      <w:pPr>
        <w:pStyle w:val="19"/>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44302EDA">
      <w:pPr>
        <w:pStyle w:val="19"/>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 xml:space="preserve">                                                                              </w:t>
      </w:r>
    </w:p>
    <w:p w14:paraId="35F8397A">
      <w:pPr>
        <w:pStyle w:val="19"/>
        <w:snapToGrid w:val="0"/>
        <w:spacing w:line="440" w:lineRule="exact"/>
        <w:rPr>
          <w:rFonts w:hAnsi="宋体"/>
          <w:b/>
          <w:color w:val="auto"/>
          <w:sz w:val="24"/>
          <w:szCs w:val="24"/>
          <w:highlight w:val="none"/>
        </w:rPr>
      </w:pPr>
      <w:r>
        <w:rPr>
          <w:rFonts w:hint="eastAsia" w:hAnsi="宋体"/>
          <w:b/>
          <w:color w:val="auto"/>
          <w:sz w:val="24"/>
          <w:szCs w:val="24"/>
          <w:highlight w:val="none"/>
        </w:rPr>
        <w:t>说明：</w:t>
      </w:r>
    </w:p>
    <w:p w14:paraId="6EF3E791">
      <w:pPr>
        <w:pStyle w:val="19"/>
        <w:spacing w:line="440" w:lineRule="exact"/>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6025DDCE">
      <w:pPr>
        <w:pStyle w:val="19"/>
        <w:spacing w:line="44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A124E85">
      <w:pPr>
        <w:pStyle w:val="19"/>
        <w:spacing w:line="44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335748D8">
      <w:pPr>
        <w:pStyle w:val="19"/>
        <w:spacing w:line="44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46A6F15A">
      <w:pPr>
        <w:pStyle w:val="19"/>
        <w:spacing w:line="44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6600E132">
      <w:pPr>
        <w:pStyle w:val="19"/>
        <w:spacing w:line="440" w:lineRule="exact"/>
        <w:ind w:left="25" w:leftChars="12" w:firstLine="354" w:firstLineChars="147"/>
        <w:rPr>
          <w:rFonts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7555F6DC">
      <w:pPr>
        <w:widowControl/>
        <w:ind w:firstLine="640" w:firstLineChars="200"/>
        <w:jc w:val="left"/>
        <w:rPr>
          <w:rFonts w:ascii="仿宋_GB2312" w:hAnsi="宋体" w:eastAsia="仿宋_GB2312" w:cs="宋体"/>
          <w:color w:val="auto"/>
          <w:kern w:val="0"/>
          <w:sz w:val="32"/>
          <w:szCs w:val="32"/>
          <w:highlight w:val="none"/>
        </w:rPr>
      </w:pPr>
    </w:p>
    <w:p w14:paraId="3033AF71">
      <w:pPr>
        <w:rPr>
          <w:color w:val="auto"/>
          <w:highlight w:val="none"/>
        </w:rPr>
      </w:pPr>
    </w:p>
    <w:sectPr>
      <w:footerReference r:id="rId14" w:type="first"/>
      <w:headerReference r:id="rId11" w:type="default"/>
      <w:footerReference r:id="rId12" w:type="default"/>
      <w:footerReference r:id="rId13"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E1DA652-4F0F-4974-B467-3F519C4C9DAB}"/>
  </w:font>
  <w:font w:name="黑体">
    <w:panose1 w:val="02010609060101010101"/>
    <w:charset w:val="86"/>
    <w:family w:val="auto"/>
    <w:pitch w:val="default"/>
    <w:sig w:usb0="800002BF" w:usb1="38CF7CFA" w:usb2="00000016" w:usb3="00000000" w:csb0="00040001" w:csb1="00000000"/>
    <w:embedRegular r:id="rId2" w:fontKey="{8A015C5C-8181-41E0-AE2B-BB9CE3F630F1}"/>
  </w:font>
  <w:font w:name="Courier New">
    <w:panose1 w:val="02070309020205020404"/>
    <w:charset w:val="01"/>
    <w:family w:val="modern"/>
    <w:pitch w:val="default"/>
    <w:sig w:usb0="E0002EFF" w:usb1="C0007843" w:usb2="00000009" w:usb3="00000000" w:csb0="400001FF" w:csb1="FFFF0000"/>
    <w:embedRegular r:id="rId3" w:fontKey="{6FCCA557-90A6-4A65-9EBC-13E96F0FB42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1EE21D1-9D1E-46F5-9CE0-61842537E14A}"/>
  </w:font>
  <w:font w:name="monospace">
    <w:altName w:val="Segoe Print"/>
    <w:panose1 w:val="00000000000000000000"/>
    <w:charset w:val="00"/>
    <w:family w:val="auto"/>
    <w:pitch w:val="default"/>
    <w:sig w:usb0="00000000" w:usb1="00000000" w:usb2="00000000" w:usb3="00000000" w:csb0="00000000" w:csb1="00000000"/>
    <w:embedRegular r:id="rId5" w:fontKey="{95A46528-BBD1-4F9B-82C2-215498DBD251}"/>
  </w:font>
  <w:font w:name="Segoe Print">
    <w:panose1 w:val="02000600000000000000"/>
    <w:charset w:val="00"/>
    <w:family w:val="auto"/>
    <w:pitch w:val="default"/>
    <w:sig w:usb0="0000028F" w:usb1="00000000" w:usb2="00000000" w:usb3="00000000" w:csb0="2000009F" w:csb1="4701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80A37079-A879-4650-9D9B-F114976B0E68}"/>
  </w:font>
  <w:font w:name="仿宋">
    <w:panose1 w:val="02010609060101010101"/>
    <w:charset w:val="86"/>
    <w:family w:val="modern"/>
    <w:pitch w:val="default"/>
    <w:sig w:usb0="800002BF" w:usb1="38CF7CFA" w:usb2="00000016" w:usb3="00000000" w:csb0="00040001" w:csb1="00000000"/>
    <w:embedRegular r:id="rId7" w:fontKey="{3EDDB103-26AB-4544-B78C-BF4A3D137245}"/>
  </w:font>
  <w:font w:name="Arial Unicode MS">
    <w:panose1 w:val="020B0604020202020204"/>
    <w:charset w:val="86"/>
    <w:family w:val="swiss"/>
    <w:pitch w:val="default"/>
    <w:sig w:usb0="FFFFFFFF" w:usb1="E9FFFFFF" w:usb2="0000003F" w:usb3="00000000" w:csb0="603F01FF" w:csb1="FFFF0000"/>
    <w:embedRegular r:id="rId8" w:fontKey="{20E0B205-4518-418A-B169-B7EC586E1637}"/>
  </w:font>
  <w:font w:name="方正小标宋简体">
    <w:panose1 w:val="02000000000000000000"/>
    <w:charset w:val="86"/>
    <w:family w:val="auto"/>
    <w:pitch w:val="default"/>
    <w:sig w:usb0="00000001" w:usb1="08000000" w:usb2="00000000" w:usb3="00000000" w:csb0="00040000" w:csb1="00000000"/>
    <w:embedRegular r:id="rId9" w:fontKey="{EC3FFC07-23AC-49A0-ACE0-A6D9C7AE41D6}"/>
  </w:font>
  <w:font w:name="楷体_GB2312">
    <w:panose1 w:val="02010609030101010101"/>
    <w:charset w:val="86"/>
    <w:family w:val="auto"/>
    <w:pitch w:val="default"/>
    <w:sig w:usb0="00000001" w:usb1="080E0000" w:usb2="00000000" w:usb3="00000000" w:csb0="00040000" w:csb1="00000000"/>
    <w:embedRegular r:id="rId10" w:fontKey="{AA56FA22-838C-4ADB-901F-D19A14F68BFA}"/>
  </w:font>
  <w:font w:name="楷体">
    <w:panose1 w:val="02010609060101010101"/>
    <w:charset w:val="86"/>
    <w:family w:val="modern"/>
    <w:pitch w:val="default"/>
    <w:sig w:usb0="800002BF" w:usb1="38CF7CFA" w:usb2="00000016" w:usb3="00000000" w:csb0="00040001" w:csb1="00000000"/>
    <w:embedRegular r:id="rId11" w:fontKey="{CC6F9DFC-00F4-4437-A48C-D74822D4C1F4}"/>
  </w:font>
  <w:font w:name="TimesNewRomanPSMT">
    <w:altName w:val="Times New Roman"/>
    <w:panose1 w:val="02020603050405020304"/>
    <w:charset w:val="00"/>
    <w:family w:val="roman"/>
    <w:pitch w:val="default"/>
    <w:sig w:usb0="00000000" w:usb1="00000000" w:usb2="00000009" w:usb3="00000000" w:csb0="400001FF" w:csb1="FFFF0000"/>
    <w:embedRegular r:id="rId12" w:fontKey="{8105D734-29AB-4440-8B76-C1C858B44CFF}"/>
  </w:font>
  <w:font w:name="微软雅黑">
    <w:panose1 w:val="020B0503020204020204"/>
    <w:charset w:val="86"/>
    <w:family w:val="swiss"/>
    <w:pitch w:val="default"/>
    <w:sig w:usb0="80000287" w:usb1="2ACF3C50" w:usb2="00000016" w:usb3="00000000" w:csb0="0004001F" w:csb1="00000000"/>
    <w:embedRegular r:id="rId13" w:fontKey="{F3498374-D098-4305-8E44-A50BF16DEF53}"/>
  </w:font>
  <w:font w:name="隶书">
    <w:panose1 w:val="02010509060101010101"/>
    <w:charset w:val="86"/>
    <w:family w:val="modern"/>
    <w:pitch w:val="default"/>
    <w:sig w:usb0="00000001" w:usb1="080E0000" w:usb2="00000000" w:usb3="00000000" w:csb0="00040000" w:csb1="00000000"/>
    <w:embedRegular r:id="rId14" w:fontKey="{BA53AADD-57D0-44BF-8973-EB2E2C68C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E1645">
    <w:pPr>
      <w:pStyle w:val="2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BD00">
    <w:pPr>
      <w:pStyle w:val="25"/>
      <w:framePr w:wrap="around" w:vAnchor="text" w:hAnchor="margin" w:xAlign="center" w:y="1"/>
      <w:rPr>
        <w:rStyle w:val="39"/>
        <w:sz w:val="21"/>
      </w:rPr>
    </w:pPr>
    <w:r>
      <w:rPr>
        <w:sz w:val="21"/>
      </w:rPr>
      <w:fldChar w:fldCharType="begin"/>
    </w:r>
    <w:r>
      <w:rPr>
        <w:rStyle w:val="39"/>
        <w:sz w:val="21"/>
      </w:rPr>
      <w:instrText xml:space="preserve">PAGE  </w:instrText>
    </w:r>
    <w:r>
      <w:rPr>
        <w:sz w:val="21"/>
      </w:rPr>
      <w:fldChar w:fldCharType="separate"/>
    </w:r>
    <w:r>
      <w:rPr>
        <w:rStyle w:val="39"/>
        <w:sz w:val="21"/>
      </w:rPr>
      <w:t>0</w:t>
    </w:r>
    <w:r>
      <w:rPr>
        <w:sz w:val="21"/>
      </w:rPr>
      <w:fldChar w:fldCharType="end"/>
    </w:r>
  </w:p>
  <w:p w14:paraId="235DFED5">
    <w:pPr>
      <w:pStyle w:val="25"/>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19995">
    <w:pPr>
      <w:pStyle w:val="2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F1D86">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52F1D86">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C48B3">
    <w:pPr>
      <w:pStyle w:val="25"/>
      <w:ind w:left="560" w:hanging="5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1C4F4">
                          <w:pPr>
                            <w:pStyle w:val="2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E1C4F4">
                    <w:pPr>
                      <w:pStyle w:val="25"/>
                    </w:pPr>
                    <w:r>
                      <w:fldChar w:fldCharType="begin"/>
                    </w:r>
                    <w:r>
                      <w:instrText xml:space="preserve"> PAGE  \* MERGEFORMAT </w:instrText>
                    </w:r>
                    <w:r>
                      <w:fldChar w:fldCharType="separate"/>
                    </w:r>
                    <w:r>
                      <w:t>56</w:t>
                    </w:r>
                    <w:r>
                      <w:fldChar w:fldCharType="end"/>
                    </w:r>
                  </w:p>
                </w:txbxContent>
              </v:textbox>
            </v:shape>
          </w:pict>
        </mc:Fallback>
      </mc:AlternateContent>
    </w:r>
  </w:p>
  <w:p w14:paraId="7C7748FF">
    <w:pPr>
      <w:pStyle w:val="25"/>
      <w:ind w:left="560" w:hanging="5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F2072">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17CB0">
                          <w:pPr>
                            <w:pStyle w:val="25"/>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7017CB0">
                    <w:pPr>
                      <w:pStyle w:val="25"/>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E7AAD">
    <w:pPr>
      <w:pStyle w:val="2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FB4">
                          <w:pPr>
                            <w:pStyle w:val="25"/>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2112FB4">
                    <w:pPr>
                      <w:pStyle w:val="25"/>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4D817">
    <w:pPr>
      <w:pStyle w:val="25"/>
      <w:framePr w:wrap="around" w:vAnchor="text" w:hAnchor="margin" w:xAlign="center" w:y="1"/>
      <w:rPr>
        <w:rStyle w:val="39"/>
      </w:rPr>
    </w:pPr>
    <w:r>
      <w:fldChar w:fldCharType="begin"/>
    </w:r>
    <w:r>
      <w:rPr>
        <w:rStyle w:val="39"/>
      </w:rPr>
      <w:instrText xml:space="preserve">PAGE  </w:instrText>
    </w:r>
    <w:r>
      <w:fldChar w:fldCharType="end"/>
    </w:r>
  </w:p>
  <w:p w14:paraId="27EBD0D2">
    <w:pPr>
      <w:pStyle w:val="2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300E8">
    <w:pPr>
      <w:pStyle w:val="25"/>
      <w:framePr w:wrap="around" w:vAnchor="text" w:hAnchor="margin" w:xAlign="right" w:y="1"/>
      <w:rPr>
        <w:rStyle w:val="39"/>
      </w:rPr>
    </w:pPr>
    <w:r>
      <w:fldChar w:fldCharType="begin"/>
    </w:r>
    <w:r>
      <w:rPr>
        <w:rStyle w:val="39"/>
      </w:rPr>
      <w:instrText xml:space="preserve">PAGE  </w:instrText>
    </w:r>
    <w:r>
      <w:fldChar w:fldCharType="separate"/>
    </w:r>
    <w:r>
      <w:rPr>
        <w:rStyle w:val="39"/>
      </w:rPr>
      <w:t>122</w:t>
    </w:r>
    <w:r>
      <w:fldChar w:fldCharType="end"/>
    </w:r>
  </w:p>
  <w:p w14:paraId="1207A8F9">
    <w:pPr>
      <w:pStyle w:val="25"/>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0621D">
    <w:pPr>
      <w:pStyle w:val="26"/>
      <w:tabs>
        <w:tab w:val="center" w:pos="0"/>
        <w:tab w:val="clear" w:pos="4153"/>
      </w:tabs>
      <w:rPr>
        <w:highlight w:val="none"/>
      </w:rPr>
    </w:pPr>
    <w:r>
      <w:rPr>
        <w:rFonts w:hint="eastAsia"/>
        <w:highlight w:val="none"/>
      </w:rPr>
      <w:t>广西壮族自治区政府采购公开招标采购文件（项目编号：YLZC2025-G3-220003-JGJD）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F9973">
    <w:pPr>
      <w:pStyle w:val="26"/>
      <w:tabs>
        <w:tab w:val="center" w:pos="0"/>
        <w:tab w:val="clear" w:pos="4153"/>
      </w:tabs>
    </w:pPr>
    <w:r>
      <w:rPr>
        <w:rFonts w:hint="eastAsia"/>
      </w:rPr>
      <w:t>政府采购公开招标文件（项目编号：LZZC2022-C3-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826C4">
    <w:pPr>
      <w:pStyle w:val="26"/>
      <w:pBdr>
        <w:bottom w:val="none" w:color="auto" w:sz="0" w:space="0"/>
      </w:pBdr>
      <w:tabs>
        <w:tab w:val="center" w:pos="0"/>
        <w:tab w:val="left" w:pos="8306"/>
        <w:tab w:val="clear" w:pos="415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3D8BB">
    <w:pPr>
      <w:pStyle w:val="26"/>
      <w:tabs>
        <w:tab w:val="center" w:pos="0"/>
        <w:tab w:val="clear" w:pos="4153"/>
      </w:tabs>
    </w:pPr>
    <w:r>
      <w:rPr>
        <w:rFonts w:hint="eastAsia"/>
      </w:rPr>
      <w:t>项目编号：@采购文件模板实体.项目编号1@</w:t>
    </w:r>
  </w:p>
  <w:p w14:paraId="4674B4D5">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584CD"/>
    <w:multiLevelType w:val="singleLevel"/>
    <w:tmpl w:val="9DF584CD"/>
    <w:lvl w:ilvl="0" w:tentative="0">
      <w:start w:val="1"/>
      <w:numFmt w:val="decimal"/>
      <w:suff w:val="nothing"/>
      <w:lvlText w:val="%1、"/>
      <w:lvlJc w:val="left"/>
    </w:lvl>
  </w:abstractNum>
  <w:abstractNum w:abstractNumId="1">
    <w:nsid w:val="4C601917"/>
    <w:multiLevelType w:val="singleLevel"/>
    <w:tmpl w:val="4C601917"/>
    <w:lvl w:ilvl="0" w:tentative="0">
      <w:start w:val="1"/>
      <w:numFmt w:val="decimal"/>
      <w:suff w:val="nothing"/>
      <w:lvlText w:val="（%1）"/>
      <w:lvlJc w:val="left"/>
      <w:pPr>
        <w:ind w:left="-2"/>
      </w:pPr>
    </w:lvl>
  </w:abstractNum>
  <w:abstractNum w:abstractNumId="2">
    <w:nsid w:val="5FABD14B"/>
    <w:multiLevelType w:val="singleLevel"/>
    <w:tmpl w:val="5FABD14B"/>
    <w:lvl w:ilvl="0" w:tentative="0">
      <w:start w:val="1"/>
      <w:numFmt w:val="decimal"/>
      <w:suff w:val="nothing"/>
      <w:lvlText w:val="（%1）"/>
      <w:lvlJc w:val="left"/>
    </w:lvl>
  </w:abstractNum>
  <w:abstractNum w:abstractNumId="3">
    <w:nsid w:val="72962756"/>
    <w:multiLevelType w:val="multilevel"/>
    <w:tmpl w:val="72962756"/>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48D16CD"/>
    <w:multiLevelType w:val="multilevel"/>
    <w:tmpl w:val="748D16CD"/>
    <w:lvl w:ilvl="0" w:tentative="0">
      <w:start w:val="1"/>
      <w:numFmt w:val="decimal"/>
      <w:pStyle w:val="139"/>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6">
    <w:nsid w:val="78B37951"/>
    <w:multiLevelType w:val="singleLevel"/>
    <w:tmpl w:val="78B37951"/>
    <w:lvl w:ilvl="0" w:tentative="0">
      <w:start w:val="5"/>
      <w:numFmt w:val="decimal"/>
      <w:lvlText w:val="(%1)"/>
      <w:lvlJc w:val="left"/>
      <w:pPr>
        <w:tabs>
          <w:tab w:val="left" w:pos="312"/>
        </w:tabs>
      </w:pPr>
      <w:rPr>
        <w:rFonts w:hint="default"/>
        <w:color w:val="0000FF"/>
      </w:rPr>
    </w:lvl>
  </w:abstractNum>
  <w:abstractNum w:abstractNumId="7">
    <w:nsid w:val="7FBA8EC6"/>
    <w:multiLevelType w:val="singleLevel"/>
    <w:tmpl w:val="7FBA8EC6"/>
    <w:lvl w:ilvl="0" w:tentative="0">
      <w:start w:val="1"/>
      <w:numFmt w:val="decimal"/>
      <w:lvlText w:val="(%1)"/>
      <w:lvlJc w:val="left"/>
      <w:pPr>
        <w:tabs>
          <w:tab w:val="left" w:pos="312"/>
        </w:tabs>
      </w:pPr>
    </w:lvl>
  </w:abstractNum>
  <w:num w:numId="1">
    <w:abstractNumId w:val="4"/>
  </w:num>
  <w:num w:numId="2">
    <w:abstractNumId w:val="7"/>
  </w:num>
  <w:num w:numId="3">
    <w:abstractNumId w:val="0"/>
  </w:num>
  <w:num w:numId="4">
    <w:abstractNumId w:val="6"/>
  </w:num>
  <w:num w:numId="5">
    <w:abstractNumId w:val="1"/>
  </w:num>
  <w:num w:numId="6">
    <w:abstractNumId w:val="2"/>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xNDQ3YTRmMmE0ZmUwNWRjOThkNGUzMGE5ODFlNDkifQ=="/>
  </w:docVars>
  <w:rsids>
    <w:rsidRoot w:val="00643DE5"/>
    <w:rsid w:val="0000096C"/>
    <w:rsid w:val="00000CDB"/>
    <w:rsid w:val="00001CDA"/>
    <w:rsid w:val="00004344"/>
    <w:rsid w:val="00005909"/>
    <w:rsid w:val="000207D5"/>
    <w:rsid w:val="00024E82"/>
    <w:rsid w:val="00027659"/>
    <w:rsid w:val="00030800"/>
    <w:rsid w:val="00031652"/>
    <w:rsid w:val="00034A7D"/>
    <w:rsid w:val="00035197"/>
    <w:rsid w:val="00035F9C"/>
    <w:rsid w:val="000401CD"/>
    <w:rsid w:val="00044EDB"/>
    <w:rsid w:val="00054304"/>
    <w:rsid w:val="000553BC"/>
    <w:rsid w:val="00056551"/>
    <w:rsid w:val="0006218D"/>
    <w:rsid w:val="00063F24"/>
    <w:rsid w:val="00065AF0"/>
    <w:rsid w:val="00066EA9"/>
    <w:rsid w:val="00066FE1"/>
    <w:rsid w:val="00074D5F"/>
    <w:rsid w:val="00077BF5"/>
    <w:rsid w:val="00081789"/>
    <w:rsid w:val="00085A0D"/>
    <w:rsid w:val="00092A54"/>
    <w:rsid w:val="00092F65"/>
    <w:rsid w:val="0009317E"/>
    <w:rsid w:val="00093B18"/>
    <w:rsid w:val="00094E84"/>
    <w:rsid w:val="000A7A4B"/>
    <w:rsid w:val="000C302E"/>
    <w:rsid w:val="000C5D44"/>
    <w:rsid w:val="000D5F48"/>
    <w:rsid w:val="000D7284"/>
    <w:rsid w:val="000E6783"/>
    <w:rsid w:val="000F1BBE"/>
    <w:rsid w:val="001031E7"/>
    <w:rsid w:val="00104245"/>
    <w:rsid w:val="001108AC"/>
    <w:rsid w:val="00110DD2"/>
    <w:rsid w:val="0011187C"/>
    <w:rsid w:val="00116FC9"/>
    <w:rsid w:val="00120C46"/>
    <w:rsid w:val="00125837"/>
    <w:rsid w:val="001306A8"/>
    <w:rsid w:val="00140B14"/>
    <w:rsid w:val="00140CE8"/>
    <w:rsid w:val="00143DA6"/>
    <w:rsid w:val="00151CEE"/>
    <w:rsid w:val="0015209C"/>
    <w:rsid w:val="001551E7"/>
    <w:rsid w:val="00170AA7"/>
    <w:rsid w:val="00173852"/>
    <w:rsid w:val="00174F9B"/>
    <w:rsid w:val="00177D95"/>
    <w:rsid w:val="00181460"/>
    <w:rsid w:val="00182C28"/>
    <w:rsid w:val="00190F4C"/>
    <w:rsid w:val="00193D49"/>
    <w:rsid w:val="0019577E"/>
    <w:rsid w:val="001B1366"/>
    <w:rsid w:val="001B2BDE"/>
    <w:rsid w:val="001B2FAE"/>
    <w:rsid w:val="001C2E44"/>
    <w:rsid w:val="001D047F"/>
    <w:rsid w:val="001E0216"/>
    <w:rsid w:val="001E0590"/>
    <w:rsid w:val="001E3E3A"/>
    <w:rsid w:val="001E4E53"/>
    <w:rsid w:val="001E6153"/>
    <w:rsid w:val="001E6C5D"/>
    <w:rsid w:val="001E7AB6"/>
    <w:rsid w:val="001F330A"/>
    <w:rsid w:val="001F4D3C"/>
    <w:rsid w:val="00201770"/>
    <w:rsid w:val="00204164"/>
    <w:rsid w:val="00204F25"/>
    <w:rsid w:val="00205999"/>
    <w:rsid w:val="00207350"/>
    <w:rsid w:val="00207DB7"/>
    <w:rsid w:val="00221909"/>
    <w:rsid w:val="002230A4"/>
    <w:rsid w:val="00231EAB"/>
    <w:rsid w:val="00232E04"/>
    <w:rsid w:val="00236055"/>
    <w:rsid w:val="00236B7D"/>
    <w:rsid w:val="00244627"/>
    <w:rsid w:val="002563B4"/>
    <w:rsid w:val="0025753A"/>
    <w:rsid w:val="002738BD"/>
    <w:rsid w:val="002867CF"/>
    <w:rsid w:val="00293976"/>
    <w:rsid w:val="00297271"/>
    <w:rsid w:val="002B3400"/>
    <w:rsid w:val="002B4610"/>
    <w:rsid w:val="002C0483"/>
    <w:rsid w:val="002C1328"/>
    <w:rsid w:val="002C27F2"/>
    <w:rsid w:val="002C38A0"/>
    <w:rsid w:val="002C7DD7"/>
    <w:rsid w:val="002D2EF2"/>
    <w:rsid w:val="002E0A18"/>
    <w:rsid w:val="002E6BA4"/>
    <w:rsid w:val="002F55FD"/>
    <w:rsid w:val="002F667D"/>
    <w:rsid w:val="003014B1"/>
    <w:rsid w:val="003051FD"/>
    <w:rsid w:val="00305816"/>
    <w:rsid w:val="00315EB2"/>
    <w:rsid w:val="003162D6"/>
    <w:rsid w:val="00316994"/>
    <w:rsid w:val="00320B19"/>
    <w:rsid w:val="00322C10"/>
    <w:rsid w:val="00327461"/>
    <w:rsid w:val="00330EE9"/>
    <w:rsid w:val="003331F5"/>
    <w:rsid w:val="00337A9F"/>
    <w:rsid w:val="00344631"/>
    <w:rsid w:val="00346976"/>
    <w:rsid w:val="00347950"/>
    <w:rsid w:val="00353905"/>
    <w:rsid w:val="00355191"/>
    <w:rsid w:val="00366E54"/>
    <w:rsid w:val="0037075A"/>
    <w:rsid w:val="00371C87"/>
    <w:rsid w:val="00384EB6"/>
    <w:rsid w:val="003868E3"/>
    <w:rsid w:val="0039417D"/>
    <w:rsid w:val="003A3917"/>
    <w:rsid w:val="003A622A"/>
    <w:rsid w:val="003B031E"/>
    <w:rsid w:val="003B31F1"/>
    <w:rsid w:val="003B7C9A"/>
    <w:rsid w:val="003C027A"/>
    <w:rsid w:val="003C393F"/>
    <w:rsid w:val="003D3465"/>
    <w:rsid w:val="003D478D"/>
    <w:rsid w:val="003D7400"/>
    <w:rsid w:val="003E0AD4"/>
    <w:rsid w:val="003E1425"/>
    <w:rsid w:val="003E64C1"/>
    <w:rsid w:val="003F1067"/>
    <w:rsid w:val="003F1F9C"/>
    <w:rsid w:val="003F7B0D"/>
    <w:rsid w:val="004029ED"/>
    <w:rsid w:val="00403AA3"/>
    <w:rsid w:val="0040651A"/>
    <w:rsid w:val="004273BA"/>
    <w:rsid w:val="00431C3B"/>
    <w:rsid w:val="00435268"/>
    <w:rsid w:val="0044023A"/>
    <w:rsid w:val="004437ED"/>
    <w:rsid w:val="0044600A"/>
    <w:rsid w:val="00447BDE"/>
    <w:rsid w:val="00450ADB"/>
    <w:rsid w:val="00452102"/>
    <w:rsid w:val="004531C4"/>
    <w:rsid w:val="0046694A"/>
    <w:rsid w:val="0046760D"/>
    <w:rsid w:val="00467833"/>
    <w:rsid w:val="00474447"/>
    <w:rsid w:val="004820E2"/>
    <w:rsid w:val="004853B6"/>
    <w:rsid w:val="004861BA"/>
    <w:rsid w:val="00486E44"/>
    <w:rsid w:val="0049027F"/>
    <w:rsid w:val="004925A4"/>
    <w:rsid w:val="004929AD"/>
    <w:rsid w:val="004A0443"/>
    <w:rsid w:val="004A5F2A"/>
    <w:rsid w:val="004A6736"/>
    <w:rsid w:val="004B49D2"/>
    <w:rsid w:val="004B6ABF"/>
    <w:rsid w:val="004C5B3E"/>
    <w:rsid w:val="004E126C"/>
    <w:rsid w:val="004F5BCD"/>
    <w:rsid w:val="005033B8"/>
    <w:rsid w:val="00503A40"/>
    <w:rsid w:val="00506840"/>
    <w:rsid w:val="00511A25"/>
    <w:rsid w:val="00517D40"/>
    <w:rsid w:val="00520861"/>
    <w:rsid w:val="00521880"/>
    <w:rsid w:val="00525C35"/>
    <w:rsid w:val="005279FB"/>
    <w:rsid w:val="00532BF5"/>
    <w:rsid w:val="0053541C"/>
    <w:rsid w:val="005458AD"/>
    <w:rsid w:val="0054778A"/>
    <w:rsid w:val="0055409E"/>
    <w:rsid w:val="00554A36"/>
    <w:rsid w:val="00562514"/>
    <w:rsid w:val="00564C6D"/>
    <w:rsid w:val="00576E04"/>
    <w:rsid w:val="0057733C"/>
    <w:rsid w:val="00581AC2"/>
    <w:rsid w:val="00583AC0"/>
    <w:rsid w:val="00584BFC"/>
    <w:rsid w:val="005873D0"/>
    <w:rsid w:val="005917A6"/>
    <w:rsid w:val="005932B6"/>
    <w:rsid w:val="00596F89"/>
    <w:rsid w:val="005B53A3"/>
    <w:rsid w:val="005C06FA"/>
    <w:rsid w:val="005D54D6"/>
    <w:rsid w:val="005D6CCE"/>
    <w:rsid w:val="005E671C"/>
    <w:rsid w:val="005F6F86"/>
    <w:rsid w:val="00600743"/>
    <w:rsid w:val="006048A4"/>
    <w:rsid w:val="00605362"/>
    <w:rsid w:val="006064F7"/>
    <w:rsid w:val="006068F0"/>
    <w:rsid w:val="00606C3B"/>
    <w:rsid w:val="00622C28"/>
    <w:rsid w:val="00626CA8"/>
    <w:rsid w:val="006271A0"/>
    <w:rsid w:val="006301C4"/>
    <w:rsid w:val="00631BAB"/>
    <w:rsid w:val="006406A8"/>
    <w:rsid w:val="00640B4E"/>
    <w:rsid w:val="00641D5B"/>
    <w:rsid w:val="00643DE5"/>
    <w:rsid w:val="00644AAD"/>
    <w:rsid w:val="00653CDE"/>
    <w:rsid w:val="00656442"/>
    <w:rsid w:val="00661DA0"/>
    <w:rsid w:val="006632E6"/>
    <w:rsid w:val="00670E85"/>
    <w:rsid w:val="0067703D"/>
    <w:rsid w:val="006831E3"/>
    <w:rsid w:val="00691B1A"/>
    <w:rsid w:val="00695425"/>
    <w:rsid w:val="006A04FC"/>
    <w:rsid w:val="006A101B"/>
    <w:rsid w:val="006A6DC8"/>
    <w:rsid w:val="006C015A"/>
    <w:rsid w:val="006C2360"/>
    <w:rsid w:val="006C55A9"/>
    <w:rsid w:val="006C5999"/>
    <w:rsid w:val="006D0A1B"/>
    <w:rsid w:val="006D6A62"/>
    <w:rsid w:val="006F0015"/>
    <w:rsid w:val="00707FF2"/>
    <w:rsid w:val="00715456"/>
    <w:rsid w:val="00717D53"/>
    <w:rsid w:val="0072047C"/>
    <w:rsid w:val="0072351B"/>
    <w:rsid w:val="00730FBB"/>
    <w:rsid w:val="00736625"/>
    <w:rsid w:val="00744B4B"/>
    <w:rsid w:val="00745BFF"/>
    <w:rsid w:val="0074683F"/>
    <w:rsid w:val="007549ED"/>
    <w:rsid w:val="0075643C"/>
    <w:rsid w:val="00756DD1"/>
    <w:rsid w:val="00757B36"/>
    <w:rsid w:val="00761289"/>
    <w:rsid w:val="00761EA6"/>
    <w:rsid w:val="00767154"/>
    <w:rsid w:val="00773B6C"/>
    <w:rsid w:val="00781DF2"/>
    <w:rsid w:val="00790B95"/>
    <w:rsid w:val="007937A3"/>
    <w:rsid w:val="007B4684"/>
    <w:rsid w:val="007C09EA"/>
    <w:rsid w:val="007C2309"/>
    <w:rsid w:val="007C3B9F"/>
    <w:rsid w:val="007D5273"/>
    <w:rsid w:val="007D6581"/>
    <w:rsid w:val="007D6EBC"/>
    <w:rsid w:val="007F0A33"/>
    <w:rsid w:val="007F1D2B"/>
    <w:rsid w:val="007F4D7D"/>
    <w:rsid w:val="007F717F"/>
    <w:rsid w:val="008176CE"/>
    <w:rsid w:val="008232D5"/>
    <w:rsid w:val="00823F88"/>
    <w:rsid w:val="0082700E"/>
    <w:rsid w:val="008300D6"/>
    <w:rsid w:val="00843D45"/>
    <w:rsid w:val="00852105"/>
    <w:rsid w:val="0085544C"/>
    <w:rsid w:val="008604A4"/>
    <w:rsid w:val="008606F1"/>
    <w:rsid w:val="00860D9E"/>
    <w:rsid w:val="00862516"/>
    <w:rsid w:val="0086784A"/>
    <w:rsid w:val="0087223B"/>
    <w:rsid w:val="008732C7"/>
    <w:rsid w:val="008811BB"/>
    <w:rsid w:val="00884C48"/>
    <w:rsid w:val="0089747C"/>
    <w:rsid w:val="008974F2"/>
    <w:rsid w:val="008A2454"/>
    <w:rsid w:val="008A2903"/>
    <w:rsid w:val="008C4798"/>
    <w:rsid w:val="008D3FFB"/>
    <w:rsid w:val="008D43F8"/>
    <w:rsid w:val="008E268A"/>
    <w:rsid w:val="008E3451"/>
    <w:rsid w:val="008E53FF"/>
    <w:rsid w:val="00904A9B"/>
    <w:rsid w:val="00905884"/>
    <w:rsid w:val="00912D5E"/>
    <w:rsid w:val="00920D6C"/>
    <w:rsid w:val="009276D5"/>
    <w:rsid w:val="00942D58"/>
    <w:rsid w:val="00942FDE"/>
    <w:rsid w:val="00952863"/>
    <w:rsid w:val="009528FA"/>
    <w:rsid w:val="0096166D"/>
    <w:rsid w:val="00986C7E"/>
    <w:rsid w:val="009911B9"/>
    <w:rsid w:val="009924D4"/>
    <w:rsid w:val="009961B0"/>
    <w:rsid w:val="009963BC"/>
    <w:rsid w:val="009A6C00"/>
    <w:rsid w:val="009B644A"/>
    <w:rsid w:val="009B67C7"/>
    <w:rsid w:val="009C3D9F"/>
    <w:rsid w:val="009C60E6"/>
    <w:rsid w:val="009D5E30"/>
    <w:rsid w:val="009D64B0"/>
    <w:rsid w:val="009D78FE"/>
    <w:rsid w:val="009E0DF2"/>
    <w:rsid w:val="009E2765"/>
    <w:rsid w:val="009E2C4C"/>
    <w:rsid w:val="009E509B"/>
    <w:rsid w:val="009E5F55"/>
    <w:rsid w:val="009F48CE"/>
    <w:rsid w:val="009F5431"/>
    <w:rsid w:val="009F5C57"/>
    <w:rsid w:val="00A079C6"/>
    <w:rsid w:val="00A11791"/>
    <w:rsid w:val="00A15437"/>
    <w:rsid w:val="00A207B9"/>
    <w:rsid w:val="00A317A2"/>
    <w:rsid w:val="00A31C07"/>
    <w:rsid w:val="00A31E32"/>
    <w:rsid w:val="00A35D90"/>
    <w:rsid w:val="00A37ECC"/>
    <w:rsid w:val="00A41DC7"/>
    <w:rsid w:val="00A4364F"/>
    <w:rsid w:val="00A5424F"/>
    <w:rsid w:val="00A54EBE"/>
    <w:rsid w:val="00A56CB5"/>
    <w:rsid w:val="00A64717"/>
    <w:rsid w:val="00A748C9"/>
    <w:rsid w:val="00A77398"/>
    <w:rsid w:val="00A80C51"/>
    <w:rsid w:val="00A81EDF"/>
    <w:rsid w:val="00A83A62"/>
    <w:rsid w:val="00A929CC"/>
    <w:rsid w:val="00A9536F"/>
    <w:rsid w:val="00A95495"/>
    <w:rsid w:val="00A955F2"/>
    <w:rsid w:val="00AA0FBE"/>
    <w:rsid w:val="00AA4479"/>
    <w:rsid w:val="00AA48D1"/>
    <w:rsid w:val="00AB7E31"/>
    <w:rsid w:val="00AD2F5B"/>
    <w:rsid w:val="00AD464B"/>
    <w:rsid w:val="00AD7E81"/>
    <w:rsid w:val="00AE0FF5"/>
    <w:rsid w:val="00AE127D"/>
    <w:rsid w:val="00AF12E5"/>
    <w:rsid w:val="00AF7D70"/>
    <w:rsid w:val="00B017FE"/>
    <w:rsid w:val="00B05D04"/>
    <w:rsid w:val="00B17E63"/>
    <w:rsid w:val="00B17F7F"/>
    <w:rsid w:val="00B20869"/>
    <w:rsid w:val="00B211ED"/>
    <w:rsid w:val="00B319D0"/>
    <w:rsid w:val="00B33B3B"/>
    <w:rsid w:val="00B52B37"/>
    <w:rsid w:val="00B548FD"/>
    <w:rsid w:val="00B556FB"/>
    <w:rsid w:val="00B56361"/>
    <w:rsid w:val="00B61746"/>
    <w:rsid w:val="00B62005"/>
    <w:rsid w:val="00B67934"/>
    <w:rsid w:val="00B76FFB"/>
    <w:rsid w:val="00B7795B"/>
    <w:rsid w:val="00B77961"/>
    <w:rsid w:val="00B803FE"/>
    <w:rsid w:val="00B84C74"/>
    <w:rsid w:val="00B94CF1"/>
    <w:rsid w:val="00BA2379"/>
    <w:rsid w:val="00BA6F13"/>
    <w:rsid w:val="00BB3A8E"/>
    <w:rsid w:val="00BB7111"/>
    <w:rsid w:val="00BC0690"/>
    <w:rsid w:val="00BC4D83"/>
    <w:rsid w:val="00BC6D1F"/>
    <w:rsid w:val="00BD1CD3"/>
    <w:rsid w:val="00BE0F5B"/>
    <w:rsid w:val="00BE242C"/>
    <w:rsid w:val="00BF2DE4"/>
    <w:rsid w:val="00BF4E4B"/>
    <w:rsid w:val="00BF7045"/>
    <w:rsid w:val="00C03881"/>
    <w:rsid w:val="00C03EC3"/>
    <w:rsid w:val="00C051BA"/>
    <w:rsid w:val="00C052AB"/>
    <w:rsid w:val="00C114D9"/>
    <w:rsid w:val="00C115C2"/>
    <w:rsid w:val="00C12A33"/>
    <w:rsid w:val="00C20A8B"/>
    <w:rsid w:val="00C234FA"/>
    <w:rsid w:val="00C31DD3"/>
    <w:rsid w:val="00C3405B"/>
    <w:rsid w:val="00C510B7"/>
    <w:rsid w:val="00C54574"/>
    <w:rsid w:val="00C67F26"/>
    <w:rsid w:val="00C72985"/>
    <w:rsid w:val="00C73607"/>
    <w:rsid w:val="00C7749B"/>
    <w:rsid w:val="00C82DE7"/>
    <w:rsid w:val="00C90F87"/>
    <w:rsid w:val="00C91EA9"/>
    <w:rsid w:val="00CB10A1"/>
    <w:rsid w:val="00CB1671"/>
    <w:rsid w:val="00CB3128"/>
    <w:rsid w:val="00CB582D"/>
    <w:rsid w:val="00CB63FC"/>
    <w:rsid w:val="00CB78F3"/>
    <w:rsid w:val="00CC1E96"/>
    <w:rsid w:val="00CC7527"/>
    <w:rsid w:val="00CD310F"/>
    <w:rsid w:val="00CD60E2"/>
    <w:rsid w:val="00CF37DE"/>
    <w:rsid w:val="00CF45D0"/>
    <w:rsid w:val="00CF4883"/>
    <w:rsid w:val="00CF6FCC"/>
    <w:rsid w:val="00D06972"/>
    <w:rsid w:val="00D21461"/>
    <w:rsid w:val="00D22BE5"/>
    <w:rsid w:val="00D30B85"/>
    <w:rsid w:val="00D37A63"/>
    <w:rsid w:val="00D44310"/>
    <w:rsid w:val="00D44B33"/>
    <w:rsid w:val="00D556A1"/>
    <w:rsid w:val="00D563C2"/>
    <w:rsid w:val="00D57164"/>
    <w:rsid w:val="00D57281"/>
    <w:rsid w:val="00D65967"/>
    <w:rsid w:val="00D732AF"/>
    <w:rsid w:val="00D777F1"/>
    <w:rsid w:val="00D8185B"/>
    <w:rsid w:val="00D8194A"/>
    <w:rsid w:val="00D82F3E"/>
    <w:rsid w:val="00D969A3"/>
    <w:rsid w:val="00DA584A"/>
    <w:rsid w:val="00DB6895"/>
    <w:rsid w:val="00DC7AB8"/>
    <w:rsid w:val="00DD525D"/>
    <w:rsid w:val="00DD5508"/>
    <w:rsid w:val="00DE0E0D"/>
    <w:rsid w:val="00DE5E63"/>
    <w:rsid w:val="00DE675A"/>
    <w:rsid w:val="00E1452E"/>
    <w:rsid w:val="00E375E1"/>
    <w:rsid w:val="00E40A3B"/>
    <w:rsid w:val="00E431DF"/>
    <w:rsid w:val="00E54657"/>
    <w:rsid w:val="00E54827"/>
    <w:rsid w:val="00E6697F"/>
    <w:rsid w:val="00E74681"/>
    <w:rsid w:val="00E77CF4"/>
    <w:rsid w:val="00E8042B"/>
    <w:rsid w:val="00E820A0"/>
    <w:rsid w:val="00E9217F"/>
    <w:rsid w:val="00E9496E"/>
    <w:rsid w:val="00E95E2C"/>
    <w:rsid w:val="00E96765"/>
    <w:rsid w:val="00E97D09"/>
    <w:rsid w:val="00EA009B"/>
    <w:rsid w:val="00EA04B7"/>
    <w:rsid w:val="00EA0937"/>
    <w:rsid w:val="00EA7723"/>
    <w:rsid w:val="00EB17F3"/>
    <w:rsid w:val="00EB28CA"/>
    <w:rsid w:val="00EB57D6"/>
    <w:rsid w:val="00EC5445"/>
    <w:rsid w:val="00EE1688"/>
    <w:rsid w:val="00EE23CC"/>
    <w:rsid w:val="00EF36D5"/>
    <w:rsid w:val="00EF3F63"/>
    <w:rsid w:val="00EF4C13"/>
    <w:rsid w:val="00EF6EEB"/>
    <w:rsid w:val="00F072C2"/>
    <w:rsid w:val="00F1066F"/>
    <w:rsid w:val="00F21207"/>
    <w:rsid w:val="00F5110A"/>
    <w:rsid w:val="00F52FF2"/>
    <w:rsid w:val="00F53FD4"/>
    <w:rsid w:val="00F56BEA"/>
    <w:rsid w:val="00F72D89"/>
    <w:rsid w:val="00F74F31"/>
    <w:rsid w:val="00F95FE2"/>
    <w:rsid w:val="00FA0D4F"/>
    <w:rsid w:val="00FA3C12"/>
    <w:rsid w:val="00FB02D1"/>
    <w:rsid w:val="00FB3A1E"/>
    <w:rsid w:val="00FB3C91"/>
    <w:rsid w:val="00FB4DCC"/>
    <w:rsid w:val="00FB6647"/>
    <w:rsid w:val="00FD3F1A"/>
    <w:rsid w:val="00FD442A"/>
    <w:rsid w:val="00FD6406"/>
    <w:rsid w:val="00FE4C7B"/>
    <w:rsid w:val="00FE5FE9"/>
    <w:rsid w:val="00FF0F02"/>
    <w:rsid w:val="019172A1"/>
    <w:rsid w:val="021F1C6E"/>
    <w:rsid w:val="02831B48"/>
    <w:rsid w:val="03D219E6"/>
    <w:rsid w:val="03F47F88"/>
    <w:rsid w:val="04674D68"/>
    <w:rsid w:val="04B05854"/>
    <w:rsid w:val="04FC07BA"/>
    <w:rsid w:val="059B029F"/>
    <w:rsid w:val="05D848B3"/>
    <w:rsid w:val="06435D68"/>
    <w:rsid w:val="06FD2FAE"/>
    <w:rsid w:val="070619D4"/>
    <w:rsid w:val="08901822"/>
    <w:rsid w:val="094B5940"/>
    <w:rsid w:val="09CD219B"/>
    <w:rsid w:val="09ED576F"/>
    <w:rsid w:val="0A36039E"/>
    <w:rsid w:val="0A57659C"/>
    <w:rsid w:val="0B14138C"/>
    <w:rsid w:val="0B154424"/>
    <w:rsid w:val="0B7A589E"/>
    <w:rsid w:val="0B8E6234"/>
    <w:rsid w:val="0C347173"/>
    <w:rsid w:val="0C7739DA"/>
    <w:rsid w:val="0C7E427E"/>
    <w:rsid w:val="0CA27F6D"/>
    <w:rsid w:val="0D150F86"/>
    <w:rsid w:val="0DC603F7"/>
    <w:rsid w:val="0DC71F50"/>
    <w:rsid w:val="0E977180"/>
    <w:rsid w:val="0E9C7E2D"/>
    <w:rsid w:val="0F2A5DFB"/>
    <w:rsid w:val="0F8C0B97"/>
    <w:rsid w:val="0FB36372"/>
    <w:rsid w:val="0FF63438"/>
    <w:rsid w:val="1077652B"/>
    <w:rsid w:val="11415A97"/>
    <w:rsid w:val="11A00946"/>
    <w:rsid w:val="11B76268"/>
    <w:rsid w:val="11CE72AB"/>
    <w:rsid w:val="11DA1F57"/>
    <w:rsid w:val="11E1165F"/>
    <w:rsid w:val="13747240"/>
    <w:rsid w:val="13CD626C"/>
    <w:rsid w:val="14AA3E63"/>
    <w:rsid w:val="1500444F"/>
    <w:rsid w:val="16FB63CD"/>
    <w:rsid w:val="17CE7E68"/>
    <w:rsid w:val="17E40848"/>
    <w:rsid w:val="181E6DC2"/>
    <w:rsid w:val="18BF1E0D"/>
    <w:rsid w:val="193E71E8"/>
    <w:rsid w:val="199F72DD"/>
    <w:rsid w:val="19C5223B"/>
    <w:rsid w:val="19D44C1D"/>
    <w:rsid w:val="1AB53561"/>
    <w:rsid w:val="1B900DD2"/>
    <w:rsid w:val="1BE5548B"/>
    <w:rsid w:val="1C7F5342"/>
    <w:rsid w:val="1CBA0B37"/>
    <w:rsid w:val="1CF4520D"/>
    <w:rsid w:val="1D050FD1"/>
    <w:rsid w:val="1D33172A"/>
    <w:rsid w:val="1DA67191"/>
    <w:rsid w:val="1DB74A19"/>
    <w:rsid w:val="1DDD20AB"/>
    <w:rsid w:val="1E9B1CEE"/>
    <w:rsid w:val="1EB63404"/>
    <w:rsid w:val="1EB73147"/>
    <w:rsid w:val="1F4D7FB9"/>
    <w:rsid w:val="1FCD5DC0"/>
    <w:rsid w:val="1FD746B4"/>
    <w:rsid w:val="1FDB341E"/>
    <w:rsid w:val="20A22BE1"/>
    <w:rsid w:val="2129347A"/>
    <w:rsid w:val="216750D4"/>
    <w:rsid w:val="2291024E"/>
    <w:rsid w:val="24084702"/>
    <w:rsid w:val="245B3C6C"/>
    <w:rsid w:val="24635513"/>
    <w:rsid w:val="24803A88"/>
    <w:rsid w:val="25100723"/>
    <w:rsid w:val="25904EF9"/>
    <w:rsid w:val="25C36217"/>
    <w:rsid w:val="25E9677D"/>
    <w:rsid w:val="26AE4434"/>
    <w:rsid w:val="26C36085"/>
    <w:rsid w:val="26EC20B9"/>
    <w:rsid w:val="271700BC"/>
    <w:rsid w:val="289D3C13"/>
    <w:rsid w:val="29742782"/>
    <w:rsid w:val="298F7323"/>
    <w:rsid w:val="29C07BD4"/>
    <w:rsid w:val="29FB1396"/>
    <w:rsid w:val="2A1805FD"/>
    <w:rsid w:val="2A214D7D"/>
    <w:rsid w:val="2A2A1006"/>
    <w:rsid w:val="2A4B3E25"/>
    <w:rsid w:val="2A5C258F"/>
    <w:rsid w:val="2A9E278A"/>
    <w:rsid w:val="2C135336"/>
    <w:rsid w:val="2CC057FC"/>
    <w:rsid w:val="2CF448EE"/>
    <w:rsid w:val="2D220E22"/>
    <w:rsid w:val="2F624935"/>
    <w:rsid w:val="2FE12F14"/>
    <w:rsid w:val="30523B14"/>
    <w:rsid w:val="309704E6"/>
    <w:rsid w:val="31D02253"/>
    <w:rsid w:val="321532B5"/>
    <w:rsid w:val="32F64F2A"/>
    <w:rsid w:val="33D74D57"/>
    <w:rsid w:val="341B76FD"/>
    <w:rsid w:val="34D70BD6"/>
    <w:rsid w:val="357E0FAD"/>
    <w:rsid w:val="35C566EC"/>
    <w:rsid w:val="35C744EE"/>
    <w:rsid w:val="35FF3220"/>
    <w:rsid w:val="36605302"/>
    <w:rsid w:val="36A12147"/>
    <w:rsid w:val="36A62816"/>
    <w:rsid w:val="37165CDA"/>
    <w:rsid w:val="37983F3B"/>
    <w:rsid w:val="37D12AAF"/>
    <w:rsid w:val="37EB063E"/>
    <w:rsid w:val="382D75D2"/>
    <w:rsid w:val="389341A7"/>
    <w:rsid w:val="38D3711B"/>
    <w:rsid w:val="390A08CA"/>
    <w:rsid w:val="393E6C7B"/>
    <w:rsid w:val="39577F3F"/>
    <w:rsid w:val="396B3311"/>
    <w:rsid w:val="39741D0B"/>
    <w:rsid w:val="39C95141"/>
    <w:rsid w:val="39FC2913"/>
    <w:rsid w:val="3AC12518"/>
    <w:rsid w:val="3BED730D"/>
    <w:rsid w:val="3C5F6722"/>
    <w:rsid w:val="3C757998"/>
    <w:rsid w:val="3CA24510"/>
    <w:rsid w:val="3CB313E5"/>
    <w:rsid w:val="3CF63839"/>
    <w:rsid w:val="3D1D4A94"/>
    <w:rsid w:val="3D607618"/>
    <w:rsid w:val="3DC62C68"/>
    <w:rsid w:val="3E440AB7"/>
    <w:rsid w:val="3E540005"/>
    <w:rsid w:val="3E8624E0"/>
    <w:rsid w:val="3EC4249A"/>
    <w:rsid w:val="3EEA20AF"/>
    <w:rsid w:val="3FAA6B8E"/>
    <w:rsid w:val="3FB672B0"/>
    <w:rsid w:val="3FC306F2"/>
    <w:rsid w:val="407A652F"/>
    <w:rsid w:val="419D26F2"/>
    <w:rsid w:val="41E75A03"/>
    <w:rsid w:val="41F83A9E"/>
    <w:rsid w:val="42426637"/>
    <w:rsid w:val="42B34AC9"/>
    <w:rsid w:val="4374336C"/>
    <w:rsid w:val="44C13E7D"/>
    <w:rsid w:val="44CA4BFA"/>
    <w:rsid w:val="44FD5630"/>
    <w:rsid w:val="453223B0"/>
    <w:rsid w:val="4638232C"/>
    <w:rsid w:val="465B7E10"/>
    <w:rsid w:val="48123996"/>
    <w:rsid w:val="483F42E6"/>
    <w:rsid w:val="489F2FD7"/>
    <w:rsid w:val="496962ED"/>
    <w:rsid w:val="49713D0D"/>
    <w:rsid w:val="49D04324"/>
    <w:rsid w:val="4A306ED6"/>
    <w:rsid w:val="4ACC1D2F"/>
    <w:rsid w:val="4B344526"/>
    <w:rsid w:val="4B8D6ED7"/>
    <w:rsid w:val="4B9C1A50"/>
    <w:rsid w:val="4BDB2578"/>
    <w:rsid w:val="4C1E1226"/>
    <w:rsid w:val="4C796CF2"/>
    <w:rsid w:val="4CF02842"/>
    <w:rsid w:val="4DE92CB2"/>
    <w:rsid w:val="4E3862A7"/>
    <w:rsid w:val="4E8B206D"/>
    <w:rsid w:val="504970E8"/>
    <w:rsid w:val="50D158FB"/>
    <w:rsid w:val="513053A2"/>
    <w:rsid w:val="519F19E3"/>
    <w:rsid w:val="533D58C6"/>
    <w:rsid w:val="54EE6540"/>
    <w:rsid w:val="54F32F13"/>
    <w:rsid w:val="54FA6652"/>
    <w:rsid w:val="55047789"/>
    <w:rsid w:val="553E3FA3"/>
    <w:rsid w:val="5575670C"/>
    <w:rsid w:val="55B045B8"/>
    <w:rsid w:val="55FC4375"/>
    <w:rsid w:val="560D439C"/>
    <w:rsid w:val="565B036A"/>
    <w:rsid w:val="56B01738"/>
    <w:rsid w:val="56D56B38"/>
    <w:rsid w:val="56F410BB"/>
    <w:rsid w:val="57067E06"/>
    <w:rsid w:val="57162345"/>
    <w:rsid w:val="574E096A"/>
    <w:rsid w:val="5765192D"/>
    <w:rsid w:val="587570FD"/>
    <w:rsid w:val="59940185"/>
    <w:rsid w:val="59FA5928"/>
    <w:rsid w:val="5A1804DF"/>
    <w:rsid w:val="5AA6271A"/>
    <w:rsid w:val="5AA86375"/>
    <w:rsid w:val="5AEC7235"/>
    <w:rsid w:val="5BEE0D55"/>
    <w:rsid w:val="5C3A568D"/>
    <w:rsid w:val="5C776F19"/>
    <w:rsid w:val="5CD96437"/>
    <w:rsid w:val="5D373670"/>
    <w:rsid w:val="5D3970FE"/>
    <w:rsid w:val="5DED6477"/>
    <w:rsid w:val="5E7A44C7"/>
    <w:rsid w:val="5F0F7118"/>
    <w:rsid w:val="5F5A7717"/>
    <w:rsid w:val="612B236F"/>
    <w:rsid w:val="61B85533"/>
    <w:rsid w:val="62194FB3"/>
    <w:rsid w:val="62291F2D"/>
    <w:rsid w:val="625E0FA6"/>
    <w:rsid w:val="62A02B74"/>
    <w:rsid w:val="631A6E47"/>
    <w:rsid w:val="631C3C4E"/>
    <w:rsid w:val="63FD4217"/>
    <w:rsid w:val="64A77044"/>
    <w:rsid w:val="64D50799"/>
    <w:rsid w:val="64EE7E45"/>
    <w:rsid w:val="65064C8A"/>
    <w:rsid w:val="650D176A"/>
    <w:rsid w:val="65DC4CFC"/>
    <w:rsid w:val="66AF66E1"/>
    <w:rsid w:val="66B050FF"/>
    <w:rsid w:val="670F6C2E"/>
    <w:rsid w:val="674F5770"/>
    <w:rsid w:val="67603B6A"/>
    <w:rsid w:val="67EB7A2C"/>
    <w:rsid w:val="686869CF"/>
    <w:rsid w:val="698C56C9"/>
    <w:rsid w:val="6A783F72"/>
    <w:rsid w:val="6AE55AA5"/>
    <w:rsid w:val="6D6F36C4"/>
    <w:rsid w:val="6D717DF0"/>
    <w:rsid w:val="6DAA43B3"/>
    <w:rsid w:val="6DD5159A"/>
    <w:rsid w:val="6DED7775"/>
    <w:rsid w:val="6E1E5F9D"/>
    <w:rsid w:val="6E490C7C"/>
    <w:rsid w:val="6EA2269B"/>
    <w:rsid w:val="6EFD5A0E"/>
    <w:rsid w:val="6FA86B63"/>
    <w:rsid w:val="6FE27CE1"/>
    <w:rsid w:val="701557F7"/>
    <w:rsid w:val="7206464C"/>
    <w:rsid w:val="720B67F9"/>
    <w:rsid w:val="725C23B8"/>
    <w:rsid w:val="72A07DCF"/>
    <w:rsid w:val="730646C5"/>
    <w:rsid w:val="73397F19"/>
    <w:rsid w:val="739A002C"/>
    <w:rsid w:val="73B85401"/>
    <w:rsid w:val="73E9220F"/>
    <w:rsid w:val="743E34FF"/>
    <w:rsid w:val="74797928"/>
    <w:rsid w:val="75457F23"/>
    <w:rsid w:val="75CC16D6"/>
    <w:rsid w:val="75F91E5D"/>
    <w:rsid w:val="765A4953"/>
    <w:rsid w:val="769073B7"/>
    <w:rsid w:val="76F0722E"/>
    <w:rsid w:val="776A5B6D"/>
    <w:rsid w:val="776E1C43"/>
    <w:rsid w:val="77776584"/>
    <w:rsid w:val="778D0871"/>
    <w:rsid w:val="77A574CA"/>
    <w:rsid w:val="790629DF"/>
    <w:rsid w:val="79817FDA"/>
    <w:rsid w:val="79B7063E"/>
    <w:rsid w:val="7A0C6AE0"/>
    <w:rsid w:val="7A6F7BC0"/>
    <w:rsid w:val="7A901431"/>
    <w:rsid w:val="7A9837D2"/>
    <w:rsid w:val="7AD9B659"/>
    <w:rsid w:val="7B044D7B"/>
    <w:rsid w:val="7B205624"/>
    <w:rsid w:val="7BE91E19"/>
    <w:rsid w:val="7C006F3B"/>
    <w:rsid w:val="7C9F4740"/>
    <w:rsid w:val="7CCB62E2"/>
    <w:rsid w:val="7CD304F9"/>
    <w:rsid w:val="7CFBB5C4"/>
    <w:rsid w:val="7E1E6FF0"/>
    <w:rsid w:val="7E694138"/>
    <w:rsid w:val="7FD21E32"/>
    <w:rsid w:val="7FE37A28"/>
    <w:rsid w:val="7FFD5BDC"/>
    <w:rsid w:val="BD9FD219"/>
    <w:rsid w:val="DDB72AE1"/>
    <w:rsid w:val="FEA9CB88"/>
    <w:rsid w:val="FFFF1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keepLines/>
      <w:spacing w:before="340" w:after="330" w:line="576" w:lineRule="auto"/>
      <w:outlineLvl w:val="0"/>
    </w:pPr>
    <w:rPr>
      <w:b/>
      <w:bCs/>
      <w:kern w:val="44"/>
      <w:sz w:val="44"/>
      <w:szCs w:val="44"/>
    </w:rPr>
  </w:style>
  <w:style w:type="paragraph" w:styleId="3">
    <w:name w:val="heading 2"/>
    <w:basedOn w:val="1"/>
    <w:next w:val="4"/>
    <w:link w:val="56"/>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57"/>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58"/>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1"/>
    <w:next w:val="8"/>
    <w:link w:val="59"/>
    <w:qFormat/>
    <w:uiPriority w:val="9"/>
    <w:pPr>
      <w:keepNext/>
      <w:keepLines/>
      <w:spacing w:before="280" w:after="290" w:line="376" w:lineRule="auto"/>
      <w:outlineLvl w:val="4"/>
    </w:pPr>
    <w:rPr>
      <w:b/>
      <w:bCs/>
      <w:sz w:val="28"/>
      <w:szCs w:val="28"/>
    </w:rPr>
  </w:style>
  <w:style w:type="paragraph" w:styleId="9">
    <w:name w:val="heading 6"/>
    <w:basedOn w:val="1"/>
    <w:next w:val="1"/>
    <w:qFormat/>
    <w:uiPriority w:val="99"/>
    <w:pPr>
      <w:keepNext/>
      <w:keepLines/>
      <w:spacing w:before="240" w:after="64" w:line="320" w:lineRule="auto"/>
      <w:outlineLvl w:val="5"/>
    </w:pPr>
    <w:rPr>
      <w:rFonts w:ascii="Arial" w:hAnsi="Arial" w:eastAsia="黑体" w:cs="Arial"/>
      <w:b/>
      <w:bCs/>
      <w:sz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4">
    <w:name w:val="正文-2字符首行缩进"/>
    <w:basedOn w:val="1"/>
    <w:qFormat/>
    <w:uiPriority w:val="99"/>
    <w:pPr>
      <w:ind w:firstLine="200"/>
    </w:pPr>
  </w:style>
  <w:style w:type="paragraph" w:styleId="8">
    <w:name w:val="Normal Indent"/>
    <w:basedOn w:val="1"/>
    <w:qFormat/>
    <w:uiPriority w:val="0"/>
    <w:pPr>
      <w:ind w:firstLine="420"/>
    </w:pPr>
    <w:rPr>
      <w:szCs w:val="20"/>
    </w:rPr>
  </w:style>
  <w:style w:type="paragraph" w:styleId="10">
    <w:name w:val="toc 7"/>
    <w:basedOn w:val="1"/>
    <w:next w:val="1"/>
    <w:unhideWhenUsed/>
    <w:qFormat/>
    <w:uiPriority w:val="39"/>
    <w:pPr>
      <w:jc w:val="left"/>
    </w:pPr>
    <w:rPr>
      <w:rFonts w:ascii="Calibri" w:hAnsi="Calibri"/>
      <w:sz w:val="22"/>
      <w:szCs w:val="22"/>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Document Map"/>
    <w:basedOn w:val="1"/>
    <w:link w:val="60"/>
    <w:qFormat/>
    <w:uiPriority w:val="0"/>
    <w:rPr>
      <w:rFonts w:ascii="宋体"/>
      <w:sz w:val="18"/>
      <w:szCs w:val="18"/>
    </w:rPr>
  </w:style>
  <w:style w:type="paragraph" w:styleId="13">
    <w:name w:val="annotation text"/>
    <w:basedOn w:val="1"/>
    <w:link w:val="61"/>
    <w:qFormat/>
    <w:uiPriority w:val="0"/>
    <w:pPr>
      <w:jc w:val="left"/>
    </w:pPr>
  </w:style>
  <w:style w:type="paragraph" w:styleId="14">
    <w:name w:val="Body Text 3"/>
    <w:basedOn w:val="1"/>
    <w:link w:val="62"/>
    <w:unhideWhenUsed/>
    <w:qFormat/>
    <w:uiPriority w:val="99"/>
    <w:pPr>
      <w:spacing w:after="120"/>
    </w:pPr>
    <w:rPr>
      <w:sz w:val="16"/>
      <w:szCs w:val="16"/>
    </w:rPr>
  </w:style>
  <w:style w:type="paragraph" w:styleId="15">
    <w:name w:val="Body Text"/>
    <w:basedOn w:val="1"/>
    <w:link w:val="53"/>
    <w:unhideWhenUsed/>
    <w:qFormat/>
    <w:uiPriority w:val="99"/>
    <w:pPr>
      <w:spacing w:after="120"/>
    </w:pPr>
  </w:style>
  <w:style w:type="paragraph" w:styleId="16">
    <w:name w:val="Body Text Indent"/>
    <w:basedOn w:val="1"/>
    <w:link w:val="54"/>
    <w:qFormat/>
    <w:uiPriority w:val="0"/>
    <w:pPr>
      <w:spacing w:line="200" w:lineRule="exact"/>
      <w:ind w:firstLine="301"/>
    </w:pPr>
    <w:rPr>
      <w:rFonts w:ascii="宋体" w:hAnsi="Courier New"/>
      <w:spacing w:val="-4"/>
      <w:sz w:val="18"/>
      <w:szCs w:val="20"/>
    </w:rPr>
  </w:style>
  <w:style w:type="paragraph" w:styleId="17">
    <w:name w:val="toc 5"/>
    <w:basedOn w:val="1"/>
    <w:next w:val="1"/>
    <w:unhideWhenUsed/>
    <w:qFormat/>
    <w:uiPriority w:val="39"/>
    <w:pPr>
      <w:jc w:val="left"/>
    </w:pPr>
    <w:rPr>
      <w:rFonts w:ascii="Calibri" w:hAnsi="Calibri"/>
      <w:sz w:val="22"/>
      <w:szCs w:val="22"/>
    </w:rPr>
  </w:style>
  <w:style w:type="paragraph" w:styleId="18">
    <w:name w:val="toc 3"/>
    <w:basedOn w:val="1"/>
    <w:next w:val="1"/>
    <w:unhideWhenUsed/>
    <w:qFormat/>
    <w:uiPriority w:val="39"/>
    <w:pPr>
      <w:jc w:val="left"/>
    </w:pPr>
    <w:rPr>
      <w:rFonts w:ascii="Calibri" w:hAnsi="Calibri"/>
      <w:smallCaps/>
      <w:sz w:val="22"/>
      <w:szCs w:val="22"/>
    </w:rPr>
  </w:style>
  <w:style w:type="paragraph" w:styleId="19">
    <w:name w:val="Plain Text"/>
    <w:basedOn w:val="1"/>
    <w:next w:val="20"/>
    <w:link w:val="63"/>
    <w:qFormat/>
    <w:uiPriority w:val="0"/>
    <w:rPr>
      <w:rFonts w:ascii="宋体" w:hAnsi="Courier New"/>
      <w:szCs w:val="20"/>
    </w:rPr>
  </w:style>
  <w:style w:type="paragraph" w:customStyle="1" w:styleId="20">
    <w:name w:val="toc 12"/>
    <w:next w:val="1"/>
    <w:qFormat/>
    <w:uiPriority w:val="0"/>
    <w:pPr>
      <w:wordWrap w:val="0"/>
      <w:jc w:val="both"/>
    </w:pPr>
    <w:rPr>
      <w:rFonts w:ascii="宋体" w:hAnsi="宋体" w:eastAsia="宋体" w:cs="Times New Roman"/>
      <w:sz w:val="21"/>
      <w:lang w:val="en-US" w:eastAsia="zh-CN" w:bidi="ar-SA"/>
    </w:rPr>
  </w:style>
  <w:style w:type="paragraph" w:styleId="21">
    <w:name w:val="toc 8"/>
    <w:basedOn w:val="1"/>
    <w:next w:val="1"/>
    <w:unhideWhenUsed/>
    <w:qFormat/>
    <w:uiPriority w:val="39"/>
    <w:pPr>
      <w:jc w:val="left"/>
    </w:pPr>
    <w:rPr>
      <w:rFonts w:ascii="Calibri" w:hAnsi="Calibri"/>
      <w:sz w:val="22"/>
      <w:szCs w:val="22"/>
    </w:rPr>
  </w:style>
  <w:style w:type="paragraph" w:styleId="22">
    <w:name w:val="Date"/>
    <w:basedOn w:val="1"/>
    <w:next w:val="1"/>
    <w:link w:val="64"/>
    <w:qFormat/>
    <w:uiPriority w:val="0"/>
    <w:pPr>
      <w:ind w:left="100" w:leftChars="2500"/>
    </w:pPr>
  </w:style>
  <w:style w:type="paragraph" w:styleId="23">
    <w:name w:val="Body Text Indent 2"/>
    <w:basedOn w:val="1"/>
    <w:link w:val="65"/>
    <w:qFormat/>
    <w:uiPriority w:val="0"/>
    <w:pPr>
      <w:spacing w:after="120" w:line="480" w:lineRule="auto"/>
      <w:ind w:left="420" w:leftChars="200"/>
    </w:pPr>
  </w:style>
  <w:style w:type="paragraph" w:styleId="24">
    <w:name w:val="Balloon Text"/>
    <w:basedOn w:val="1"/>
    <w:link w:val="66"/>
    <w:qFormat/>
    <w:uiPriority w:val="0"/>
    <w:rPr>
      <w:sz w:val="18"/>
      <w:szCs w:val="18"/>
    </w:rPr>
  </w:style>
  <w:style w:type="paragraph" w:styleId="25">
    <w:name w:val="footer"/>
    <w:basedOn w:val="1"/>
    <w:link w:val="67"/>
    <w:qFormat/>
    <w:uiPriority w:val="99"/>
    <w:pPr>
      <w:tabs>
        <w:tab w:val="center" w:pos="4153"/>
        <w:tab w:val="right" w:pos="8306"/>
      </w:tabs>
      <w:snapToGrid w:val="0"/>
      <w:jc w:val="left"/>
    </w:pPr>
    <w:rPr>
      <w:sz w:val="18"/>
      <w:szCs w:val="18"/>
    </w:rPr>
  </w:style>
  <w:style w:type="paragraph" w:styleId="26">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spacing w:before="360" w:after="360"/>
      <w:jc w:val="left"/>
    </w:pPr>
    <w:rPr>
      <w:rFonts w:ascii="Calibri" w:hAnsi="Calibri"/>
      <w:b/>
      <w:bCs/>
      <w:caps/>
      <w:sz w:val="22"/>
      <w:szCs w:val="22"/>
      <w:u w:val="single"/>
    </w:rPr>
  </w:style>
  <w:style w:type="paragraph" w:styleId="28">
    <w:name w:val="toc 4"/>
    <w:basedOn w:val="1"/>
    <w:next w:val="1"/>
    <w:unhideWhenUsed/>
    <w:qFormat/>
    <w:uiPriority w:val="39"/>
    <w:pPr>
      <w:jc w:val="left"/>
    </w:pPr>
    <w:rPr>
      <w:rFonts w:ascii="Calibri" w:hAnsi="Calibri"/>
      <w:sz w:val="22"/>
      <w:szCs w:val="22"/>
    </w:rPr>
  </w:style>
  <w:style w:type="paragraph" w:styleId="29">
    <w:name w:val="List"/>
    <w:basedOn w:val="1"/>
    <w:qFormat/>
    <w:uiPriority w:val="0"/>
    <w:pPr>
      <w:ind w:left="200" w:hanging="200" w:hangingChars="200"/>
    </w:pPr>
    <w:rPr>
      <w:sz w:val="28"/>
    </w:rPr>
  </w:style>
  <w:style w:type="paragraph" w:styleId="30">
    <w:name w:val="toc 6"/>
    <w:basedOn w:val="1"/>
    <w:next w:val="1"/>
    <w:unhideWhenUsed/>
    <w:qFormat/>
    <w:uiPriority w:val="39"/>
    <w:pPr>
      <w:jc w:val="left"/>
    </w:pPr>
    <w:rPr>
      <w:rFonts w:ascii="Calibri" w:hAnsi="Calibri"/>
      <w:sz w:val="22"/>
      <w:szCs w:val="22"/>
    </w:rPr>
  </w:style>
  <w:style w:type="paragraph" w:styleId="31">
    <w:name w:val="toc 2"/>
    <w:basedOn w:val="1"/>
    <w:next w:val="1"/>
    <w:qFormat/>
    <w:uiPriority w:val="39"/>
    <w:pPr>
      <w:jc w:val="left"/>
    </w:pPr>
    <w:rPr>
      <w:rFonts w:ascii="Calibri" w:hAnsi="Calibri"/>
      <w:b/>
      <w:bCs/>
      <w:smallCaps/>
      <w:sz w:val="22"/>
      <w:szCs w:val="22"/>
    </w:rPr>
  </w:style>
  <w:style w:type="paragraph" w:styleId="32">
    <w:name w:val="toc 9"/>
    <w:basedOn w:val="1"/>
    <w:next w:val="1"/>
    <w:unhideWhenUsed/>
    <w:qFormat/>
    <w:uiPriority w:val="39"/>
    <w:pPr>
      <w:jc w:val="left"/>
    </w:pPr>
    <w:rPr>
      <w:rFonts w:ascii="Calibri" w:hAnsi="Calibri"/>
      <w:sz w:val="22"/>
      <w:szCs w:val="22"/>
    </w:rPr>
  </w:style>
  <w:style w:type="paragraph" w:styleId="33">
    <w:name w:val="Normal (Web)"/>
    <w:basedOn w:val="1"/>
    <w:unhideWhenUsed/>
    <w:qFormat/>
    <w:uiPriority w:val="99"/>
    <w:pPr>
      <w:spacing w:before="75" w:after="75"/>
      <w:jc w:val="left"/>
    </w:pPr>
    <w:rPr>
      <w:kern w:val="0"/>
      <w:sz w:val="24"/>
    </w:rPr>
  </w:style>
  <w:style w:type="paragraph" w:styleId="34">
    <w:name w:val="annotation subject"/>
    <w:basedOn w:val="13"/>
    <w:next w:val="13"/>
    <w:link w:val="69"/>
    <w:unhideWhenUsed/>
    <w:qFormat/>
    <w:uiPriority w:val="99"/>
    <w:rPr>
      <w:b/>
      <w:bCs/>
    </w:rPr>
  </w:style>
  <w:style w:type="paragraph" w:styleId="35">
    <w:name w:val="Body Text First Indent 2"/>
    <w:basedOn w:val="16"/>
    <w:unhideWhenUsed/>
    <w:qFormat/>
    <w:uiPriority w:val="0"/>
    <w:pPr>
      <w:spacing w:after="120" w:line="240" w:lineRule="auto"/>
      <w:ind w:left="420" w:leftChars="200" w:firstLine="210" w:firstLineChars="200"/>
    </w:pPr>
    <w:rPr>
      <w:rFonts w:hAnsi="宋体"/>
      <w:sz w:val="28"/>
    </w:rPr>
  </w:style>
  <w:style w:type="table" w:styleId="37">
    <w:name w:val="Table Grid"/>
    <w:basedOn w:val="3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qFormat/>
    <w:uiPriority w:val="0"/>
  </w:style>
  <w:style w:type="character" w:styleId="40">
    <w:name w:val="FollowedHyperlink"/>
    <w:qFormat/>
    <w:uiPriority w:val="0"/>
    <w:rPr>
      <w:color w:val="800080"/>
      <w:u w:val="single"/>
    </w:rPr>
  </w:style>
  <w:style w:type="character" w:styleId="41">
    <w:name w:val="Emphasis"/>
    <w:basedOn w:val="38"/>
    <w:qFormat/>
    <w:uiPriority w:val="20"/>
  </w:style>
  <w:style w:type="character" w:styleId="42">
    <w:name w:val="HTML Definition"/>
    <w:basedOn w:val="38"/>
    <w:semiHidden/>
    <w:unhideWhenUsed/>
    <w:qFormat/>
    <w:uiPriority w:val="99"/>
  </w:style>
  <w:style w:type="character" w:styleId="43">
    <w:name w:val="HTML Typewriter"/>
    <w:basedOn w:val="38"/>
    <w:semiHidden/>
    <w:unhideWhenUsed/>
    <w:qFormat/>
    <w:uiPriority w:val="99"/>
    <w:rPr>
      <w:rFonts w:ascii="monospace" w:hAnsi="monospace" w:eastAsia="monospace" w:cs="monospace"/>
      <w:sz w:val="20"/>
    </w:rPr>
  </w:style>
  <w:style w:type="character" w:styleId="44">
    <w:name w:val="HTML Acronym"/>
    <w:basedOn w:val="38"/>
    <w:semiHidden/>
    <w:unhideWhenUsed/>
    <w:qFormat/>
    <w:uiPriority w:val="99"/>
  </w:style>
  <w:style w:type="character" w:styleId="45">
    <w:name w:val="HTML Variable"/>
    <w:basedOn w:val="38"/>
    <w:semiHidden/>
    <w:unhideWhenUsed/>
    <w:qFormat/>
    <w:uiPriority w:val="99"/>
  </w:style>
  <w:style w:type="character" w:styleId="46">
    <w:name w:val="Hyperlink"/>
    <w:basedOn w:val="38"/>
    <w:qFormat/>
    <w:uiPriority w:val="99"/>
    <w:rPr>
      <w:color w:val="0000FF"/>
      <w:u w:val="single"/>
    </w:rPr>
  </w:style>
  <w:style w:type="character" w:styleId="47">
    <w:name w:val="HTML Code"/>
    <w:basedOn w:val="38"/>
    <w:semiHidden/>
    <w:unhideWhenUsed/>
    <w:qFormat/>
    <w:uiPriority w:val="99"/>
    <w:rPr>
      <w:rFonts w:hint="default" w:ascii="monospace" w:hAnsi="monospace" w:eastAsia="monospace" w:cs="monospace"/>
      <w:sz w:val="20"/>
    </w:rPr>
  </w:style>
  <w:style w:type="character" w:styleId="48">
    <w:name w:val="annotation reference"/>
    <w:qFormat/>
    <w:uiPriority w:val="99"/>
    <w:rPr>
      <w:sz w:val="21"/>
      <w:szCs w:val="21"/>
    </w:rPr>
  </w:style>
  <w:style w:type="character" w:styleId="49">
    <w:name w:val="HTML Cite"/>
    <w:basedOn w:val="38"/>
    <w:semiHidden/>
    <w:unhideWhenUsed/>
    <w:qFormat/>
    <w:uiPriority w:val="99"/>
  </w:style>
  <w:style w:type="character" w:styleId="50">
    <w:name w:val="HTML Keyboard"/>
    <w:basedOn w:val="38"/>
    <w:semiHidden/>
    <w:unhideWhenUsed/>
    <w:qFormat/>
    <w:uiPriority w:val="99"/>
    <w:rPr>
      <w:rFonts w:hint="default" w:ascii="monospace" w:hAnsi="monospace" w:eastAsia="monospace" w:cs="monospace"/>
      <w:sz w:val="20"/>
    </w:rPr>
  </w:style>
  <w:style w:type="character" w:styleId="51">
    <w:name w:val="HTML Sample"/>
    <w:basedOn w:val="38"/>
    <w:semiHidden/>
    <w:unhideWhenUsed/>
    <w:qFormat/>
    <w:uiPriority w:val="99"/>
    <w:rPr>
      <w:rFonts w:hint="default" w:ascii="monospace" w:hAnsi="monospace" w:eastAsia="monospace" w:cs="monospace"/>
    </w:rPr>
  </w:style>
  <w:style w:type="paragraph" w:customStyle="1" w:styleId="5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3">
    <w:name w:val="正文文本 字符1"/>
    <w:link w:val="15"/>
    <w:qFormat/>
    <w:uiPriority w:val="99"/>
    <w:rPr>
      <w:kern w:val="2"/>
      <w:sz w:val="21"/>
      <w:szCs w:val="24"/>
    </w:rPr>
  </w:style>
  <w:style w:type="character" w:customStyle="1" w:styleId="54">
    <w:name w:val="正文文本缩进 字符1"/>
    <w:link w:val="16"/>
    <w:qFormat/>
    <w:uiPriority w:val="0"/>
    <w:rPr>
      <w:rFonts w:ascii="宋体" w:hAnsi="Courier New" w:eastAsia="宋体"/>
      <w:spacing w:val="-4"/>
      <w:kern w:val="2"/>
      <w:sz w:val="18"/>
      <w:lang w:val="en-US" w:eastAsia="zh-CN" w:bidi="ar-SA"/>
    </w:rPr>
  </w:style>
  <w:style w:type="character" w:customStyle="1" w:styleId="55">
    <w:name w:val="标题 1 字符1"/>
    <w:link w:val="2"/>
    <w:qFormat/>
    <w:uiPriority w:val="0"/>
    <w:rPr>
      <w:b/>
      <w:bCs/>
      <w:kern w:val="44"/>
      <w:sz w:val="44"/>
      <w:szCs w:val="44"/>
    </w:rPr>
  </w:style>
  <w:style w:type="character" w:customStyle="1" w:styleId="56">
    <w:name w:val="标题 2 字符1"/>
    <w:link w:val="3"/>
    <w:qFormat/>
    <w:uiPriority w:val="0"/>
    <w:rPr>
      <w:rFonts w:ascii="Arial" w:hAnsi="Arial" w:eastAsia="黑体"/>
      <w:b/>
      <w:bCs/>
      <w:kern w:val="2"/>
      <w:sz w:val="32"/>
      <w:szCs w:val="32"/>
    </w:rPr>
  </w:style>
  <w:style w:type="character" w:customStyle="1" w:styleId="57">
    <w:name w:val="标题 3 字符1"/>
    <w:link w:val="5"/>
    <w:qFormat/>
    <w:uiPriority w:val="0"/>
    <w:rPr>
      <w:b/>
      <w:bCs/>
      <w:kern w:val="2"/>
      <w:sz w:val="32"/>
      <w:szCs w:val="32"/>
    </w:rPr>
  </w:style>
  <w:style w:type="character" w:customStyle="1" w:styleId="58">
    <w:name w:val="标题 4 字符1"/>
    <w:link w:val="6"/>
    <w:qFormat/>
    <w:uiPriority w:val="0"/>
    <w:rPr>
      <w:rFonts w:ascii="Arial" w:eastAsia="黑体"/>
      <w:sz w:val="28"/>
    </w:rPr>
  </w:style>
  <w:style w:type="character" w:customStyle="1" w:styleId="59">
    <w:name w:val="标题 5 字符1"/>
    <w:link w:val="7"/>
    <w:qFormat/>
    <w:uiPriority w:val="9"/>
    <w:rPr>
      <w:b/>
      <w:bCs/>
      <w:kern w:val="2"/>
      <w:sz w:val="28"/>
      <w:szCs w:val="28"/>
    </w:rPr>
  </w:style>
  <w:style w:type="character" w:customStyle="1" w:styleId="60">
    <w:name w:val="文档结构图 字符1"/>
    <w:link w:val="12"/>
    <w:qFormat/>
    <w:uiPriority w:val="0"/>
    <w:rPr>
      <w:rFonts w:ascii="宋体"/>
      <w:kern w:val="2"/>
      <w:sz w:val="18"/>
      <w:szCs w:val="18"/>
    </w:rPr>
  </w:style>
  <w:style w:type="character" w:customStyle="1" w:styleId="61">
    <w:name w:val="批注文字 字符2"/>
    <w:link w:val="13"/>
    <w:qFormat/>
    <w:uiPriority w:val="0"/>
    <w:rPr>
      <w:kern w:val="2"/>
      <w:sz w:val="21"/>
      <w:szCs w:val="24"/>
    </w:rPr>
  </w:style>
  <w:style w:type="character" w:customStyle="1" w:styleId="62">
    <w:name w:val="正文文本 3 字符1"/>
    <w:link w:val="14"/>
    <w:qFormat/>
    <w:uiPriority w:val="99"/>
    <w:rPr>
      <w:kern w:val="2"/>
      <w:sz w:val="16"/>
      <w:szCs w:val="16"/>
    </w:rPr>
  </w:style>
  <w:style w:type="character" w:customStyle="1" w:styleId="63">
    <w:name w:val="纯文本 字符3"/>
    <w:link w:val="19"/>
    <w:qFormat/>
    <w:uiPriority w:val="0"/>
    <w:rPr>
      <w:rFonts w:ascii="宋体" w:hAnsi="Courier New" w:eastAsia="宋体"/>
      <w:kern w:val="2"/>
      <w:sz w:val="21"/>
      <w:lang w:val="en-US" w:eastAsia="zh-CN" w:bidi="ar-SA"/>
    </w:rPr>
  </w:style>
  <w:style w:type="character" w:customStyle="1" w:styleId="64">
    <w:name w:val="日期 字符1"/>
    <w:link w:val="22"/>
    <w:qFormat/>
    <w:uiPriority w:val="0"/>
    <w:rPr>
      <w:kern w:val="2"/>
      <w:sz w:val="21"/>
      <w:szCs w:val="24"/>
    </w:rPr>
  </w:style>
  <w:style w:type="character" w:customStyle="1" w:styleId="65">
    <w:name w:val="正文文本缩进 2 字符1"/>
    <w:link w:val="23"/>
    <w:qFormat/>
    <w:uiPriority w:val="0"/>
    <w:rPr>
      <w:kern w:val="2"/>
      <w:sz w:val="21"/>
      <w:szCs w:val="24"/>
    </w:rPr>
  </w:style>
  <w:style w:type="character" w:customStyle="1" w:styleId="66">
    <w:name w:val="批注框文本 字符1"/>
    <w:link w:val="24"/>
    <w:qFormat/>
    <w:uiPriority w:val="0"/>
    <w:rPr>
      <w:kern w:val="2"/>
      <w:sz w:val="18"/>
      <w:szCs w:val="18"/>
    </w:rPr>
  </w:style>
  <w:style w:type="character" w:customStyle="1" w:styleId="67">
    <w:name w:val="页脚 字符2"/>
    <w:link w:val="25"/>
    <w:qFormat/>
    <w:uiPriority w:val="99"/>
    <w:rPr>
      <w:kern w:val="2"/>
      <w:sz w:val="18"/>
      <w:szCs w:val="18"/>
    </w:rPr>
  </w:style>
  <w:style w:type="character" w:customStyle="1" w:styleId="68">
    <w:name w:val="页眉 字符2"/>
    <w:link w:val="26"/>
    <w:qFormat/>
    <w:uiPriority w:val="99"/>
    <w:rPr>
      <w:kern w:val="2"/>
      <w:sz w:val="18"/>
      <w:szCs w:val="18"/>
    </w:rPr>
  </w:style>
  <w:style w:type="character" w:customStyle="1" w:styleId="69">
    <w:name w:val="批注主题 字符1"/>
    <w:link w:val="34"/>
    <w:qFormat/>
    <w:uiPriority w:val="99"/>
    <w:rPr>
      <w:b/>
      <w:bCs/>
      <w:kern w:val="2"/>
      <w:sz w:val="21"/>
      <w:szCs w:val="24"/>
    </w:rPr>
  </w:style>
  <w:style w:type="character" w:customStyle="1" w:styleId="7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1">
    <w:name w:val="日期 字符"/>
    <w:qFormat/>
    <w:uiPriority w:val="0"/>
    <w:rPr>
      <w:kern w:val="2"/>
      <w:sz w:val="21"/>
      <w:szCs w:val="24"/>
    </w:rPr>
  </w:style>
  <w:style w:type="character" w:customStyle="1" w:styleId="72">
    <w:name w:val="纯文本 Char_0"/>
    <w:link w:val="73"/>
    <w:qFormat/>
    <w:uiPriority w:val="0"/>
    <w:rPr>
      <w:rFonts w:ascii="宋体" w:hAnsi="Courier New"/>
      <w:kern w:val="2"/>
      <w:sz w:val="21"/>
      <w:szCs w:val="21"/>
    </w:rPr>
  </w:style>
  <w:style w:type="paragraph" w:customStyle="1" w:styleId="73">
    <w:name w:val="纯文本_0_0"/>
    <w:basedOn w:val="1"/>
    <w:link w:val="72"/>
    <w:qFormat/>
    <w:uiPriority w:val="0"/>
    <w:rPr>
      <w:rFonts w:ascii="宋体" w:hAnsi="Courier New"/>
      <w:szCs w:val="21"/>
    </w:rPr>
  </w:style>
  <w:style w:type="character" w:customStyle="1" w:styleId="74">
    <w:name w:val="NormalCharacter"/>
    <w:qFormat/>
    <w:uiPriority w:val="0"/>
  </w:style>
  <w:style w:type="character" w:customStyle="1" w:styleId="75">
    <w:name w:val="纯文本 字符2"/>
    <w:qFormat/>
    <w:uiPriority w:val="0"/>
    <w:rPr>
      <w:rFonts w:ascii="宋体" w:hAnsi="Courier New" w:eastAsia="宋体" w:cs="Courier New"/>
      <w:szCs w:val="21"/>
    </w:rPr>
  </w:style>
  <w:style w:type="character" w:customStyle="1" w:styleId="76">
    <w:name w:val="正文文本_"/>
    <w:link w:val="77"/>
    <w:qFormat/>
    <w:uiPriority w:val="0"/>
    <w:rPr>
      <w:rFonts w:ascii="MingLiU" w:hAnsi="MingLiU" w:eastAsia="MingLiU" w:cs="MingLiU"/>
      <w:spacing w:val="9"/>
      <w:sz w:val="19"/>
      <w:szCs w:val="19"/>
      <w:shd w:val="clear" w:color="auto" w:fill="FFFFFF"/>
    </w:rPr>
  </w:style>
  <w:style w:type="paragraph" w:customStyle="1" w:styleId="77">
    <w:name w:val="正文文本1"/>
    <w:basedOn w:val="1"/>
    <w:link w:val="76"/>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78">
    <w:name w:val="Char Char1"/>
    <w:qFormat/>
    <w:uiPriority w:val="0"/>
    <w:rPr>
      <w:rFonts w:ascii="宋体" w:hAnsi="Courier New" w:eastAsia="宋体"/>
      <w:kern w:val="2"/>
      <w:sz w:val="21"/>
      <w:lang w:val="en-US" w:eastAsia="zh-CN" w:bidi="ar-SA"/>
    </w:rPr>
  </w:style>
  <w:style w:type="character" w:customStyle="1" w:styleId="79">
    <w:name w:val="页眉 字符1"/>
    <w:qFormat/>
    <w:uiPriority w:val="99"/>
    <w:rPr>
      <w:kern w:val="2"/>
      <w:sz w:val="18"/>
      <w:szCs w:val="18"/>
    </w:rPr>
  </w:style>
  <w:style w:type="character" w:customStyle="1" w:styleId="80">
    <w:name w:val="批注框文本 字符"/>
    <w:qFormat/>
    <w:uiPriority w:val="0"/>
    <w:rPr>
      <w:kern w:val="2"/>
      <w:sz w:val="18"/>
      <w:szCs w:val="18"/>
    </w:rPr>
  </w:style>
  <w:style w:type="character" w:customStyle="1" w:styleId="81">
    <w:name w:val="标题 3 字符"/>
    <w:qFormat/>
    <w:uiPriority w:val="0"/>
    <w:rPr>
      <w:b/>
      <w:bCs/>
      <w:kern w:val="2"/>
      <w:sz w:val="32"/>
      <w:szCs w:val="32"/>
    </w:rPr>
  </w:style>
  <w:style w:type="character" w:customStyle="1" w:styleId="82">
    <w:name w:val="页眉 字符"/>
    <w:qFormat/>
    <w:uiPriority w:val="99"/>
    <w:rPr>
      <w:rFonts w:ascii="Times New Roman" w:hAnsi="Times New Roman"/>
      <w:kern w:val="2"/>
      <w:sz w:val="18"/>
      <w:szCs w:val="18"/>
    </w:rPr>
  </w:style>
  <w:style w:type="character" w:customStyle="1" w:styleId="83">
    <w:name w:val="标题 4 字符"/>
    <w:qFormat/>
    <w:uiPriority w:val="0"/>
    <w:rPr>
      <w:rFonts w:ascii="Arial" w:eastAsia="黑体"/>
      <w:sz w:val="28"/>
    </w:rPr>
  </w:style>
  <w:style w:type="character" w:customStyle="1" w:styleId="84">
    <w:name w:val="批注主题 字符"/>
    <w:qFormat/>
    <w:uiPriority w:val="99"/>
    <w:rPr>
      <w:b/>
      <w:bCs/>
      <w:kern w:val="2"/>
      <w:sz w:val="21"/>
      <w:szCs w:val="24"/>
    </w:rPr>
  </w:style>
  <w:style w:type="character" w:customStyle="1" w:styleId="85">
    <w:name w:val="正文文本 字符"/>
    <w:qFormat/>
    <w:uiPriority w:val="99"/>
    <w:rPr>
      <w:kern w:val="2"/>
      <w:sz w:val="21"/>
      <w:szCs w:val="24"/>
    </w:rPr>
  </w:style>
  <w:style w:type="character" w:customStyle="1" w:styleId="86">
    <w:name w:val="标题 1 字符"/>
    <w:qFormat/>
    <w:uiPriority w:val="0"/>
    <w:rPr>
      <w:b/>
      <w:bCs/>
      <w:kern w:val="44"/>
      <w:sz w:val="44"/>
      <w:szCs w:val="44"/>
    </w:rPr>
  </w:style>
  <w:style w:type="character" w:customStyle="1" w:styleId="87">
    <w:name w:val="文档结构图 字符"/>
    <w:qFormat/>
    <w:uiPriority w:val="0"/>
    <w:rPr>
      <w:rFonts w:ascii="宋体"/>
      <w:kern w:val="2"/>
      <w:sz w:val="18"/>
      <w:szCs w:val="18"/>
    </w:rPr>
  </w:style>
  <w:style w:type="character" w:customStyle="1" w:styleId="88">
    <w:name w:val="纯文本 字符1"/>
    <w:semiHidden/>
    <w:qFormat/>
    <w:locked/>
    <w:uiPriority w:val="0"/>
    <w:rPr>
      <w:rFonts w:ascii="宋体" w:hAnsi="Courier New"/>
      <w:kern w:val="2"/>
      <w:sz w:val="21"/>
    </w:rPr>
  </w:style>
  <w:style w:type="character" w:customStyle="1" w:styleId="89">
    <w:name w:val="标题 5 字符"/>
    <w:qFormat/>
    <w:uiPriority w:val="9"/>
    <w:rPr>
      <w:b/>
      <w:bCs/>
      <w:kern w:val="2"/>
      <w:sz w:val="28"/>
      <w:szCs w:val="28"/>
    </w:rPr>
  </w:style>
  <w:style w:type="character" w:customStyle="1" w:styleId="90">
    <w:name w:val="纯文本 字符"/>
    <w:qFormat/>
    <w:uiPriority w:val="0"/>
    <w:rPr>
      <w:rFonts w:ascii="宋体" w:hAnsi="Courier New"/>
      <w:kern w:val="2"/>
      <w:sz w:val="21"/>
    </w:rPr>
  </w:style>
  <w:style w:type="character" w:customStyle="1" w:styleId="91">
    <w:name w:val="批注文字 字符"/>
    <w:qFormat/>
    <w:uiPriority w:val="0"/>
    <w:rPr>
      <w:kern w:val="2"/>
      <w:sz w:val="21"/>
      <w:szCs w:val="24"/>
    </w:rPr>
  </w:style>
  <w:style w:type="character" w:customStyle="1" w:styleId="92">
    <w:name w:val="正文文本缩进 2 字符"/>
    <w:qFormat/>
    <w:uiPriority w:val="0"/>
    <w:rPr>
      <w:kern w:val="2"/>
      <w:sz w:val="21"/>
      <w:szCs w:val="24"/>
    </w:rPr>
  </w:style>
  <w:style w:type="character" w:customStyle="1" w:styleId="93">
    <w:name w:val="批注文字 字符1"/>
    <w:qFormat/>
    <w:uiPriority w:val="0"/>
    <w:rPr>
      <w:rFonts w:ascii="Times New Roman" w:hAnsi="Times New Roman"/>
      <w:kern w:val="2"/>
      <w:sz w:val="21"/>
      <w:szCs w:val="24"/>
    </w:rPr>
  </w:style>
  <w:style w:type="character" w:customStyle="1" w:styleId="94">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95">
    <w:name w:val="页脚 字符1"/>
    <w:qFormat/>
    <w:uiPriority w:val="99"/>
    <w:rPr>
      <w:kern w:val="2"/>
      <w:sz w:val="18"/>
      <w:szCs w:val="18"/>
    </w:rPr>
  </w:style>
  <w:style w:type="character" w:customStyle="1" w:styleId="96">
    <w:name w:val="标题 2 字符"/>
    <w:qFormat/>
    <w:uiPriority w:val="0"/>
    <w:rPr>
      <w:rFonts w:ascii="Arial" w:hAnsi="Arial" w:eastAsia="黑体"/>
      <w:b/>
      <w:bCs/>
      <w:kern w:val="2"/>
      <w:sz w:val="32"/>
      <w:szCs w:val="32"/>
    </w:rPr>
  </w:style>
  <w:style w:type="character" w:customStyle="1" w:styleId="97">
    <w:name w:val="正文文本缩进 字符"/>
    <w:qFormat/>
    <w:uiPriority w:val="0"/>
    <w:rPr>
      <w:rFonts w:ascii="宋体" w:hAnsi="Courier New"/>
      <w:spacing w:val="-4"/>
      <w:kern w:val="2"/>
      <w:sz w:val="18"/>
    </w:rPr>
  </w:style>
  <w:style w:type="character" w:customStyle="1" w:styleId="98">
    <w:name w:val="正文2 Char Char"/>
    <w:link w:val="99"/>
    <w:qFormat/>
    <w:uiPriority w:val="0"/>
    <w:rPr>
      <w:kern w:val="2"/>
      <w:sz w:val="24"/>
    </w:rPr>
  </w:style>
  <w:style w:type="paragraph" w:customStyle="1" w:styleId="99">
    <w:name w:val="正文2"/>
    <w:basedOn w:val="1"/>
    <w:link w:val="98"/>
    <w:qFormat/>
    <w:uiPriority w:val="0"/>
    <w:pPr>
      <w:adjustRightInd w:val="0"/>
      <w:spacing w:before="156" w:line="360" w:lineRule="auto"/>
      <w:ind w:firstLine="510" w:firstLineChars="200"/>
    </w:pPr>
    <w:rPr>
      <w:sz w:val="24"/>
      <w:szCs w:val="20"/>
    </w:rPr>
  </w:style>
  <w:style w:type="character" w:customStyle="1" w:styleId="100">
    <w:name w:val="页脚 字符"/>
    <w:qFormat/>
    <w:uiPriority w:val="99"/>
    <w:rPr>
      <w:sz w:val="18"/>
      <w:szCs w:val="18"/>
    </w:rPr>
  </w:style>
  <w:style w:type="character" w:customStyle="1" w:styleId="101">
    <w:name w:val="批注文字 Char1"/>
    <w:qFormat/>
    <w:uiPriority w:val="0"/>
    <w:rPr>
      <w:rFonts w:ascii="Times New Roman" w:hAnsi="Times New Roman"/>
      <w:kern w:val="2"/>
      <w:sz w:val="21"/>
      <w:szCs w:val="24"/>
    </w:rPr>
  </w:style>
  <w:style w:type="character" w:customStyle="1" w:styleId="102">
    <w:name w:val="纯文本 Char1"/>
    <w:link w:val="103"/>
    <w:qFormat/>
    <w:uiPriority w:val="0"/>
    <w:rPr>
      <w:rFonts w:ascii="宋体" w:hAnsi="Courier New" w:eastAsia="宋体"/>
      <w:kern w:val="2"/>
      <w:sz w:val="21"/>
      <w:lang w:val="en-US" w:eastAsia="zh-CN" w:bidi="ar-SA"/>
    </w:rPr>
  </w:style>
  <w:style w:type="paragraph" w:customStyle="1" w:styleId="103">
    <w:name w:val="纯文本1"/>
    <w:basedOn w:val="1"/>
    <w:link w:val="102"/>
    <w:qFormat/>
    <w:uiPriority w:val="0"/>
    <w:rPr>
      <w:rFonts w:ascii="宋体" w:hAnsi="Courier New"/>
      <w:szCs w:val="20"/>
    </w:rPr>
  </w:style>
  <w:style w:type="character" w:customStyle="1" w:styleId="104">
    <w:name w:val="正文文本 3 字符"/>
    <w:qFormat/>
    <w:uiPriority w:val="99"/>
    <w:rPr>
      <w:kern w:val="2"/>
      <w:sz w:val="16"/>
      <w:szCs w:val="16"/>
    </w:rPr>
  </w:style>
  <w:style w:type="paragraph" w:customStyle="1" w:styleId="105">
    <w:name w:val="正文段"/>
    <w:basedOn w:val="1"/>
    <w:qFormat/>
    <w:uiPriority w:val="0"/>
    <w:pPr>
      <w:widowControl/>
      <w:snapToGrid w:val="0"/>
      <w:spacing w:after="156" w:afterLines="50"/>
      <w:ind w:firstLine="200" w:firstLineChars="200"/>
    </w:pPr>
    <w:rPr>
      <w:kern w:val="0"/>
      <w:sz w:val="24"/>
      <w:szCs w:val="20"/>
    </w:rPr>
  </w:style>
  <w:style w:type="paragraph" w:customStyle="1" w:styleId="106">
    <w:name w:val="列出段落1"/>
    <w:basedOn w:val="1"/>
    <w:qFormat/>
    <w:uiPriority w:val="34"/>
    <w:pPr>
      <w:spacing w:before="100" w:beforeAutospacing="1" w:after="100" w:afterAutospacing="1" w:line="360" w:lineRule="auto"/>
      <w:ind w:firstLine="420" w:firstLineChars="200"/>
    </w:pPr>
  </w:style>
  <w:style w:type="paragraph" w:customStyle="1" w:styleId="107">
    <w:name w:val="Char Char Char Char Char Char Char"/>
    <w:basedOn w:val="1"/>
    <w:qFormat/>
    <w:uiPriority w:val="0"/>
  </w:style>
  <w:style w:type="paragraph" w:customStyle="1" w:styleId="108">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9">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paragraph" w:customStyle="1" w:styleId="110">
    <w:name w:val="默认段落字体 Para Char Char Char Char Char Char Char Char Char1 Char Char Char Char"/>
    <w:basedOn w:val="1"/>
    <w:qFormat/>
    <w:uiPriority w:val="0"/>
    <w:rPr>
      <w:rFonts w:ascii="Tahoma" w:hAnsi="Tahoma"/>
      <w:sz w:val="24"/>
      <w:szCs w:val="20"/>
    </w:rPr>
  </w:style>
  <w:style w:type="paragraph" w:customStyle="1" w:styleId="111">
    <w:name w:val="Char Char Char Char"/>
    <w:basedOn w:val="1"/>
    <w:qFormat/>
    <w:uiPriority w:val="0"/>
    <w:pPr>
      <w:widowControl/>
      <w:spacing w:after="160" w:line="240" w:lineRule="exact"/>
      <w:jc w:val="left"/>
    </w:pPr>
  </w:style>
  <w:style w:type="paragraph" w:customStyle="1" w:styleId="11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
    <w:name w:val="表格文字"/>
    <w:basedOn w:val="1"/>
    <w:next w:val="15"/>
    <w:qFormat/>
    <w:uiPriority w:val="0"/>
    <w:pPr>
      <w:adjustRightInd w:val="0"/>
      <w:spacing w:line="420" w:lineRule="atLeast"/>
      <w:jc w:val="left"/>
      <w:textAlignment w:val="baseline"/>
    </w:pPr>
    <w:rPr>
      <w:kern w:val="0"/>
    </w:rPr>
  </w:style>
  <w:style w:type="paragraph" w:customStyle="1" w:styleId="114">
    <w:name w:val="_Style 102"/>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5">
    <w:name w:val="Char Char Char1 Char Char Char Char Char Char Char"/>
    <w:basedOn w:val="1"/>
    <w:qFormat/>
    <w:uiPriority w:val="0"/>
  </w:style>
  <w:style w:type="paragraph" w:customStyle="1" w:styleId="116">
    <w:name w:val="Char Char Char Char Char Char Char1"/>
    <w:basedOn w:val="1"/>
    <w:qFormat/>
    <w:uiPriority w:val="0"/>
  </w:style>
  <w:style w:type="paragraph" w:customStyle="1" w:styleId="117">
    <w:name w:val="Table Paragraph"/>
    <w:basedOn w:val="1"/>
    <w:qFormat/>
    <w:uiPriority w:val="1"/>
    <w:pPr>
      <w:jc w:val="left"/>
    </w:pPr>
    <w:rPr>
      <w:rFonts w:ascii="Calibri" w:hAnsi="Calibri"/>
      <w:kern w:val="0"/>
      <w:sz w:val="22"/>
      <w:szCs w:val="22"/>
      <w:lang w:eastAsia="en-US"/>
    </w:rPr>
  </w:style>
  <w:style w:type="paragraph" w:customStyle="1" w:styleId="118">
    <w:name w:val="Char Char Char Char Char Char Char Char Char Char Char Char"/>
    <w:basedOn w:val="1"/>
    <w:qFormat/>
    <w:uiPriority w:val="0"/>
    <w:pPr>
      <w:widowControl/>
      <w:spacing w:after="160" w:line="240" w:lineRule="exact"/>
      <w:jc w:val="left"/>
    </w:pPr>
  </w:style>
  <w:style w:type="paragraph" w:styleId="119">
    <w:name w:val="List Paragraph"/>
    <w:basedOn w:val="1"/>
    <w:qFormat/>
    <w:uiPriority w:val="34"/>
    <w:pPr>
      <w:ind w:firstLine="420" w:firstLineChars="200"/>
    </w:pPr>
  </w:style>
  <w:style w:type="paragraph" w:customStyle="1" w:styleId="120">
    <w:name w:val="_Style 108"/>
    <w:qFormat/>
    <w:uiPriority w:val="0"/>
    <w:rPr>
      <w:rFonts w:ascii="Times New Roman" w:hAnsi="Times New Roman" w:eastAsia="宋体" w:cs="Times New Roman"/>
      <w:kern w:val="2"/>
      <w:sz w:val="21"/>
      <w:szCs w:val="24"/>
      <w:lang w:val="en-US" w:eastAsia="zh-CN" w:bidi="ar-SA"/>
    </w:rPr>
  </w:style>
  <w:style w:type="paragraph" w:customStyle="1" w:styleId="121">
    <w:name w:val="标书二级标题，自动编号"/>
    <w:basedOn w:val="1"/>
    <w:qFormat/>
    <w:uiPriority w:val="0"/>
    <w:pPr>
      <w:keepNext/>
      <w:keepLines/>
      <w:tabs>
        <w:tab w:val="left" w:pos="720"/>
      </w:tabs>
      <w:spacing w:before="160" w:after="160" w:line="415" w:lineRule="auto"/>
      <w:ind w:left="720"/>
      <w:jc w:val="left"/>
      <w:outlineLvl w:val="2"/>
    </w:pPr>
    <w:rPr>
      <w:bCs/>
      <w:sz w:val="28"/>
      <w:szCs w:val="32"/>
    </w:rPr>
  </w:style>
  <w:style w:type="paragraph" w:customStyle="1" w:styleId="122">
    <w:name w:val="正文缩进1"/>
    <w:basedOn w:val="1"/>
    <w:next w:val="1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23">
    <w:name w:val="Char Char Char"/>
    <w:basedOn w:val="1"/>
    <w:qFormat/>
    <w:uiPriority w:val="0"/>
    <w:rPr>
      <w:szCs w:val="20"/>
    </w:rPr>
  </w:style>
  <w:style w:type="paragraph" w:customStyle="1" w:styleId="124">
    <w:name w:val="Char"/>
    <w:basedOn w:val="1"/>
    <w:qFormat/>
    <w:uiPriority w:val="0"/>
    <w:rPr>
      <w:szCs w:val="21"/>
    </w:rPr>
  </w:style>
  <w:style w:type="paragraph" w:customStyle="1" w:styleId="125">
    <w:name w:val="Char1"/>
    <w:basedOn w:val="1"/>
    <w:qFormat/>
    <w:uiPriority w:val="0"/>
  </w:style>
  <w:style w:type="paragraph" w:customStyle="1" w:styleId="126">
    <w:name w:val="Char Char Char Char Char Char Char Char Char Char Char Char1"/>
    <w:basedOn w:val="1"/>
    <w:qFormat/>
    <w:uiPriority w:val="0"/>
    <w:pPr>
      <w:widowControl/>
      <w:spacing w:after="160" w:line="240" w:lineRule="exact"/>
      <w:jc w:val="left"/>
    </w:pPr>
  </w:style>
  <w:style w:type="paragraph" w:customStyle="1" w:styleId="127">
    <w:name w:val="样式 标题 1 + 居中 段前: 0 磅 段后: 0 磅 行距: 固定值 30 磅"/>
    <w:basedOn w:val="2"/>
    <w:qFormat/>
    <w:uiPriority w:val="0"/>
    <w:pPr>
      <w:spacing w:before="0" w:after="0" w:line="600" w:lineRule="exact"/>
      <w:jc w:val="center"/>
    </w:pPr>
    <w:rPr>
      <w:rFonts w:cs="宋体"/>
      <w:szCs w:val="20"/>
    </w:rPr>
  </w:style>
  <w:style w:type="paragraph" w:customStyle="1" w:styleId="128">
    <w:name w:val="p0"/>
    <w:basedOn w:val="1"/>
    <w:qFormat/>
    <w:uiPriority w:val="0"/>
    <w:pPr>
      <w:widowControl/>
    </w:pPr>
    <w:rPr>
      <w:kern w:val="0"/>
      <w:szCs w:val="21"/>
    </w:rPr>
  </w:style>
  <w:style w:type="paragraph" w:customStyle="1" w:styleId="129">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30">
    <w:name w:val="Char Char Char Char1"/>
    <w:basedOn w:val="1"/>
    <w:qFormat/>
    <w:uiPriority w:val="0"/>
    <w:pPr>
      <w:widowControl/>
      <w:spacing w:after="160" w:line="240" w:lineRule="exact"/>
      <w:jc w:val="left"/>
    </w:pPr>
  </w:style>
  <w:style w:type="character" w:customStyle="1" w:styleId="131">
    <w:name w:val="bookmark-item uuid-1595940713919 code-am01400046 editdisable single-line-text-input-box-cls readonly"/>
    <w:qFormat/>
    <w:uiPriority w:val="0"/>
  </w:style>
  <w:style w:type="character" w:customStyle="1" w:styleId="132">
    <w:name w:val="bookmark-item uuid-1594624424199 code-23012 addword single-line-text-input-box-cls readonly"/>
    <w:qFormat/>
    <w:uiPriority w:val="0"/>
  </w:style>
  <w:style w:type="character" w:customStyle="1" w:styleId="133">
    <w:name w:val="bookmark-item uuid-1589194982864 code-31006 addword multi-line-text-input-box-cls"/>
    <w:qFormat/>
    <w:uiPriority w:val="0"/>
    <w:rPr>
      <w:rFonts w:ascii="Times New Roman" w:hAnsi="Times New Roman" w:eastAsia="宋体" w:cs="Times New Roman"/>
    </w:rPr>
  </w:style>
  <w:style w:type="paragraph" w:customStyle="1" w:styleId="134">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table" w:customStyle="1" w:styleId="135">
    <w:name w:val="网格型1"/>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6">
    <w:name w:val="first-child"/>
    <w:basedOn w:val="38"/>
    <w:qFormat/>
    <w:uiPriority w:val="0"/>
  </w:style>
  <w:style w:type="character" w:customStyle="1" w:styleId="137">
    <w:name w:val="layui-layer-tabnow"/>
    <w:basedOn w:val="38"/>
    <w:qFormat/>
    <w:uiPriority w:val="0"/>
    <w:rPr>
      <w:bdr w:val="single" w:color="CCCCCC" w:sz="6" w:space="0"/>
      <w:shd w:val="clear" w:color="auto" w:fill="FFFFFF"/>
    </w:rPr>
  </w:style>
  <w:style w:type="paragraph" w:customStyle="1" w:styleId="138">
    <w:name w:val="引言二级条标题"/>
    <w:basedOn w:val="139"/>
    <w:next w:val="140"/>
    <w:qFormat/>
    <w:uiPriority w:val="0"/>
    <w:pPr>
      <w:numPr>
        <w:ilvl w:val="1"/>
        <w:numId w:val="0"/>
      </w:numPr>
      <w:tabs>
        <w:tab w:val="left" w:pos="360"/>
        <w:tab w:val="left" w:pos="1200"/>
      </w:tabs>
    </w:pPr>
    <w:rPr>
      <w:rFonts w:ascii="宋体" w:hAnsi="宋体"/>
      <w:b w:val="0"/>
      <w:szCs w:val="20"/>
    </w:rPr>
  </w:style>
  <w:style w:type="paragraph" w:customStyle="1" w:styleId="139">
    <w:name w:val="引言一级条标题"/>
    <w:basedOn w:val="1"/>
    <w:next w:val="140"/>
    <w:qFormat/>
    <w:uiPriority w:val="0"/>
    <w:pPr>
      <w:widowControl/>
      <w:numPr>
        <w:ilvl w:val="0"/>
        <w:numId w:val="1"/>
      </w:numPr>
    </w:pPr>
    <w:rPr>
      <w:rFonts w:eastAsia="黑体"/>
      <w:b/>
    </w:rPr>
  </w:style>
  <w:style w:type="paragraph" w:customStyle="1" w:styleId="1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1">
    <w:name w:val="Table Text"/>
    <w:basedOn w:val="1"/>
    <w:semiHidden/>
    <w:qFormat/>
    <w:uiPriority w:val="0"/>
    <w:rPr>
      <w:rFonts w:ascii="宋体" w:hAnsi="宋体" w:cs="宋体"/>
      <w:sz w:val="24"/>
      <w:lang w:eastAsia="en-US"/>
    </w:rPr>
  </w:style>
  <w:style w:type="table" w:customStyle="1" w:styleId="142">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paragraph" w:customStyle="1" w:styleId="143">
    <w:name w:val="Normal_0"/>
    <w:qFormat/>
    <w:uiPriority w:val="0"/>
    <w:rPr>
      <w:rFonts w:ascii="Times New Roman" w:hAnsi="Times New Roman" w:eastAsia="Times New Roman" w:cs="Times New Roman"/>
      <w:sz w:val="24"/>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118</Pages>
  <Words>851</Words>
  <Characters>1122</Characters>
  <Lines>990</Lines>
  <Paragraphs>278</Paragraphs>
  <TotalTime>49</TotalTime>
  <ScaleCrop>false</ScaleCrop>
  <LinksUpToDate>false</LinksUpToDate>
  <CharactersWithSpaces>1174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2024-05-31T14:36:00Z</dcterms:created>
  <dc:creator>丁琳</dc:creator>
  <cp:lastModifiedBy>黄艳颀</cp:lastModifiedBy>
  <cp:lastPrinted>2021-08-18T19:26:00Z</cp:lastPrinted>
  <dcterms:modified xsi:type="dcterms:W3CDTF">2025-01-02T15:35:49Z</dcterms:modified>
  <dc:title>南财采管〔2012〕3号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3B3D5153493349E190C633AE2906AE5B_13</vt:lpwstr>
  </property>
  <property fmtid="{D5CDD505-2E9C-101B-9397-08002B2CF9AE}" pid="4" name="KSOTemplateDocerSaveRecord">
    <vt:lpwstr>eyJoZGlkIjoiYzVlZGQzZDYwMTllOTM2YmJmODAzZjJlZTIyYjhlNjgiLCJ1c2VySWQiOiIyNjM1NzM1MjYifQ==</vt:lpwstr>
  </property>
</Properties>
</file>