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20AA">
      <w:pPr>
        <w:spacing w:before="120" w:beforeLines="50"/>
        <w:rPr>
          <w:rFonts w:ascii="宋体" w:hAnsi="宋体" w:cs="宋体"/>
          <w:b/>
          <w:bCs/>
          <w:color w:val="000000"/>
          <w:sz w:val="48"/>
          <w:szCs w:val="48"/>
        </w:rPr>
      </w:pPr>
    </w:p>
    <w:p w14:paraId="6CFA5930">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lang w:val="en-US" w:eastAsia="zh-CN"/>
        </w:rPr>
        <w:t>广西国立工程咨询</w:t>
      </w:r>
      <w:r>
        <w:rPr>
          <w:rFonts w:hint="eastAsia"/>
          <w:b/>
          <w:i w:val="0"/>
          <w:caps w:val="0"/>
          <w:spacing w:val="0"/>
          <w:w w:val="100"/>
          <w:sz w:val="72"/>
          <w:szCs w:val="72"/>
          <w:lang w:eastAsia="zh-CN"/>
        </w:rPr>
        <w:t>有限公司</w:t>
      </w:r>
    </w:p>
    <w:p w14:paraId="41B07739">
      <w:pPr>
        <w:snapToGrid w:val="0"/>
        <w:spacing w:before="286" w:beforeAutospacing="0" w:after="143" w:afterAutospacing="0" w:line="240" w:lineRule="auto"/>
        <w:jc w:val="center"/>
        <w:textAlignment w:val="baseline"/>
        <w:rPr>
          <w:b/>
          <w:i w:val="0"/>
          <w:caps w:val="0"/>
          <w:spacing w:val="0"/>
          <w:w w:val="100"/>
          <w:sz w:val="72"/>
          <w:szCs w:val="72"/>
        </w:rPr>
      </w:pPr>
    </w:p>
    <w:p w14:paraId="7FB31E34">
      <w:pPr>
        <w:snapToGrid w:val="0"/>
        <w:spacing w:before="286" w:beforeAutospacing="0" w:after="143" w:afterAutospacing="0" w:line="240" w:lineRule="auto"/>
        <w:jc w:val="both"/>
        <w:textAlignment w:val="baseline"/>
        <w:rPr>
          <w:b/>
          <w:i w:val="0"/>
          <w:caps w:val="0"/>
          <w:spacing w:val="0"/>
          <w:w w:val="100"/>
          <w:sz w:val="72"/>
          <w:szCs w:val="72"/>
        </w:rPr>
      </w:pPr>
    </w:p>
    <w:p w14:paraId="3478A105">
      <w:pPr>
        <w:snapToGrid w:val="0"/>
        <w:spacing w:before="286" w:beforeAutospacing="0" w:after="143" w:afterAutospacing="0" w:line="240" w:lineRule="auto"/>
        <w:jc w:val="center"/>
        <w:textAlignment w:val="baseline"/>
        <w:rPr>
          <w:b/>
          <w:i w:val="0"/>
          <w:caps w:val="0"/>
          <w:spacing w:val="0"/>
          <w:w w:val="100"/>
          <w:sz w:val="72"/>
          <w:szCs w:val="72"/>
        </w:rPr>
      </w:pPr>
      <w:r>
        <w:rPr>
          <w:rFonts w:hint="eastAsia"/>
          <w:b/>
          <w:i w:val="0"/>
          <w:caps w:val="0"/>
          <w:spacing w:val="0"/>
          <w:w w:val="100"/>
          <w:sz w:val="72"/>
          <w:szCs w:val="72"/>
        </w:rPr>
        <w:t>竞争性磋商文件</w:t>
      </w:r>
    </w:p>
    <w:p w14:paraId="33D609F8">
      <w:pPr>
        <w:pStyle w:val="26"/>
      </w:pPr>
    </w:p>
    <w:p w14:paraId="11A068C8">
      <w:pPr>
        <w:snapToGrid w:val="0"/>
        <w:spacing w:before="120" w:beforeLines="50" w:line="360" w:lineRule="auto"/>
        <w:ind w:firstLine="602"/>
        <w:jc w:val="center"/>
        <w:rPr>
          <w:rFonts w:ascii="宋体" w:hAnsi="宋体" w:cs="宋体"/>
          <w:b/>
          <w:color w:val="000000"/>
          <w:sz w:val="30"/>
          <w:szCs w:val="72"/>
        </w:rPr>
      </w:pPr>
    </w:p>
    <w:p w14:paraId="016485B7">
      <w:pPr>
        <w:rPr>
          <w:rFonts w:hint="eastAsia" w:ascii="宋体" w:hAnsi="宋体" w:cs="宋体"/>
          <w:b w:val="0"/>
          <w:color w:val="000000"/>
          <w:sz w:val="32"/>
          <w:szCs w:val="72"/>
        </w:rPr>
      </w:pPr>
    </w:p>
    <w:p w14:paraId="73465F86">
      <w:pPr>
        <w:rPr>
          <w:rFonts w:hint="eastAsia" w:ascii="宋体" w:hAnsi="宋体" w:cs="宋体"/>
          <w:b w:val="0"/>
          <w:color w:val="000000"/>
          <w:sz w:val="32"/>
          <w:szCs w:val="72"/>
        </w:rPr>
      </w:pPr>
    </w:p>
    <w:p w14:paraId="688705A2">
      <w:pPr>
        <w:rPr>
          <w:rFonts w:hint="eastAsia" w:ascii="宋体" w:hAnsi="宋体" w:cs="宋体"/>
          <w:b w:val="0"/>
          <w:color w:val="000000"/>
          <w:sz w:val="32"/>
          <w:szCs w:val="72"/>
        </w:rPr>
      </w:pPr>
    </w:p>
    <w:p w14:paraId="2AF2DE9A">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30"/>
          <w:szCs w:val="30"/>
          <w:lang w:eastAsia="zh-CN"/>
        </w:rPr>
      </w:pPr>
    </w:p>
    <w:p w14:paraId="7FAB884E">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30"/>
          <w:szCs w:val="30"/>
          <w:lang w:eastAsia="zh-CN"/>
        </w:rPr>
      </w:pPr>
      <w:r>
        <w:rPr>
          <w:rFonts w:hint="eastAsia" w:ascii="宋体" w:hAnsi="宋体" w:eastAsia="宋体" w:cs="宋体"/>
          <w:b/>
          <w:i w:val="0"/>
          <w:caps w:val="0"/>
          <w:spacing w:val="0"/>
          <w:w w:val="100"/>
          <w:sz w:val="30"/>
          <w:szCs w:val="30"/>
          <w:lang w:eastAsia="zh-CN"/>
        </w:rPr>
        <w:t>项目名称：2025年公正乡信良村百驮屯、那笃屯产业道路项目（重）</w:t>
      </w:r>
    </w:p>
    <w:p w14:paraId="3C4D0922">
      <w:pPr>
        <w:snapToGrid w:val="0"/>
        <w:spacing w:before="120" w:beforeLines="50" w:line="480" w:lineRule="auto"/>
        <w:ind w:firstLine="1506" w:firstLineChars="500"/>
        <w:jc w:val="both"/>
        <w:rPr>
          <w:rFonts w:hint="eastAsia" w:ascii="宋体" w:hAnsi="宋体" w:eastAsia="宋体" w:cs="宋体"/>
          <w:b/>
          <w:sz w:val="30"/>
          <w:szCs w:val="30"/>
        </w:rPr>
      </w:pPr>
    </w:p>
    <w:p w14:paraId="120D07AD">
      <w:pPr>
        <w:pStyle w:val="11"/>
        <w:widowControl/>
        <w:ind w:firstLine="1506" w:firstLineChars="500"/>
        <w:rPr>
          <w:rFonts w:hint="eastAsia" w:ascii="宋体" w:hAnsi="宋体" w:eastAsia="宋体" w:cs="宋体"/>
          <w:b/>
          <w:i w:val="0"/>
          <w:caps w:val="0"/>
          <w:spacing w:val="0"/>
          <w:w w:val="100"/>
          <w:kern w:val="2"/>
          <w:sz w:val="30"/>
          <w:szCs w:val="30"/>
          <w:lang w:val="en-US" w:eastAsia="zh-CN" w:bidi="ar-SA"/>
        </w:rPr>
      </w:pPr>
      <w:r>
        <w:rPr>
          <w:rFonts w:hint="eastAsia" w:ascii="宋体" w:hAnsi="宋体" w:eastAsia="宋体" w:cs="宋体"/>
          <w:b/>
          <w:i w:val="0"/>
          <w:caps w:val="0"/>
          <w:spacing w:val="0"/>
          <w:w w:val="100"/>
          <w:kern w:val="2"/>
          <w:sz w:val="30"/>
          <w:szCs w:val="30"/>
          <w:lang w:val="en-US" w:eastAsia="zh-CN" w:bidi="ar-SA"/>
        </w:rPr>
        <w:t>项目编号：FCZC2025-C2-210032-GXGL</w:t>
      </w:r>
    </w:p>
    <w:p w14:paraId="3973D490">
      <w:pPr>
        <w:snapToGrid w:val="0"/>
        <w:spacing w:before="120" w:beforeLines="50" w:line="480" w:lineRule="auto"/>
        <w:ind w:firstLine="1506" w:firstLineChars="500"/>
        <w:jc w:val="both"/>
        <w:rPr>
          <w:rFonts w:hint="eastAsia" w:ascii="宋体" w:hAnsi="宋体" w:eastAsia="宋体" w:cs="宋体"/>
          <w:b/>
          <w:bCs w:val="0"/>
          <w:sz w:val="30"/>
          <w:szCs w:val="30"/>
        </w:rPr>
      </w:pPr>
    </w:p>
    <w:p w14:paraId="321CD5E0">
      <w:pPr>
        <w:pBdr>
          <w:bottom w:val="single" w:color="000000" w:sz="6" w:space="1"/>
        </w:pBdr>
        <w:spacing w:line="560" w:lineRule="exact"/>
        <w:rPr>
          <w:rFonts w:hint="eastAsia" w:hAnsi="Courier New"/>
          <w:color w:val="000000"/>
          <w:sz w:val="32"/>
          <w:szCs w:val="22"/>
        </w:rPr>
      </w:pPr>
    </w:p>
    <w:p w14:paraId="605A56CF">
      <w:pPr>
        <w:rPr>
          <w:rFonts w:hint="eastAsia"/>
        </w:rPr>
      </w:pPr>
    </w:p>
    <w:p w14:paraId="0BC3A03E">
      <w:pPr>
        <w:snapToGrid w:val="0"/>
        <w:spacing w:before="120" w:beforeLines="50" w:line="480" w:lineRule="auto"/>
        <w:ind w:firstLine="1424" w:firstLineChars="283"/>
        <w:jc w:val="left"/>
        <w:rPr>
          <w:rFonts w:hint="eastAsia" w:ascii="宋体" w:hAnsi="宋体" w:cs="宋体"/>
          <w:b/>
          <w:color w:val="000000"/>
          <w:sz w:val="30"/>
          <w:szCs w:val="30"/>
          <w:lang w:eastAsia="zh-CN"/>
        </w:rPr>
      </w:pPr>
      <w:r>
        <w:rPr>
          <w:rFonts w:hint="eastAsia" w:ascii="宋体" w:hAnsi="宋体" w:cs="宋体"/>
          <w:b/>
          <w:color w:val="000000"/>
          <w:spacing w:val="101"/>
          <w:kern w:val="0"/>
          <w:sz w:val="30"/>
          <w:szCs w:val="30"/>
          <w:fitText w:val="1806" w:id="1164258868"/>
        </w:rPr>
        <w:t>采购单</w:t>
      </w:r>
      <w:r>
        <w:rPr>
          <w:rFonts w:hint="eastAsia" w:ascii="宋体" w:hAnsi="宋体" w:cs="宋体"/>
          <w:b/>
          <w:color w:val="000000"/>
          <w:spacing w:val="0"/>
          <w:kern w:val="0"/>
          <w:sz w:val="30"/>
          <w:szCs w:val="30"/>
          <w:fitText w:val="1806" w:id="1164258868"/>
        </w:rPr>
        <w:t>位</w:t>
      </w:r>
      <w:r>
        <w:rPr>
          <w:rFonts w:hint="eastAsia" w:ascii="宋体" w:hAnsi="宋体" w:cs="宋体"/>
          <w:b/>
          <w:color w:val="000000"/>
          <w:sz w:val="30"/>
          <w:szCs w:val="30"/>
        </w:rPr>
        <w:t>：</w:t>
      </w:r>
      <w:r>
        <w:rPr>
          <w:rFonts w:hint="eastAsia" w:ascii="宋体" w:hAnsi="宋体" w:cs="宋体"/>
          <w:b/>
          <w:color w:val="000000"/>
          <w:sz w:val="30"/>
          <w:szCs w:val="30"/>
          <w:lang w:eastAsia="zh-CN"/>
        </w:rPr>
        <w:t>上思县农业农村局</w:t>
      </w:r>
    </w:p>
    <w:p w14:paraId="5284E228">
      <w:pPr>
        <w:snapToGrid w:val="0"/>
        <w:spacing w:before="120" w:beforeLines="50" w:line="480" w:lineRule="auto"/>
        <w:ind w:firstLine="1449" w:firstLineChars="481"/>
        <w:jc w:val="left"/>
        <w:rPr>
          <w:rFonts w:hint="eastAsia" w:ascii="宋体" w:hAnsi="宋体" w:cs="宋体"/>
          <w:b/>
          <w:color w:val="000000"/>
          <w:sz w:val="30"/>
          <w:szCs w:val="30"/>
          <w:lang w:eastAsia="zh-CN"/>
        </w:rPr>
      </w:pPr>
      <w:r>
        <w:rPr>
          <w:rFonts w:hint="eastAsia" w:ascii="宋体" w:hAnsi="宋体" w:cs="宋体"/>
          <w:b/>
          <w:color w:val="000000"/>
          <w:sz w:val="30"/>
          <w:szCs w:val="30"/>
        </w:rPr>
        <w:t>采购代理单位：</w:t>
      </w:r>
      <w:r>
        <w:rPr>
          <w:rFonts w:hint="eastAsia" w:ascii="宋体" w:hAnsi="宋体" w:cs="宋体"/>
          <w:b/>
          <w:color w:val="000000"/>
          <w:sz w:val="30"/>
          <w:szCs w:val="30"/>
          <w:lang w:val="en-US" w:eastAsia="zh-CN"/>
        </w:rPr>
        <w:t>广西国立工程咨询</w:t>
      </w:r>
      <w:r>
        <w:rPr>
          <w:rFonts w:hint="eastAsia" w:ascii="宋体" w:hAnsi="宋体" w:cs="宋体"/>
          <w:b/>
          <w:color w:val="000000"/>
          <w:sz w:val="30"/>
          <w:szCs w:val="30"/>
          <w:lang w:eastAsia="zh-CN"/>
        </w:rPr>
        <w:t>有限公司</w:t>
      </w:r>
    </w:p>
    <w:p w14:paraId="77DFF633">
      <w:pPr>
        <w:jc w:val="center"/>
        <w:rPr>
          <w:rFonts w:hint="eastAsia"/>
        </w:rPr>
      </w:pPr>
      <w:r>
        <w:rPr>
          <w:rFonts w:hint="eastAsia" w:cs="宋体"/>
          <w:b/>
          <w:bCs/>
          <w:color w:val="000000"/>
          <w:w w:val="95"/>
          <w:sz w:val="30"/>
          <w:szCs w:val="30"/>
          <w:lang w:val="en-US" w:eastAsia="zh-CN"/>
        </w:rPr>
        <w:t>2025</w:t>
      </w:r>
      <w:r>
        <w:rPr>
          <w:rFonts w:hint="eastAsia" w:cs="宋体"/>
          <w:b/>
          <w:bCs/>
          <w:color w:val="000000"/>
          <w:w w:val="95"/>
          <w:sz w:val="30"/>
          <w:szCs w:val="30"/>
        </w:rPr>
        <w:t>年</w:t>
      </w:r>
      <w:r>
        <w:rPr>
          <w:rFonts w:hint="eastAsia" w:cs="宋体"/>
          <w:b/>
          <w:bCs/>
          <w:color w:val="000000"/>
          <w:w w:val="95"/>
          <w:sz w:val="30"/>
          <w:szCs w:val="30"/>
          <w:lang w:val="en-US" w:eastAsia="zh-CN"/>
        </w:rPr>
        <w:t>3</w:t>
      </w:r>
      <w:r>
        <w:rPr>
          <w:rFonts w:hint="eastAsia" w:cs="宋体"/>
          <w:b/>
          <w:bCs/>
          <w:color w:val="000000"/>
          <w:w w:val="95"/>
          <w:sz w:val="30"/>
          <w:szCs w:val="30"/>
        </w:rPr>
        <w:t>月</w:t>
      </w:r>
    </w:p>
    <w:p w14:paraId="42FA9026">
      <w:pPr>
        <w:spacing w:line="360" w:lineRule="auto"/>
        <w:jc w:val="center"/>
        <w:rPr>
          <w:rFonts w:hint="eastAsia" w:ascii="宋体" w:hAnsi="宋体"/>
          <w:b/>
          <w:color w:val="000000"/>
          <w:sz w:val="36"/>
          <w:szCs w:val="36"/>
        </w:rPr>
      </w:pPr>
    </w:p>
    <w:p w14:paraId="2F5C5179">
      <w:pPr>
        <w:pStyle w:val="41"/>
      </w:pPr>
      <w:r>
        <w:t>目   录</w:t>
      </w:r>
    </w:p>
    <w:p w14:paraId="37114605">
      <w:pPr>
        <w:pStyle w:val="19"/>
        <w:tabs>
          <w:tab w:val="right" w:leader="dot" w:pos="9639"/>
          <w:tab w:val="clear" w:pos="8450"/>
        </w:tabs>
        <w:spacing w:line="360" w:lineRule="auto"/>
        <w:outlineLvl w:val="0"/>
        <w:rPr>
          <w:color w:val="000000"/>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hint="eastAsia" w:ascii="宋体" w:hAnsi="宋体"/>
          <w:b/>
          <w:color w:val="000000"/>
          <w:sz w:val="28"/>
          <w:szCs w:val="28"/>
        </w:rPr>
        <w:instrText xml:space="preserve">TOC \o "1-3"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r>
        <w:rPr>
          <w:rFonts w:ascii="宋体" w:hAnsi="宋体"/>
          <w:color w:val="000000"/>
          <w:sz w:val="28"/>
          <w:szCs w:val="28"/>
        </w:rPr>
        <w:fldChar w:fldCharType="begin"/>
      </w:r>
      <w:r>
        <w:rPr>
          <w:rFonts w:ascii="宋体" w:hAnsi="宋体"/>
          <w:color w:val="000000"/>
          <w:sz w:val="28"/>
          <w:szCs w:val="28"/>
        </w:rPr>
        <w:instrText xml:space="preserve"> HYPERLINK \l _Toc19824 </w:instrText>
      </w:r>
      <w:r>
        <w:rPr>
          <w:rFonts w:ascii="宋体" w:hAnsi="宋体"/>
          <w:color w:val="000000"/>
          <w:sz w:val="28"/>
          <w:szCs w:val="28"/>
        </w:rPr>
        <w:fldChar w:fldCharType="separate"/>
      </w:r>
      <w:r>
        <w:rPr>
          <w:rFonts w:hint="eastAsia" w:ascii="宋体" w:hAnsi="宋体"/>
          <w:color w:val="000000"/>
          <w:sz w:val="28"/>
          <w:szCs w:val="28"/>
        </w:rPr>
        <w:t xml:space="preserve">第一章 </w:t>
      </w:r>
      <w:r>
        <w:rPr>
          <w:rFonts w:hint="eastAsia" w:ascii="宋体" w:hAnsi="宋体"/>
          <w:color w:val="000000"/>
          <w:sz w:val="28"/>
          <w:szCs w:val="28"/>
          <w:lang w:val="en-US" w:eastAsia="zh-CN"/>
        </w:rPr>
        <w:t xml:space="preserve"> </w:t>
      </w:r>
      <w:r>
        <w:rPr>
          <w:rFonts w:hint="eastAsia" w:ascii="宋体" w:hAnsi="宋体"/>
          <w:color w:val="000000"/>
          <w:sz w:val="28"/>
          <w:szCs w:val="28"/>
        </w:rPr>
        <w:t>竞争性磋商公告</w:t>
      </w:r>
      <w:r>
        <w:rPr>
          <w:color w:val="000000"/>
          <w:sz w:val="28"/>
          <w:szCs w:val="28"/>
        </w:rPr>
        <w:tab/>
      </w:r>
      <w:r>
        <w:rPr>
          <w:color w:val="000000"/>
          <w:sz w:val="28"/>
          <w:szCs w:val="28"/>
        </w:rPr>
        <w:fldChar w:fldCharType="begin"/>
      </w:r>
      <w:r>
        <w:rPr>
          <w:color w:val="000000"/>
          <w:sz w:val="28"/>
          <w:szCs w:val="28"/>
        </w:rPr>
        <w:instrText xml:space="preserve"> PAGEREF _Toc19824 </w:instrText>
      </w:r>
      <w:r>
        <w:rPr>
          <w:color w:val="000000"/>
          <w:sz w:val="28"/>
          <w:szCs w:val="28"/>
        </w:rPr>
        <w:fldChar w:fldCharType="separate"/>
      </w:r>
      <w:r>
        <w:rPr>
          <w:color w:val="000000"/>
          <w:sz w:val="28"/>
          <w:szCs w:val="28"/>
        </w:rPr>
        <w:t>2</w:t>
      </w:r>
      <w:r>
        <w:rPr>
          <w:color w:val="000000"/>
          <w:sz w:val="28"/>
          <w:szCs w:val="28"/>
        </w:rPr>
        <w:fldChar w:fldCharType="end"/>
      </w:r>
      <w:r>
        <w:rPr>
          <w:rFonts w:ascii="宋体" w:hAnsi="宋体"/>
          <w:color w:val="000000"/>
          <w:sz w:val="28"/>
          <w:szCs w:val="28"/>
        </w:rPr>
        <w:fldChar w:fldCharType="end"/>
      </w:r>
    </w:p>
    <w:p w14:paraId="7F584E11">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_Toc1467 </w:instrText>
      </w:r>
      <w:r>
        <w:rPr>
          <w:rFonts w:ascii="宋体" w:hAnsi="宋体"/>
          <w:color w:val="000000"/>
          <w:sz w:val="28"/>
          <w:szCs w:val="28"/>
        </w:rPr>
        <w:fldChar w:fldCharType="separate"/>
      </w:r>
      <w:r>
        <w:rPr>
          <w:rFonts w:hint="eastAsia"/>
          <w:color w:val="000000"/>
          <w:sz w:val="28"/>
          <w:szCs w:val="28"/>
        </w:rPr>
        <w:t xml:space="preserve">第二章 </w:t>
      </w:r>
      <w:r>
        <w:rPr>
          <w:rFonts w:hint="eastAsia"/>
          <w:color w:val="000000"/>
          <w:sz w:val="28"/>
          <w:szCs w:val="28"/>
          <w:lang w:val="en-US" w:eastAsia="zh-CN"/>
        </w:rPr>
        <w:t xml:space="preserve"> </w:t>
      </w:r>
      <w:r>
        <w:rPr>
          <w:rFonts w:hint="eastAsia"/>
          <w:color w:val="000000"/>
          <w:sz w:val="28"/>
          <w:szCs w:val="28"/>
        </w:rPr>
        <w:t>磋商须知</w:t>
      </w:r>
      <w:r>
        <w:rPr>
          <w:color w:val="000000"/>
          <w:sz w:val="28"/>
          <w:szCs w:val="28"/>
        </w:rPr>
        <w:tab/>
      </w:r>
      <w:r>
        <w:rPr>
          <w:color w:val="000000"/>
          <w:sz w:val="28"/>
          <w:szCs w:val="28"/>
        </w:rPr>
        <w:fldChar w:fldCharType="begin"/>
      </w:r>
      <w:r>
        <w:rPr>
          <w:color w:val="000000"/>
          <w:sz w:val="28"/>
          <w:szCs w:val="28"/>
        </w:rPr>
        <w:instrText xml:space="preserve"> PAGEREF _Toc1467 </w:instrText>
      </w:r>
      <w:r>
        <w:rPr>
          <w:color w:val="000000"/>
          <w:sz w:val="28"/>
          <w:szCs w:val="28"/>
        </w:rPr>
        <w:fldChar w:fldCharType="separate"/>
      </w:r>
      <w:r>
        <w:rPr>
          <w:color w:val="000000"/>
          <w:sz w:val="28"/>
          <w:szCs w:val="28"/>
        </w:rPr>
        <w:t>6</w:t>
      </w:r>
      <w:r>
        <w:rPr>
          <w:color w:val="000000"/>
          <w:sz w:val="28"/>
          <w:szCs w:val="28"/>
        </w:rPr>
        <w:fldChar w:fldCharType="end"/>
      </w:r>
      <w:r>
        <w:rPr>
          <w:rFonts w:ascii="宋体" w:hAnsi="宋体"/>
          <w:color w:val="000000"/>
          <w:sz w:val="28"/>
          <w:szCs w:val="28"/>
        </w:rPr>
        <w:fldChar w:fldCharType="end"/>
      </w:r>
    </w:p>
    <w:p w14:paraId="46A88E86">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_Toc12144 </w:instrText>
      </w:r>
      <w:r>
        <w:rPr>
          <w:rFonts w:ascii="宋体" w:hAnsi="宋体"/>
          <w:color w:val="000000"/>
          <w:sz w:val="28"/>
          <w:szCs w:val="28"/>
        </w:rPr>
        <w:fldChar w:fldCharType="separate"/>
      </w:r>
      <w:r>
        <w:rPr>
          <w:rFonts w:hint="eastAsia" w:ascii="宋体" w:hAnsi="宋体"/>
          <w:color w:val="000000"/>
          <w:sz w:val="28"/>
          <w:szCs w:val="28"/>
        </w:rPr>
        <w:t xml:space="preserve">第三章 </w:t>
      </w:r>
      <w:r>
        <w:rPr>
          <w:rFonts w:hint="eastAsia" w:ascii="宋体" w:hAnsi="宋体"/>
          <w:color w:val="000000"/>
          <w:sz w:val="28"/>
          <w:szCs w:val="28"/>
          <w:lang w:val="en-US" w:eastAsia="zh-CN"/>
        </w:rPr>
        <w:t xml:space="preserve"> </w:t>
      </w:r>
      <w:r>
        <w:rPr>
          <w:rFonts w:hint="eastAsia" w:ascii="宋体" w:hAnsi="宋体"/>
          <w:color w:val="000000"/>
          <w:sz w:val="28"/>
          <w:szCs w:val="28"/>
        </w:rPr>
        <w:t>评审方法及定标标准</w:t>
      </w:r>
      <w:r>
        <w:rPr>
          <w:color w:val="000000"/>
          <w:sz w:val="28"/>
          <w:szCs w:val="28"/>
        </w:rPr>
        <w:tab/>
      </w:r>
      <w:r>
        <w:rPr>
          <w:color w:val="000000"/>
          <w:sz w:val="28"/>
          <w:szCs w:val="28"/>
        </w:rPr>
        <w:fldChar w:fldCharType="begin"/>
      </w:r>
      <w:r>
        <w:rPr>
          <w:color w:val="000000"/>
          <w:sz w:val="28"/>
          <w:szCs w:val="28"/>
        </w:rPr>
        <w:instrText xml:space="preserve"> PAGEREF _Toc12144 </w:instrText>
      </w:r>
      <w:r>
        <w:rPr>
          <w:color w:val="000000"/>
          <w:sz w:val="28"/>
          <w:szCs w:val="28"/>
        </w:rPr>
        <w:fldChar w:fldCharType="separate"/>
      </w:r>
      <w:r>
        <w:rPr>
          <w:color w:val="000000"/>
          <w:sz w:val="28"/>
          <w:szCs w:val="28"/>
        </w:rPr>
        <w:t>2</w:t>
      </w:r>
      <w:r>
        <w:rPr>
          <w:rFonts w:hint="eastAsia"/>
          <w:color w:val="000000"/>
          <w:sz w:val="28"/>
          <w:szCs w:val="28"/>
          <w:lang w:val="en-US" w:eastAsia="zh-CN"/>
        </w:rPr>
        <w:t>4</w:t>
      </w:r>
      <w:r>
        <w:rPr>
          <w:color w:val="000000"/>
          <w:sz w:val="28"/>
          <w:szCs w:val="28"/>
        </w:rPr>
        <w:fldChar w:fldCharType="end"/>
      </w:r>
      <w:r>
        <w:rPr>
          <w:rFonts w:ascii="宋体" w:hAnsi="宋体"/>
          <w:color w:val="000000"/>
          <w:sz w:val="28"/>
          <w:szCs w:val="28"/>
        </w:rPr>
        <w:fldChar w:fldCharType="end"/>
      </w:r>
    </w:p>
    <w:p w14:paraId="1815CABE">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_Toc30146 </w:instrText>
      </w:r>
      <w:r>
        <w:rPr>
          <w:rFonts w:ascii="宋体" w:hAnsi="宋体"/>
          <w:color w:val="000000"/>
          <w:sz w:val="28"/>
          <w:szCs w:val="28"/>
        </w:rPr>
        <w:fldChar w:fldCharType="separate"/>
      </w:r>
      <w:r>
        <w:rPr>
          <w:rFonts w:hint="eastAsia" w:ascii="宋体" w:hAnsi="宋体"/>
          <w:color w:val="000000"/>
          <w:sz w:val="28"/>
          <w:szCs w:val="28"/>
        </w:rPr>
        <w:t>第四章</w:t>
      </w:r>
      <w:r>
        <w:rPr>
          <w:rFonts w:hint="eastAsia" w:ascii="宋体" w:hAnsi="宋体"/>
          <w:color w:val="000000"/>
          <w:sz w:val="28"/>
          <w:szCs w:val="28"/>
          <w:lang w:val="en-US" w:eastAsia="zh-CN"/>
        </w:rPr>
        <w:t xml:space="preserve"> </w:t>
      </w:r>
      <w:r>
        <w:rPr>
          <w:rFonts w:hint="eastAsia" w:ascii="宋体" w:hAnsi="宋体"/>
          <w:color w:val="000000"/>
          <w:sz w:val="28"/>
          <w:szCs w:val="28"/>
        </w:rPr>
        <w:t xml:space="preserve"> 工程量清单</w:t>
      </w:r>
      <w:r>
        <w:rPr>
          <w:color w:val="000000"/>
          <w:sz w:val="28"/>
          <w:szCs w:val="28"/>
        </w:rPr>
        <w:tab/>
      </w:r>
      <w:r>
        <w:rPr>
          <w:rFonts w:hint="eastAsia"/>
          <w:color w:val="000000"/>
          <w:sz w:val="28"/>
          <w:szCs w:val="28"/>
          <w:lang w:val="en-US" w:eastAsia="zh-CN"/>
        </w:rPr>
        <w:t>2</w:t>
      </w:r>
      <w:r>
        <w:rPr>
          <w:rFonts w:ascii="宋体" w:hAnsi="宋体"/>
          <w:color w:val="000000"/>
          <w:sz w:val="28"/>
          <w:szCs w:val="28"/>
        </w:rPr>
        <w:fldChar w:fldCharType="end"/>
      </w:r>
      <w:r>
        <w:rPr>
          <w:rFonts w:hint="eastAsia" w:ascii="宋体" w:hAnsi="宋体"/>
          <w:color w:val="000000"/>
          <w:sz w:val="28"/>
          <w:szCs w:val="28"/>
          <w:lang w:val="en-US" w:eastAsia="zh-CN"/>
        </w:rPr>
        <w:t>9</w:t>
      </w:r>
    </w:p>
    <w:p w14:paraId="10466DF8">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_Toc23497 </w:instrText>
      </w:r>
      <w:r>
        <w:rPr>
          <w:rFonts w:ascii="宋体" w:hAnsi="宋体"/>
          <w:color w:val="000000"/>
          <w:sz w:val="28"/>
          <w:szCs w:val="28"/>
        </w:rPr>
        <w:fldChar w:fldCharType="separate"/>
      </w:r>
      <w:r>
        <w:rPr>
          <w:rFonts w:hint="eastAsia" w:ascii="宋体" w:hAnsi="宋体"/>
          <w:color w:val="000000"/>
          <w:sz w:val="28"/>
          <w:szCs w:val="28"/>
        </w:rPr>
        <w:t>第五章  图纸</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0</w:t>
      </w:r>
    </w:p>
    <w:p w14:paraId="55675527">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_Toc9750 </w:instrText>
      </w:r>
      <w:r>
        <w:rPr>
          <w:rFonts w:ascii="宋体" w:hAnsi="宋体"/>
          <w:color w:val="000000"/>
          <w:sz w:val="28"/>
          <w:szCs w:val="28"/>
        </w:rPr>
        <w:fldChar w:fldCharType="separate"/>
      </w:r>
      <w:r>
        <w:rPr>
          <w:rFonts w:hint="eastAsia" w:ascii="宋体" w:hAnsi="宋体"/>
          <w:color w:val="000000"/>
          <w:sz w:val="28"/>
          <w:szCs w:val="28"/>
        </w:rPr>
        <w:t>第六章  技术标准和要求</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1</w:t>
      </w:r>
    </w:p>
    <w:p w14:paraId="5524D8D4">
      <w:pPr>
        <w:pStyle w:val="19"/>
        <w:tabs>
          <w:tab w:val="right" w:leader="dot" w:pos="9639"/>
          <w:tab w:val="clear" w:pos="8450"/>
        </w:tabs>
        <w:spacing w:line="360" w:lineRule="auto"/>
        <w:rPr>
          <w:rFonts w:hint="eastAsia" w:eastAsia="宋体"/>
          <w:color w:val="000000"/>
          <w:sz w:val="28"/>
          <w:szCs w:val="28"/>
          <w:lang w:val="en-US" w:eastAsia="zh-CN"/>
        </w:rPr>
      </w:pPr>
      <w:r>
        <w:rPr>
          <w:rFonts w:ascii="宋体" w:hAnsi="宋体"/>
          <w:color w:val="000000"/>
          <w:sz w:val="28"/>
          <w:szCs w:val="28"/>
        </w:rPr>
        <w:fldChar w:fldCharType="begin"/>
      </w:r>
      <w:r>
        <w:rPr>
          <w:rFonts w:ascii="宋体" w:hAnsi="宋体"/>
          <w:color w:val="000000"/>
          <w:sz w:val="28"/>
          <w:szCs w:val="28"/>
        </w:rPr>
        <w:instrText xml:space="preserve"> HYPERLINK \l _Toc1701 </w:instrText>
      </w:r>
      <w:r>
        <w:rPr>
          <w:rFonts w:ascii="宋体" w:hAnsi="宋体"/>
          <w:color w:val="000000"/>
          <w:sz w:val="28"/>
          <w:szCs w:val="28"/>
        </w:rPr>
        <w:fldChar w:fldCharType="separate"/>
      </w:r>
      <w:r>
        <w:rPr>
          <w:rFonts w:hint="eastAsia" w:ascii="宋体" w:hAnsi="宋体"/>
          <w:color w:val="000000"/>
          <w:sz w:val="28"/>
          <w:szCs w:val="28"/>
        </w:rPr>
        <w:t xml:space="preserve">第七章 </w:t>
      </w:r>
      <w:r>
        <w:rPr>
          <w:rFonts w:hint="eastAsia" w:ascii="宋体" w:hAnsi="宋体"/>
          <w:color w:val="000000"/>
          <w:sz w:val="28"/>
          <w:szCs w:val="28"/>
          <w:lang w:val="en-US" w:eastAsia="zh-CN"/>
        </w:rPr>
        <w:t xml:space="preserve"> </w:t>
      </w:r>
      <w:r>
        <w:rPr>
          <w:rFonts w:hint="eastAsia" w:ascii="宋体" w:hAnsi="宋体"/>
          <w:color w:val="000000"/>
          <w:sz w:val="28"/>
          <w:szCs w:val="28"/>
        </w:rPr>
        <w:t>响应文件格式</w:t>
      </w:r>
      <w:r>
        <w:rPr>
          <w:color w:val="000000"/>
          <w:sz w:val="28"/>
          <w:szCs w:val="28"/>
        </w:rPr>
        <w:tab/>
      </w:r>
      <w:r>
        <w:rPr>
          <w:rFonts w:hint="eastAsia"/>
          <w:color w:val="000000"/>
          <w:sz w:val="28"/>
          <w:szCs w:val="28"/>
          <w:lang w:val="en-US" w:eastAsia="zh-CN"/>
        </w:rPr>
        <w:t>3</w:t>
      </w:r>
      <w:r>
        <w:rPr>
          <w:rFonts w:ascii="宋体" w:hAnsi="宋体"/>
          <w:color w:val="000000"/>
          <w:sz w:val="28"/>
          <w:szCs w:val="28"/>
        </w:rPr>
        <w:fldChar w:fldCharType="end"/>
      </w:r>
      <w:r>
        <w:rPr>
          <w:rFonts w:hint="eastAsia" w:ascii="宋体" w:hAnsi="宋体"/>
          <w:color w:val="000000"/>
          <w:sz w:val="28"/>
          <w:szCs w:val="28"/>
          <w:lang w:val="en-US" w:eastAsia="zh-CN"/>
        </w:rPr>
        <w:t>2</w:t>
      </w:r>
    </w:p>
    <w:p w14:paraId="06DE1F54">
      <w:pPr>
        <w:pStyle w:val="19"/>
        <w:tabs>
          <w:tab w:val="right" w:leader="dot" w:pos="9639"/>
          <w:tab w:val="clear" w:pos="8450"/>
        </w:tabs>
        <w:spacing w:line="360" w:lineRule="auto"/>
        <w:rPr>
          <w:color w:val="000000"/>
          <w:sz w:val="28"/>
          <w:szCs w:val="28"/>
        </w:rPr>
      </w:pPr>
      <w:r>
        <w:rPr>
          <w:rFonts w:ascii="宋体" w:hAnsi="宋体"/>
          <w:color w:val="000000"/>
          <w:sz w:val="28"/>
          <w:szCs w:val="28"/>
        </w:rPr>
        <w:fldChar w:fldCharType="begin"/>
      </w:r>
      <w:r>
        <w:rPr>
          <w:rFonts w:ascii="宋体" w:hAnsi="宋体"/>
          <w:color w:val="000000"/>
          <w:sz w:val="28"/>
          <w:szCs w:val="28"/>
        </w:rPr>
        <w:instrText xml:space="preserve"> HYPERLINK \l _Toc29765 </w:instrText>
      </w:r>
      <w:r>
        <w:rPr>
          <w:rFonts w:ascii="宋体" w:hAnsi="宋体"/>
          <w:color w:val="000000"/>
          <w:sz w:val="28"/>
          <w:szCs w:val="28"/>
        </w:rPr>
        <w:fldChar w:fldCharType="separate"/>
      </w:r>
      <w:r>
        <w:rPr>
          <w:rFonts w:hint="eastAsia" w:ascii="宋体" w:hAnsi="宋体"/>
          <w:color w:val="000000"/>
          <w:sz w:val="28"/>
          <w:szCs w:val="28"/>
        </w:rPr>
        <w:t>第八章  合同条款及格式</w:t>
      </w:r>
      <w:bookmarkStart w:id="0" w:name="_Hlt58481485"/>
      <w:bookmarkStart w:id="1" w:name="_Hlt58481484"/>
      <w:r>
        <w:rPr>
          <w:color w:val="000000"/>
          <w:sz w:val="28"/>
          <w:szCs w:val="28"/>
        </w:rPr>
        <w:tab/>
      </w:r>
      <w:bookmarkEnd w:id="0"/>
      <w:bookmarkEnd w:id="1"/>
      <w:r>
        <w:rPr>
          <w:color w:val="000000"/>
          <w:sz w:val="28"/>
          <w:szCs w:val="28"/>
        </w:rPr>
        <w:fldChar w:fldCharType="begin"/>
      </w:r>
      <w:r>
        <w:rPr>
          <w:color w:val="000000"/>
          <w:sz w:val="28"/>
          <w:szCs w:val="28"/>
        </w:rPr>
        <w:instrText xml:space="preserve"> PAGEREF _Toc29765 </w:instrText>
      </w:r>
      <w:r>
        <w:rPr>
          <w:color w:val="000000"/>
          <w:sz w:val="28"/>
          <w:szCs w:val="28"/>
        </w:rPr>
        <w:fldChar w:fldCharType="separate"/>
      </w:r>
      <w:r>
        <w:rPr>
          <w:color w:val="000000"/>
          <w:sz w:val="28"/>
          <w:szCs w:val="28"/>
        </w:rPr>
        <w:t>6</w:t>
      </w:r>
      <w:r>
        <w:rPr>
          <w:rFonts w:hint="eastAsia"/>
          <w:color w:val="000000"/>
          <w:sz w:val="28"/>
          <w:szCs w:val="28"/>
          <w:lang w:val="en-US" w:eastAsia="zh-CN"/>
        </w:rPr>
        <w:t>7</w:t>
      </w:r>
      <w:r>
        <w:rPr>
          <w:color w:val="000000"/>
          <w:sz w:val="28"/>
          <w:szCs w:val="28"/>
        </w:rPr>
        <w:fldChar w:fldCharType="end"/>
      </w:r>
      <w:r>
        <w:rPr>
          <w:rFonts w:ascii="宋体" w:hAnsi="宋体"/>
          <w:color w:val="000000"/>
          <w:sz w:val="28"/>
          <w:szCs w:val="28"/>
        </w:rPr>
        <w:fldChar w:fldCharType="end"/>
      </w:r>
    </w:p>
    <w:p w14:paraId="4D7A0DFD">
      <w:pPr>
        <w:spacing w:line="360" w:lineRule="auto"/>
        <w:jc w:val="left"/>
        <w:rPr>
          <w:rFonts w:hint="eastAsia" w:ascii="宋体" w:hAnsi="宋体"/>
          <w:b/>
          <w:color w:val="000000"/>
          <w:sz w:val="28"/>
          <w:szCs w:val="28"/>
        </w:rPr>
      </w:pPr>
      <w:r>
        <w:rPr>
          <w:rFonts w:ascii="宋体" w:hAnsi="宋体"/>
          <w:color w:val="000000"/>
          <w:sz w:val="28"/>
          <w:szCs w:val="28"/>
        </w:rPr>
        <w:fldChar w:fldCharType="end"/>
      </w:r>
    </w:p>
    <w:p w14:paraId="68A9FD16">
      <w:pPr>
        <w:spacing w:line="360" w:lineRule="auto"/>
        <w:jc w:val="left"/>
        <w:rPr>
          <w:rFonts w:hint="eastAsia" w:ascii="宋体" w:hAnsi="宋体"/>
          <w:b/>
          <w:color w:val="000000"/>
          <w:sz w:val="32"/>
          <w:szCs w:val="32"/>
        </w:rPr>
      </w:pPr>
    </w:p>
    <w:p w14:paraId="5E42DFEC">
      <w:pPr>
        <w:spacing w:line="360" w:lineRule="auto"/>
        <w:jc w:val="center"/>
        <w:rPr>
          <w:rFonts w:hint="eastAsia" w:ascii="宋体" w:hAnsi="宋体"/>
          <w:b/>
          <w:color w:val="000000"/>
          <w:sz w:val="32"/>
          <w:szCs w:val="32"/>
        </w:rPr>
      </w:pPr>
    </w:p>
    <w:p w14:paraId="68646B41">
      <w:pPr>
        <w:spacing w:line="360" w:lineRule="auto"/>
        <w:jc w:val="center"/>
        <w:rPr>
          <w:rFonts w:hint="eastAsia" w:ascii="宋体" w:hAnsi="宋体"/>
          <w:b/>
          <w:color w:val="000000"/>
          <w:sz w:val="32"/>
          <w:szCs w:val="32"/>
        </w:rPr>
      </w:pPr>
    </w:p>
    <w:p w14:paraId="40FF6282">
      <w:pPr>
        <w:spacing w:line="360" w:lineRule="auto"/>
        <w:jc w:val="center"/>
        <w:rPr>
          <w:rFonts w:hint="eastAsia" w:ascii="宋体" w:hAnsi="宋体"/>
          <w:b/>
          <w:color w:val="000000"/>
          <w:sz w:val="32"/>
          <w:szCs w:val="32"/>
        </w:rPr>
      </w:pPr>
    </w:p>
    <w:p w14:paraId="0001EFB1">
      <w:pPr>
        <w:spacing w:line="360" w:lineRule="auto"/>
        <w:jc w:val="center"/>
        <w:rPr>
          <w:rFonts w:hint="eastAsia" w:ascii="宋体" w:hAnsi="宋体"/>
          <w:b/>
          <w:color w:val="000000"/>
          <w:sz w:val="32"/>
          <w:szCs w:val="32"/>
        </w:rPr>
      </w:pPr>
    </w:p>
    <w:p w14:paraId="00787E26">
      <w:pPr>
        <w:spacing w:line="360" w:lineRule="auto"/>
        <w:jc w:val="center"/>
        <w:rPr>
          <w:rFonts w:hint="eastAsia" w:ascii="宋体" w:hAnsi="宋体"/>
          <w:b/>
          <w:color w:val="000000"/>
          <w:sz w:val="32"/>
          <w:szCs w:val="32"/>
        </w:rPr>
      </w:pPr>
    </w:p>
    <w:p w14:paraId="4267A150">
      <w:pPr>
        <w:spacing w:line="240" w:lineRule="atLeast"/>
        <w:jc w:val="center"/>
        <w:rPr>
          <w:rFonts w:hint="eastAsia" w:ascii="宋体" w:hAnsi="宋体"/>
          <w:b/>
          <w:color w:val="000000"/>
          <w:sz w:val="32"/>
          <w:szCs w:val="32"/>
        </w:rPr>
        <w:sectPr>
          <w:footerReference r:id="rId3" w:type="default"/>
          <w:pgSz w:w="11907" w:h="16840"/>
          <w:pgMar w:top="1418" w:right="1134" w:bottom="1134" w:left="1134" w:header="851" w:footer="851" w:gutter="0"/>
          <w:pgNumType w:start="0"/>
          <w:cols w:space="720" w:num="1"/>
          <w:titlePg/>
          <w:docGrid w:linePitch="312" w:charSpace="0"/>
        </w:sectPr>
      </w:pPr>
    </w:p>
    <w:p w14:paraId="1D22A44B">
      <w:pPr>
        <w:pStyle w:val="42"/>
        <w:numPr>
          <w:ilvl w:val="0"/>
          <w:numId w:val="2"/>
        </w:numPr>
        <w:ind w:left="0" w:leftChars="0" w:firstLine="0" w:firstLineChars="0"/>
        <w:outlineLvl w:val="0"/>
      </w:pPr>
      <w:bookmarkStart w:id="2" w:name="_Toc19824"/>
      <w:r>
        <w:t>竞争性磋商公告</w:t>
      </w:r>
      <w:bookmarkEnd w:id="2"/>
    </w:p>
    <w:p w14:paraId="4830F972">
      <w:pPr>
        <w:pStyle w:val="44"/>
        <w:outlineLvl w:val="0"/>
        <w:rPr>
          <w:rFonts w:hint="eastAsia" w:eastAsia="宋体"/>
          <w:lang w:val="en-US" w:eastAsia="zh-CN"/>
        </w:rPr>
      </w:pPr>
      <w:r>
        <w:rPr>
          <w:rFonts w:hint="eastAsia"/>
          <w:lang w:eastAsia="zh-CN"/>
        </w:rPr>
        <w:t>广西国立工程咨询有限公司</w:t>
      </w:r>
      <w:r>
        <w:t>关于2025年公正乡信良村百驮屯、那笃屯产业道路项目</w:t>
      </w:r>
      <w:r>
        <w:rPr>
          <w:rFonts w:hint="eastAsia"/>
          <w:color w:val="000000"/>
          <w:lang w:eastAsia="zh-CN"/>
        </w:rPr>
        <w:t>（重）</w:t>
      </w:r>
    </w:p>
    <w:p w14:paraId="2FEB20A1">
      <w:pPr>
        <w:pStyle w:val="11"/>
        <w:widowControl/>
        <w:rPr>
          <w:rFonts w:ascii="宋体" w:hAnsi="宋体" w:eastAsia="宋体" w:cs="宋体"/>
          <w:b/>
          <w:bCs/>
          <w:kern w:val="0"/>
          <w:sz w:val="24"/>
          <w:szCs w:val="30"/>
        </w:rPr>
      </w:pPr>
      <w:r>
        <w:rPr>
          <w:rFonts w:ascii="宋体" w:hAnsi="宋体" w:eastAsia="宋体" w:cs="宋体"/>
          <w:b/>
          <w:bCs/>
          <w:kern w:val="0"/>
          <w:sz w:val="24"/>
          <w:szCs w:val="30"/>
        </w:rPr>
        <w:t>（项目</w:t>
      </w:r>
      <w:r>
        <w:rPr>
          <w:rFonts w:hint="eastAsia" w:ascii="宋体" w:hAnsi="宋体" w:eastAsia="宋体" w:cs="宋体"/>
          <w:b/>
          <w:bCs/>
          <w:kern w:val="0"/>
          <w:sz w:val="24"/>
          <w:szCs w:val="30"/>
        </w:rPr>
        <w:t>编号：FCZC2025-C2-210032-GXGL）竞</w:t>
      </w:r>
      <w:r>
        <w:rPr>
          <w:rFonts w:ascii="宋体" w:hAnsi="宋体" w:eastAsia="宋体" w:cs="宋体"/>
          <w:b/>
          <w:bCs/>
          <w:kern w:val="0"/>
          <w:sz w:val="24"/>
          <w:szCs w:val="30"/>
        </w:rPr>
        <w:t>争性磋商公告</w:t>
      </w:r>
    </w:p>
    <w:p w14:paraId="4BAADD1E">
      <w:pPr>
        <w:rPr>
          <w:rFonts w:hint="eastAsia" w:ascii="宋体" w:hAnsi="宋体" w:eastAsia="宋体" w:cs="宋体"/>
          <w:b/>
          <w:bCs/>
          <w:kern w:val="0"/>
          <w:sz w:val="24"/>
          <w:szCs w:val="30"/>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BD3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noWrap w:val="0"/>
            <w:vAlign w:val="top"/>
          </w:tcPr>
          <w:p w14:paraId="33BDB8A7">
            <w:pPr>
              <w:spacing w:line="360" w:lineRule="auto"/>
              <w:rPr>
                <w:rFonts w:ascii="宋体" w:hAnsi="宋体" w:cs="Microsoft JhengHei Light"/>
                <w:b/>
                <w:color w:val="000000"/>
                <w:spacing w:val="-2"/>
                <w:szCs w:val="21"/>
              </w:rPr>
            </w:pPr>
            <w:r>
              <w:rPr>
                <w:rFonts w:hint="eastAsia" w:ascii="宋体" w:hAnsi="宋体" w:cs="Microsoft JhengHei Light"/>
                <w:b/>
                <w:color w:val="000000"/>
                <w:spacing w:val="-2"/>
                <w:szCs w:val="21"/>
              </w:rPr>
              <w:t>项目概况</w:t>
            </w:r>
          </w:p>
          <w:p w14:paraId="610EE9C4">
            <w:pPr>
              <w:pStyle w:val="11"/>
              <w:widowControl/>
              <w:rPr>
                <w:rFonts w:hint="eastAsia"/>
                <w:color w:val="000000"/>
              </w:rPr>
            </w:pPr>
            <w:r>
              <w:rPr>
                <w:rFonts w:hint="eastAsia" w:ascii="宋体" w:hAnsi="宋体" w:cs="宋体"/>
                <w:szCs w:val="21"/>
                <w:u w:val="single"/>
                <w:lang w:val="en-US" w:eastAsia="zh-CN"/>
              </w:rPr>
              <w:t>2025年公正乡信良村百驮屯、那笃屯产业道路项目</w:t>
            </w:r>
            <w:r>
              <w:rPr>
                <w:rFonts w:hint="eastAsia"/>
                <w:color w:val="000000"/>
                <w:u w:val="single"/>
                <w:lang w:eastAsia="zh-CN"/>
              </w:rPr>
              <w:t>（重）</w:t>
            </w:r>
            <w:r>
              <w:rPr>
                <w:rFonts w:hint="eastAsia" w:ascii="宋体" w:hAnsi="宋体" w:cs="宋体"/>
                <w:spacing w:val="0"/>
                <w:sz w:val="21"/>
                <w:szCs w:val="21"/>
              </w:rPr>
              <w:t>采购的</w:t>
            </w:r>
            <w:r>
              <w:rPr>
                <w:rFonts w:hint="eastAsia" w:ascii="宋体" w:hAnsi="宋体" w:cs="Microsoft JhengHei Light"/>
                <w:bCs/>
                <w:spacing w:val="0"/>
                <w:sz w:val="21"/>
                <w:szCs w:val="21"/>
                <w:u w:val="single"/>
              </w:rPr>
              <w:t>潜在供应商在政采云平台</w:t>
            </w:r>
            <w:r>
              <w:rPr>
                <w:rFonts w:hint="eastAsia" w:ascii="宋体" w:hAnsi="宋体" w:cs="宋体"/>
                <w:bCs/>
                <w:kern w:val="0"/>
                <w:szCs w:val="21"/>
                <w:u w:val="single"/>
              </w:rPr>
              <w:t>（</w:t>
            </w:r>
            <w:r>
              <w:rPr>
                <w:rStyle w:val="25"/>
                <w:rFonts w:hint="eastAsia" w:ascii="宋体" w:hAnsi="宋体" w:cs="宋体"/>
                <w:bCs/>
                <w:color w:val="auto"/>
                <w:kern w:val="0"/>
                <w:szCs w:val="21"/>
                <w:u w:val="single"/>
              </w:rPr>
              <w:t>www.zcygov.cn）</w:t>
            </w:r>
            <w:r>
              <w:rPr>
                <w:rStyle w:val="25"/>
                <w:rFonts w:hint="eastAsia" w:ascii="宋体" w:hAnsi="宋体" w:cs="宋体"/>
                <w:color w:val="auto"/>
                <w:szCs w:val="21"/>
                <w:u w:val="single"/>
              </w:rPr>
              <w:t>获取采购文件，并于</w:t>
            </w:r>
            <w:r>
              <w:rPr>
                <w:rStyle w:val="25"/>
                <w:rFonts w:hint="eastAsia" w:ascii="宋体" w:hAnsi="宋体" w:cs="宋体"/>
                <w:color w:val="auto"/>
                <w:szCs w:val="21"/>
                <w:u w:val="single"/>
                <w:lang w:val="en-US" w:eastAsia="zh-CN"/>
              </w:rPr>
              <w:t>2025</w:t>
            </w:r>
            <w:r>
              <w:rPr>
                <w:rStyle w:val="25"/>
                <w:rFonts w:hint="eastAsia" w:ascii="宋体" w:hAnsi="宋体" w:cs="宋体"/>
                <w:color w:val="auto"/>
                <w:szCs w:val="21"/>
                <w:u w:val="single"/>
              </w:rPr>
              <w:t>年</w:t>
            </w:r>
            <w:r>
              <w:rPr>
                <w:rStyle w:val="25"/>
                <w:rFonts w:hint="eastAsia" w:ascii="宋体" w:hAnsi="宋体" w:cs="宋体"/>
                <w:color w:val="auto"/>
                <w:szCs w:val="21"/>
                <w:u w:val="single"/>
                <w:lang w:val="en-US" w:eastAsia="zh-CN"/>
              </w:rPr>
              <w:t>3</w:t>
            </w:r>
            <w:r>
              <w:rPr>
                <w:rStyle w:val="25"/>
                <w:rFonts w:hint="eastAsia" w:ascii="宋体" w:hAnsi="宋体" w:cs="宋体"/>
                <w:color w:val="auto"/>
                <w:szCs w:val="21"/>
                <w:u w:val="single"/>
              </w:rPr>
              <w:t>月</w:t>
            </w:r>
            <w:r>
              <w:rPr>
                <w:rFonts w:hint="eastAsia" w:ascii="宋体" w:hAnsi="宋体" w:cs="宋体"/>
                <w:bCs/>
                <w:kern w:val="0"/>
                <w:szCs w:val="21"/>
                <w:u w:val="single"/>
                <w:lang w:val="en-US" w:eastAsia="zh-CN"/>
              </w:rPr>
              <w:t>24</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bCs/>
                <w:color w:val="000000"/>
                <w:kern w:val="0"/>
                <w:szCs w:val="21"/>
                <w:u w:val="single"/>
              </w:rPr>
              <w:t>点</w:t>
            </w:r>
            <w:r>
              <w:rPr>
                <w:rFonts w:hint="eastAsia" w:ascii="宋体" w:hAnsi="宋体" w:cs="宋体"/>
                <w:bCs/>
                <w:color w:val="000000"/>
                <w:kern w:val="0"/>
                <w:szCs w:val="21"/>
                <w:u w:val="single"/>
                <w:lang w:val="en-US" w:eastAsia="zh-CN"/>
              </w:rPr>
              <w:t>30</w:t>
            </w:r>
            <w:r>
              <w:rPr>
                <w:rFonts w:hint="eastAsia" w:ascii="宋体" w:hAnsi="宋体" w:cs="宋体"/>
                <w:bCs/>
                <w:color w:val="000000"/>
                <w:kern w:val="0"/>
                <w:szCs w:val="21"/>
                <w:u w:val="single"/>
              </w:rPr>
              <w:t>分</w:t>
            </w:r>
            <w:r>
              <w:rPr>
                <w:rFonts w:hint="eastAsia" w:ascii="宋体" w:hAnsi="宋体" w:cs="宋体"/>
                <w:szCs w:val="21"/>
              </w:rPr>
              <w:t>（北京时间）前提交响应文件</w:t>
            </w:r>
            <w:r>
              <w:rPr>
                <w:rFonts w:hint="eastAsia" w:ascii="宋体" w:hAnsi="宋体" w:cs="Microsoft JhengHei Light"/>
                <w:color w:val="000000"/>
                <w:spacing w:val="-2"/>
                <w:szCs w:val="21"/>
              </w:rPr>
              <w:t>。</w:t>
            </w:r>
          </w:p>
        </w:tc>
      </w:tr>
    </w:tbl>
    <w:p w14:paraId="27C06EA2">
      <w:pPr>
        <w:rPr>
          <w:rFonts w:hint="eastAsia"/>
          <w:color w:val="000000"/>
        </w:rPr>
      </w:pPr>
    </w:p>
    <w:p w14:paraId="3D5AD3DF">
      <w:pPr>
        <w:pStyle w:val="2"/>
        <w:widowControl/>
        <w:numPr>
          <w:ilvl w:val="0"/>
          <w:numId w:val="3"/>
        </w:numPr>
        <w:topLinePunct w:val="0"/>
        <w:ind w:left="420" w:leftChars="0" w:firstLine="0" w:firstLineChars="0"/>
        <w:rPr>
          <w:b/>
        </w:rPr>
      </w:pPr>
      <w:bookmarkStart w:id="3" w:name="_Toc35393790"/>
      <w:bookmarkStart w:id="4" w:name="_Toc28359002"/>
      <w:bookmarkStart w:id="5" w:name="_Toc35393621"/>
      <w:bookmarkStart w:id="6" w:name="_Toc28359079"/>
      <w:bookmarkStart w:id="7" w:name="_Hlk24379207"/>
      <w:r>
        <w:t>项目基本情况</w:t>
      </w:r>
      <w:bookmarkEnd w:id="3"/>
      <w:bookmarkEnd w:id="4"/>
      <w:bookmarkEnd w:id="5"/>
      <w:bookmarkEnd w:id="6"/>
    </w:p>
    <w:p w14:paraId="53A2832C">
      <w:pPr>
        <w:pStyle w:val="11"/>
        <w:widowControl/>
        <w:rPr>
          <w:rFonts w:hint="eastAsia" w:ascii="宋体" w:hAnsi="宋体" w:eastAsia="宋体" w:cs="宋体"/>
          <w:color w:val="000000"/>
        </w:rPr>
      </w:pPr>
      <w:r>
        <w:rPr>
          <w:color w:val="000000"/>
        </w:rPr>
        <w:t>项目编号：</w:t>
      </w:r>
      <w:r>
        <w:rPr>
          <w:rFonts w:hint="eastAsia" w:ascii="宋体" w:hAnsi="宋体" w:eastAsia="宋体" w:cs="宋体"/>
          <w:color w:val="000000"/>
        </w:rPr>
        <w:t>FCZC2025-C2-210032-GXGL</w:t>
      </w:r>
    </w:p>
    <w:p w14:paraId="79099562">
      <w:pPr>
        <w:pStyle w:val="11"/>
        <w:widowControl/>
        <w:rPr>
          <w:rFonts w:hint="eastAsia" w:eastAsia="宋体"/>
          <w:color w:val="000000"/>
          <w:lang w:eastAsia="zh-CN"/>
        </w:rPr>
      </w:pPr>
      <w:r>
        <w:rPr>
          <w:color w:val="000000"/>
        </w:rPr>
        <w:t>项目名称：2025年公正乡信良村百驮屯、那笃屯产业道路项目</w:t>
      </w:r>
      <w:r>
        <w:rPr>
          <w:rFonts w:hint="eastAsia"/>
          <w:color w:val="000000"/>
          <w:lang w:eastAsia="zh-CN"/>
        </w:rPr>
        <w:t>（重）</w:t>
      </w:r>
    </w:p>
    <w:p w14:paraId="790F234E">
      <w:pPr>
        <w:pStyle w:val="11"/>
        <w:widowControl/>
        <w:rPr>
          <w:color w:val="000000"/>
        </w:rPr>
      </w:pPr>
      <w:r>
        <w:rPr>
          <w:color w:val="000000"/>
        </w:rPr>
        <w:t>采购方式：</w:t>
      </w:r>
      <w:bookmarkEnd w:id="7"/>
      <w:r>
        <w:rPr>
          <w:color w:val="000000"/>
        </w:rPr>
        <w:t>☑竞争性磋商</w:t>
      </w:r>
    </w:p>
    <w:p w14:paraId="41B751FB">
      <w:pPr>
        <w:pStyle w:val="11"/>
        <w:widowControl/>
        <w:rPr>
          <w:color w:val="000000"/>
        </w:rPr>
      </w:pPr>
      <w:r>
        <w:rPr>
          <w:color w:val="000000"/>
        </w:rPr>
        <w:t>预算总金额（元）：</w:t>
      </w:r>
      <w:r>
        <w:rPr>
          <w:rStyle w:val="28"/>
          <w:b w:val="0"/>
          <w:i w:val="0"/>
        </w:rPr>
        <w:t>人民币壹佰玖拾玖万零玖佰贰拾元整（¥1990920.00）</w:t>
      </w:r>
    </w:p>
    <w:p w14:paraId="5035EFC4">
      <w:pPr>
        <w:pStyle w:val="11"/>
      </w:pPr>
      <w:bookmarkStart w:id="8" w:name="_Toc6591"/>
      <w:bookmarkStart w:id="9" w:name="_Toc27882"/>
      <w:bookmarkStart w:id="10" w:name="_Toc20981"/>
      <w:bookmarkStart w:id="11" w:name="_Toc11056"/>
      <w:r>
        <w:t>最高限价：同采购预算</w:t>
      </w:r>
    </w:p>
    <w:bookmarkEnd w:id="8"/>
    <w:bookmarkEnd w:id="9"/>
    <w:bookmarkEnd w:id="10"/>
    <w:bookmarkEnd w:id="11"/>
    <w:p w14:paraId="6B49FDFE">
      <w:pPr>
        <w:pStyle w:val="11"/>
        <w:rPr>
          <w:color w:val="000000"/>
        </w:rPr>
      </w:pPr>
      <w:r>
        <w:rPr>
          <w:color w:val="000000"/>
        </w:rPr>
        <w:t>采购需求：</w:t>
      </w:r>
      <w:r>
        <w:rPr>
          <w:color w:val="auto"/>
          <w:u w:val="none"/>
        </w:rPr>
        <w:t>上思县公正乡信良村百驮屯、那笃屯产业</w:t>
      </w:r>
      <w:r>
        <w:rPr>
          <w:i w:val="0"/>
          <w:color w:val="000000"/>
          <w:u w:val="none"/>
        </w:rPr>
        <w:t>道路硬化总长合计约3公里，修建涵洞约8个等工程</w:t>
      </w:r>
      <w:r>
        <w:rPr>
          <w:rStyle w:val="28"/>
          <w:b w:val="0"/>
          <w:i w:val="0"/>
        </w:rPr>
        <w:t>，具体详见工程量清单要求范围内所有工程内容。</w:t>
      </w:r>
    </w:p>
    <w:p w14:paraId="336ADEA1">
      <w:pPr>
        <w:pStyle w:val="11"/>
        <w:widowControl/>
        <w:rPr>
          <w:color w:val="000000"/>
        </w:rPr>
      </w:pPr>
      <w:r>
        <w:rPr>
          <w:color w:val="000000"/>
        </w:rPr>
        <w:t>合同履行期限：</w:t>
      </w:r>
      <w:r>
        <w:t>工期为90日历天</w:t>
      </w:r>
      <w:r>
        <w:rPr>
          <w:color w:val="000000"/>
        </w:rPr>
        <w:t>。</w:t>
      </w:r>
    </w:p>
    <w:p w14:paraId="6D777DDB">
      <w:pPr>
        <w:pStyle w:val="11"/>
        <w:widowControl/>
      </w:pPr>
      <w:r>
        <w:rPr>
          <w:color w:val="000000"/>
        </w:rPr>
        <w:t>本项目不接受联合体</w:t>
      </w:r>
      <w:r>
        <w:t>。</w:t>
      </w:r>
      <w:bookmarkStart w:id="12" w:name="_Toc28359080"/>
      <w:bookmarkStart w:id="13" w:name="_Toc28359003"/>
      <w:bookmarkStart w:id="14" w:name="_Toc35393622"/>
      <w:bookmarkStart w:id="15" w:name="_Toc35393791"/>
    </w:p>
    <w:p w14:paraId="6D4D7349">
      <w:pPr>
        <w:pStyle w:val="2"/>
        <w:widowControl/>
        <w:numPr>
          <w:ilvl w:val="0"/>
          <w:numId w:val="3"/>
        </w:numPr>
        <w:topLinePunct w:val="0"/>
        <w:ind w:left="420" w:leftChars="0" w:firstLine="0" w:firstLineChars="0"/>
        <w:rPr>
          <w:b/>
        </w:rPr>
      </w:pPr>
      <w:r>
        <w:t>申请人的资格要求</w:t>
      </w:r>
      <w:bookmarkEnd w:id="12"/>
      <w:bookmarkEnd w:id="13"/>
      <w:bookmarkEnd w:id="14"/>
      <w:bookmarkEnd w:id="15"/>
    </w:p>
    <w:p w14:paraId="4CBF112D">
      <w:pPr>
        <w:pStyle w:val="11"/>
        <w:widowControl/>
        <w:numPr>
          <w:ilvl w:val="0"/>
          <w:numId w:val="4"/>
        </w:numPr>
        <w:ind w:left="0" w:leftChars="0" w:firstLine="480" w:firstLineChars="0"/>
        <w:rPr>
          <w:b w:val="0"/>
          <w:color w:val="000000"/>
        </w:rPr>
      </w:pPr>
      <w:r>
        <w:rPr>
          <w:color w:val="000000"/>
        </w:rPr>
        <w:t>满足《中华人民共和国政府采购法》第二十二条规定；</w:t>
      </w:r>
    </w:p>
    <w:p w14:paraId="01A187CF">
      <w:pPr>
        <w:pStyle w:val="11"/>
        <w:widowControl/>
        <w:numPr>
          <w:ilvl w:val="0"/>
          <w:numId w:val="4"/>
        </w:numPr>
        <w:ind w:left="0" w:leftChars="0" w:firstLine="480" w:firstLineChars="0"/>
        <w:rPr>
          <w:b w:val="0"/>
          <w:color w:val="000000"/>
        </w:rPr>
      </w:pPr>
      <w:bookmarkStart w:id="16" w:name="_Toc28359004"/>
      <w:bookmarkStart w:id="17" w:name="_Toc28359081"/>
      <w:r>
        <w:rPr>
          <w:color w:val="000000"/>
        </w:rPr>
        <w:t>落实政府采购政策需满足的资格要求：供应商为中小企业。</w:t>
      </w:r>
    </w:p>
    <w:p w14:paraId="1330D3D4">
      <w:pPr>
        <w:pStyle w:val="11"/>
        <w:widowControl/>
        <w:numPr>
          <w:ilvl w:val="0"/>
          <w:numId w:val="4"/>
        </w:numPr>
        <w:ind w:left="0" w:leftChars="0" w:firstLine="480" w:firstLineChars="0"/>
        <w:rPr>
          <w:b w:val="0"/>
          <w:color w:val="000000"/>
        </w:rPr>
      </w:pPr>
      <w:r>
        <w:rPr>
          <w:color w:val="000000"/>
        </w:rPr>
        <w:t>本项目的特定资格要求：</w:t>
      </w:r>
      <w:bookmarkStart w:id="18" w:name="_Toc35393623"/>
      <w:bookmarkStart w:id="19" w:name="_Toc35393792"/>
    </w:p>
    <w:p w14:paraId="455D5BA1">
      <w:pPr>
        <w:pStyle w:val="11"/>
        <w:widowControl/>
        <w:numPr>
          <w:ilvl w:val="0"/>
          <w:numId w:val="5"/>
        </w:numPr>
        <w:ind w:left="0" w:leftChars="0" w:firstLine="480" w:firstLineChars="0"/>
        <w:rPr>
          <w:b w:val="0"/>
        </w:rPr>
      </w:pPr>
      <w:r>
        <w:t>国内注册（指按国家有关规定要求注册的）具备法人资格，具有公路工程施工总承包三级以上(含三级)资质或市政公用工程施工总承包三级以上(含三级)资质，并在人员、设备、资金等方面具有相应能力的施工企业。</w:t>
      </w:r>
    </w:p>
    <w:p w14:paraId="20836B12">
      <w:pPr>
        <w:pStyle w:val="11"/>
        <w:widowControl/>
        <w:numPr>
          <w:ilvl w:val="0"/>
          <w:numId w:val="5"/>
        </w:numPr>
        <w:ind w:left="0" w:leftChars="0" w:firstLine="480" w:firstLineChars="0"/>
        <w:rPr>
          <w:b w:val="0"/>
          <w:color w:val="000000"/>
        </w:rPr>
      </w:pPr>
      <w:r>
        <w:rPr>
          <w:color w:val="000000"/>
        </w:rPr>
        <w:t>投标人拟派项目经理须</w:t>
      </w:r>
      <w:r>
        <w:t>公路工程或</w:t>
      </w:r>
      <w:r>
        <w:rPr>
          <w:color w:val="000000"/>
        </w:rPr>
        <w:t>市政公用工程</w:t>
      </w:r>
      <w:r>
        <w:t>专业二级及以上（含二级）注册建造师执业资格，具备有效的安全生产考核合格证书（B类）</w:t>
      </w:r>
      <w:r>
        <w:rPr>
          <w:color w:val="000000"/>
        </w:rPr>
        <w:t>。</w:t>
      </w:r>
    </w:p>
    <w:p w14:paraId="1C616569">
      <w:pPr>
        <w:pStyle w:val="11"/>
        <w:widowControl/>
        <w:numPr>
          <w:ilvl w:val="0"/>
          <w:numId w:val="5"/>
        </w:numPr>
        <w:ind w:left="0" w:leftChars="0" w:firstLine="480" w:firstLineChars="0"/>
        <w:rPr>
          <w:b w:val="0"/>
          <w:color w:val="000000"/>
        </w:rPr>
      </w:pPr>
      <w:r>
        <w:rPr>
          <w:color w:val="00000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FC9C49">
      <w:pPr>
        <w:pStyle w:val="11"/>
        <w:widowControl/>
        <w:numPr>
          <w:ilvl w:val="0"/>
          <w:numId w:val="5"/>
        </w:numPr>
        <w:ind w:left="0" w:leftChars="0" w:firstLine="480" w:firstLineChars="0"/>
        <w:rPr>
          <w:b w:val="0"/>
          <w:color w:val="000000"/>
        </w:rPr>
      </w:pPr>
      <w:r>
        <w:rPr>
          <w:color w:val="000000"/>
        </w:rPr>
        <w:t>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14:paraId="65EDA7EA">
      <w:pPr>
        <w:pStyle w:val="2"/>
        <w:widowControl/>
        <w:numPr>
          <w:ilvl w:val="0"/>
          <w:numId w:val="3"/>
        </w:numPr>
        <w:topLinePunct w:val="0"/>
        <w:ind w:left="420" w:leftChars="0" w:firstLine="0" w:firstLineChars="0"/>
        <w:rPr>
          <w:b/>
        </w:rPr>
      </w:pPr>
      <w:r>
        <w:t>获取采购文件</w:t>
      </w:r>
      <w:bookmarkEnd w:id="16"/>
      <w:bookmarkEnd w:id="17"/>
      <w:bookmarkEnd w:id="18"/>
      <w:bookmarkEnd w:id="19"/>
    </w:p>
    <w:p w14:paraId="4A3D445F">
      <w:pPr>
        <w:pStyle w:val="11"/>
        <w:widowControl/>
        <w:rPr>
          <w:color w:val="000000"/>
        </w:rPr>
      </w:pPr>
      <w:r>
        <w:rPr>
          <w:color w:val="000000"/>
        </w:rPr>
        <w:t>时间：2025年</w:t>
      </w:r>
      <w:r>
        <w:rPr>
          <w:rFonts w:hint="eastAsia"/>
          <w:color w:val="000000"/>
          <w:lang w:val="en-US" w:eastAsia="zh-CN"/>
        </w:rPr>
        <w:t>3</w:t>
      </w:r>
      <w:r>
        <w:rPr>
          <w:color w:val="000000"/>
        </w:rPr>
        <w:t>月</w:t>
      </w:r>
      <w:r>
        <w:rPr>
          <w:rFonts w:hint="eastAsia"/>
          <w:color w:val="000000"/>
          <w:lang w:val="en-US" w:eastAsia="zh-CN"/>
        </w:rPr>
        <w:t>11</w:t>
      </w:r>
      <w:r>
        <w:rPr>
          <w:color w:val="000000"/>
        </w:rPr>
        <w:t>日至2025年</w:t>
      </w:r>
      <w:r>
        <w:rPr>
          <w:rFonts w:hint="eastAsia"/>
          <w:color w:val="000000"/>
          <w:lang w:val="en-US" w:eastAsia="zh-CN"/>
        </w:rPr>
        <w:t>3</w:t>
      </w:r>
      <w:r>
        <w:rPr>
          <w:color w:val="000000"/>
        </w:rPr>
        <w:t>月</w:t>
      </w:r>
      <w:r>
        <w:rPr>
          <w:rFonts w:hint="eastAsia"/>
          <w:color w:val="000000"/>
          <w:lang w:val="en-US" w:eastAsia="zh-CN"/>
        </w:rPr>
        <w:t>18</w:t>
      </w:r>
      <w:r>
        <w:rPr>
          <w:color w:val="000000"/>
        </w:rPr>
        <w:t>日，每天上午</w:t>
      </w:r>
      <w:r>
        <w:rPr>
          <w:rFonts w:hint="eastAsia"/>
          <w:color w:val="000000"/>
          <w:lang w:val="en-US" w:eastAsia="zh-CN"/>
        </w:rPr>
        <w:t>8</w:t>
      </w:r>
      <w:r>
        <w:rPr>
          <w:color w:val="000000"/>
        </w:rPr>
        <w:t>:00至12:00，下午1</w:t>
      </w:r>
      <w:r>
        <w:rPr>
          <w:rFonts w:hint="eastAsia"/>
          <w:color w:val="000000"/>
          <w:lang w:val="en-US" w:eastAsia="zh-CN"/>
        </w:rPr>
        <w:t>5</w:t>
      </w:r>
      <w:r>
        <w:rPr>
          <w:color w:val="000000"/>
        </w:rPr>
        <w:t>:00至</w:t>
      </w:r>
      <w:r>
        <w:rPr>
          <w:rFonts w:hint="eastAsia"/>
          <w:color w:val="000000"/>
          <w:lang w:val="en-US" w:eastAsia="zh-CN"/>
        </w:rPr>
        <w:t>18</w:t>
      </w:r>
      <w:r>
        <w:rPr>
          <w:color w:val="000000"/>
        </w:rPr>
        <w:t>：</w:t>
      </w:r>
      <w:r>
        <w:rPr>
          <w:rFonts w:hint="eastAsia"/>
          <w:color w:val="000000"/>
          <w:lang w:val="en-US" w:eastAsia="zh-CN"/>
        </w:rPr>
        <w:t>00</w:t>
      </w:r>
      <w:r>
        <w:rPr>
          <w:color w:val="000000"/>
        </w:rPr>
        <w:t>（北京时间，法定节假日除外）</w:t>
      </w:r>
    </w:p>
    <w:p w14:paraId="7BF62DF7">
      <w:pPr>
        <w:pStyle w:val="11"/>
        <w:widowControl/>
        <w:rPr>
          <w:color w:val="000000"/>
        </w:rPr>
      </w:pPr>
      <w:r>
        <w:rPr>
          <w:color w:val="000000"/>
        </w:rPr>
        <w:t>地点：政采云平台（www.zcygov.cn）；</w:t>
      </w:r>
    </w:p>
    <w:p w14:paraId="7F120AED">
      <w:pPr>
        <w:pStyle w:val="11"/>
        <w:widowControl/>
        <w:rPr>
          <w:color w:val="000000"/>
        </w:rPr>
      </w:pPr>
      <w:r>
        <w:rPr>
          <w:color w:val="000000"/>
        </w:rPr>
        <w:t>方式：供应商登录政采云平台https://www.zcygov.cn/在线申请获取采购文件（进入“项目采购”应用，在获取采购文件菜单中选择项目，申请获取采购文件）。</w:t>
      </w:r>
    </w:p>
    <w:p w14:paraId="7C9F888E">
      <w:pPr>
        <w:pStyle w:val="11"/>
        <w:widowControl/>
        <w:rPr>
          <w:color w:val="000000"/>
        </w:rPr>
      </w:pPr>
      <w:r>
        <w:rPr>
          <w:color w:val="000000"/>
        </w:rPr>
        <w:t>售价：0元</w:t>
      </w:r>
    </w:p>
    <w:p w14:paraId="3A2D5639">
      <w:pPr>
        <w:pStyle w:val="2"/>
        <w:widowControl/>
        <w:numPr>
          <w:ilvl w:val="0"/>
          <w:numId w:val="3"/>
        </w:numPr>
        <w:topLinePunct w:val="0"/>
        <w:ind w:left="420" w:leftChars="0" w:firstLine="0" w:firstLineChars="0"/>
        <w:rPr>
          <w:b/>
        </w:rPr>
      </w:pPr>
      <w:r>
        <w:t>响应文件提交</w:t>
      </w:r>
    </w:p>
    <w:p w14:paraId="1646F979">
      <w:pPr>
        <w:pStyle w:val="11"/>
        <w:widowControl/>
        <w:rPr>
          <w:rFonts w:hint="eastAsia" w:ascii="宋体" w:hAnsi="宋体" w:eastAsia="宋体" w:cs="宋体"/>
          <w:color w:val="000000"/>
        </w:rPr>
      </w:pPr>
      <w:r>
        <w:rPr>
          <w:rFonts w:hint="eastAsia" w:ascii="宋体" w:hAnsi="宋体" w:eastAsia="宋体" w:cs="宋体"/>
          <w:color w:val="000000"/>
        </w:rPr>
        <w:t>截止时间：2025年</w:t>
      </w:r>
      <w:r>
        <w:rPr>
          <w:rFonts w:hint="eastAsia" w:ascii="宋体" w:hAnsi="宋体" w:eastAsia="宋体" w:cs="宋体"/>
          <w:color w:val="000000"/>
          <w:lang w:val="en-US" w:eastAsia="zh-CN"/>
        </w:rPr>
        <w:t>3</w:t>
      </w:r>
      <w:r>
        <w:rPr>
          <w:rFonts w:hint="eastAsia" w:ascii="宋体" w:hAnsi="宋体" w:eastAsia="宋体" w:cs="宋体"/>
          <w:color w:val="000000"/>
        </w:rPr>
        <w:t>月</w:t>
      </w:r>
      <w:r>
        <w:rPr>
          <w:rFonts w:hint="eastAsia" w:ascii="宋体" w:hAnsi="宋体" w:cs="宋体"/>
          <w:color w:val="000000"/>
          <w:lang w:val="en-US" w:eastAsia="zh-CN"/>
        </w:rPr>
        <w:t>24</w:t>
      </w:r>
      <w:r>
        <w:rPr>
          <w:rFonts w:hint="eastAsia" w:ascii="宋体" w:hAnsi="宋体" w:eastAsia="宋体" w:cs="宋体"/>
          <w:color w:val="000000"/>
        </w:rPr>
        <w:t>日</w:t>
      </w:r>
      <w:r>
        <w:rPr>
          <w:rFonts w:hint="eastAsia" w:ascii="宋体" w:hAnsi="宋体" w:cs="宋体"/>
          <w:color w:val="000000"/>
          <w:lang w:val="en-US" w:eastAsia="zh-CN"/>
        </w:rPr>
        <w:t>9</w:t>
      </w:r>
      <w:r>
        <w:rPr>
          <w:rFonts w:hint="eastAsia" w:ascii="宋体" w:hAnsi="宋体" w:eastAsia="宋体" w:cs="宋体"/>
          <w:color w:val="000000"/>
        </w:rPr>
        <w:t>点30分（北京时间）</w:t>
      </w:r>
    </w:p>
    <w:p w14:paraId="2D77080A">
      <w:pPr>
        <w:pStyle w:val="11"/>
        <w:widowControl/>
        <w:rPr>
          <w:rFonts w:hint="eastAsia" w:ascii="宋体" w:hAnsi="宋体" w:eastAsia="宋体" w:cs="宋体"/>
          <w:color w:val="000000"/>
        </w:rPr>
      </w:pPr>
      <w:r>
        <w:rPr>
          <w:rFonts w:hint="eastAsia" w:ascii="宋体" w:hAnsi="宋体" w:eastAsia="宋体" w:cs="宋体"/>
          <w:color w:val="000000"/>
        </w:rPr>
        <w:t>地点：通过政采云平台实行在线投标响应。</w:t>
      </w:r>
    </w:p>
    <w:p w14:paraId="4D6428BD">
      <w:pPr>
        <w:pStyle w:val="2"/>
        <w:widowControl/>
        <w:numPr>
          <w:ilvl w:val="0"/>
          <w:numId w:val="3"/>
        </w:numPr>
        <w:topLinePunct w:val="0"/>
        <w:ind w:left="420" w:leftChars="0" w:firstLine="0" w:firstLineChars="0"/>
        <w:rPr>
          <w:rFonts w:hint="eastAsia" w:ascii="宋体" w:hAnsi="宋体" w:eastAsia="宋体" w:cs="宋体"/>
          <w:b/>
        </w:rPr>
      </w:pPr>
      <w:bookmarkStart w:id="20" w:name="_Toc28359016"/>
      <w:bookmarkStart w:id="21" w:name="_Toc35393802"/>
      <w:bookmarkStart w:id="22" w:name="_Toc28359093"/>
      <w:bookmarkStart w:id="23" w:name="_Toc35393633"/>
      <w:r>
        <w:rPr>
          <w:rFonts w:hint="eastAsia" w:ascii="宋体" w:hAnsi="宋体" w:eastAsia="宋体" w:cs="宋体"/>
        </w:rPr>
        <w:t>开启</w:t>
      </w:r>
      <w:bookmarkEnd w:id="20"/>
      <w:bookmarkEnd w:id="21"/>
      <w:bookmarkEnd w:id="22"/>
      <w:bookmarkEnd w:id="23"/>
      <w:r>
        <w:rPr>
          <w:rFonts w:hint="eastAsia" w:ascii="宋体" w:hAnsi="宋体" w:eastAsia="宋体" w:cs="宋体"/>
        </w:rPr>
        <w:t>（竞争性磋商方式必须填写）</w:t>
      </w:r>
    </w:p>
    <w:p w14:paraId="4106E6C5">
      <w:pPr>
        <w:pStyle w:val="11"/>
        <w:widowControl/>
        <w:rPr>
          <w:rFonts w:hint="eastAsia" w:ascii="宋体" w:hAnsi="宋体" w:eastAsia="宋体" w:cs="宋体"/>
          <w:color w:val="000000"/>
        </w:rPr>
      </w:pPr>
      <w:r>
        <w:rPr>
          <w:rFonts w:hint="eastAsia" w:ascii="宋体" w:hAnsi="宋体" w:eastAsia="宋体" w:cs="宋体"/>
          <w:color w:val="000000"/>
        </w:rPr>
        <w:t>时间：2025年</w:t>
      </w:r>
      <w:r>
        <w:rPr>
          <w:rFonts w:hint="eastAsia" w:ascii="宋体" w:hAnsi="宋体" w:eastAsia="宋体" w:cs="宋体"/>
          <w:color w:val="000000"/>
          <w:lang w:val="en-US" w:eastAsia="zh-CN"/>
        </w:rPr>
        <w:t>3</w:t>
      </w:r>
      <w:r>
        <w:rPr>
          <w:rFonts w:hint="eastAsia" w:ascii="宋体" w:hAnsi="宋体" w:eastAsia="宋体" w:cs="宋体"/>
          <w:color w:val="000000"/>
        </w:rPr>
        <w:t>月</w:t>
      </w:r>
      <w:r>
        <w:rPr>
          <w:rFonts w:hint="eastAsia" w:ascii="宋体" w:hAnsi="宋体" w:cs="宋体"/>
          <w:color w:val="000000"/>
          <w:lang w:val="en-US" w:eastAsia="zh-CN"/>
        </w:rPr>
        <w:t>24</w:t>
      </w:r>
      <w:r>
        <w:rPr>
          <w:rFonts w:hint="eastAsia" w:ascii="宋体" w:hAnsi="宋体" w:eastAsia="宋体" w:cs="宋体"/>
          <w:color w:val="000000"/>
        </w:rPr>
        <w:t>日</w:t>
      </w:r>
      <w:r>
        <w:rPr>
          <w:rFonts w:hint="eastAsia" w:ascii="宋体" w:hAnsi="宋体" w:cs="宋体"/>
          <w:color w:val="000000"/>
          <w:lang w:val="en-US" w:eastAsia="zh-CN"/>
        </w:rPr>
        <w:t>9</w:t>
      </w:r>
      <w:r>
        <w:rPr>
          <w:rFonts w:hint="eastAsia" w:ascii="宋体" w:hAnsi="宋体" w:eastAsia="宋体" w:cs="宋体"/>
          <w:color w:val="000000"/>
        </w:rPr>
        <w:t>点30分（北京时间）</w:t>
      </w:r>
    </w:p>
    <w:p w14:paraId="0A88CF50">
      <w:pPr>
        <w:pStyle w:val="11"/>
        <w:widowControl/>
        <w:rPr>
          <w:color w:val="000000"/>
        </w:rPr>
      </w:pPr>
      <w:r>
        <w:rPr>
          <w:color w:val="000000"/>
        </w:rPr>
        <w:t>地点：</w:t>
      </w:r>
      <w:bookmarkStart w:id="24" w:name="_Toc28359007"/>
      <w:bookmarkStart w:id="25" w:name="_Toc35393625"/>
      <w:bookmarkStart w:id="26" w:name="_Toc35393794"/>
      <w:bookmarkStart w:id="27" w:name="_Toc28359084"/>
      <w:r>
        <w:t>通过政采云平台电子开标大厅【</w:t>
      </w:r>
      <w:r>
        <w:rPr>
          <w:highlight w:val="none"/>
        </w:rPr>
        <w:t>政府采购开评标室</w:t>
      </w:r>
      <w:r>
        <w:rPr>
          <w:rFonts w:hint="eastAsia"/>
          <w:highlight w:val="none"/>
          <w:lang w:eastAsia="zh-CN"/>
        </w:rPr>
        <w:t>二</w:t>
      </w:r>
      <w:r>
        <w:rPr>
          <w:highlight w:val="none"/>
        </w:rPr>
        <w:t>】在</w:t>
      </w:r>
      <w:r>
        <w:t>线解密开启</w:t>
      </w:r>
      <w:r>
        <w:rPr>
          <w:color w:val="000000"/>
        </w:rPr>
        <w:t>。</w:t>
      </w:r>
    </w:p>
    <w:p w14:paraId="3A6C6D2A">
      <w:pPr>
        <w:pStyle w:val="2"/>
        <w:widowControl/>
        <w:numPr>
          <w:ilvl w:val="0"/>
          <w:numId w:val="3"/>
        </w:numPr>
        <w:topLinePunct w:val="0"/>
        <w:ind w:left="420" w:leftChars="0" w:firstLine="0" w:firstLineChars="0"/>
        <w:rPr>
          <w:b/>
        </w:rPr>
      </w:pPr>
      <w:r>
        <w:t>公告期限</w:t>
      </w:r>
      <w:bookmarkEnd w:id="24"/>
      <w:bookmarkEnd w:id="25"/>
      <w:bookmarkEnd w:id="26"/>
      <w:bookmarkEnd w:id="27"/>
    </w:p>
    <w:p w14:paraId="59506B64">
      <w:pPr>
        <w:pStyle w:val="11"/>
        <w:widowControl/>
        <w:rPr>
          <w:color w:val="000000"/>
        </w:rPr>
      </w:pPr>
      <w:r>
        <w:rPr>
          <w:color w:val="000000"/>
        </w:rPr>
        <w:t>自本公告发布之日起5个工作日。</w:t>
      </w:r>
    </w:p>
    <w:p w14:paraId="13FAF465">
      <w:pPr>
        <w:pStyle w:val="2"/>
        <w:widowControl/>
        <w:numPr>
          <w:ilvl w:val="0"/>
          <w:numId w:val="3"/>
        </w:numPr>
        <w:topLinePunct w:val="0"/>
        <w:ind w:left="420" w:leftChars="0" w:firstLine="0" w:firstLineChars="0"/>
        <w:rPr>
          <w:b/>
        </w:rPr>
      </w:pPr>
      <w:bookmarkStart w:id="28" w:name="_Toc35393795"/>
      <w:bookmarkStart w:id="29" w:name="_Toc35393626"/>
      <w:r>
        <w:t>其他补充事宜</w:t>
      </w:r>
      <w:bookmarkEnd w:id="28"/>
      <w:bookmarkEnd w:id="29"/>
      <w:r>
        <w:t>：</w:t>
      </w:r>
    </w:p>
    <w:p w14:paraId="47BB88F9">
      <w:pPr>
        <w:pStyle w:val="11"/>
        <w:widowControl/>
        <w:numPr>
          <w:ilvl w:val="0"/>
          <w:numId w:val="6"/>
        </w:numPr>
        <w:ind w:left="0" w:leftChars="0" w:firstLine="480" w:firstLineChars="0"/>
        <w:rPr>
          <w:b w:val="0"/>
          <w:color w:val="000000"/>
        </w:rPr>
      </w:pPr>
      <w:bookmarkStart w:id="30" w:name="_Toc28359085"/>
      <w:bookmarkStart w:id="31" w:name="_Toc35393627"/>
      <w:bookmarkStart w:id="32" w:name="_Toc35393796"/>
      <w:bookmarkStart w:id="33" w:name="_Toc28359008"/>
      <w:r>
        <w:rPr>
          <w:color w:val="000000"/>
        </w:rPr>
        <w:t>在网上公告媒体：中国政府采购网、广西壮族自治区政府采购网、全国公共资源交易平台（广西·防城港）上发布。</w:t>
      </w:r>
    </w:p>
    <w:p w14:paraId="2EA56B54">
      <w:pPr>
        <w:pStyle w:val="11"/>
        <w:widowControl/>
        <w:numPr>
          <w:ilvl w:val="0"/>
          <w:numId w:val="6"/>
        </w:numPr>
        <w:ind w:left="0" w:leftChars="0" w:firstLine="480" w:firstLineChars="0"/>
        <w:rPr>
          <w:b w:val="0"/>
          <w:color w:val="000000"/>
        </w:rPr>
      </w:pPr>
      <w:r>
        <w:rPr>
          <w:color w:val="000000"/>
        </w:rPr>
        <w:t>本项目需要落实的政府采购政策：</w:t>
      </w:r>
    </w:p>
    <w:p w14:paraId="32CD52E4">
      <w:pPr>
        <w:pStyle w:val="11"/>
        <w:widowControl/>
        <w:numPr>
          <w:ilvl w:val="0"/>
          <w:numId w:val="0"/>
        </w:numPr>
        <w:ind w:left="480" w:leftChars="0"/>
        <w:rPr>
          <w:b w:val="0"/>
          <w:color w:val="000000"/>
        </w:rPr>
      </w:pPr>
      <w:r>
        <w:rPr>
          <w:color w:val="000000"/>
        </w:rPr>
        <w:t>（1）《政府采购促进中小企业发展管理办法》（财库[2020]46号）；中小企业划分标准属于行业为：“土木工程建筑行业”；</w:t>
      </w:r>
    </w:p>
    <w:p w14:paraId="0C27721F">
      <w:pPr>
        <w:pStyle w:val="11"/>
        <w:widowControl/>
        <w:numPr>
          <w:ilvl w:val="0"/>
          <w:numId w:val="7"/>
        </w:numPr>
        <w:topLinePunct w:val="0"/>
        <w:ind w:left="0" w:leftChars="0" w:firstLine="480" w:firstLineChars="0"/>
        <w:rPr>
          <w:b w:val="0"/>
          <w:color w:val="000000"/>
        </w:rPr>
      </w:pPr>
      <w:r>
        <w:rPr>
          <w:color w:val="000000"/>
        </w:rPr>
        <w:t>《财政部、司法部关于政府采购支持监狱企业发展有关问题的通知》（财库〔2014〕68号）；</w:t>
      </w:r>
    </w:p>
    <w:p w14:paraId="76FDF390">
      <w:pPr>
        <w:pStyle w:val="11"/>
        <w:widowControl/>
        <w:numPr>
          <w:ilvl w:val="0"/>
          <w:numId w:val="7"/>
        </w:numPr>
        <w:topLinePunct w:val="0"/>
        <w:ind w:left="0" w:leftChars="0" w:firstLine="480" w:firstLineChars="0"/>
        <w:rPr>
          <w:b w:val="0"/>
          <w:color w:val="000000"/>
        </w:rPr>
      </w:pPr>
      <w:r>
        <w:rPr>
          <w:color w:val="000000"/>
        </w:rPr>
        <w:t>《财政部民政部中国残疾人联合会关于促进残疾人就业政府采购政策的通知》（财库〔2017〕141号）；</w:t>
      </w:r>
    </w:p>
    <w:p w14:paraId="0E109FE6">
      <w:pPr>
        <w:pStyle w:val="11"/>
        <w:widowControl/>
        <w:numPr>
          <w:ilvl w:val="0"/>
          <w:numId w:val="7"/>
        </w:numPr>
        <w:topLinePunct w:val="0"/>
        <w:ind w:left="0" w:leftChars="0" w:firstLine="480" w:firstLineChars="0"/>
        <w:rPr>
          <w:b w:val="0"/>
          <w:color w:val="000000"/>
        </w:rPr>
      </w:pPr>
      <w:r>
        <w:rPr>
          <w:color w:val="000000"/>
        </w:rPr>
        <w:t>财政部 发展改革委 生态环境部市场监管总局关于调整优化节能产品、环境标志产品政府采购执行机制的通知（财库〔2019〕9号）；</w:t>
      </w:r>
    </w:p>
    <w:p w14:paraId="160034D4">
      <w:pPr>
        <w:pStyle w:val="11"/>
        <w:widowControl/>
        <w:numPr>
          <w:ilvl w:val="0"/>
          <w:numId w:val="7"/>
        </w:numPr>
        <w:topLinePunct w:val="0"/>
        <w:ind w:left="0" w:leftChars="0" w:firstLine="480" w:firstLineChars="0"/>
        <w:rPr>
          <w:b w:val="0"/>
          <w:color w:val="000000"/>
        </w:rPr>
      </w:pPr>
      <w:r>
        <w:rPr>
          <w:color w:val="000000"/>
        </w:rPr>
        <w:t xml:space="preserve">财政部 发展改革委关于印发节能产品政府采购品目清单的通知（财库〔2019〕19号）等政府采购相关政策。 </w:t>
      </w:r>
    </w:p>
    <w:p w14:paraId="43A477FE">
      <w:pPr>
        <w:pStyle w:val="11"/>
        <w:widowControl/>
        <w:numPr>
          <w:ilvl w:val="0"/>
          <w:numId w:val="6"/>
        </w:numPr>
        <w:ind w:left="0" w:leftChars="0" w:firstLine="480" w:firstLineChars="0"/>
        <w:rPr>
          <w:b w:val="0"/>
          <w:color w:val="000000"/>
        </w:rPr>
      </w:pPr>
      <w:r>
        <w:rPr>
          <w:color w:val="000000"/>
        </w:rPr>
        <w:t>磋商保证金：本项目不需提交磋商保证金。</w:t>
      </w:r>
    </w:p>
    <w:p w14:paraId="7F07D492">
      <w:pPr>
        <w:pStyle w:val="11"/>
        <w:widowControl/>
        <w:numPr>
          <w:ilvl w:val="0"/>
          <w:numId w:val="6"/>
        </w:numPr>
        <w:ind w:left="0" w:leftChars="0" w:firstLine="480" w:firstLineChars="0"/>
        <w:rPr>
          <w:b w:val="0"/>
          <w:color w:val="000000"/>
        </w:rPr>
      </w:pPr>
      <w:r>
        <w:rPr>
          <w:color w:val="000000"/>
        </w:rPr>
        <w:t>在线竞标响应（电子竞标）说明及注意事项：</w:t>
      </w:r>
    </w:p>
    <w:p w14:paraId="5D7F2E22">
      <w:pPr>
        <w:pStyle w:val="11"/>
        <w:widowControl/>
        <w:numPr>
          <w:ilvl w:val="0"/>
          <w:numId w:val="8"/>
        </w:numPr>
        <w:topLinePunct w:val="0"/>
        <w:ind w:left="0" w:leftChars="0" w:firstLine="480" w:firstLineChars="0"/>
        <w:rPr>
          <w:b w:val="0"/>
          <w:color w:val="000000"/>
        </w:rPr>
      </w:pPr>
      <w:r>
        <w:rPr>
          <w:color w:val="000000"/>
        </w:rPr>
        <w:t>本项目通过“政采云”平台实行在线电子响应，供应商应先安装“政采云电子交易客户端”（请自行前往“政采云”平台进行下载），并按照本项目采购文件和“政采云”平台的要求编制、加密后在响应文件递交截止时间前通过网络上传至“政采云”平台，供应商在“政采云”平台提交电子响应文件时，请填写参加远程开标活动经办人联系方式。供应商登录“政采云”平台，依次进入“服务中心-项目采购-操作流程-电子招投标-政府采购项目电子交易管理操作指南-供应商”查看电子投标具体操作流程；在使用政采云投标客户端时，建议使用WIN7及以上操作系统。</w:t>
      </w:r>
    </w:p>
    <w:p w14:paraId="0B76D582">
      <w:pPr>
        <w:pStyle w:val="11"/>
        <w:widowControl/>
        <w:numPr>
          <w:ilvl w:val="0"/>
          <w:numId w:val="8"/>
        </w:numPr>
        <w:topLinePunct w:val="0"/>
        <w:ind w:left="0" w:leftChars="0" w:firstLine="480" w:firstLineChars="0"/>
        <w:rPr>
          <w:b w:val="0"/>
          <w:color w:val="000000"/>
        </w:rPr>
      </w:pPr>
      <w:r>
        <w:rPr>
          <w:color w:val="000000"/>
        </w:rPr>
        <w:t>使用“政采云电子交易客户端”需要提前申领CA数字证书，供应商应当在响应文件递交截止时间前，完成电子交易平台上的CA数字证书办理（完成CA数字证书办理预计要一周左右，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14:paraId="197A4085">
      <w:pPr>
        <w:pStyle w:val="11"/>
        <w:widowControl/>
        <w:numPr>
          <w:ilvl w:val="0"/>
          <w:numId w:val="8"/>
        </w:numPr>
        <w:topLinePunct w:val="0"/>
        <w:ind w:left="0" w:leftChars="0" w:firstLine="480" w:firstLineChars="0"/>
        <w:rPr>
          <w:b w:val="0"/>
          <w:color w:val="000000"/>
        </w:rPr>
      </w:pPr>
      <w:r>
        <w:rPr>
          <w:color w:val="000000"/>
        </w:rPr>
        <w:t>供应商应当在响应截止时间前，将生成的“电子响应文件”上传递交至政采云平台。响应文件递交截止时间前可以撤回电子响应文件。补充或者修改电子响应文件的，应当先行撤回原文件，补充、修改后重新上传递交，响应文件递交截止时间前未完成上传的，视为撤回响应文件；响应文件递交截止时间以后上传递交的响应文件，“政采云”平台将予以拒收。</w:t>
      </w:r>
    </w:p>
    <w:p w14:paraId="6553DC87">
      <w:pPr>
        <w:pStyle w:val="11"/>
        <w:widowControl/>
        <w:numPr>
          <w:ilvl w:val="0"/>
          <w:numId w:val="8"/>
        </w:numPr>
        <w:topLinePunct w:val="0"/>
        <w:ind w:left="0" w:leftChars="0" w:firstLine="480" w:firstLineChars="0"/>
        <w:rPr>
          <w:b w:val="0"/>
          <w:color w:val="000000"/>
        </w:rPr>
      </w:pPr>
      <w:r>
        <w:rPr>
          <w:color w:val="000000"/>
        </w:rPr>
        <w:t>CA证书在线解密：供应商竞标响应时，需用有效数字证书（CA认证）登录“政采云”平台电子开标大厅现场，在截标时间后30分钟内对加密的响应文件进行解密，否则后果自负。</w:t>
      </w:r>
    </w:p>
    <w:p w14:paraId="6C3E93A5">
      <w:pPr>
        <w:pStyle w:val="11"/>
        <w:widowControl/>
        <w:numPr>
          <w:ilvl w:val="0"/>
          <w:numId w:val="8"/>
        </w:numPr>
        <w:topLinePunct w:val="0"/>
        <w:ind w:left="0" w:leftChars="0" w:firstLine="480" w:firstLineChars="0"/>
        <w:rPr>
          <w:b w:val="0"/>
          <w:color w:val="000000"/>
        </w:rPr>
      </w:pPr>
      <w:r>
        <w:rPr>
          <w:color w:val="000000"/>
        </w:rPr>
        <w:t>供应商可以提供以介质（U盘或光盘等）存储的数据电文形成的电子备份响应文件。电子备份响应文件应当在响应文</w:t>
      </w:r>
      <w:r>
        <w:t>件</w:t>
      </w:r>
      <w:r>
        <w:rPr>
          <w:color w:val="000000"/>
        </w:rPr>
        <w:t>递交截止时间前按要求密封并直接送达至防城港市公共资源交易中心（防城港市迎宾路红树林大厦东塔）（以响应文件提交当天防城港市公共资源交易中心六楼电子显示屏公布的开标室为准），逾期送达或未按要求密封将被拒收。电子备份响应文件应当密封包装并在包装上标注项目名称、供应商名称并加盖公章。</w:t>
      </w:r>
    </w:p>
    <w:p w14:paraId="44CA0445">
      <w:pPr>
        <w:pStyle w:val="11"/>
        <w:widowControl/>
        <w:numPr>
          <w:ilvl w:val="0"/>
          <w:numId w:val="8"/>
        </w:numPr>
        <w:topLinePunct w:val="0"/>
        <w:ind w:left="0" w:leftChars="0" w:firstLine="480" w:firstLineChars="0"/>
        <w:rPr>
          <w:b w:val="0"/>
          <w:color w:val="000000"/>
        </w:rPr>
      </w:pPr>
      <w:r>
        <w:rPr>
          <w:color w:val="000000"/>
        </w:rPr>
        <w:t>通过“政府采购云平台”上传递交的“电子加密响应文件”无法按时解密，供应商递交了电子备份响应文件的，以电子备份响应文件为依据，否则视为响应文件撤回。通过政采云平台上传递交的电子加密响应文件已按时解密的，电子备份响应文件自动失效。供应商仅递交电子备份响应文件的，竞标无效。</w:t>
      </w:r>
    </w:p>
    <w:p w14:paraId="1CE22A85">
      <w:pPr>
        <w:pStyle w:val="11"/>
        <w:widowControl/>
        <w:numPr>
          <w:ilvl w:val="0"/>
          <w:numId w:val="8"/>
        </w:numPr>
        <w:topLinePunct w:val="0"/>
        <w:ind w:left="0" w:leftChars="0" w:firstLine="480" w:firstLineChars="0"/>
        <w:rPr>
          <w:b w:val="0"/>
          <w:color w:val="000000"/>
        </w:rPr>
      </w:pPr>
      <w:r>
        <w:rPr>
          <w:color w:val="000000"/>
        </w:rPr>
        <w:t>本项目需要供应商代表在截标后，按磋商小组要求及时登陆政采云平台等候在线磋商及提交最后报价。</w:t>
      </w:r>
    </w:p>
    <w:p w14:paraId="13FDFB57">
      <w:pPr>
        <w:pStyle w:val="11"/>
        <w:widowControl/>
        <w:numPr>
          <w:ilvl w:val="0"/>
          <w:numId w:val="8"/>
        </w:numPr>
        <w:topLinePunct w:val="0"/>
        <w:ind w:left="0" w:leftChars="0" w:firstLine="480" w:firstLineChars="0"/>
        <w:rPr>
          <w:b w:val="0"/>
          <w:color w:val="000000"/>
        </w:rPr>
      </w:pPr>
      <w:r>
        <w:rPr>
          <w:color w:val="000000"/>
        </w:rPr>
        <w:t>为确保网上操作合法、有效和安全，请供应商确保在电子响应过程中能够对相关数据电文进行加密和使用电子签章，妥善保管CA数字证书并使用有效的CA数字证书参与整个竞标活动。</w:t>
      </w:r>
    </w:p>
    <w:p w14:paraId="5721C811">
      <w:pPr>
        <w:pStyle w:val="11"/>
        <w:widowControl/>
        <w:numPr>
          <w:ilvl w:val="0"/>
          <w:numId w:val="8"/>
        </w:numPr>
        <w:topLinePunct w:val="0"/>
        <w:ind w:left="0" w:leftChars="0" w:firstLine="480" w:firstLineChars="0"/>
        <w:rPr>
          <w:b w:val="0"/>
          <w:color w:val="000000"/>
        </w:rPr>
      </w:pPr>
      <w:r>
        <w:rPr>
          <w:color w:val="000000"/>
        </w:rPr>
        <w:t>本项目不接受未登陆“政采云”平台获取本项目采购文件的供应商竞标响应。</w:t>
      </w:r>
    </w:p>
    <w:p w14:paraId="3415E7AD">
      <w:pPr>
        <w:pStyle w:val="11"/>
        <w:widowControl/>
        <w:numPr>
          <w:ilvl w:val="0"/>
          <w:numId w:val="8"/>
        </w:numPr>
        <w:topLinePunct w:val="0"/>
        <w:ind w:left="0" w:leftChars="0" w:firstLine="480" w:firstLineChars="0"/>
        <w:rPr>
          <w:rFonts w:hint="eastAsia" w:ascii="宋体" w:hAnsi="宋体" w:cs="宋体"/>
          <w:b/>
          <w:color w:val="000000"/>
          <w:kern w:val="0"/>
          <w:szCs w:val="21"/>
        </w:rPr>
      </w:pPr>
      <w:r>
        <w:rPr>
          <w:color w:val="000000"/>
        </w:rPr>
        <w:t>监督部门：上思县政府采购中心，电话：0770-8521708。</w:t>
      </w:r>
    </w:p>
    <w:bookmarkEnd w:id="30"/>
    <w:bookmarkEnd w:id="31"/>
    <w:bookmarkEnd w:id="32"/>
    <w:bookmarkEnd w:id="33"/>
    <w:p w14:paraId="2E25AC68">
      <w:pPr>
        <w:pStyle w:val="2"/>
        <w:widowControl/>
        <w:numPr>
          <w:ilvl w:val="0"/>
          <w:numId w:val="3"/>
        </w:numPr>
        <w:topLinePunct w:val="0"/>
        <w:ind w:left="420" w:leftChars="0" w:firstLine="0" w:firstLineChars="0"/>
        <w:rPr>
          <w:b/>
        </w:rPr>
      </w:pPr>
      <w:r>
        <w:t>凡对本次采购提出询问，请按以下方式联系</w:t>
      </w:r>
    </w:p>
    <w:p w14:paraId="0C9D7071">
      <w:pPr>
        <w:pStyle w:val="43"/>
        <w:widowControl/>
        <w:numPr>
          <w:ilvl w:val="0"/>
          <w:numId w:val="9"/>
        </w:numPr>
        <w:ind w:left="0" w:leftChars="0" w:firstLine="422" w:firstLineChars="175"/>
        <w:jc w:val="left"/>
        <w:outlineLvl w:val="1"/>
        <w:rPr>
          <w:b/>
        </w:rPr>
      </w:pPr>
      <w:bookmarkStart w:id="34" w:name="_Toc28359096"/>
      <w:bookmarkStart w:id="35" w:name="_Toc35393806"/>
      <w:bookmarkStart w:id="36" w:name="_Toc35393637"/>
      <w:bookmarkStart w:id="37" w:name="_Toc28359019"/>
      <w:r>
        <w:t>采购人信息</w:t>
      </w:r>
      <w:bookmarkEnd w:id="34"/>
      <w:bookmarkEnd w:id="35"/>
      <w:bookmarkEnd w:id="36"/>
      <w:bookmarkEnd w:id="37"/>
    </w:p>
    <w:p w14:paraId="5E6108B7">
      <w:pPr>
        <w:pStyle w:val="11"/>
        <w:widowControl/>
        <w:rPr>
          <w:color w:val="000000"/>
        </w:rPr>
      </w:pPr>
      <w:r>
        <w:rPr>
          <w:color w:val="000000"/>
        </w:rPr>
        <w:t>名称：上思县农业农村局</w:t>
      </w:r>
    </w:p>
    <w:p w14:paraId="1AF3B3F1">
      <w:pPr>
        <w:pStyle w:val="11"/>
        <w:widowControl/>
        <w:rPr>
          <w:color w:val="000000"/>
        </w:rPr>
      </w:pPr>
      <w:r>
        <w:rPr>
          <w:color w:val="000000"/>
        </w:rPr>
        <w:t>地址：</w:t>
      </w:r>
      <w:r>
        <w:rPr>
          <w:i w:val="0"/>
          <w:color w:val="000000"/>
        </w:rPr>
        <w:t>上思县</w:t>
      </w:r>
      <w:r>
        <w:rPr>
          <w:i w:val="0"/>
          <w:color w:val="525353"/>
        </w:rPr>
        <w:t>仁甫西路</w:t>
      </w:r>
      <w:r>
        <w:rPr>
          <w:i w:val="0"/>
          <w:color w:val="000000"/>
        </w:rPr>
        <w:t> </w:t>
      </w:r>
    </w:p>
    <w:p w14:paraId="0F197D11">
      <w:pPr>
        <w:pStyle w:val="11"/>
        <w:widowControl/>
        <w:rPr>
          <w:color w:val="000000"/>
        </w:rPr>
      </w:pPr>
      <w:r>
        <w:rPr>
          <w:color w:val="000000"/>
        </w:rPr>
        <w:t>项目联系人：周工</w:t>
      </w:r>
    </w:p>
    <w:p w14:paraId="3F7AA42F">
      <w:pPr>
        <w:pStyle w:val="11"/>
        <w:widowControl/>
        <w:rPr>
          <w:color w:val="000000"/>
        </w:rPr>
      </w:pPr>
      <w:r>
        <w:rPr>
          <w:color w:val="000000"/>
        </w:rPr>
        <w:t>联系方式：</w:t>
      </w:r>
      <w:r>
        <w:rPr>
          <w:i w:val="0"/>
          <w:color w:val="000000"/>
        </w:rPr>
        <w:t>0770-8509177</w:t>
      </w:r>
    </w:p>
    <w:p w14:paraId="4857B4E2">
      <w:pPr>
        <w:pStyle w:val="43"/>
        <w:widowControl/>
        <w:numPr>
          <w:ilvl w:val="0"/>
          <w:numId w:val="9"/>
        </w:numPr>
        <w:ind w:left="0" w:leftChars="0" w:firstLine="422" w:firstLineChars="175"/>
        <w:jc w:val="left"/>
        <w:outlineLvl w:val="1"/>
        <w:rPr>
          <w:b/>
        </w:rPr>
      </w:pPr>
      <w:bookmarkStart w:id="38" w:name="_Toc28359020"/>
      <w:bookmarkStart w:id="39" w:name="_Toc35393807"/>
      <w:bookmarkStart w:id="40" w:name="_Toc28359097"/>
      <w:bookmarkStart w:id="41" w:name="_Toc35393638"/>
      <w:r>
        <w:t>采购代理机构信息</w:t>
      </w:r>
      <w:bookmarkEnd w:id="38"/>
      <w:bookmarkEnd w:id="39"/>
      <w:bookmarkEnd w:id="40"/>
      <w:bookmarkEnd w:id="41"/>
    </w:p>
    <w:p w14:paraId="336B8787">
      <w:pPr>
        <w:pStyle w:val="11"/>
        <w:widowControl/>
        <w:rPr>
          <w:rFonts w:hint="eastAsia"/>
          <w:color w:val="000000"/>
          <w:lang w:eastAsia="zh-CN"/>
        </w:rPr>
      </w:pPr>
      <w:bookmarkStart w:id="42" w:name="_Toc35393639"/>
      <w:bookmarkStart w:id="43" w:name="_Toc28359098"/>
      <w:bookmarkStart w:id="44" w:name="_Toc35393808"/>
      <w:bookmarkStart w:id="45" w:name="_Toc28359021"/>
      <w:r>
        <w:rPr>
          <w:color w:val="000000"/>
        </w:rPr>
        <w:t>名称：</w:t>
      </w:r>
      <w:r>
        <w:rPr>
          <w:rFonts w:hint="eastAsia"/>
          <w:color w:val="000000"/>
          <w:lang w:eastAsia="zh-CN"/>
        </w:rPr>
        <w:t>广西国立工程咨询有限公司</w:t>
      </w:r>
    </w:p>
    <w:p w14:paraId="3A923CC6">
      <w:pPr>
        <w:pStyle w:val="11"/>
        <w:widowControl/>
        <w:rPr>
          <w:color w:val="000000"/>
        </w:rPr>
      </w:pPr>
      <w:r>
        <w:rPr>
          <w:color w:val="000000"/>
        </w:rPr>
        <w:t>地址：</w:t>
      </w:r>
      <w:r>
        <w:rPr>
          <w:i w:val="0"/>
          <w:color w:val="383838"/>
        </w:rPr>
        <w:t>防城港市防城区市场监督管理局大门直入50米</w:t>
      </w:r>
    </w:p>
    <w:p w14:paraId="7C94A58B">
      <w:pPr>
        <w:pStyle w:val="11"/>
        <w:widowControl/>
        <w:rPr>
          <w:color w:val="000000"/>
        </w:rPr>
      </w:pPr>
      <w:r>
        <w:rPr>
          <w:color w:val="000000"/>
        </w:rPr>
        <w:t>项目联系人：</w:t>
      </w:r>
      <w:bookmarkEnd w:id="42"/>
      <w:bookmarkEnd w:id="43"/>
      <w:bookmarkEnd w:id="44"/>
      <w:bookmarkEnd w:id="45"/>
      <w:r>
        <w:rPr>
          <w:color w:val="000000"/>
        </w:rPr>
        <w:t>严工</w:t>
      </w:r>
    </w:p>
    <w:p w14:paraId="00D76F9E">
      <w:pPr>
        <w:pStyle w:val="11"/>
        <w:widowControl/>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0770-3236256</w:t>
      </w:r>
    </w:p>
    <w:p w14:paraId="5FEDD90E">
      <w:pPr>
        <w:widowControl/>
        <w:spacing w:line="450" w:lineRule="atLeast"/>
        <w:ind w:firstLine="240" w:firstLineChars="100"/>
        <w:rPr>
          <w:rFonts w:hint="eastAsia" w:ascii="宋体" w:hAnsi="宋体" w:eastAsia="宋体" w:cs="宋体"/>
          <w:bCs/>
          <w:color w:val="000000"/>
          <w:kern w:val="0"/>
          <w:sz w:val="24"/>
          <w:szCs w:val="24"/>
        </w:rPr>
      </w:pPr>
    </w:p>
    <w:p w14:paraId="0746E8A6">
      <w:pPr>
        <w:pStyle w:val="11"/>
        <w:widowControl/>
        <w:jc w:val="righ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14:paraId="270BD24B">
      <w:pPr>
        <w:pStyle w:val="11"/>
        <w:widowControl/>
        <w:jc w:val="right"/>
        <w:rPr>
          <w:color w:val="000000"/>
        </w:rPr>
      </w:pPr>
      <w:r>
        <w:rPr>
          <w:rFonts w:hint="eastAsia" w:ascii="宋体" w:hAnsi="宋体" w:eastAsia="宋体" w:cs="宋体"/>
          <w:b/>
          <w:sz w:val="24"/>
          <w:szCs w:val="24"/>
          <w:lang w:val="en-US" w:eastAsia="zh-CN"/>
        </w:rPr>
        <w:t xml:space="preserve"> </w:t>
      </w:r>
      <w:r>
        <w:rPr>
          <w:color w:val="000000"/>
        </w:rPr>
        <w:t>上思县农业农村局</w:t>
      </w:r>
    </w:p>
    <w:p w14:paraId="752779A2">
      <w:pPr>
        <w:pStyle w:val="12"/>
        <w:jc w:val="right"/>
        <w:rPr>
          <w:rFonts w:hint="eastAsia"/>
          <w:color w:val="000000"/>
          <w:lang w:eastAsia="zh-CN"/>
        </w:rPr>
      </w:pPr>
      <w:r>
        <w:rPr>
          <w:rFonts w:hint="eastAsia"/>
          <w:color w:val="000000"/>
          <w:lang w:eastAsia="zh-CN"/>
        </w:rPr>
        <w:t>广西国立工程咨询有限公司</w:t>
      </w:r>
    </w:p>
    <w:p w14:paraId="45D62AD5">
      <w:pPr>
        <w:pStyle w:val="13"/>
        <w:jc w:val="right"/>
        <w:rPr>
          <w:color w:val="000000"/>
        </w:rPr>
      </w:pPr>
      <w:r>
        <w:rPr>
          <w:color w:val="000000"/>
        </w:rPr>
        <w:t>2025年</w:t>
      </w:r>
      <w:r>
        <w:rPr>
          <w:rFonts w:hint="eastAsia"/>
          <w:color w:val="000000"/>
          <w:lang w:val="en-US" w:eastAsia="zh-CN"/>
        </w:rPr>
        <w:t>3</w:t>
      </w:r>
      <w:r>
        <w:rPr>
          <w:color w:val="000000"/>
        </w:rPr>
        <w:t>月</w:t>
      </w:r>
      <w:r>
        <w:rPr>
          <w:rFonts w:hint="eastAsia"/>
          <w:color w:val="000000"/>
          <w:lang w:val="en-US" w:eastAsia="zh-CN"/>
        </w:rPr>
        <w:t>11</w:t>
      </w:r>
      <w:r>
        <w:rPr>
          <w:color w:val="000000"/>
        </w:rPr>
        <w:t>日</w:t>
      </w:r>
    </w:p>
    <w:p w14:paraId="3BAE2456">
      <w:pPr>
        <w:rPr>
          <w:color w:val="000000"/>
        </w:rPr>
      </w:pPr>
    </w:p>
    <w:p w14:paraId="615FE938">
      <w:pPr>
        <w:rPr>
          <w:color w:val="000000"/>
        </w:rPr>
      </w:pPr>
    </w:p>
    <w:p w14:paraId="1A521609">
      <w:pPr>
        <w:rPr>
          <w:color w:val="000000"/>
        </w:rPr>
      </w:pPr>
    </w:p>
    <w:p w14:paraId="4C59107C">
      <w:pPr>
        <w:pStyle w:val="26"/>
        <w:rPr>
          <w:rFonts w:hint="eastAsia"/>
        </w:rPr>
      </w:pPr>
    </w:p>
    <w:p w14:paraId="0A565C15">
      <w:pPr>
        <w:pStyle w:val="26"/>
        <w:rPr>
          <w:rFonts w:hint="eastAsia"/>
        </w:rPr>
      </w:pPr>
    </w:p>
    <w:p w14:paraId="20C7E7FC">
      <w:pPr>
        <w:pStyle w:val="42"/>
        <w:numPr>
          <w:ilvl w:val="0"/>
          <w:numId w:val="2"/>
        </w:numPr>
        <w:ind w:left="0" w:leftChars="0" w:firstLine="0" w:firstLineChars="0"/>
        <w:outlineLvl w:val="0"/>
      </w:pPr>
      <w:bookmarkStart w:id="46" w:name="_Toc1467"/>
      <w:r>
        <w:t>磋商须知</w:t>
      </w:r>
      <w:bookmarkEnd w:id="46"/>
    </w:p>
    <w:p w14:paraId="16BD5381">
      <w:pPr>
        <w:pStyle w:val="44"/>
        <w:outlineLvl w:val="0"/>
      </w:pPr>
      <w:r>
        <w:t>磋商须知前附表</w:t>
      </w:r>
    </w:p>
    <w:tbl>
      <w:tblPr>
        <w:tblStyle w:val="22"/>
        <w:tblpPr w:leftFromText="180" w:rightFromText="180" w:vertAnchor="text" w:horzAnchor="page" w:tblpX="1106" w:tblpY="585"/>
        <w:tblOverlap w:val="never"/>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126"/>
        <w:gridCol w:w="8010"/>
      </w:tblGrid>
      <w:tr w14:paraId="5EDB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939" w:type="dxa"/>
            <w:noWrap w:val="0"/>
            <w:vAlign w:val="top"/>
          </w:tcPr>
          <w:p w14:paraId="14885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序号</w:t>
            </w:r>
          </w:p>
        </w:tc>
        <w:tc>
          <w:tcPr>
            <w:tcW w:w="1126" w:type="dxa"/>
            <w:noWrap w:val="0"/>
            <w:vAlign w:val="top"/>
          </w:tcPr>
          <w:p w14:paraId="631311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条款号</w:t>
            </w:r>
          </w:p>
        </w:tc>
        <w:tc>
          <w:tcPr>
            <w:tcW w:w="8010" w:type="dxa"/>
            <w:noWrap w:val="0"/>
            <w:vAlign w:val="top"/>
          </w:tcPr>
          <w:p w14:paraId="739AF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000000"/>
                <w:szCs w:val="21"/>
              </w:rPr>
            </w:pPr>
            <w:r>
              <w:rPr>
                <w:rFonts w:hint="eastAsia" w:ascii="宋体" w:hAnsi="宋体"/>
                <w:b/>
                <w:color w:val="000000"/>
                <w:szCs w:val="21"/>
              </w:rPr>
              <w:t>内    容</w:t>
            </w:r>
          </w:p>
        </w:tc>
      </w:tr>
      <w:tr w14:paraId="28C7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39" w:type="dxa"/>
            <w:noWrap w:val="0"/>
            <w:vAlign w:val="center"/>
          </w:tcPr>
          <w:p w14:paraId="7607B1A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p>
        </w:tc>
        <w:tc>
          <w:tcPr>
            <w:tcW w:w="1126" w:type="dxa"/>
            <w:noWrap w:val="0"/>
            <w:vAlign w:val="center"/>
          </w:tcPr>
          <w:p w14:paraId="188939B7">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57E9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bCs/>
                <w:szCs w:val="21"/>
                <w:highlight w:val="yellow"/>
                <w:lang w:eastAsia="zh-CN"/>
              </w:rPr>
            </w:pPr>
            <w:r>
              <w:rPr>
                <w:rFonts w:hint="eastAsia" w:ascii="宋体" w:hAnsi="宋体" w:cs="Arial"/>
                <w:bCs/>
                <w:szCs w:val="21"/>
              </w:rPr>
              <w:t>项目名称：</w:t>
            </w:r>
            <w:r>
              <w:rPr>
                <w:color w:val="000000"/>
              </w:rPr>
              <w:t>2025年公正乡信良村百驮屯、那笃屯产业道路项目</w:t>
            </w:r>
            <w:r>
              <w:rPr>
                <w:rFonts w:hint="eastAsia"/>
                <w:color w:val="000000"/>
                <w:lang w:eastAsia="zh-CN"/>
              </w:rPr>
              <w:t>（重）</w:t>
            </w:r>
          </w:p>
          <w:p w14:paraId="0770E3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项目编号：</w:t>
            </w:r>
            <w:r>
              <w:rPr>
                <w:rFonts w:hint="eastAsia" w:ascii="宋体" w:hAnsi="宋体" w:cs="Arial"/>
                <w:bCs/>
                <w:szCs w:val="21"/>
                <w:lang w:eastAsia="zh-CN"/>
              </w:rPr>
              <w:t xml:space="preserve"> FCZC2025-C2-210032-GXGL</w:t>
            </w:r>
            <w:r>
              <w:rPr>
                <w:rFonts w:hint="eastAsia" w:ascii="宋体" w:hAnsi="宋体" w:cs="Arial"/>
                <w:bCs/>
                <w:szCs w:val="21"/>
              </w:rPr>
              <w:t xml:space="preserve">  </w:t>
            </w:r>
          </w:p>
          <w:p w14:paraId="18A90B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kern w:val="0"/>
                <w:szCs w:val="21"/>
              </w:rPr>
            </w:pPr>
            <w:r>
              <w:rPr>
                <w:rFonts w:hint="eastAsia" w:ascii="宋体" w:hAnsi="宋体" w:cs="Arial"/>
                <w:bCs/>
                <w:szCs w:val="21"/>
              </w:rPr>
              <w:t>工程范围：</w:t>
            </w:r>
            <w:r>
              <w:rPr>
                <w:rFonts w:hint="eastAsia" w:ascii="宋体" w:hAnsi="宋体" w:eastAsia="宋体" w:cs="宋体"/>
                <w:color w:val="auto"/>
                <w:sz w:val="21"/>
                <w:szCs w:val="21"/>
                <w:u w:val="none"/>
                <w:lang w:val="en-US" w:eastAsia="zh-CN"/>
              </w:rPr>
              <w:t>上思县公正乡信良村百驮屯、那笃屯产业</w:t>
            </w:r>
            <w:r>
              <w:rPr>
                <w:rFonts w:hint="eastAsia" w:ascii="宋体" w:hAnsi="宋体" w:eastAsia="宋体" w:cs="宋体"/>
                <w:i w:val="0"/>
                <w:iCs w:val="0"/>
                <w:caps w:val="0"/>
                <w:color w:val="000000"/>
                <w:spacing w:val="0"/>
                <w:sz w:val="21"/>
                <w:szCs w:val="21"/>
                <w:u w:val="none"/>
              </w:rPr>
              <w:t>道路</w:t>
            </w:r>
            <w:r>
              <w:rPr>
                <w:rFonts w:hint="eastAsia" w:ascii="宋体" w:hAnsi="宋体" w:eastAsia="宋体" w:cs="宋体"/>
                <w:i w:val="0"/>
                <w:iCs w:val="0"/>
                <w:caps w:val="0"/>
                <w:color w:val="000000"/>
                <w:spacing w:val="0"/>
                <w:sz w:val="21"/>
                <w:szCs w:val="21"/>
                <w:u w:val="none"/>
                <w:lang w:val="en-US" w:eastAsia="zh-CN"/>
              </w:rPr>
              <w:t>硬化总长合计</w:t>
            </w:r>
            <w:r>
              <w:rPr>
                <w:rFonts w:hint="eastAsia" w:ascii="宋体" w:hAnsi="宋体" w:eastAsia="宋体" w:cs="宋体"/>
                <w:i w:val="0"/>
                <w:iCs w:val="0"/>
                <w:caps w:val="0"/>
                <w:color w:val="000000"/>
                <w:spacing w:val="0"/>
                <w:sz w:val="21"/>
                <w:szCs w:val="21"/>
                <w:u w:val="none"/>
              </w:rPr>
              <w:t>约</w:t>
            </w:r>
            <w:r>
              <w:rPr>
                <w:rFonts w:hint="eastAsia" w:ascii="宋体" w:hAnsi="宋体" w:eastAsia="宋体" w:cs="宋体"/>
                <w:i w:val="0"/>
                <w:iCs w:val="0"/>
                <w:caps w:val="0"/>
                <w:color w:val="000000"/>
                <w:spacing w:val="0"/>
                <w:sz w:val="21"/>
                <w:szCs w:val="21"/>
                <w:u w:val="none"/>
                <w:lang w:val="en-US" w:eastAsia="zh-CN"/>
              </w:rPr>
              <w:t>3</w:t>
            </w:r>
            <w:r>
              <w:rPr>
                <w:rFonts w:hint="eastAsia" w:ascii="宋体" w:hAnsi="宋体" w:eastAsia="宋体" w:cs="宋体"/>
                <w:i w:val="0"/>
                <w:iCs w:val="0"/>
                <w:caps w:val="0"/>
                <w:color w:val="000000"/>
                <w:spacing w:val="0"/>
                <w:sz w:val="21"/>
                <w:szCs w:val="21"/>
                <w:u w:val="none"/>
              </w:rPr>
              <w:t>公里，修建涵洞约</w:t>
            </w:r>
            <w:r>
              <w:rPr>
                <w:rFonts w:hint="eastAsia" w:ascii="宋体" w:hAnsi="宋体" w:eastAsia="宋体" w:cs="宋体"/>
                <w:i w:val="0"/>
                <w:iCs w:val="0"/>
                <w:caps w:val="0"/>
                <w:color w:val="000000"/>
                <w:spacing w:val="0"/>
                <w:sz w:val="21"/>
                <w:szCs w:val="21"/>
                <w:u w:val="none"/>
                <w:lang w:val="en-US" w:eastAsia="zh-CN"/>
              </w:rPr>
              <w:t>8</w:t>
            </w:r>
            <w:r>
              <w:rPr>
                <w:rFonts w:hint="eastAsia" w:ascii="宋体" w:hAnsi="宋体" w:eastAsia="宋体" w:cs="宋体"/>
                <w:i w:val="0"/>
                <w:iCs w:val="0"/>
                <w:caps w:val="0"/>
                <w:color w:val="000000"/>
                <w:spacing w:val="0"/>
                <w:sz w:val="21"/>
                <w:szCs w:val="21"/>
                <w:u w:val="none"/>
              </w:rPr>
              <w:t>个等</w:t>
            </w:r>
            <w:r>
              <w:rPr>
                <w:rFonts w:hint="eastAsia" w:ascii="宋体" w:hAnsi="宋体" w:eastAsia="宋体" w:cs="宋体"/>
                <w:i w:val="0"/>
                <w:iCs w:val="0"/>
                <w:caps w:val="0"/>
                <w:color w:val="000000"/>
                <w:spacing w:val="0"/>
                <w:sz w:val="21"/>
                <w:szCs w:val="21"/>
                <w:u w:val="none"/>
                <w:lang w:val="en-US" w:eastAsia="zh-CN"/>
              </w:rPr>
              <w:t>工程</w:t>
            </w:r>
            <w:r>
              <w:rPr>
                <w:rStyle w:val="28"/>
                <w:rFonts w:hint="eastAsia" w:ascii="宋体" w:hAnsi="宋体" w:eastAsia="宋体" w:cs="宋体"/>
                <w:b w:val="0"/>
                <w:i w:val="0"/>
                <w:caps w:val="0"/>
                <w:spacing w:val="0"/>
                <w:w w:val="100"/>
                <w:kern w:val="2"/>
                <w:sz w:val="21"/>
                <w:szCs w:val="21"/>
                <w:lang w:val="en-US" w:eastAsia="zh-CN" w:bidi="ar-SA"/>
              </w:rPr>
              <w:t>，具体详见工程量清单要求范围内所有工程内容。</w:t>
            </w:r>
          </w:p>
          <w:p w14:paraId="4667D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资金来源及出资比例：</w:t>
            </w:r>
            <w:r>
              <w:rPr>
                <w:rFonts w:hint="eastAsia" w:ascii="宋体" w:hAnsi="宋体" w:cs="Arial"/>
                <w:bCs/>
                <w:szCs w:val="21"/>
                <w:lang w:eastAsia="zh-CN"/>
              </w:rPr>
              <w:t>财政</w:t>
            </w:r>
            <w:r>
              <w:rPr>
                <w:rFonts w:hint="eastAsia" w:ascii="宋体" w:hAnsi="宋体" w:cs="Arial"/>
                <w:bCs/>
                <w:szCs w:val="21"/>
              </w:rPr>
              <w:t>资金，100%；</w:t>
            </w:r>
          </w:p>
          <w:p w14:paraId="01887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发包方式：综合单价包干；</w:t>
            </w:r>
          </w:p>
          <w:p w14:paraId="43475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bCs/>
                <w:szCs w:val="21"/>
              </w:rPr>
            </w:pPr>
            <w:r>
              <w:rPr>
                <w:rFonts w:hint="eastAsia" w:ascii="宋体" w:hAnsi="宋体" w:cs="Arial"/>
                <w:bCs/>
                <w:szCs w:val="21"/>
              </w:rPr>
              <w:t>要求工期：工期为90日历天；</w:t>
            </w:r>
          </w:p>
          <w:p w14:paraId="30A1E9C8">
            <w:pPr>
              <w:keepNext w:val="0"/>
              <w:keepLines w:val="0"/>
              <w:pageBreakBefore w:val="0"/>
              <w:widowControl w:val="0"/>
              <w:kinsoku/>
              <w:wordWrap/>
              <w:overflowPunct/>
              <w:topLinePunct w:val="0"/>
              <w:autoSpaceDE/>
              <w:autoSpaceDN/>
              <w:bidi w:val="0"/>
              <w:adjustRightInd/>
              <w:snapToGrid/>
              <w:spacing w:line="360" w:lineRule="auto"/>
              <w:textAlignment w:val="auto"/>
              <w:rPr>
                <w:highlight w:val="yellow"/>
              </w:rPr>
            </w:pPr>
            <w:r>
              <w:rPr>
                <w:rFonts w:hint="eastAsia" w:ascii="宋体" w:hAnsi="宋体" w:cs="Arial"/>
                <w:bCs/>
                <w:szCs w:val="21"/>
              </w:rPr>
              <w:t>质量要求：达到国家施工验收规范合格标准；</w:t>
            </w:r>
          </w:p>
          <w:p w14:paraId="58F1A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rPr>
              <w:t>1.1、工程量清单计价依据：</w:t>
            </w:r>
          </w:p>
          <w:p w14:paraId="7C0BDE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本工程施工图设计预算编制依据：</w:t>
            </w:r>
          </w:p>
          <w:p w14:paraId="2D10DAF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《公路工程建设项目概算预算编制办法》(JTG 3830-2018)（简称编制办法）；《公路工程预算定额》(JTG/T 3832-2018)；《公路工程机械台班费用定额》(JTG/T 3833-2018)；</w:t>
            </w:r>
          </w:p>
          <w:p w14:paraId="31F26A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highlight w:val="none"/>
              </w:rPr>
            </w:pPr>
            <w:r>
              <w:rPr>
                <w:rFonts w:hint="eastAsia"/>
                <w:highlight w:val="none"/>
              </w:rPr>
              <w:t>《关于印发公路工程建设项目估算概算预算编制办法广西补充规定的通知》（桂交建管发[2019]39 号）（简称广西补充规定）。施工图设计计算的工程数量及确定的施工方案。《防城港市建设工程造价信息》</w:t>
            </w:r>
            <w:r>
              <w:rPr>
                <w:rFonts w:hint="eastAsia"/>
                <w:highlight w:val="none"/>
                <w:lang w:val="en-US" w:eastAsia="zh-CN"/>
              </w:rPr>
              <w:t>上思县地方材料信息价</w:t>
            </w:r>
            <w:r>
              <w:rPr>
                <w:rFonts w:hint="eastAsia"/>
                <w:highlight w:val="none"/>
              </w:rPr>
              <w:t>202</w:t>
            </w:r>
            <w:r>
              <w:rPr>
                <w:rFonts w:hint="eastAsia"/>
                <w:highlight w:val="none"/>
                <w:lang w:val="en-US" w:eastAsia="zh-CN"/>
              </w:rPr>
              <w:t>4</w:t>
            </w:r>
            <w:r>
              <w:rPr>
                <w:rFonts w:hint="eastAsia"/>
                <w:highlight w:val="none"/>
              </w:rPr>
              <w:t>第</w:t>
            </w:r>
            <w:r>
              <w:rPr>
                <w:rFonts w:hint="eastAsia"/>
                <w:highlight w:val="none"/>
                <w:lang w:val="en-US" w:eastAsia="zh-CN"/>
              </w:rPr>
              <w:t>10</w:t>
            </w:r>
            <w:r>
              <w:rPr>
                <w:rFonts w:hint="eastAsia"/>
                <w:highlight w:val="none"/>
              </w:rPr>
              <w:t>期</w:t>
            </w:r>
            <w:r>
              <w:rPr>
                <w:rFonts w:hint="eastAsia"/>
                <w:highlight w:val="none"/>
                <w:lang w:val="en-US" w:eastAsia="zh-CN"/>
              </w:rPr>
              <w:t>.</w:t>
            </w:r>
          </w:p>
          <w:p w14:paraId="0587F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highlight w:val="none"/>
              </w:rPr>
              <w:t>主要材料按到工地价计算，材料价格按《防城港市建设工程造价信息》</w:t>
            </w:r>
            <w:r>
              <w:rPr>
                <w:rFonts w:hint="eastAsia"/>
                <w:highlight w:val="none"/>
                <w:lang w:val="en-US" w:eastAsia="zh-CN"/>
              </w:rPr>
              <w:t>上思县地方材料信息价</w:t>
            </w:r>
            <w:r>
              <w:rPr>
                <w:rFonts w:hint="eastAsia"/>
                <w:highlight w:val="none"/>
              </w:rPr>
              <w:t>202</w:t>
            </w:r>
            <w:r>
              <w:rPr>
                <w:rFonts w:hint="eastAsia"/>
                <w:highlight w:val="none"/>
                <w:lang w:val="en-US" w:eastAsia="zh-CN"/>
              </w:rPr>
              <w:t>4</w:t>
            </w:r>
            <w:r>
              <w:rPr>
                <w:rFonts w:hint="eastAsia"/>
                <w:highlight w:val="none"/>
              </w:rPr>
              <w:t>第</w:t>
            </w:r>
            <w:r>
              <w:rPr>
                <w:rFonts w:hint="eastAsia"/>
                <w:highlight w:val="none"/>
                <w:lang w:val="en-US" w:eastAsia="zh-CN"/>
              </w:rPr>
              <w:t>10</w:t>
            </w:r>
            <w:r>
              <w:rPr>
                <w:rFonts w:hint="eastAsia"/>
                <w:highlight w:val="none"/>
              </w:rPr>
              <w:t>期调整，对于《防城港市建设工程造价信息》没有的材料价格参考市场价</w:t>
            </w:r>
            <w:r>
              <w:rPr>
                <w:rFonts w:hint="eastAsia" w:ascii="宋体" w:hAnsi="宋体"/>
                <w:color w:val="000000"/>
                <w:szCs w:val="21"/>
                <w:highlight w:val="none"/>
                <w:lang w:val="en-US" w:eastAsia="zh-CN"/>
              </w:rPr>
              <w:t>确定</w:t>
            </w:r>
            <w:r>
              <w:rPr>
                <w:rFonts w:hint="eastAsia" w:ascii="宋体" w:hAnsi="宋体"/>
                <w:color w:val="000000"/>
                <w:szCs w:val="21"/>
                <w:highlight w:val="none"/>
              </w:rPr>
              <w:t>。</w:t>
            </w:r>
          </w:p>
        </w:tc>
      </w:tr>
      <w:tr w14:paraId="5D01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939" w:type="dxa"/>
            <w:noWrap w:val="0"/>
            <w:vAlign w:val="center"/>
          </w:tcPr>
          <w:p w14:paraId="7A18DAD9">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2</w:t>
            </w:r>
          </w:p>
        </w:tc>
        <w:tc>
          <w:tcPr>
            <w:tcW w:w="1126" w:type="dxa"/>
            <w:noWrap w:val="0"/>
            <w:vAlign w:val="center"/>
          </w:tcPr>
          <w:p w14:paraId="2B4FFE03">
            <w:pPr>
              <w:spacing w:line="360" w:lineRule="auto"/>
              <w:jc w:val="center"/>
              <w:rPr>
                <w:rFonts w:hint="eastAsia" w:ascii="宋体" w:hAnsi="宋体"/>
                <w:color w:val="000000"/>
                <w:szCs w:val="21"/>
              </w:rPr>
            </w:pPr>
            <w:r>
              <w:rPr>
                <w:rFonts w:hint="eastAsia" w:ascii="宋体" w:hAnsi="宋体"/>
                <w:color w:val="000000"/>
                <w:szCs w:val="21"/>
              </w:rPr>
              <w:t>3.1</w:t>
            </w:r>
          </w:p>
        </w:tc>
        <w:tc>
          <w:tcPr>
            <w:tcW w:w="8010" w:type="dxa"/>
            <w:noWrap w:val="0"/>
            <w:vAlign w:val="center"/>
          </w:tcPr>
          <w:p w14:paraId="20764E47">
            <w:pPr>
              <w:snapToGrid w:val="0"/>
              <w:spacing w:line="360" w:lineRule="auto"/>
              <w:rPr>
                <w:rFonts w:hint="eastAsia" w:ascii="宋体" w:hAnsi="宋体"/>
                <w:color w:val="000000"/>
                <w:szCs w:val="21"/>
              </w:rPr>
            </w:pPr>
            <w:r>
              <w:rPr>
                <w:rFonts w:hint="eastAsia" w:ascii="宋体" w:hAnsi="宋体" w:cs="宋体"/>
                <w:bCs/>
                <w:szCs w:val="21"/>
              </w:rPr>
              <w:t>供应商的资格条件</w:t>
            </w:r>
            <w:r>
              <w:rPr>
                <w:rFonts w:hint="eastAsia" w:ascii="宋体" w:hAnsi="宋体" w:cs="Arial"/>
                <w:b/>
                <w:bCs/>
                <w:color w:val="000000"/>
                <w:szCs w:val="21"/>
              </w:rPr>
              <w:t>：</w:t>
            </w:r>
            <w:r>
              <w:rPr>
                <w:rFonts w:hint="eastAsia" w:ascii="宋体" w:hAnsi="宋体" w:cs="宋体"/>
                <w:szCs w:val="21"/>
              </w:rPr>
              <w:t>详见竞争性磋商公告</w:t>
            </w:r>
          </w:p>
        </w:tc>
      </w:tr>
      <w:tr w14:paraId="62FBD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trPr>
        <w:tc>
          <w:tcPr>
            <w:tcW w:w="939" w:type="dxa"/>
            <w:noWrap w:val="0"/>
            <w:vAlign w:val="center"/>
          </w:tcPr>
          <w:p w14:paraId="1DB3CA7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3</w:t>
            </w:r>
          </w:p>
        </w:tc>
        <w:tc>
          <w:tcPr>
            <w:tcW w:w="1126" w:type="dxa"/>
            <w:noWrap w:val="0"/>
            <w:vAlign w:val="center"/>
          </w:tcPr>
          <w:p w14:paraId="2B7A629C">
            <w:pPr>
              <w:spacing w:line="360" w:lineRule="auto"/>
              <w:jc w:val="center"/>
              <w:rPr>
                <w:rFonts w:hint="eastAsia" w:ascii="宋体" w:hAnsi="宋体"/>
                <w:color w:val="000000"/>
                <w:szCs w:val="21"/>
              </w:rPr>
            </w:pPr>
            <w:r>
              <w:rPr>
                <w:rFonts w:hint="eastAsia" w:ascii="宋体" w:hAnsi="宋体"/>
                <w:color w:val="000000"/>
                <w:szCs w:val="21"/>
              </w:rPr>
              <w:t>4.2</w:t>
            </w:r>
          </w:p>
        </w:tc>
        <w:tc>
          <w:tcPr>
            <w:tcW w:w="8010" w:type="dxa"/>
            <w:noWrap w:val="0"/>
            <w:vAlign w:val="center"/>
          </w:tcPr>
          <w:p w14:paraId="7796694F">
            <w:pPr>
              <w:pStyle w:val="15"/>
              <w:snapToGrid w:val="0"/>
              <w:spacing w:line="320" w:lineRule="exact"/>
              <w:rPr>
                <w:rFonts w:hint="eastAsia" w:hAnsi="宋体" w:cs="宋体"/>
                <w:sz w:val="21"/>
              </w:rPr>
            </w:pPr>
            <w:r>
              <w:rPr>
                <w:rFonts w:hint="eastAsia" w:hAnsi="宋体" w:cs="宋体"/>
                <w:sz w:val="21"/>
              </w:rPr>
              <w:t>1.采购代理费收取方式：</w:t>
            </w:r>
          </w:p>
          <w:p w14:paraId="4E2190B8">
            <w:pPr>
              <w:pStyle w:val="15"/>
              <w:snapToGrid w:val="0"/>
              <w:spacing w:line="320" w:lineRule="exact"/>
              <w:ind w:firstLine="300" w:firstLineChars="150"/>
              <w:rPr>
                <w:rFonts w:hint="eastAsia" w:hAnsi="宋体" w:cs="宋体"/>
                <w:sz w:val="21"/>
              </w:rPr>
            </w:pPr>
            <w:r>
              <w:rPr>
                <w:rFonts w:hint="eastAsia" w:hAnsi="宋体" w:cs="宋体"/>
              </w:rPr>
              <w:t>☑</w:t>
            </w: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向采购代理机构支付。</w:t>
            </w:r>
          </w:p>
          <w:p w14:paraId="0A1FF718">
            <w:pPr>
              <w:pStyle w:val="15"/>
              <w:snapToGrid w:val="0"/>
              <w:spacing w:line="320" w:lineRule="exact"/>
              <w:ind w:firstLine="210" w:firstLineChars="100"/>
              <w:rPr>
                <w:rFonts w:hint="eastAsia" w:hAnsi="宋体" w:cs="宋体"/>
                <w:sz w:val="21"/>
              </w:rPr>
            </w:pPr>
            <w:r>
              <w:rPr>
                <w:rFonts w:hint="eastAsia" w:hAnsi="宋体" w:cs="宋体"/>
                <w:sz w:val="21"/>
              </w:rPr>
              <w:t>□采购人支付。</w:t>
            </w:r>
          </w:p>
          <w:p w14:paraId="19BBC5EA">
            <w:pPr>
              <w:pStyle w:val="15"/>
              <w:snapToGrid w:val="0"/>
              <w:spacing w:line="320" w:lineRule="exact"/>
              <w:rPr>
                <w:rFonts w:hint="eastAsia" w:hAnsi="宋体" w:cs="宋体"/>
                <w:sz w:val="21"/>
              </w:rPr>
            </w:pPr>
            <w:r>
              <w:rPr>
                <w:rFonts w:hint="eastAsia" w:hAnsi="宋体" w:cs="宋体"/>
                <w:sz w:val="21"/>
              </w:rPr>
              <w:t>2.采购代理费收取标准：</w:t>
            </w:r>
          </w:p>
          <w:p w14:paraId="43302298">
            <w:pPr>
              <w:pStyle w:val="27"/>
              <w:spacing w:line="420" w:lineRule="exact"/>
              <w:ind w:firstLine="210" w:firstLineChars="100"/>
              <w:jc w:val="both"/>
              <w:rPr>
                <w:rFonts w:hint="eastAsia" w:ascii="宋体" w:hAnsi="宋体"/>
                <w:color w:val="000000"/>
                <w:szCs w:val="21"/>
              </w:rPr>
            </w:pPr>
            <w:r>
              <w:rPr>
                <w:rFonts w:hint="eastAsia" w:hAnsi="宋体" w:cs="宋体"/>
              </w:rPr>
              <w:t>☑</w:t>
            </w:r>
            <w:r>
              <w:rPr>
                <w:rFonts w:hint="eastAsia"/>
              </w:rPr>
              <w:t>本项目的招标代理服务费按国家发展计划委员会计价格[2002]1980号《招标代理服务费管理暂行办法》文执行的收费标准，由成交人向采购代理机构支付。</w:t>
            </w:r>
          </w:p>
        </w:tc>
      </w:tr>
      <w:tr w14:paraId="2042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939" w:type="dxa"/>
            <w:noWrap w:val="0"/>
            <w:vAlign w:val="center"/>
          </w:tcPr>
          <w:p w14:paraId="6359863F">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4</w:t>
            </w:r>
          </w:p>
        </w:tc>
        <w:tc>
          <w:tcPr>
            <w:tcW w:w="1126" w:type="dxa"/>
            <w:noWrap w:val="0"/>
            <w:vAlign w:val="center"/>
          </w:tcPr>
          <w:p w14:paraId="22DD1E60">
            <w:pPr>
              <w:spacing w:line="360" w:lineRule="auto"/>
              <w:jc w:val="center"/>
              <w:rPr>
                <w:rFonts w:hint="eastAsia" w:ascii="宋体" w:hAnsi="宋体"/>
                <w:color w:val="000000"/>
                <w:szCs w:val="21"/>
              </w:rPr>
            </w:pPr>
            <w:r>
              <w:rPr>
                <w:rFonts w:hint="eastAsia" w:ascii="宋体" w:hAnsi="宋体"/>
                <w:color w:val="000000"/>
                <w:szCs w:val="21"/>
              </w:rPr>
              <w:t>7.1</w:t>
            </w:r>
          </w:p>
        </w:tc>
        <w:tc>
          <w:tcPr>
            <w:tcW w:w="8010" w:type="dxa"/>
            <w:noWrap w:val="0"/>
            <w:vAlign w:val="center"/>
          </w:tcPr>
          <w:p w14:paraId="6E51C175">
            <w:pPr>
              <w:spacing w:line="360" w:lineRule="auto"/>
              <w:rPr>
                <w:rFonts w:hint="eastAsia" w:ascii="宋体" w:hAnsi="宋体"/>
                <w:color w:val="000000"/>
                <w:szCs w:val="21"/>
              </w:rPr>
            </w:pPr>
            <w:r>
              <w:rPr>
                <w:rFonts w:hint="eastAsia" w:ascii="宋体" w:hAnsi="宋体"/>
                <w:color w:val="000000"/>
                <w:spacing w:val="4"/>
              </w:rPr>
              <w:t>现场踏勘：</w:t>
            </w:r>
            <w:r>
              <w:rPr>
                <w:rFonts w:hint="eastAsia" w:ascii="宋体" w:hAnsi="宋体"/>
                <w:color w:val="000000"/>
                <w:szCs w:val="21"/>
              </w:rPr>
              <w:t>不组织现场踏勘，潜在供应商可自行考察现场。</w:t>
            </w:r>
          </w:p>
        </w:tc>
      </w:tr>
      <w:tr w14:paraId="7CB6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1" w:hRule="atLeast"/>
        </w:trPr>
        <w:tc>
          <w:tcPr>
            <w:tcW w:w="939" w:type="dxa"/>
            <w:noWrap w:val="0"/>
            <w:vAlign w:val="center"/>
          </w:tcPr>
          <w:p w14:paraId="018CA92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5</w:t>
            </w:r>
          </w:p>
        </w:tc>
        <w:tc>
          <w:tcPr>
            <w:tcW w:w="1126" w:type="dxa"/>
            <w:noWrap w:val="0"/>
            <w:vAlign w:val="center"/>
          </w:tcPr>
          <w:p w14:paraId="5AD4A808">
            <w:pPr>
              <w:jc w:val="center"/>
              <w:rPr>
                <w:rFonts w:hint="eastAsia" w:ascii="宋体" w:hAnsi="宋体"/>
                <w:color w:val="000000"/>
                <w:spacing w:val="2"/>
                <w:szCs w:val="22"/>
              </w:rPr>
            </w:pPr>
            <w:r>
              <w:rPr>
                <w:rFonts w:hint="eastAsia" w:ascii="宋体" w:hAnsi="宋体"/>
                <w:color w:val="000000"/>
                <w:spacing w:val="2"/>
                <w:szCs w:val="22"/>
              </w:rPr>
              <w:t>付款方式</w:t>
            </w:r>
          </w:p>
        </w:tc>
        <w:tc>
          <w:tcPr>
            <w:tcW w:w="8010" w:type="dxa"/>
            <w:noWrap w:val="0"/>
            <w:vAlign w:val="center"/>
          </w:tcPr>
          <w:p w14:paraId="19CC6E51">
            <w:pPr>
              <w:pStyle w:val="5"/>
              <w:numPr>
                <w:ilvl w:val="3"/>
                <w:numId w:val="0"/>
              </w:numPr>
              <w:tabs>
                <w:tab w:val="left" w:pos="0"/>
              </w:tabs>
              <w:bidi w:val="0"/>
              <w:ind w:firstLine="482" w:firstLineChars="200"/>
              <w:rPr>
                <w:rFonts w:hint="eastAsia"/>
              </w:rPr>
            </w:pPr>
            <w:r>
              <w:rPr>
                <w:rFonts w:hint="eastAsia"/>
              </w:rPr>
              <w:t>①签订合同后，材料进场且开始施工后支付合同总价款的30%为工程预付款；②甲方根据工程需要和工程进度情况，可支付至合同总价款的80%；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；⑤3%工程质量保证金，待工程质量保修期满后返还。本工程质量保质期为1年。在工程质量保质期内，若存在质量缺陷的，由乙方负责保修，费用由乙方负责，工程质量保质期从甲方验收合格后开始计算。</w:t>
            </w:r>
          </w:p>
        </w:tc>
      </w:tr>
      <w:tr w14:paraId="6076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39" w:type="dxa"/>
            <w:noWrap w:val="0"/>
            <w:vAlign w:val="center"/>
          </w:tcPr>
          <w:p w14:paraId="2290B0E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6</w:t>
            </w:r>
          </w:p>
        </w:tc>
        <w:tc>
          <w:tcPr>
            <w:tcW w:w="1126" w:type="dxa"/>
            <w:noWrap w:val="0"/>
            <w:vAlign w:val="center"/>
          </w:tcPr>
          <w:p w14:paraId="47AF7812">
            <w:pPr>
              <w:spacing w:line="360" w:lineRule="auto"/>
              <w:jc w:val="center"/>
              <w:rPr>
                <w:rFonts w:hint="eastAsia" w:ascii="宋体" w:hAnsi="宋体"/>
                <w:color w:val="000000"/>
                <w:szCs w:val="21"/>
              </w:rPr>
            </w:pPr>
            <w:r>
              <w:rPr>
                <w:rFonts w:hint="eastAsia" w:ascii="宋体" w:hAnsi="宋体"/>
                <w:color w:val="000000"/>
                <w:szCs w:val="21"/>
              </w:rPr>
              <w:t>11</w:t>
            </w:r>
          </w:p>
        </w:tc>
        <w:tc>
          <w:tcPr>
            <w:tcW w:w="8010" w:type="dxa"/>
            <w:noWrap w:val="0"/>
            <w:vAlign w:val="center"/>
          </w:tcPr>
          <w:p w14:paraId="7CAE70C4">
            <w:pPr>
              <w:spacing w:line="360" w:lineRule="auto"/>
              <w:rPr>
                <w:rFonts w:hint="eastAsia" w:ascii="宋体" w:hAnsi="宋体"/>
                <w:color w:val="000000"/>
                <w:szCs w:val="21"/>
              </w:rPr>
            </w:pPr>
            <w:r>
              <w:rPr>
                <w:rFonts w:hint="eastAsia" w:ascii="宋体" w:hAnsi="宋体"/>
                <w:color w:val="000000"/>
                <w:szCs w:val="21"/>
              </w:rPr>
              <w:t>响应文件有效期：</w:t>
            </w:r>
            <w:r>
              <w:rPr>
                <w:rFonts w:hint="eastAsia" w:ascii="宋体" w:hAnsi="宋体"/>
                <w:color w:val="000000"/>
                <w:spacing w:val="1"/>
                <w:szCs w:val="22"/>
              </w:rPr>
              <w:t>响应文件递交截止日期后</w:t>
            </w:r>
            <w:r>
              <w:rPr>
                <w:rFonts w:hint="eastAsia"/>
                <w:color w:val="000000"/>
                <w:szCs w:val="21"/>
                <w:u w:val="single"/>
              </w:rPr>
              <w:t xml:space="preserve"> </w:t>
            </w:r>
            <w:r>
              <w:rPr>
                <w:rFonts w:hint="eastAsia" w:ascii="宋体" w:hAnsi="宋体"/>
                <w:color w:val="000000"/>
                <w:spacing w:val="1"/>
                <w:u w:val="single"/>
              </w:rPr>
              <w:t>6</w:t>
            </w:r>
            <w:r>
              <w:rPr>
                <w:rFonts w:hint="eastAsia" w:ascii="宋体" w:hAnsi="宋体"/>
                <w:color w:val="000000"/>
                <w:u w:val="single"/>
              </w:rPr>
              <w:t>0</w:t>
            </w:r>
            <w:r>
              <w:rPr>
                <w:rFonts w:hint="eastAsia" w:ascii="宋体" w:hAnsi="宋体"/>
                <w:color w:val="000000"/>
                <w:spacing w:val="-71"/>
                <w:u w:val="single"/>
              </w:rPr>
              <w:t xml:space="preserve"> </w:t>
            </w:r>
            <w:r>
              <w:rPr>
                <w:rFonts w:hint="eastAsia" w:ascii="宋体" w:hAnsi="宋体"/>
                <w:color w:val="000000"/>
                <w:spacing w:val="4"/>
              </w:rPr>
              <w:t>天（日</w:t>
            </w:r>
            <w:r>
              <w:rPr>
                <w:rFonts w:hint="eastAsia" w:ascii="宋体" w:hAnsi="宋体"/>
                <w:color w:val="000000"/>
                <w:spacing w:val="7"/>
              </w:rPr>
              <w:t>历</w:t>
            </w:r>
            <w:r>
              <w:rPr>
                <w:rFonts w:hint="eastAsia" w:ascii="宋体" w:hAnsi="宋体"/>
                <w:color w:val="000000"/>
                <w:spacing w:val="4"/>
              </w:rPr>
              <w:t>天</w:t>
            </w:r>
            <w:r>
              <w:rPr>
                <w:rFonts w:hint="eastAsia" w:ascii="宋体" w:hAnsi="宋体"/>
                <w:color w:val="000000"/>
              </w:rPr>
              <w:t>）</w:t>
            </w:r>
          </w:p>
        </w:tc>
      </w:tr>
      <w:tr w14:paraId="30F2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39" w:type="dxa"/>
            <w:noWrap w:val="0"/>
            <w:vAlign w:val="center"/>
          </w:tcPr>
          <w:p w14:paraId="46308AED">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7</w:t>
            </w:r>
          </w:p>
        </w:tc>
        <w:tc>
          <w:tcPr>
            <w:tcW w:w="1126" w:type="dxa"/>
            <w:noWrap w:val="0"/>
            <w:vAlign w:val="center"/>
          </w:tcPr>
          <w:p w14:paraId="65336CF9">
            <w:pPr>
              <w:spacing w:line="360" w:lineRule="auto"/>
              <w:jc w:val="center"/>
              <w:rPr>
                <w:rFonts w:hint="eastAsia" w:ascii="宋体" w:hAnsi="宋体"/>
                <w:color w:val="000000"/>
                <w:szCs w:val="21"/>
              </w:rPr>
            </w:pPr>
            <w:r>
              <w:rPr>
                <w:rFonts w:hint="eastAsia" w:ascii="宋体" w:hAnsi="宋体"/>
                <w:color w:val="000000"/>
                <w:szCs w:val="21"/>
              </w:rPr>
              <w:t>12</w:t>
            </w:r>
          </w:p>
        </w:tc>
        <w:tc>
          <w:tcPr>
            <w:tcW w:w="8010" w:type="dxa"/>
            <w:noWrap w:val="0"/>
            <w:vAlign w:val="center"/>
          </w:tcPr>
          <w:p w14:paraId="5FC1DEB0">
            <w:pPr>
              <w:snapToGrid w:val="0"/>
              <w:spacing w:line="360" w:lineRule="auto"/>
              <w:rPr>
                <w:rFonts w:hint="eastAsia" w:ascii="宋体" w:hAnsi="宋体"/>
                <w:color w:val="000000"/>
                <w:szCs w:val="21"/>
              </w:rPr>
            </w:pPr>
            <w:r>
              <w:rPr>
                <w:rFonts w:hint="eastAsia" w:ascii="宋体" w:hAnsi="宋体"/>
                <w:color w:val="000000"/>
                <w:szCs w:val="21"/>
              </w:rPr>
              <w:t>磋商保证金金额：本项目免收保证金。</w:t>
            </w:r>
          </w:p>
        </w:tc>
      </w:tr>
      <w:tr w14:paraId="2B16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3" w:hRule="atLeast"/>
        </w:trPr>
        <w:tc>
          <w:tcPr>
            <w:tcW w:w="939" w:type="dxa"/>
            <w:noWrap w:val="0"/>
            <w:vAlign w:val="center"/>
          </w:tcPr>
          <w:p w14:paraId="685D9485">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8</w:t>
            </w:r>
          </w:p>
        </w:tc>
        <w:tc>
          <w:tcPr>
            <w:tcW w:w="1126" w:type="dxa"/>
            <w:noWrap w:val="0"/>
            <w:vAlign w:val="center"/>
          </w:tcPr>
          <w:p w14:paraId="6A06FEB6">
            <w:pPr>
              <w:spacing w:line="360" w:lineRule="auto"/>
              <w:jc w:val="center"/>
              <w:rPr>
                <w:rFonts w:hint="eastAsia" w:ascii="宋体" w:hAnsi="宋体"/>
                <w:color w:val="000000"/>
                <w:szCs w:val="21"/>
              </w:rPr>
            </w:pPr>
            <w:r>
              <w:rPr>
                <w:rFonts w:hint="eastAsia" w:ascii="宋体" w:hAnsi="宋体"/>
                <w:color w:val="000000"/>
                <w:szCs w:val="21"/>
              </w:rPr>
              <w:t>13.1</w:t>
            </w:r>
          </w:p>
        </w:tc>
        <w:tc>
          <w:tcPr>
            <w:tcW w:w="8010" w:type="dxa"/>
            <w:noWrap w:val="0"/>
            <w:vAlign w:val="center"/>
          </w:tcPr>
          <w:p w14:paraId="0BC2B56A">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磋商报价：</w:t>
            </w:r>
          </w:p>
          <w:p w14:paraId="57E4DFA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（1）供应商必须就所磋商的全部内容作完整报价，漏项报价的或有选择的或有条件的报价，其磋商将视为无效。</w:t>
            </w:r>
          </w:p>
          <w:p w14:paraId="4FF0F561">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（2）本项目采用工程量清单报价方式,</w:t>
            </w:r>
            <w:r>
              <w:rPr>
                <w:rFonts w:hint="eastAsia"/>
                <w:color w:val="000000"/>
                <w:szCs w:val="21"/>
              </w:rPr>
              <w:t xml:space="preserve"> </w:t>
            </w:r>
            <w:r>
              <w:rPr>
                <w:rFonts w:hint="eastAsia" w:ascii="宋体" w:hAnsi="宋体"/>
                <w:color w:val="000000"/>
                <w:szCs w:val="21"/>
              </w:rPr>
              <w:t>供应商应使用符合该数据交换标准的计价软件导入电子工程量清单，填写单价和计算总额价，完成已标价工程量清单的编制。严禁供应商修改工程量清单的项目结构、分标名称、单项工程名称、单位工程名称、项目编码、项目名称、项目特征、计量单位、工程量、清单顺序和序号。供应商不得对工程量清单项目进行增减调整。</w:t>
            </w:r>
          </w:p>
          <w:p w14:paraId="76878FD6">
            <w:pPr>
              <w:tabs>
                <w:tab w:val="left" w:pos="525"/>
              </w:tabs>
              <w:snapToGrid w:val="0"/>
              <w:spacing w:line="360" w:lineRule="auto"/>
              <w:jc w:val="left"/>
              <w:rPr>
                <w:rFonts w:hint="eastAsia" w:ascii="宋体" w:hAnsi="宋体"/>
                <w:color w:val="000000"/>
                <w:szCs w:val="21"/>
              </w:rPr>
            </w:pPr>
            <w:r>
              <w:rPr>
                <w:rFonts w:hint="eastAsia" w:ascii="宋体" w:hAnsi="宋体"/>
                <w:color w:val="000000"/>
                <w:szCs w:val="21"/>
              </w:rPr>
              <w:t>（3）供应商在响应文件递交截止时间前修改磋商报价表中的磋商总报价，应同时修改第五章“响应文件格式”中的相应报价。此修改须符合“供应商须知”第16条的有关要求。</w:t>
            </w:r>
          </w:p>
        </w:tc>
      </w:tr>
      <w:tr w14:paraId="5EA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410238A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9</w:t>
            </w:r>
          </w:p>
        </w:tc>
        <w:tc>
          <w:tcPr>
            <w:tcW w:w="1126" w:type="dxa"/>
            <w:noWrap w:val="0"/>
            <w:vAlign w:val="center"/>
          </w:tcPr>
          <w:p w14:paraId="0D8A1DB3">
            <w:pPr>
              <w:spacing w:line="360" w:lineRule="auto"/>
              <w:jc w:val="center"/>
              <w:rPr>
                <w:rFonts w:hint="eastAsia" w:ascii="宋体" w:hAnsi="宋体"/>
                <w:color w:val="000000"/>
                <w:szCs w:val="21"/>
              </w:rPr>
            </w:pPr>
            <w:r>
              <w:rPr>
                <w:rFonts w:hint="eastAsia" w:ascii="宋体" w:hAnsi="宋体"/>
                <w:color w:val="000000"/>
                <w:szCs w:val="21"/>
              </w:rPr>
              <w:t>14.1</w:t>
            </w:r>
          </w:p>
        </w:tc>
        <w:tc>
          <w:tcPr>
            <w:tcW w:w="8010" w:type="dxa"/>
            <w:noWrap w:val="0"/>
            <w:vAlign w:val="center"/>
          </w:tcPr>
          <w:p w14:paraId="21C2AE4D">
            <w:pPr>
              <w:spacing w:line="360" w:lineRule="auto"/>
              <w:rPr>
                <w:rFonts w:hint="eastAsia" w:ascii="宋体" w:hAnsi="宋体"/>
                <w:color w:val="000000"/>
                <w:szCs w:val="21"/>
              </w:rPr>
            </w:pPr>
            <w:r>
              <w:rPr>
                <w:rFonts w:hint="eastAsia" w:ascii="宋体" w:hAnsi="宋体"/>
                <w:color w:val="000000"/>
                <w:szCs w:val="21"/>
              </w:rPr>
              <w:t>响应文件份数：电子响应文件一份</w:t>
            </w:r>
          </w:p>
        </w:tc>
      </w:tr>
      <w:tr w14:paraId="1875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755D630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10</w:t>
            </w:r>
          </w:p>
        </w:tc>
        <w:tc>
          <w:tcPr>
            <w:tcW w:w="1126" w:type="dxa"/>
            <w:noWrap w:val="0"/>
            <w:vAlign w:val="center"/>
          </w:tcPr>
          <w:p w14:paraId="2804053E">
            <w:pPr>
              <w:spacing w:line="360" w:lineRule="auto"/>
              <w:jc w:val="center"/>
              <w:rPr>
                <w:rFonts w:hint="eastAsia" w:ascii="宋体" w:hAnsi="宋体"/>
                <w:color w:val="000000"/>
                <w:szCs w:val="21"/>
              </w:rPr>
            </w:pPr>
            <w:r>
              <w:rPr>
                <w:rFonts w:hint="eastAsia" w:ascii="宋体" w:hAnsi="宋体"/>
                <w:color w:val="000000"/>
                <w:szCs w:val="21"/>
              </w:rPr>
              <w:t>15</w:t>
            </w:r>
          </w:p>
        </w:tc>
        <w:tc>
          <w:tcPr>
            <w:tcW w:w="8010" w:type="dxa"/>
            <w:noWrap w:val="0"/>
            <w:vAlign w:val="center"/>
          </w:tcPr>
          <w:p w14:paraId="725C20E1">
            <w:pPr>
              <w:spacing w:line="360" w:lineRule="auto"/>
              <w:rPr>
                <w:rFonts w:hint="eastAsia" w:ascii="宋体" w:hAnsi="宋体"/>
                <w:color w:val="000000"/>
                <w:szCs w:val="21"/>
              </w:rPr>
            </w:pPr>
            <w:r>
              <w:rPr>
                <w:rFonts w:hint="eastAsia" w:ascii="宋体" w:hAnsi="宋体" w:cs="宋体"/>
                <w:color w:val="000000"/>
                <w:szCs w:val="21"/>
              </w:rPr>
              <w:t>响应文件递交截止时间</w:t>
            </w:r>
            <w:r>
              <w:rPr>
                <w:rFonts w:hint="eastAsia" w:ascii="宋体" w:hAnsi="宋体" w:cs="宋体"/>
                <w:szCs w:val="21"/>
              </w:rPr>
              <w:t>：</w:t>
            </w:r>
            <w:r>
              <w:rPr>
                <w:rFonts w:hint="eastAsia" w:ascii="宋体" w:hAnsi="宋体"/>
                <w:color w:val="000000"/>
                <w:szCs w:val="21"/>
                <w:lang w:val="en-US" w:eastAsia="zh-CN"/>
              </w:rPr>
              <w:t>2025</w:t>
            </w:r>
            <w:r>
              <w:rPr>
                <w:rFonts w:hint="eastAsia" w:ascii="宋体" w:hAnsi="宋体"/>
                <w:color w:val="000000"/>
                <w:szCs w:val="21"/>
              </w:rPr>
              <w:t>年</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24</w:t>
            </w:r>
            <w:r>
              <w:rPr>
                <w:rFonts w:hint="eastAsia" w:ascii="宋体" w:hAnsi="宋体"/>
                <w:color w:val="000000"/>
                <w:szCs w:val="21"/>
              </w:rPr>
              <w:t>日</w:t>
            </w:r>
            <w:r>
              <w:rPr>
                <w:rFonts w:hint="eastAsia" w:ascii="宋体" w:hAnsi="宋体"/>
                <w:color w:val="000000"/>
                <w:szCs w:val="21"/>
                <w:lang w:val="en-US" w:eastAsia="zh-CN"/>
              </w:rPr>
              <w:t>9</w:t>
            </w:r>
            <w:r>
              <w:rPr>
                <w:rFonts w:hint="eastAsia" w:ascii="宋体" w:hAnsi="宋体"/>
                <w:color w:val="000000"/>
                <w:szCs w:val="21"/>
              </w:rPr>
              <w:t>点</w:t>
            </w:r>
            <w:r>
              <w:rPr>
                <w:rFonts w:hint="eastAsia" w:ascii="宋体" w:hAnsi="宋体"/>
                <w:color w:val="000000"/>
                <w:szCs w:val="21"/>
                <w:lang w:val="en-US" w:eastAsia="zh-CN"/>
              </w:rPr>
              <w:t>30</w:t>
            </w:r>
            <w:r>
              <w:rPr>
                <w:rFonts w:hint="eastAsia" w:ascii="宋体" w:hAnsi="宋体"/>
                <w:color w:val="000000"/>
                <w:szCs w:val="21"/>
              </w:rPr>
              <w:t>分之前将电子磋商响应文件上传到政采云平台。应按照本项目竞争性磋商文件和政采云平台的要求编制、加密传输磋商响应文件。供应商在使用系统进行投标的过程中遇到涉及平台使用的任何问题，可致电政采云平台技术支持热线咨询，联系方式：400-881-7190。</w:t>
            </w:r>
          </w:p>
        </w:tc>
      </w:tr>
      <w:tr w14:paraId="5F43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939" w:type="dxa"/>
            <w:noWrap w:val="0"/>
            <w:vAlign w:val="center"/>
          </w:tcPr>
          <w:p w14:paraId="48B78896">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11</w:t>
            </w:r>
          </w:p>
        </w:tc>
        <w:tc>
          <w:tcPr>
            <w:tcW w:w="1126" w:type="dxa"/>
            <w:noWrap w:val="0"/>
            <w:vAlign w:val="center"/>
          </w:tcPr>
          <w:p w14:paraId="541CA033">
            <w:pPr>
              <w:spacing w:line="360" w:lineRule="auto"/>
              <w:jc w:val="center"/>
              <w:rPr>
                <w:rFonts w:hint="eastAsia" w:ascii="宋体" w:hAnsi="宋体"/>
                <w:color w:val="000000"/>
                <w:szCs w:val="21"/>
              </w:rPr>
            </w:pPr>
            <w:r>
              <w:rPr>
                <w:rFonts w:hint="eastAsia" w:ascii="宋体" w:hAnsi="宋体"/>
                <w:color w:val="000000"/>
                <w:szCs w:val="21"/>
              </w:rPr>
              <w:t>18.1</w:t>
            </w:r>
          </w:p>
        </w:tc>
        <w:tc>
          <w:tcPr>
            <w:tcW w:w="8010" w:type="dxa"/>
            <w:noWrap w:val="0"/>
            <w:vAlign w:val="center"/>
          </w:tcPr>
          <w:p w14:paraId="5AB0F115">
            <w:pPr>
              <w:spacing w:line="360" w:lineRule="auto"/>
              <w:rPr>
                <w:rFonts w:hint="eastAsia" w:ascii="宋体" w:hAnsi="宋体" w:cs="宋体"/>
                <w:color w:val="000000"/>
                <w:szCs w:val="21"/>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1B88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4" w:hRule="atLeast"/>
        </w:trPr>
        <w:tc>
          <w:tcPr>
            <w:tcW w:w="939" w:type="dxa"/>
            <w:noWrap w:val="0"/>
            <w:vAlign w:val="center"/>
          </w:tcPr>
          <w:p w14:paraId="726FE45A">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12</w:t>
            </w:r>
          </w:p>
        </w:tc>
        <w:tc>
          <w:tcPr>
            <w:tcW w:w="1126" w:type="dxa"/>
            <w:noWrap w:val="0"/>
            <w:vAlign w:val="center"/>
          </w:tcPr>
          <w:p w14:paraId="4FC7CDDE">
            <w:pPr>
              <w:spacing w:line="360" w:lineRule="auto"/>
              <w:jc w:val="center"/>
              <w:rPr>
                <w:rFonts w:hint="eastAsia" w:ascii="宋体" w:hAnsi="宋体"/>
                <w:color w:val="000000"/>
                <w:szCs w:val="21"/>
              </w:rPr>
            </w:pPr>
            <w:r>
              <w:rPr>
                <w:rFonts w:hint="eastAsia" w:ascii="宋体" w:hAnsi="宋体"/>
                <w:color w:val="000000"/>
                <w:szCs w:val="21"/>
              </w:rPr>
              <w:t>19.2</w:t>
            </w:r>
          </w:p>
        </w:tc>
        <w:tc>
          <w:tcPr>
            <w:tcW w:w="8010" w:type="dxa"/>
            <w:noWrap w:val="0"/>
            <w:vAlign w:val="center"/>
          </w:tcPr>
          <w:p w14:paraId="3615D298">
            <w:pPr>
              <w:snapToGrid w:val="0"/>
              <w:spacing w:line="360" w:lineRule="auto"/>
              <w:rPr>
                <w:rFonts w:hint="eastAsia" w:ascii="宋体" w:hAnsi="宋体"/>
                <w:color w:val="000000"/>
                <w:szCs w:val="21"/>
              </w:rPr>
            </w:pPr>
            <w:r>
              <w:rPr>
                <w:rFonts w:hint="eastAsia" w:ascii="宋体" w:hAnsi="宋体"/>
                <w:color w:val="000000"/>
                <w:szCs w:val="21"/>
              </w:rPr>
              <w:t>在对供应商资格审查时进行信用查询，查询结果与响应文件不一致时，以资格审查时查询结果为准。</w:t>
            </w:r>
          </w:p>
          <w:p w14:paraId="30FAACBF">
            <w:pPr>
              <w:snapToGrid w:val="0"/>
              <w:spacing w:line="360" w:lineRule="auto"/>
              <w:rPr>
                <w:rFonts w:hint="eastAsia" w:ascii="宋体" w:hAnsi="宋体"/>
                <w:color w:val="000000"/>
                <w:szCs w:val="21"/>
              </w:rPr>
            </w:pPr>
            <w:r>
              <w:rPr>
                <w:rFonts w:hint="eastAsia" w:ascii="宋体" w:hAnsi="宋体"/>
                <w:color w:val="000000"/>
                <w:szCs w:val="21"/>
              </w:rPr>
              <w:t>查询渠道：“</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ascii="宋体" w:hAnsi="宋体"/>
                <w:color w:val="000000"/>
                <w:szCs w:val="21"/>
              </w:rPr>
              <w:t>、</w:t>
            </w:r>
            <w:r>
              <w:rPr>
                <w:rFonts w:hint="eastAsia"/>
                <w:color w:val="000000"/>
                <w:szCs w:val="21"/>
              </w:rPr>
              <w:t>中国政府采购网(www.ccgp.gov.cn)</w:t>
            </w:r>
            <w:r>
              <w:rPr>
                <w:rFonts w:hint="eastAsia" w:ascii="宋体" w:hAnsi="宋体"/>
                <w:color w:val="000000"/>
                <w:szCs w:val="21"/>
              </w:rPr>
              <w:t>等。</w:t>
            </w:r>
          </w:p>
          <w:p w14:paraId="5FA28BB8">
            <w:pPr>
              <w:snapToGrid w:val="0"/>
              <w:spacing w:line="360" w:lineRule="auto"/>
              <w:rPr>
                <w:rFonts w:hint="eastAsia" w:ascii="宋体" w:hAnsi="宋体"/>
                <w:color w:val="000000"/>
                <w:szCs w:val="21"/>
              </w:rPr>
            </w:pPr>
            <w:r>
              <w:rPr>
                <w:rFonts w:hint="eastAsia" w:ascii="宋体" w:hAnsi="宋体"/>
                <w:color w:val="000000"/>
                <w:szCs w:val="21"/>
              </w:rPr>
              <w:t>查询起止时间：首次提交响应文件截止时间前</w:t>
            </w:r>
          </w:p>
          <w:p w14:paraId="345C6CA4">
            <w:pPr>
              <w:snapToGrid w:val="0"/>
              <w:spacing w:line="360" w:lineRule="auto"/>
              <w:rPr>
                <w:rFonts w:hint="eastAsia" w:ascii="宋体" w:hAnsi="宋体"/>
                <w:color w:val="000000"/>
                <w:szCs w:val="21"/>
              </w:rPr>
            </w:pPr>
            <w:r>
              <w:rPr>
                <w:rFonts w:hint="eastAsia" w:ascii="宋体" w:hAnsi="宋体"/>
                <w:color w:val="000000"/>
                <w:szCs w:val="21"/>
              </w:rPr>
              <w:t>查询记录和证据留存方式：在查询网站中直接打印查询记录，打印材料作为评审资料保存。</w:t>
            </w:r>
          </w:p>
          <w:p w14:paraId="7D3697CA">
            <w:pPr>
              <w:spacing w:line="360" w:lineRule="auto"/>
              <w:rPr>
                <w:rFonts w:hint="eastAsia" w:ascii="宋体" w:hAnsi="宋体"/>
                <w:color w:val="000000"/>
                <w:szCs w:val="21"/>
              </w:rPr>
            </w:pPr>
            <w:r>
              <w:rPr>
                <w:rFonts w:hint="eastAsia" w:ascii="宋体" w:hAnsi="宋体"/>
                <w:color w:val="000000"/>
                <w:szCs w:val="21"/>
              </w:rPr>
              <w:t>信用信息使用规则：对在“</w:t>
            </w:r>
            <w:r>
              <w:rPr>
                <w:rFonts w:ascii="宋体" w:hAnsi="宋体"/>
                <w:color w:val="000000"/>
                <w:szCs w:val="21"/>
              </w:rPr>
              <w:t>信用中国</w:t>
            </w:r>
            <w:r>
              <w:rPr>
                <w:rFonts w:hint="eastAsia" w:ascii="宋体" w:hAnsi="宋体"/>
                <w:color w:val="000000"/>
                <w:szCs w:val="21"/>
              </w:rPr>
              <w:t>”</w:t>
            </w:r>
            <w:r>
              <w:rPr>
                <w:rFonts w:ascii="宋体" w:hAnsi="宋体"/>
                <w:color w:val="000000"/>
                <w:szCs w:val="21"/>
              </w:rPr>
              <w:t>网站(www.creditchina.gov.cn)、</w:t>
            </w:r>
            <w:r>
              <w:rPr>
                <w:rFonts w:hint="eastAsia"/>
                <w:color w:val="000000"/>
                <w:szCs w:val="21"/>
              </w:rPr>
              <w:t>中国政府采购网(www.ccgp.gov.cn)等</w:t>
            </w:r>
            <w:r>
              <w:rPr>
                <w:rFonts w:ascii="宋体" w:hAnsi="宋体"/>
                <w:color w:val="000000"/>
                <w:szCs w:val="21"/>
              </w:rPr>
              <w:t>渠道</w:t>
            </w:r>
            <w:r>
              <w:rPr>
                <w:rFonts w:hint="eastAsia" w:ascii="宋体" w:hAnsi="宋体"/>
                <w:color w:val="000000"/>
                <w:szCs w:val="21"/>
              </w:rPr>
              <w:t>被列入失信被执行人、重大税收违法案件当事人名单、政府采购严重违法失信行为记录名单及其他不符合《中华人民共和国政府采购法》第二十二条规定条件的供应商，资格审查不通过，不得参与政府采购活动。</w:t>
            </w:r>
            <w:r>
              <w:rPr>
                <w:rFonts w:ascii="宋体" w:hAnsi="宋体" w:cs="Helvetic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32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939" w:type="dxa"/>
            <w:noWrap w:val="0"/>
            <w:vAlign w:val="center"/>
          </w:tcPr>
          <w:p w14:paraId="2F97430E">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13</w:t>
            </w:r>
          </w:p>
        </w:tc>
        <w:tc>
          <w:tcPr>
            <w:tcW w:w="1126" w:type="dxa"/>
            <w:noWrap w:val="0"/>
            <w:vAlign w:val="center"/>
          </w:tcPr>
          <w:p w14:paraId="3E0C92D9">
            <w:pPr>
              <w:spacing w:line="360" w:lineRule="auto"/>
              <w:jc w:val="center"/>
              <w:rPr>
                <w:rFonts w:hint="eastAsia" w:ascii="宋体" w:hAnsi="宋体"/>
                <w:color w:val="000000"/>
                <w:szCs w:val="21"/>
              </w:rPr>
            </w:pPr>
            <w:r>
              <w:rPr>
                <w:rFonts w:hint="eastAsia" w:ascii="宋体" w:hAnsi="宋体"/>
                <w:color w:val="000000"/>
                <w:szCs w:val="21"/>
              </w:rPr>
              <w:t>19.4.1</w:t>
            </w:r>
          </w:p>
        </w:tc>
        <w:tc>
          <w:tcPr>
            <w:tcW w:w="8010" w:type="dxa"/>
            <w:noWrap w:val="0"/>
            <w:vAlign w:val="center"/>
          </w:tcPr>
          <w:p w14:paraId="6D028EB6">
            <w:pPr>
              <w:spacing w:line="360" w:lineRule="auto"/>
              <w:rPr>
                <w:rFonts w:hint="eastAsia" w:ascii="宋体" w:hAnsi="宋体"/>
                <w:color w:val="000000"/>
                <w:szCs w:val="21"/>
              </w:rPr>
            </w:pPr>
            <w:r>
              <w:rPr>
                <w:rFonts w:hint="eastAsia" w:ascii="宋体" w:hAnsi="宋体"/>
                <w:color w:val="000000"/>
                <w:szCs w:val="21"/>
              </w:rPr>
              <w:t>磋商开始时间：响应文件递交截止时间后。</w:t>
            </w:r>
          </w:p>
          <w:p w14:paraId="2007FC96">
            <w:pPr>
              <w:spacing w:line="360" w:lineRule="auto"/>
              <w:rPr>
                <w:rFonts w:hint="eastAsia" w:ascii="宋体" w:hAnsi="宋体"/>
                <w:color w:val="000000"/>
                <w:szCs w:val="21"/>
              </w:rPr>
            </w:pPr>
            <w:r>
              <w:rPr>
                <w:rFonts w:hint="eastAsia" w:ascii="宋体" w:hAnsi="宋体"/>
                <w:color w:val="000000"/>
                <w:szCs w:val="21"/>
              </w:rPr>
              <w:t>磋商地点：详见公告。</w:t>
            </w:r>
          </w:p>
        </w:tc>
      </w:tr>
      <w:tr w14:paraId="48BC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39" w:type="dxa"/>
            <w:noWrap w:val="0"/>
            <w:vAlign w:val="center"/>
          </w:tcPr>
          <w:p w14:paraId="68F89AFC">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14</w:t>
            </w:r>
          </w:p>
        </w:tc>
        <w:tc>
          <w:tcPr>
            <w:tcW w:w="1126" w:type="dxa"/>
            <w:noWrap w:val="0"/>
            <w:vAlign w:val="center"/>
          </w:tcPr>
          <w:p w14:paraId="0F203926">
            <w:pPr>
              <w:spacing w:line="360" w:lineRule="auto"/>
              <w:jc w:val="center"/>
              <w:rPr>
                <w:rFonts w:hint="eastAsia" w:ascii="宋体" w:hAnsi="宋体"/>
                <w:color w:val="000000"/>
                <w:szCs w:val="21"/>
              </w:rPr>
            </w:pPr>
            <w:r>
              <w:rPr>
                <w:rFonts w:hint="eastAsia" w:ascii="宋体" w:hAnsi="宋体"/>
                <w:color w:val="000000"/>
                <w:szCs w:val="21"/>
              </w:rPr>
              <w:t>19.4.2</w:t>
            </w:r>
          </w:p>
        </w:tc>
        <w:tc>
          <w:tcPr>
            <w:tcW w:w="8010" w:type="dxa"/>
            <w:noWrap w:val="0"/>
            <w:vAlign w:val="center"/>
          </w:tcPr>
          <w:p w14:paraId="1D3DCAF9">
            <w:pPr>
              <w:spacing w:line="380" w:lineRule="exact"/>
              <w:rPr>
                <w:rFonts w:ascii="宋体" w:hAnsi="宋体"/>
                <w:b/>
                <w:bCs/>
                <w:color w:val="000000"/>
                <w:szCs w:val="21"/>
              </w:rPr>
            </w:pPr>
            <w:r>
              <w:rPr>
                <w:rFonts w:hint="eastAsia" w:ascii="宋体" w:hAnsi="宋体"/>
                <w:b/>
                <w:bCs/>
                <w:color w:val="000000"/>
                <w:szCs w:val="21"/>
              </w:rPr>
              <w:t>磋商前准备：</w:t>
            </w:r>
          </w:p>
          <w:p w14:paraId="3D76FDED">
            <w:pPr>
              <w:spacing w:line="380" w:lineRule="exact"/>
              <w:rPr>
                <w:rFonts w:ascii="宋体" w:hAnsi="宋体"/>
                <w:color w:val="000000"/>
                <w:szCs w:val="21"/>
              </w:rPr>
            </w:pPr>
            <w:r>
              <w:rPr>
                <w:rFonts w:hint="eastAsia" w:ascii="宋体" w:hAnsi="宋体"/>
                <w:color w:val="000000"/>
                <w:szCs w:val="21"/>
              </w:rPr>
              <w:t>1、</w:t>
            </w:r>
            <w:r>
              <w:rPr>
                <w:rFonts w:ascii="宋体" w:hAnsi="宋体"/>
                <w:color w:val="000000"/>
                <w:szCs w:val="21"/>
              </w:rPr>
              <w:t>本项目实行网上</w:t>
            </w:r>
            <w:r>
              <w:rPr>
                <w:rFonts w:hint="eastAsia" w:ascii="宋体" w:hAnsi="宋体"/>
                <w:color w:val="000000"/>
                <w:szCs w:val="21"/>
              </w:rPr>
              <w:t>磋商</w:t>
            </w:r>
            <w:r>
              <w:rPr>
                <w:rFonts w:ascii="宋体" w:hAnsi="宋体"/>
                <w:color w:val="000000"/>
                <w:szCs w:val="21"/>
              </w:rPr>
              <w:t>，采用电子</w:t>
            </w:r>
            <w:r>
              <w:rPr>
                <w:rFonts w:hint="eastAsia" w:ascii="宋体" w:hAnsi="宋体"/>
                <w:color w:val="000000"/>
                <w:szCs w:val="21"/>
              </w:rPr>
              <w:t>磋商响应</w:t>
            </w:r>
            <w:r>
              <w:rPr>
                <w:rFonts w:ascii="宋体" w:hAnsi="宋体"/>
                <w:color w:val="000000"/>
                <w:szCs w:val="21"/>
              </w:rPr>
              <w:t>文件。若供应商参与</w:t>
            </w:r>
            <w:r>
              <w:rPr>
                <w:rFonts w:hint="eastAsia" w:ascii="宋体" w:hAnsi="宋体"/>
                <w:color w:val="000000"/>
                <w:szCs w:val="21"/>
              </w:rPr>
              <w:t>磋商</w:t>
            </w:r>
            <w:r>
              <w:rPr>
                <w:rFonts w:ascii="宋体" w:hAnsi="宋体"/>
                <w:color w:val="000000"/>
                <w:szCs w:val="21"/>
              </w:rPr>
              <w:t>，自行承担</w:t>
            </w:r>
            <w:r>
              <w:rPr>
                <w:rFonts w:hint="eastAsia" w:ascii="宋体" w:hAnsi="宋体"/>
                <w:color w:val="000000"/>
                <w:szCs w:val="21"/>
              </w:rPr>
              <w:t>磋商</w:t>
            </w:r>
            <w:r>
              <w:rPr>
                <w:rFonts w:ascii="宋体" w:hAnsi="宋体"/>
                <w:color w:val="000000"/>
                <w:szCs w:val="21"/>
              </w:rPr>
              <w:t>一切费用</w:t>
            </w:r>
            <w:r>
              <w:rPr>
                <w:rFonts w:hint="eastAsia" w:ascii="宋体" w:hAnsi="宋体"/>
                <w:color w:val="000000"/>
                <w:szCs w:val="21"/>
              </w:rPr>
              <w:t>。</w:t>
            </w:r>
          </w:p>
          <w:p w14:paraId="27DF78C1">
            <w:pPr>
              <w:spacing w:line="380" w:lineRule="exact"/>
              <w:rPr>
                <w:rFonts w:ascii="宋体" w:hAnsi="宋体"/>
                <w:color w:val="000000"/>
                <w:szCs w:val="21"/>
              </w:rPr>
            </w:pPr>
            <w:r>
              <w:rPr>
                <w:rFonts w:hint="eastAsia" w:ascii="宋体" w:hAnsi="宋体"/>
                <w:color w:val="000000"/>
                <w:szCs w:val="21"/>
              </w:rPr>
              <w:t>2、</w:t>
            </w:r>
            <w:r>
              <w:rPr>
                <w:rFonts w:ascii="宋体" w:hAnsi="宋体"/>
                <w:color w:val="000000"/>
                <w:szCs w:val="21"/>
              </w:rPr>
              <w:t>各供应商应在</w:t>
            </w:r>
            <w:r>
              <w:rPr>
                <w:rFonts w:hint="eastAsia" w:ascii="宋体" w:hAnsi="宋体"/>
                <w:color w:val="000000"/>
                <w:szCs w:val="21"/>
              </w:rPr>
              <w:t>截</w:t>
            </w:r>
            <w:r>
              <w:rPr>
                <w:rFonts w:ascii="宋体" w:hAnsi="宋体"/>
                <w:color w:val="000000"/>
                <w:szCs w:val="21"/>
              </w:rPr>
              <w:t>标前应确保成为</w:t>
            </w:r>
            <w:r>
              <w:rPr>
                <w:rFonts w:hint="eastAsia" w:ascii="宋体" w:hAnsi="宋体"/>
                <w:color w:val="000000"/>
                <w:szCs w:val="21"/>
              </w:rPr>
              <w:t>政采云平台</w:t>
            </w:r>
            <w:r>
              <w:rPr>
                <w:rFonts w:ascii="宋体" w:hAnsi="宋体"/>
                <w:color w:val="000000"/>
                <w:szCs w:val="21"/>
              </w:rPr>
              <w:t>正式注册入库供应商，并完成CA数字证书</w:t>
            </w:r>
            <w:r>
              <w:rPr>
                <w:rFonts w:hint="eastAsia" w:ascii="宋体" w:hAnsi="宋体"/>
                <w:color w:val="000000"/>
                <w:szCs w:val="21"/>
              </w:rPr>
              <w:t>申领</w:t>
            </w:r>
            <w:r>
              <w:rPr>
                <w:rFonts w:ascii="宋体" w:hAnsi="宋体"/>
                <w:color w:val="000000"/>
                <w:szCs w:val="21"/>
              </w:rPr>
              <w:t>。因未注册入库、未办理CA数字证书等原因造成无法</w:t>
            </w:r>
            <w:r>
              <w:rPr>
                <w:rFonts w:hint="eastAsia" w:ascii="宋体" w:hAnsi="宋体"/>
                <w:color w:val="000000"/>
                <w:szCs w:val="21"/>
              </w:rPr>
              <w:t>磋商</w:t>
            </w:r>
            <w:r>
              <w:rPr>
                <w:rFonts w:ascii="宋体" w:hAnsi="宋体"/>
                <w:color w:val="000000"/>
                <w:szCs w:val="21"/>
              </w:rPr>
              <w:t>或</w:t>
            </w:r>
            <w:r>
              <w:rPr>
                <w:rFonts w:hint="eastAsia" w:ascii="宋体" w:hAnsi="宋体"/>
                <w:color w:val="000000"/>
                <w:szCs w:val="21"/>
              </w:rPr>
              <w:t>磋商</w:t>
            </w:r>
            <w:r>
              <w:rPr>
                <w:rFonts w:ascii="宋体" w:hAnsi="宋体"/>
                <w:color w:val="000000"/>
                <w:szCs w:val="21"/>
              </w:rPr>
              <w:t>失败等后果由供应商自行承担。</w:t>
            </w:r>
          </w:p>
          <w:p w14:paraId="6E7F93FF">
            <w:pPr>
              <w:spacing w:line="380" w:lineRule="exact"/>
              <w:rPr>
                <w:rFonts w:ascii="宋体" w:hAnsi="宋体"/>
                <w:color w:val="000000"/>
                <w:szCs w:val="21"/>
              </w:rPr>
            </w:pPr>
            <w:r>
              <w:rPr>
                <w:rFonts w:hint="eastAsia" w:ascii="宋体" w:hAnsi="宋体"/>
                <w:color w:val="000000"/>
                <w:szCs w:val="21"/>
              </w:rPr>
              <w:t>3、</w:t>
            </w:r>
            <w:r>
              <w:rPr>
                <w:rFonts w:ascii="宋体" w:hAnsi="宋体"/>
                <w:color w:val="000000"/>
                <w:szCs w:val="21"/>
              </w:rPr>
              <w:t>供应商将政采云电子交易客户端下载、安装完成后，可通过账号密码或CA登录客户端进行</w:t>
            </w:r>
            <w:r>
              <w:rPr>
                <w:rFonts w:hint="eastAsia" w:ascii="宋体" w:hAnsi="宋体"/>
                <w:color w:val="000000"/>
                <w:szCs w:val="21"/>
              </w:rPr>
              <w:t>响应文件</w:t>
            </w:r>
            <w:r>
              <w:rPr>
                <w:rFonts w:ascii="宋体" w:hAnsi="宋体"/>
                <w:color w:val="000000"/>
                <w:szCs w:val="21"/>
              </w:rPr>
              <w:t>制作。</w:t>
            </w:r>
            <w:r>
              <w:rPr>
                <w:rFonts w:hint="eastAsia" w:ascii="宋体" w:hAnsi="宋体"/>
                <w:color w:val="000000"/>
                <w:szCs w:val="21"/>
              </w:rPr>
              <w:t>客户端请至网站下载专区查看，如有问题可拨打政采云客户服务热线4</w:t>
            </w:r>
            <w:r>
              <w:rPr>
                <w:rFonts w:ascii="宋体" w:hAnsi="宋体"/>
                <w:color w:val="000000"/>
                <w:szCs w:val="21"/>
              </w:rPr>
              <w:t>00-881-7190</w:t>
            </w:r>
            <w:r>
              <w:rPr>
                <w:rFonts w:hint="eastAsia" w:ascii="宋体" w:hAnsi="宋体"/>
                <w:color w:val="000000"/>
                <w:szCs w:val="21"/>
              </w:rPr>
              <w:t>进行咨询。</w:t>
            </w:r>
          </w:p>
          <w:p w14:paraId="45ED27C0">
            <w:pPr>
              <w:spacing w:line="380" w:lineRule="exact"/>
              <w:rPr>
                <w:rFonts w:ascii="宋体" w:hAnsi="宋体"/>
                <w:b/>
                <w:bCs/>
                <w:color w:val="000000"/>
                <w:szCs w:val="21"/>
              </w:rPr>
            </w:pPr>
            <w:r>
              <w:rPr>
                <w:rFonts w:hint="eastAsia" w:ascii="宋体" w:hAnsi="宋体"/>
                <w:b/>
                <w:bCs/>
                <w:color w:val="000000"/>
                <w:szCs w:val="21"/>
              </w:rPr>
              <w:t>磋商响应文件解密时间：</w:t>
            </w:r>
          </w:p>
          <w:p w14:paraId="14C43E5A">
            <w:pPr>
              <w:spacing w:line="360" w:lineRule="auto"/>
              <w:rPr>
                <w:rFonts w:hint="eastAsia" w:ascii="宋体" w:hAnsi="宋体"/>
                <w:color w:val="000000"/>
                <w:szCs w:val="21"/>
              </w:rPr>
            </w:pPr>
            <w:r>
              <w:rPr>
                <w:rFonts w:hint="eastAsia" w:ascii="宋体" w:hAnsi="宋体"/>
                <w:color w:val="000000"/>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14:paraId="6A28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39" w:type="dxa"/>
            <w:noWrap w:val="0"/>
            <w:vAlign w:val="center"/>
          </w:tcPr>
          <w:p w14:paraId="31753260">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15</w:t>
            </w:r>
          </w:p>
        </w:tc>
        <w:tc>
          <w:tcPr>
            <w:tcW w:w="1126" w:type="dxa"/>
            <w:noWrap w:val="0"/>
            <w:vAlign w:val="center"/>
          </w:tcPr>
          <w:p w14:paraId="49602CA9">
            <w:pPr>
              <w:spacing w:line="360" w:lineRule="auto"/>
              <w:jc w:val="center"/>
              <w:rPr>
                <w:rFonts w:hint="eastAsia" w:ascii="宋体" w:hAnsi="宋体"/>
                <w:color w:val="000000"/>
                <w:szCs w:val="21"/>
              </w:rPr>
            </w:pPr>
            <w:r>
              <w:rPr>
                <w:rFonts w:hint="eastAsia" w:ascii="宋体" w:hAnsi="宋体"/>
                <w:color w:val="000000"/>
                <w:szCs w:val="21"/>
              </w:rPr>
              <w:t>28</w:t>
            </w:r>
          </w:p>
        </w:tc>
        <w:tc>
          <w:tcPr>
            <w:tcW w:w="8010" w:type="dxa"/>
            <w:noWrap w:val="0"/>
            <w:vAlign w:val="center"/>
          </w:tcPr>
          <w:p w14:paraId="751C306F">
            <w:pPr>
              <w:spacing w:line="360" w:lineRule="auto"/>
              <w:rPr>
                <w:rFonts w:hint="eastAsia" w:ascii="宋体" w:hAnsi="宋体"/>
                <w:color w:val="000000"/>
                <w:szCs w:val="21"/>
              </w:rPr>
            </w:pPr>
            <w:r>
              <w:rPr>
                <w:rFonts w:hint="eastAsia" w:ascii="宋体" w:hAnsi="宋体"/>
                <w:color w:val="000000"/>
                <w:szCs w:val="21"/>
              </w:rPr>
              <w:t>履约保证金金额：无磋商主要内容及程序：</w:t>
            </w:r>
          </w:p>
        </w:tc>
      </w:tr>
      <w:tr w14:paraId="34DB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2111F50B">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16</w:t>
            </w:r>
          </w:p>
        </w:tc>
        <w:tc>
          <w:tcPr>
            <w:tcW w:w="1126" w:type="dxa"/>
            <w:noWrap w:val="0"/>
            <w:vAlign w:val="center"/>
          </w:tcPr>
          <w:p w14:paraId="1384B34F">
            <w:pPr>
              <w:spacing w:line="360" w:lineRule="auto"/>
              <w:jc w:val="center"/>
              <w:rPr>
                <w:rFonts w:hint="eastAsia" w:ascii="宋体" w:hAnsi="宋体"/>
                <w:color w:val="000000"/>
                <w:szCs w:val="21"/>
              </w:rPr>
            </w:pPr>
          </w:p>
        </w:tc>
        <w:tc>
          <w:tcPr>
            <w:tcW w:w="8010" w:type="dxa"/>
            <w:noWrap w:val="0"/>
            <w:vAlign w:val="center"/>
          </w:tcPr>
          <w:p w14:paraId="59EFD6FE">
            <w:pPr>
              <w:snapToGrid w:val="0"/>
              <w:spacing w:line="360" w:lineRule="auto"/>
              <w:textAlignment w:val="bottom"/>
              <w:rPr>
                <w:rFonts w:hint="eastAsia" w:ascii="宋体" w:hAnsi="宋体"/>
                <w:color w:val="000000"/>
                <w:szCs w:val="21"/>
              </w:rPr>
            </w:pPr>
            <w:r>
              <w:rPr>
                <w:rFonts w:hint="eastAsia" w:ascii="宋体" w:hAnsi="宋体"/>
                <w:color w:val="000000"/>
                <w:szCs w:val="21"/>
              </w:rPr>
              <w:t xml:space="preserve">1. 技术要求、服务要求以及合同草案条款，其中磋商供应商资格条件和标注★号的条款除外； </w:t>
            </w:r>
          </w:p>
          <w:p w14:paraId="20027FF9">
            <w:pPr>
              <w:autoSpaceDE w:val="0"/>
              <w:autoSpaceDN w:val="0"/>
              <w:snapToGrid w:val="0"/>
              <w:spacing w:line="360" w:lineRule="auto"/>
              <w:textAlignment w:val="bottom"/>
              <w:rPr>
                <w:rFonts w:hint="eastAsia" w:ascii="宋体" w:hAnsi="宋体"/>
                <w:color w:val="000000"/>
                <w:szCs w:val="21"/>
              </w:rPr>
            </w:pPr>
            <w:r>
              <w:rPr>
                <w:rFonts w:hint="eastAsia" w:ascii="宋体" w:hAnsi="宋体"/>
                <w:color w:val="000000"/>
                <w:szCs w:val="21"/>
              </w:rPr>
              <w:t>2、实质性变动的内容，须经采购人确认。</w:t>
            </w:r>
          </w:p>
        </w:tc>
      </w:tr>
      <w:tr w14:paraId="3AA8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9" w:type="dxa"/>
            <w:noWrap w:val="0"/>
            <w:vAlign w:val="center"/>
          </w:tcPr>
          <w:p w14:paraId="57CB5552">
            <w:pPr>
              <w:numPr>
                <w:ilvl w:val="0"/>
                <w:numId w:val="0"/>
              </w:numPr>
              <w:spacing w:line="360" w:lineRule="auto"/>
              <w:ind w:left="420" w:leftChars="0" w:hanging="420" w:firstLineChars="0"/>
              <w:jc w:val="center"/>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17</w:t>
            </w:r>
          </w:p>
        </w:tc>
        <w:tc>
          <w:tcPr>
            <w:tcW w:w="1126" w:type="dxa"/>
            <w:noWrap w:val="0"/>
            <w:vAlign w:val="center"/>
          </w:tcPr>
          <w:p w14:paraId="37BEB502">
            <w:pPr>
              <w:spacing w:line="360" w:lineRule="auto"/>
              <w:jc w:val="center"/>
              <w:rPr>
                <w:rFonts w:hint="eastAsia" w:ascii="宋体" w:hAnsi="宋体"/>
                <w:color w:val="000000"/>
                <w:szCs w:val="21"/>
              </w:rPr>
            </w:pPr>
            <w:r>
              <w:rPr>
                <w:rFonts w:hint="eastAsia" w:ascii="宋体" w:hAnsi="宋体"/>
                <w:color w:val="000000"/>
                <w:szCs w:val="21"/>
              </w:rPr>
              <w:t>其他内容</w:t>
            </w:r>
          </w:p>
        </w:tc>
        <w:tc>
          <w:tcPr>
            <w:tcW w:w="8010" w:type="dxa"/>
            <w:noWrap w:val="0"/>
            <w:vAlign w:val="center"/>
          </w:tcPr>
          <w:p w14:paraId="456E423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的“公章”是指根据我国对公章的管理规定，用</w:t>
            </w:r>
            <w:r>
              <w:rPr>
                <w:rFonts w:hint="eastAsia" w:ascii="宋体" w:hAnsi="宋体" w:cs="宋体"/>
                <w:color w:val="000000"/>
                <w:szCs w:val="21"/>
              </w:rPr>
              <w:t>供应商</w:t>
            </w:r>
            <w:r>
              <w:rPr>
                <w:rFonts w:ascii="宋体" w:hAnsi="宋体" w:cs="宋体"/>
                <w:color w:val="000000"/>
                <w:szCs w:val="21"/>
              </w:rPr>
              <w:t>法定主体行为名称制作的印章，除本文件有特殊规定外，</w:t>
            </w:r>
            <w:r>
              <w:rPr>
                <w:rFonts w:hint="eastAsia" w:ascii="宋体" w:hAnsi="宋体" w:cs="宋体"/>
                <w:color w:val="000000"/>
                <w:szCs w:val="21"/>
              </w:rPr>
              <w:t>供应商</w:t>
            </w:r>
            <w:r>
              <w:rPr>
                <w:rFonts w:ascii="宋体" w:hAnsi="宋体" w:cs="宋体"/>
                <w:color w:val="000000"/>
                <w:szCs w:val="21"/>
              </w:rPr>
              <w:t>的财务章、部门章、分公司章、工会章、合同章、投标专用章、业务专用章及银行的转账章、现金收讫章、现金付讫章等其它形式印章均不能代替公章。</w:t>
            </w:r>
          </w:p>
          <w:p w14:paraId="09FE3702">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2. </w:t>
            </w:r>
            <w:r>
              <w:rPr>
                <w:rFonts w:ascii="宋体" w:hAnsi="宋体" w:cs="宋体"/>
                <w:color w:val="000000"/>
                <w:szCs w:val="21"/>
              </w:rPr>
              <w:t>本文件中描述</w:t>
            </w:r>
            <w:r>
              <w:rPr>
                <w:rFonts w:hint="eastAsia" w:ascii="宋体" w:hAnsi="宋体" w:cs="宋体"/>
                <w:color w:val="000000"/>
                <w:szCs w:val="21"/>
              </w:rPr>
              <w:t>供应商</w:t>
            </w:r>
            <w:r>
              <w:rPr>
                <w:rFonts w:ascii="宋体" w:hAnsi="宋体" w:cs="宋体"/>
                <w:color w:val="000000"/>
                <w:szCs w:val="21"/>
              </w:rPr>
              <w:t>的“</w:t>
            </w:r>
            <w:r>
              <w:rPr>
                <w:rFonts w:hint="eastAsia" w:ascii="宋体" w:hAnsi="宋体" w:cs="宋体"/>
                <w:color w:val="000000"/>
                <w:szCs w:val="21"/>
              </w:rPr>
              <w:t>签字</w:t>
            </w:r>
            <w:r>
              <w:rPr>
                <w:rFonts w:ascii="宋体" w:hAnsi="宋体" w:cs="宋体"/>
                <w:color w:val="000000"/>
                <w:szCs w:val="21"/>
              </w:rPr>
              <w:t>”是指</w:t>
            </w:r>
            <w:r>
              <w:rPr>
                <w:rFonts w:hint="eastAsia" w:ascii="宋体" w:hAnsi="宋体" w:cs="宋体"/>
                <w:color w:val="000000"/>
                <w:szCs w:val="21"/>
              </w:rPr>
              <w:t>供应商的法定代表人或被授权人亲自在磋商文件规定签署处亲笔写上个人的名字的行为，私章、签字章、印鉴、影印等其它形式</w:t>
            </w:r>
            <w:r>
              <w:rPr>
                <w:rFonts w:ascii="宋体" w:hAnsi="宋体" w:cs="宋体"/>
                <w:color w:val="000000"/>
                <w:szCs w:val="21"/>
              </w:rPr>
              <w:t>均不能代替</w:t>
            </w:r>
            <w:r>
              <w:rPr>
                <w:rFonts w:hint="eastAsia" w:ascii="宋体" w:hAnsi="宋体" w:cs="宋体"/>
                <w:color w:val="000000"/>
                <w:szCs w:val="21"/>
              </w:rPr>
              <w:t>亲笔签字</w:t>
            </w:r>
            <w:r>
              <w:rPr>
                <w:rFonts w:ascii="宋体" w:hAnsi="宋体" w:cs="宋体"/>
                <w:color w:val="000000"/>
                <w:szCs w:val="21"/>
              </w:rPr>
              <w:t>。</w:t>
            </w:r>
          </w:p>
        </w:tc>
      </w:tr>
    </w:tbl>
    <w:p w14:paraId="31281D4E">
      <w:pPr>
        <w:pStyle w:val="44"/>
        <w:outlineLvl w:val="0"/>
      </w:pPr>
      <w:r>
        <w:br w:type="page"/>
      </w:r>
      <w:r>
        <w:t>供应商须知</w:t>
      </w:r>
    </w:p>
    <w:p w14:paraId="01AF47D2">
      <w:pPr>
        <w:pStyle w:val="2"/>
        <w:numPr>
          <w:ilvl w:val="0"/>
          <w:numId w:val="10"/>
        </w:numPr>
        <w:topLinePunct w:val="0"/>
        <w:ind w:left="0" w:leftChars="0" w:firstLine="0" w:firstLineChars="0"/>
        <w:rPr>
          <w:b/>
        </w:rPr>
      </w:pPr>
      <w:r>
        <w:t>总　则</w:t>
      </w:r>
    </w:p>
    <w:p w14:paraId="0AA27F40">
      <w:pPr>
        <w:pStyle w:val="3"/>
        <w:numPr>
          <w:ilvl w:val="0"/>
          <w:numId w:val="11"/>
        </w:numPr>
        <w:tabs>
          <w:tab w:val="left" w:pos="420"/>
          <w:tab w:val="clear" w:pos="482"/>
        </w:tabs>
        <w:ind w:left="0" w:leftChars="0" w:firstLine="482" w:firstLineChars="0"/>
        <w:rPr>
          <w:b/>
        </w:rPr>
      </w:pPr>
      <w:r>
        <w:t>适用范围</w:t>
      </w:r>
    </w:p>
    <w:p w14:paraId="6AA352A8">
      <w:pPr>
        <w:pStyle w:val="11"/>
        <w:numPr>
          <w:ilvl w:val="0"/>
          <w:numId w:val="12"/>
        </w:numPr>
        <w:tabs>
          <w:tab w:val="left" w:pos="0"/>
        </w:tabs>
        <w:ind w:left="0" w:leftChars="0" w:firstLine="482" w:firstLineChars="0"/>
        <w:rPr>
          <w:color w:val="000000"/>
        </w:rPr>
      </w:pPr>
      <w:r>
        <w:rPr>
          <w:color w:val="000000"/>
        </w:rPr>
        <w:t>本竞争性磋商采购文件根据《中华人民共和国政府采购法》及相关法律法规编制，仅适用于本文件中所叙述的工程、货物或服务类采购项目。</w:t>
      </w:r>
    </w:p>
    <w:p w14:paraId="520BBA42">
      <w:pPr>
        <w:pStyle w:val="3"/>
        <w:numPr>
          <w:ilvl w:val="0"/>
          <w:numId w:val="11"/>
        </w:numPr>
        <w:tabs>
          <w:tab w:val="clear" w:pos="482"/>
        </w:tabs>
        <w:ind w:left="0" w:leftChars="0" w:firstLine="482" w:firstLineChars="0"/>
        <w:rPr>
          <w:b/>
        </w:rPr>
      </w:pPr>
      <w:r>
        <w:t>定义</w:t>
      </w:r>
    </w:p>
    <w:p w14:paraId="2AC089AE">
      <w:pPr>
        <w:pStyle w:val="11"/>
        <w:numPr>
          <w:ilvl w:val="0"/>
          <w:numId w:val="13"/>
        </w:numPr>
        <w:tabs>
          <w:tab w:val="left" w:pos="0"/>
        </w:tabs>
        <w:ind w:left="0" w:leftChars="0" w:firstLine="482" w:firstLineChars="0"/>
        <w:rPr>
          <w:b w:val="0"/>
          <w:color w:val="000000"/>
        </w:rPr>
      </w:pPr>
      <w:r>
        <w:rPr>
          <w:color w:val="000000"/>
        </w:rPr>
        <w:t>竞争性磋商采购人：是指获得资金、贷款的国家机关、企事业单位或者其他社会组织。本项目竞争性磋商采购人特指：</w:t>
      </w:r>
      <w:r>
        <w:t>上思县农业农村局</w:t>
      </w:r>
      <w:r>
        <w:rPr>
          <w:color w:val="000000"/>
        </w:rPr>
        <w:t>。</w:t>
      </w:r>
    </w:p>
    <w:p w14:paraId="30AA00B8">
      <w:pPr>
        <w:pStyle w:val="11"/>
        <w:numPr>
          <w:ilvl w:val="0"/>
          <w:numId w:val="13"/>
        </w:numPr>
        <w:tabs>
          <w:tab w:val="left" w:pos="0"/>
        </w:tabs>
        <w:ind w:left="0" w:leftChars="0" w:firstLine="482" w:firstLineChars="0"/>
        <w:rPr>
          <w:b w:val="0"/>
          <w:color w:val="000000"/>
        </w:rPr>
      </w:pPr>
      <w:r>
        <w:rPr>
          <w:color w:val="000000"/>
        </w:rPr>
        <w:t>竞争性磋商采购代理机构：竞争性磋商采购代理机构是指依法取得采购代理资格、从事竞争性磋商采购代理业务并提供相关服务的专门机构。本竞争性磋商文件的竞争性磋商采购代理机构特指：</w:t>
      </w:r>
      <w:r>
        <w:rPr>
          <w:rFonts w:hint="eastAsia"/>
          <w:color w:val="000000"/>
          <w:lang w:eastAsia="zh-CN"/>
        </w:rPr>
        <w:t>广西国立工程咨询有限公司</w:t>
      </w:r>
      <w:r>
        <w:rPr>
          <w:color w:val="000000"/>
        </w:rPr>
        <w:t>　。</w:t>
      </w:r>
    </w:p>
    <w:p w14:paraId="75C437E2">
      <w:pPr>
        <w:pStyle w:val="11"/>
        <w:numPr>
          <w:ilvl w:val="0"/>
          <w:numId w:val="13"/>
        </w:numPr>
        <w:tabs>
          <w:tab w:val="left" w:pos="0"/>
        </w:tabs>
        <w:ind w:left="0" w:leftChars="0" w:firstLine="482" w:firstLineChars="0"/>
        <w:rPr>
          <w:b w:val="0"/>
          <w:color w:val="000000"/>
        </w:rPr>
      </w:pPr>
      <w:r>
        <w:rPr>
          <w:color w:val="000000"/>
        </w:rPr>
        <w:t>供应商：指已经报名，且响应本竞争性磋商文件要求、能提供本工程所必需的设施、人员和专业技术能力且具有独立法人资格的法人单位或其他组织。</w:t>
      </w:r>
    </w:p>
    <w:p w14:paraId="52232B09">
      <w:pPr>
        <w:pStyle w:val="11"/>
        <w:numPr>
          <w:ilvl w:val="0"/>
          <w:numId w:val="13"/>
        </w:numPr>
        <w:tabs>
          <w:tab w:val="left" w:pos="0"/>
        </w:tabs>
        <w:ind w:left="0" w:leftChars="0" w:firstLine="482" w:firstLineChars="0"/>
        <w:rPr>
          <w:b w:val="0"/>
          <w:color w:val="000000"/>
        </w:rPr>
      </w:pPr>
      <w:r>
        <w:rPr>
          <w:color w:val="000000"/>
        </w:rPr>
        <w:t>日期：如无特别说明，均指公历日。</w:t>
      </w:r>
    </w:p>
    <w:p w14:paraId="133B1E0A">
      <w:pPr>
        <w:pStyle w:val="11"/>
        <w:numPr>
          <w:ilvl w:val="0"/>
          <w:numId w:val="13"/>
        </w:numPr>
        <w:tabs>
          <w:tab w:val="left" w:pos="0"/>
        </w:tabs>
        <w:ind w:left="0" w:leftChars="0" w:firstLine="482" w:firstLineChars="0"/>
        <w:rPr>
          <w:b w:val="0"/>
          <w:color w:val="000000"/>
        </w:rPr>
      </w:pPr>
      <w:r>
        <w:rPr>
          <w:color w:val="000000"/>
        </w:rPr>
        <w:t>合同：指采购人与成交供应商双方按合同格式签署的书面协议，包括所有的附件、附录及双方认可的其它相关书面文件。</w:t>
      </w:r>
    </w:p>
    <w:p w14:paraId="25FCAAE7">
      <w:pPr>
        <w:pStyle w:val="11"/>
        <w:numPr>
          <w:ilvl w:val="0"/>
          <w:numId w:val="13"/>
        </w:numPr>
        <w:tabs>
          <w:tab w:val="left" w:pos="0"/>
        </w:tabs>
        <w:ind w:left="0" w:leftChars="0" w:firstLine="482" w:firstLineChars="0"/>
        <w:rPr>
          <w:b w:val="0"/>
          <w:color w:val="000000"/>
        </w:rPr>
      </w:pPr>
      <w:r>
        <w:rPr>
          <w:color w:val="000000"/>
        </w:rPr>
        <w:t>政府采购信息发布媒体：与本项目相关的政府采购业务信息（包括竞争性磋商采购公告、成交公告及其更正事项等）将在以下媒体上发布：中国政府采购网、广西壮族自治区政府采购网、全国公共资源交易平台（广西·防城港）上发布。</w:t>
      </w:r>
    </w:p>
    <w:p w14:paraId="21FC6D6D">
      <w:pPr>
        <w:pStyle w:val="3"/>
        <w:numPr>
          <w:ilvl w:val="0"/>
          <w:numId w:val="11"/>
        </w:numPr>
        <w:tabs>
          <w:tab w:val="clear" w:pos="482"/>
        </w:tabs>
        <w:ind w:left="0" w:leftChars="0" w:firstLine="482" w:firstLineChars="0"/>
        <w:rPr>
          <w:b/>
        </w:rPr>
      </w:pPr>
      <w:r>
        <w:t>供应商资格要求</w:t>
      </w:r>
    </w:p>
    <w:p w14:paraId="710F8769">
      <w:pPr>
        <w:pStyle w:val="11"/>
        <w:numPr>
          <w:ilvl w:val="0"/>
          <w:numId w:val="14"/>
        </w:numPr>
        <w:ind w:left="0" w:leftChars="0" w:firstLine="480" w:firstLineChars="0"/>
        <w:rPr>
          <w:b w:val="0"/>
          <w:color w:val="000000"/>
        </w:rPr>
      </w:pPr>
      <w:r>
        <w:rPr>
          <w:color w:val="000000"/>
        </w:rPr>
        <w:t>供应商的基本条件：见本须知前附表。</w:t>
      </w:r>
    </w:p>
    <w:p w14:paraId="73E05E7C">
      <w:pPr>
        <w:pStyle w:val="11"/>
        <w:numPr>
          <w:ilvl w:val="0"/>
          <w:numId w:val="14"/>
        </w:numPr>
        <w:ind w:left="0" w:leftChars="0" w:firstLine="480" w:firstLineChars="0"/>
        <w:rPr>
          <w:b w:val="0"/>
          <w:color w:val="000000"/>
        </w:rPr>
      </w:pPr>
      <w:r>
        <w:rPr>
          <w:color w:val="000000"/>
        </w:rPr>
        <w:t>供应商不得存在下列情形之一：</w:t>
      </w:r>
    </w:p>
    <w:p w14:paraId="04DBCC44">
      <w:pPr>
        <w:pStyle w:val="11"/>
        <w:numPr>
          <w:ilvl w:val="0"/>
          <w:numId w:val="15"/>
        </w:numPr>
        <w:topLinePunct w:val="0"/>
        <w:ind w:left="0" w:leftChars="0" w:firstLine="480" w:firstLineChars="0"/>
        <w:rPr>
          <w:b w:val="0"/>
          <w:color w:val="000000"/>
        </w:rPr>
      </w:pPr>
      <w:r>
        <w:rPr>
          <w:color w:val="000000"/>
        </w:rPr>
        <w:t>不具有独立法人资格的附属机构（单位）；</w:t>
      </w:r>
    </w:p>
    <w:p w14:paraId="1B7BDAB9">
      <w:pPr>
        <w:pStyle w:val="11"/>
        <w:numPr>
          <w:ilvl w:val="0"/>
          <w:numId w:val="15"/>
        </w:numPr>
        <w:topLinePunct w:val="0"/>
        <w:ind w:left="0" w:leftChars="0" w:firstLine="480" w:firstLineChars="0"/>
        <w:rPr>
          <w:b w:val="0"/>
          <w:color w:val="000000"/>
        </w:rPr>
      </w:pPr>
      <w:r>
        <w:rPr>
          <w:color w:val="000000"/>
        </w:rPr>
        <w:t>为本项目前期准备提供设计或咨询服务的，但设计施工总承包的除外；</w:t>
      </w:r>
    </w:p>
    <w:p w14:paraId="4D43DE35">
      <w:pPr>
        <w:pStyle w:val="11"/>
        <w:numPr>
          <w:ilvl w:val="0"/>
          <w:numId w:val="15"/>
        </w:numPr>
        <w:topLinePunct w:val="0"/>
        <w:ind w:left="0" w:leftChars="0" w:firstLine="480" w:firstLineChars="0"/>
        <w:rPr>
          <w:b w:val="0"/>
          <w:color w:val="000000"/>
        </w:rPr>
      </w:pPr>
      <w:r>
        <w:rPr>
          <w:color w:val="000000"/>
        </w:rPr>
        <w:t>为本项目的监理人；</w:t>
      </w:r>
    </w:p>
    <w:p w14:paraId="56047F93">
      <w:pPr>
        <w:pStyle w:val="11"/>
        <w:numPr>
          <w:ilvl w:val="0"/>
          <w:numId w:val="15"/>
        </w:numPr>
        <w:topLinePunct w:val="0"/>
        <w:ind w:left="0" w:leftChars="0" w:firstLine="480" w:firstLineChars="0"/>
        <w:rPr>
          <w:b w:val="0"/>
          <w:color w:val="000000"/>
        </w:rPr>
      </w:pPr>
      <w:r>
        <w:rPr>
          <w:color w:val="000000"/>
        </w:rPr>
        <w:t>为本项目的代建人；</w:t>
      </w:r>
    </w:p>
    <w:p w14:paraId="445E9968">
      <w:pPr>
        <w:pStyle w:val="11"/>
        <w:numPr>
          <w:ilvl w:val="0"/>
          <w:numId w:val="15"/>
        </w:numPr>
        <w:topLinePunct w:val="0"/>
        <w:ind w:left="0" w:leftChars="0" w:firstLine="480" w:firstLineChars="0"/>
        <w:rPr>
          <w:b w:val="0"/>
          <w:color w:val="000000"/>
        </w:rPr>
      </w:pPr>
      <w:r>
        <w:rPr>
          <w:color w:val="000000"/>
        </w:rPr>
        <w:t>为本项目提供采购代理服务的；</w:t>
      </w:r>
    </w:p>
    <w:p w14:paraId="6FF11F1C">
      <w:pPr>
        <w:pStyle w:val="11"/>
        <w:numPr>
          <w:ilvl w:val="0"/>
          <w:numId w:val="15"/>
        </w:numPr>
        <w:topLinePunct w:val="0"/>
        <w:ind w:left="0" w:leftChars="0" w:firstLine="480" w:firstLineChars="0"/>
        <w:rPr>
          <w:b w:val="0"/>
          <w:color w:val="000000"/>
        </w:rPr>
      </w:pPr>
      <w:r>
        <w:rPr>
          <w:color w:val="000000"/>
        </w:rPr>
        <w:t>与本项目的监理人或代建人或采购代理机构同为一个法定代表人的；</w:t>
      </w:r>
    </w:p>
    <w:p w14:paraId="7E42D1ED">
      <w:pPr>
        <w:pStyle w:val="11"/>
        <w:numPr>
          <w:ilvl w:val="0"/>
          <w:numId w:val="15"/>
        </w:numPr>
        <w:topLinePunct w:val="0"/>
        <w:ind w:left="0" w:leftChars="0" w:firstLine="480" w:firstLineChars="0"/>
        <w:rPr>
          <w:b w:val="0"/>
          <w:color w:val="000000"/>
        </w:rPr>
      </w:pPr>
      <w:r>
        <w:rPr>
          <w:color w:val="000000"/>
        </w:rPr>
        <w:t>与本项目的监理人或代建人或采购代理机构相互控股或参股的；</w:t>
      </w:r>
    </w:p>
    <w:p w14:paraId="6D71FF0E">
      <w:pPr>
        <w:pStyle w:val="11"/>
        <w:numPr>
          <w:ilvl w:val="0"/>
          <w:numId w:val="15"/>
        </w:numPr>
        <w:topLinePunct w:val="0"/>
        <w:ind w:left="0" w:leftChars="0" w:firstLine="480" w:firstLineChars="0"/>
        <w:rPr>
          <w:b w:val="0"/>
          <w:color w:val="000000"/>
        </w:rPr>
      </w:pPr>
      <w:r>
        <w:rPr>
          <w:color w:val="000000"/>
        </w:rPr>
        <w:t>与本项目的监理人或代建人或采购代理机构相互任职或工作的；</w:t>
      </w:r>
    </w:p>
    <w:p w14:paraId="08A1F86D">
      <w:pPr>
        <w:pStyle w:val="11"/>
        <w:numPr>
          <w:ilvl w:val="0"/>
          <w:numId w:val="15"/>
        </w:numPr>
        <w:topLinePunct w:val="0"/>
        <w:ind w:left="0" w:leftChars="0" w:firstLine="480" w:firstLineChars="0"/>
        <w:rPr>
          <w:b w:val="0"/>
          <w:color w:val="000000"/>
        </w:rPr>
      </w:pPr>
      <w:r>
        <w:rPr>
          <w:color w:val="000000"/>
        </w:rPr>
        <w:t>被责令停业整顿的；</w:t>
      </w:r>
    </w:p>
    <w:p w14:paraId="6ED2E14F">
      <w:pPr>
        <w:pStyle w:val="11"/>
        <w:numPr>
          <w:ilvl w:val="0"/>
          <w:numId w:val="15"/>
        </w:numPr>
        <w:topLinePunct w:val="0"/>
        <w:ind w:left="0" w:leftChars="0" w:firstLine="480" w:firstLineChars="0"/>
        <w:rPr>
          <w:b w:val="0"/>
          <w:color w:val="000000"/>
        </w:rPr>
      </w:pPr>
      <w:r>
        <w:rPr>
          <w:color w:val="000000"/>
        </w:rPr>
        <w:t>被暂停或取消磋商资格的；</w:t>
      </w:r>
    </w:p>
    <w:p w14:paraId="57E1A5C6">
      <w:pPr>
        <w:pStyle w:val="11"/>
        <w:numPr>
          <w:ilvl w:val="0"/>
          <w:numId w:val="15"/>
        </w:numPr>
        <w:topLinePunct w:val="0"/>
        <w:ind w:left="0" w:leftChars="0" w:firstLine="480" w:firstLineChars="0"/>
        <w:rPr>
          <w:b w:val="0"/>
          <w:color w:val="000000"/>
        </w:rPr>
      </w:pPr>
      <w:r>
        <w:rPr>
          <w:color w:val="000000"/>
        </w:rPr>
        <w:t>财产被接管或冻结的；</w:t>
      </w:r>
    </w:p>
    <w:p w14:paraId="5B5AA3E5">
      <w:pPr>
        <w:pStyle w:val="11"/>
        <w:numPr>
          <w:ilvl w:val="0"/>
          <w:numId w:val="15"/>
        </w:numPr>
        <w:topLinePunct w:val="0"/>
        <w:ind w:left="0" w:leftChars="0" w:firstLine="480" w:firstLineChars="0"/>
        <w:rPr>
          <w:b w:val="0"/>
          <w:color w:val="000000"/>
        </w:rPr>
      </w:pPr>
      <w:r>
        <w:rPr>
          <w:color w:val="000000"/>
        </w:rPr>
        <w:t>有骗取中标或严重违约或工程质量安全问题，正处在停业整顿或暂停磋商期间的。</w:t>
      </w:r>
    </w:p>
    <w:p w14:paraId="052A6E35">
      <w:pPr>
        <w:pStyle w:val="3"/>
        <w:numPr>
          <w:ilvl w:val="0"/>
          <w:numId w:val="11"/>
        </w:numPr>
        <w:tabs>
          <w:tab w:val="clear" w:pos="482"/>
        </w:tabs>
        <w:ind w:left="0" w:leftChars="0" w:firstLine="482" w:firstLineChars="0"/>
        <w:rPr>
          <w:b/>
        </w:rPr>
      </w:pPr>
      <w:r>
        <w:t>磋商费用</w:t>
      </w:r>
    </w:p>
    <w:p w14:paraId="23491F1B">
      <w:pPr>
        <w:pStyle w:val="11"/>
        <w:numPr>
          <w:ilvl w:val="0"/>
          <w:numId w:val="16"/>
        </w:numPr>
        <w:ind w:left="0" w:leftChars="0" w:firstLine="480" w:firstLineChars="0"/>
        <w:rPr>
          <w:b w:val="0"/>
          <w:color w:val="000000"/>
        </w:rPr>
      </w:pPr>
      <w:r>
        <w:rPr>
          <w:color w:val="000000"/>
        </w:rPr>
        <w:t>不论磋商结果如何，供应商应自行承担所有与编写和提交响应文件有关的费用，采购人和采购代理机构在任何情况下无义务和责任承担此类费用。</w:t>
      </w:r>
    </w:p>
    <w:p w14:paraId="7B19721F">
      <w:pPr>
        <w:pStyle w:val="11"/>
        <w:numPr>
          <w:ilvl w:val="0"/>
          <w:numId w:val="16"/>
        </w:numPr>
        <w:ind w:left="0" w:leftChars="0" w:firstLine="480" w:firstLineChars="0"/>
        <w:rPr>
          <w:b w:val="0"/>
          <w:color w:val="000000"/>
        </w:rPr>
      </w:pPr>
      <w:r>
        <w:rPr>
          <w:color w:val="000000"/>
        </w:rPr>
        <w:t>本项目代理服务费：见本须知前附表。</w:t>
      </w:r>
    </w:p>
    <w:p w14:paraId="7BD233FC">
      <w:pPr>
        <w:pStyle w:val="2"/>
        <w:numPr>
          <w:ilvl w:val="0"/>
          <w:numId w:val="10"/>
        </w:numPr>
        <w:topLinePunct w:val="0"/>
        <w:ind w:left="0" w:leftChars="0" w:firstLine="0" w:firstLineChars="0"/>
        <w:rPr>
          <w:b/>
        </w:rPr>
      </w:pPr>
      <w:r>
        <w:t>磋商文件</w:t>
      </w:r>
    </w:p>
    <w:p w14:paraId="1CDB8105">
      <w:pPr>
        <w:pStyle w:val="3"/>
        <w:numPr>
          <w:ilvl w:val="0"/>
          <w:numId w:val="11"/>
        </w:numPr>
        <w:tabs>
          <w:tab w:val="clear" w:pos="482"/>
        </w:tabs>
        <w:ind w:left="0" w:leftChars="0" w:firstLine="482" w:firstLineChars="0"/>
        <w:rPr>
          <w:b/>
        </w:rPr>
      </w:pPr>
      <w:r>
        <w:t>磋商文件的组成</w:t>
      </w:r>
    </w:p>
    <w:p w14:paraId="1BDBFD0A">
      <w:pPr>
        <w:pStyle w:val="11"/>
        <w:numPr>
          <w:ilvl w:val="0"/>
          <w:numId w:val="17"/>
        </w:numPr>
        <w:topLinePunct w:val="0"/>
        <w:ind w:left="0" w:leftChars="0" w:firstLine="480" w:firstLineChars="0"/>
        <w:rPr>
          <w:b w:val="0"/>
          <w:color w:val="000000"/>
        </w:rPr>
      </w:pPr>
      <w:r>
        <w:rPr>
          <w:color w:val="000000"/>
        </w:rPr>
        <w:t>磋商公告；</w:t>
      </w:r>
    </w:p>
    <w:p w14:paraId="5E3E6062">
      <w:pPr>
        <w:pStyle w:val="11"/>
        <w:numPr>
          <w:ilvl w:val="0"/>
          <w:numId w:val="17"/>
        </w:numPr>
        <w:topLinePunct w:val="0"/>
        <w:ind w:left="0" w:leftChars="0" w:firstLine="480" w:firstLineChars="0"/>
        <w:rPr>
          <w:b w:val="0"/>
          <w:color w:val="000000"/>
        </w:rPr>
      </w:pPr>
      <w:r>
        <w:rPr>
          <w:color w:val="000000"/>
        </w:rPr>
        <w:t>磋商须知；</w:t>
      </w:r>
    </w:p>
    <w:p w14:paraId="7764F99B">
      <w:pPr>
        <w:pStyle w:val="11"/>
        <w:numPr>
          <w:ilvl w:val="0"/>
          <w:numId w:val="17"/>
        </w:numPr>
        <w:topLinePunct w:val="0"/>
        <w:ind w:left="0" w:leftChars="0" w:firstLine="480" w:firstLineChars="0"/>
        <w:rPr>
          <w:b w:val="0"/>
          <w:color w:val="000000"/>
        </w:rPr>
      </w:pPr>
      <w:r>
        <w:rPr>
          <w:color w:val="000000"/>
        </w:rPr>
        <w:t>评审办法和定标标准；</w:t>
      </w:r>
    </w:p>
    <w:p w14:paraId="467F52AA">
      <w:pPr>
        <w:pStyle w:val="11"/>
        <w:numPr>
          <w:ilvl w:val="0"/>
          <w:numId w:val="17"/>
        </w:numPr>
        <w:topLinePunct w:val="0"/>
        <w:ind w:left="0" w:leftChars="0" w:firstLine="480" w:firstLineChars="0"/>
        <w:rPr>
          <w:b w:val="0"/>
          <w:color w:val="000000"/>
        </w:rPr>
      </w:pPr>
      <w:r>
        <w:rPr>
          <w:color w:val="000000"/>
        </w:rPr>
        <w:t>响应文件格式；</w:t>
      </w:r>
    </w:p>
    <w:p w14:paraId="20678EF5">
      <w:pPr>
        <w:pStyle w:val="11"/>
        <w:numPr>
          <w:ilvl w:val="0"/>
          <w:numId w:val="17"/>
        </w:numPr>
        <w:topLinePunct w:val="0"/>
        <w:ind w:left="0" w:leftChars="0" w:firstLine="480" w:firstLineChars="0"/>
        <w:rPr>
          <w:b w:val="0"/>
          <w:color w:val="000000"/>
        </w:rPr>
      </w:pPr>
      <w:r>
        <w:rPr>
          <w:color w:val="000000"/>
        </w:rPr>
        <w:t>合同主要条款；</w:t>
      </w:r>
    </w:p>
    <w:p w14:paraId="4F9BAF5E">
      <w:pPr>
        <w:pStyle w:val="11"/>
        <w:numPr>
          <w:ilvl w:val="0"/>
          <w:numId w:val="17"/>
        </w:numPr>
        <w:topLinePunct w:val="0"/>
        <w:ind w:left="0" w:leftChars="0" w:firstLine="480" w:firstLineChars="0"/>
        <w:rPr>
          <w:b w:val="0"/>
          <w:color w:val="000000"/>
        </w:rPr>
      </w:pPr>
      <w:r>
        <w:rPr>
          <w:color w:val="000000"/>
        </w:rPr>
        <w:t>其他资料。</w:t>
      </w:r>
    </w:p>
    <w:p w14:paraId="372BF7F2">
      <w:pPr>
        <w:pStyle w:val="3"/>
        <w:numPr>
          <w:ilvl w:val="0"/>
          <w:numId w:val="11"/>
        </w:numPr>
        <w:tabs>
          <w:tab w:val="clear" w:pos="482"/>
        </w:tabs>
        <w:ind w:left="0" w:leftChars="0" w:firstLine="482" w:firstLineChars="0"/>
        <w:rPr>
          <w:b/>
        </w:rPr>
      </w:pPr>
      <w:r>
        <w:t>磋商文件的澄清或修改</w:t>
      </w:r>
    </w:p>
    <w:p w14:paraId="24309A81">
      <w:pPr>
        <w:pStyle w:val="11"/>
        <w:rPr>
          <w:color w:val="000000"/>
        </w:rPr>
      </w:pPr>
      <w:r>
        <w:rPr>
          <w:color w:val="000000"/>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发布媒体的形式通知所有获取磋商文件的供应商；不足5日的，采购人、采购代理机构应当顺延提交首次响应文件截止时间。</w:t>
      </w:r>
    </w:p>
    <w:p w14:paraId="227DFE9B">
      <w:pPr>
        <w:pStyle w:val="3"/>
        <w:numPr>
          <w:ilvl w:val="0"/>
          <w:numId w:val="11"/>
        </w:numPr>
        <w:tabs>
          <w:tab w:val="clear" w:pos="482"/>
        </w:tabs>
        <w:ind w:left="0" w:leftChars="0" w:firstLine="482" w:firstLineChars="0"/>
        <w:rPr>
          <w:b/>
        </w:rPr>
      </w:pPr>
      <w:r>
        <w:t>现场考察或答疑会</w:t>
      </w:r>
    </w:p>
    <w:p w14:paraId="60243D56">
      <w:pPr>
        <w:pStyle w:val="11"/>
        <w:numPr>
          <w:ilvl w:val="0"/>
          <w:numId w:val="18"/>
        </w:numPr>
        <w:tabs>
          <w:tab w:val="left" w:pos="0"/>
        </w:tabs>
        <w:ind w:left="0" w:leftChars="0" w:firstLine="482" w:firstLineChars="0"/>
        <w:rPr>
          <w:b w:val="0"/>
          <w:color w:val="000000"/>
        </w:rPr>
      </w:pPr>
      <w:r>
        <w:rPr>
          <w:color w:val="000000"/>
        </w:rPr>
        <w:t>采购人、采购代理机构可以视采购项目的具体情况，按须知前附表的规定组织供应商进行现场考察或召开磋商前答疑会，但不得单独或分别组织只有一个供应商参加的现场考察和答疑会。</w:t>
      </w:r>
    </w:p>
    <w:p w14:paraId="70ADA74D">
      <w:pPr>
        <w:pStyle w:val="11"/>
        <w:numPr>
          <w:ilvl w:val="0"/>
          <w:numId w:val="18"/>
        </w:numPr>
        <w:tabs>
          <w:tab w:val="left" w:pos="0"/>
        </w:tabs>
        <w:ind w:left="0" w:leftChars="0" w:firstLine="482" w:firstLineChars="0"/>
        <w:rPr>
          <w:b w:val="0"/>
          <w:color w:val="000000"/>
        </w:rPr>
      </w:pPr>
      <w:r>
        <w:rPr>
          <w:color w:val="000000"/>
        </w:rPr>
        <w:t>供应商考察现场或参加答疑会发生的费用自理。</w:t>
      </w:r>
    </w:p>
    <w:p w14:paraId="55C10102">
      <w:pPr>
        <w:pStyle w:val="11"/>
        <w:numPr>
          <w:ilvl w:val="0"/>
          <w:numId w:val="18"/>
        </w:numPr>
        <w:tabs>
          <w:tab w:val="left" w:pos="0"/>
        </w:tabs>
        <w:ind w:left="0" w:leftChars="0" w:firstLine="482" w:firstLineChars="0"/>
        <w:rPr>
          <w:b w:val="0"/>
          <w:color w:val="000000"/>
        </w:rPr>
      </w:pPr>
      <w:r>
        <w:rPr>
          <w:color w:val="000000"/>
        </w:rPr>
        <w:t>供应商自行负责在考察现场或参加答疑会中所发生的人员伤亡和财产损失。</w:t>
      </w:r>
    </w:p>
    <w:p w14:paraId="4A192142">
      <w:pPr>
        <w:pStyle w:val="2"/>
        <w:numPr>
          <w:ilvl w:val="0"/>
          <w:numId w:val="10"/>
        </w:numPr>
        <w:tabs>
          <w:tab w:val="clear" w:pos="482"/>
        </w:tabs>
        <w:topLinePunct w:val="0"/>
        <w:ind w:left="0" w:leftChars="0" w:firstLine="0" w:firstLineChars="0"/>
      </w:pPr>
      <w:r>
        <w:t>响应文件</w:t>
      </w:r>
    </w:p>
    <w:p w14:paraId="0CBBCACD">
      <w:pPr>
        <w:pStyle w:val="3"/>
        <w:numPr>
          <w:ilvl w:val="0"/>
          <w:numId w:val="11"/>
        </w:numPr>
        <w:tabs>
          <w:tab w:val="clear" w:pos="482"/>
        </w:tabs>
        <w:ind w:left="0" w:leftChars="0" w:firstLine="482" w:firstLineChars="0"/>
        <w:rPr>
          <w:b/>
          <w:color w:val="000000"/>
        </w:rPr>
      </w:pPr>
      <w:r>
        <w:rPr>
          <w:b/>
          <w:color w:val="000000"/>
        </w:rPr>
        <w:t>响应文件组成</w:t>
      </w:r>
    </w:p>
    <w:p w14:paraId="7EBAE225">
      <w:pPr>
        <w:pStyle w:val="11"/>
        <w:numPr>
          <w:ilvl w:val="0"/>
          <w:numId w:val="0"/>
        </w:numPr>
        <w:tabs>
          <w:tab w:val="left" w:pos="0"/>
        </w:tabs>
        <w:ind w:left="480" w:leftChars="0"/>
        <w:rPr>
          <w:color w:val="000000"/>
        </w:rPr>
      </w:pPr>
      <w:r>
        <w:rPr>
          <w:color w:val="000000"/>
        </w:rPr>
        <w:t>响应文件应分为资格审查文件、商务文件、技术文件组成。</w:t>
      </w:r>
      <w:r>
        <w:rPr>
          <w:b/>
          <w:color w:val="000000"/>
        </w:rPr>
        <w:t>（上述文件均须加盖供应商单位公章；标注有“必须提供”的必须提供，如未提供，磋商小组有权拒绝其响应文件。）</w:t>
      </w:r>
    </w:p>
    <w:p w14:paraId="07D5F083">
      <w:pPr>
        <w:pStyle w:val="11"/>
        <w:numPr>
          <w:ilvl w:val="0"/>
          <w:numId w:val="19"/>
        </w:numPr>
        <w:tabs>
          <w:tab w:val="left" w:pos="0"/>
        </w:tabs>
        <w:ind w:left="0" w:leftChars="0" w:firstLine="480" w:firstLineChars="0"/>
        <w:rPr>
          <w:rFonts w:ascii="Times New Roman" w:hAnsi="Times New Roman" w:eastAsia="宋体" w:cs="Times New Roman"/>
          <w:b/>
          <w:bCs/>
          <w:sz w:val="24"/>
        </w:rPr>
      </w:pPr>
      <w:r>
        <w:rPr>
          <w:rFonts w:ascii="Times New Roman" w:hAnsi="Times New Roman" w:eastAsia="宋体" w:cs="Times New Roman"/>
          <w:b/>
          <w:bCs/>
          <w:sz w:val="24"/>
        </w:rPr>
        <w:t>资格审查文件</w:t>
      </w:r>
    </w:p>
    <w:p w14:paraId="524762BB">
      <w:pPr>
        <w:pStyle w:val="11"/>
        <w:numPr>
          <w:ilvl w:val="0"/>
          <w:numId w:val="20"/>
        </w:numPr>
        <w:topLinePunct w:val="0"/>
        <w:ind w:left="0" w:leftChars="0" w:firstLine="480" w:firstLineChars="0"/>
        <w:rPr>
          <w:b w:val="0"/>
        </w:rPr>
      </w:pPr>
      <w:r>
        <w:t>法定代表人身份证明书及法定代表人有效身份证正反面复印件；</w:t>
      </w:r>
      <w:r>
        <w:rPr>
          <w:b/>
        </w:rPr>
        <w:t>（必须提供，加盖单位公章）</w:t>
      </w:r>
    </w:p>
    <w:p w14:paraId="18D18A2E">
      <w:pPr>
        <w:pStyle w:val="11"/>
        <w:numPr>
          <w:ilvl w:val="0"/>
          <w:numId w:val="20"/>
        </w:numPr>
        <w:topLinePunct w:val="0"/>
        <w:ind w:left="0" w:leftChars="0" w:firstLine="480" w:firstLineChars="0"/>
        <w:rPr>
          <w:b w:val="0"/>
        </w:rPr>
      </w:pPr>
      <w:r>
        <w:t>法定代表人授权委托书及被授权人有效身份证正反面复印件；</w:t>
      </w:r>
      <w:r>
        <w:rPr>
          <w:b/>
        </w:rPr>
        <w:t>（委托代理时必须提供，加盖单位公章）</w:t>
      </w:r>
    </w:p>
    <w:p w14:paraId="61860FEB">
      <w:pPr>
        <w:pStyle w:val="11"/>
        <w:numPr>
          <w:ilvl w:val="0"/>
          <w:numId w:val="20"/>
        </w:numPr>
        <w:topLinePunct w:val="0"/>
        <w:ind w:left="0" w:leftChars="0" w:firstLine="480" w:firstLineChars="0"/>
        <w:rPr>
          <w:b w:val="0"/>
        </w:rPr>
      </w:pPr>
      <w:r>
        <w:t>供应商基本情况表（附有效的营业执照副本、企业资质证书副本、安全生产许可证副本复印件）；</w:t>
      </w:r>
      <w:r>
        <w:rPr>
          <w:b/>
        </w:rPr>
        <w:t>（必须提供，加盖单位公章）</w:t>
      </w:r>
    </w:p>
    <w:p w14:paraId="479584ED">
      <w:pPr>
        <w:pStyle w:val="11"/>
        <w:numPr>
          <w:ilvl w:val="0"/>
          <w:numId w:val="20"/>
        </w:numPr>
        <w:topLinePunct w:val="0"/>
        <w:ind w:left="0" w:leftChars="0" w:firstLine="480" w:firstLineChars="0"/>
        <w:rPr>
          <w:b w:val="0"/>
        </w:rPr>
      </w:pPr>
      <w:r>
        <w:t>建设工程项目管理承诺书；</w:t>
      </w:r>
      <w:r>
        <w:rPr>
          <w:b/>
        </w:rPr>
        <w:t>（必须提供，加盖单位公章）</w:t>
      </w:r>
    </w:p>
    <w:p w14:paraId="3F53A7D4">
      <w:pPr>
        <w:pStyle w:val="11"/>
        <w:numPr>
          <w:ilvl w:val="0"/>
          <w:numId w:val="20"/>
        </w:numPr>
        <w:topLinePunct w:val="0"/>
        <w:ind w:left="0" w:leftChars="0" w:firstLine="480" w:firstLineChars="0"/>
        <w:rPr>
          <w:b w:val="0"/>
        </w:rPr>
      </w:pPr>
      <w:r>
        <w:t>项目经理须具备公路工程或市政公用工程专业二级（含二级）以上注册建造师执业资格，具备有效的安全生产考核合格证书（B类）的证明材料复印件；（必须提供，加盖单位公章）</w:t>
      </w:r>
    </w:p>
    <w:p w14:paraId="634832A4">
      <w:pPr>
        <w:pStyle w:val="11"/>
        <w:numPr>
          <w:ilvl w:val="0"/>
          <w:numId w:val="20"/>
        </w:numPr>
        <w:topLinePunct w:val="0"/>
        <w:ind w:left="0" w:leftChars="0" w:firstLine="480" w:firstLineChars="0"/>
        <w:rPr>
          <w:b w:val="0"/>
        </w:rPr>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1AF22011">
      <w:pPr>
        <w:pStyle w:val="11"/>
        <w:numPr>
          <w:ilvl w:val="0"/>
          <w:numId w:val="20"/>
        </w:numPr>
        <w:topLinePunct w:val="0"/>
        <w:ind w:left="0" w:leftChars="0" w:firstLine="480" w:firstLineChars="0"/>
        <w:rPr>
          <w:b w:val="0"/>
        </w:rPr>
      </w:pPr>
      <w:r>
        <w:t>磋商供应商提供近半年内连续三个月依法纳税的完税凭证复印件或者《依法纳税或依法免税证明》复印件，如为新成立的磋商单位请按实际依法缴纳月份提供（必须提供，并加盖公章）；</w:t>
      </w:r>
    </w:p>
    <w:p w14:paraId="3605A88F">
      <w:pPr>
        <w:pStyle w:val="11"/>
        <w:numPr>
          <w:ilvl w:val="0"/>
          <w:numId w:val="20"/>
        </w:numPr>
        <w:topLinePunct w:val="0"/>
        <w:ind w:left="0" w:leftChars="0" w:firstLine="480" w:firstLineChars="0"/>
        <w:rPr>
          <w:b w:val="0"/>
        </w:rPr>
      </w:pPr>
      <w:r>
        <w:t>磋商供应商2022或2023年度经审计财务报告复印件（若为新成立的企业，可根据实际情况提供月度财务报表，格式自拟）；</w:t>
      </w:r>
    </w:p>
    <w:p w14:paraId="31CA2BD2">
      <w:pPr>
        <w:pStyle w:val="11"/>
        <w:numPr>
          <w:ilvl w:val="0"/>
          <w:numId w:val="20"/>
        </w:numPr>
        <w:topLinePunct w:val="0"/>
        <w:ind w:left="0" w:leftChars="0" w:firstLine="480" w:firstLineChars="0"/>
        <w:rPr>
          <w:b w:val="0"/>
        </w:rPr>
      </w:pPr>
      <w:r>
        <w:t>参加政府采购活动前3年内在经营活动中没有重大违法记录的书面声明；（</w:t>
      </w:r>
      <w:r>
        <w:rPr>
          <w:b/>
        </w:rPr>
        <w:t>必须提供，加盖单位公章</w:t>
      </w:r>
      <w:r>
        <w:t>）</w:t>
      </w:r>
    </w:p>
    <w:p w14:paraId="5A5D2132">
      <w:pPr>
        <w:pStyle w:val="11"/>
        <w:numPr>
          <w:ilvl w:val="0"/>
          <w:numId w:val="20"/>
        </w:numPr>
        <w:topLinePunct w:val="0"/>
        <w:ind w:left="0" w:leftChars="0" w:firstLine="480" w:firstLineChars="0"/>
        <w:rPr>
          <w:b w:val="0"/>
        </w:rPr>
      </w:pPr>
      <w:r>
        <w:t>供应商参加本项目无围标串标行为的承诺函（格式后附）（</w:t>
      </w:r>
      <w:r>
        <w:rPr>
          <w:b/>
        </w:rPr>
        <w:t>必须提供，加盖单位公章</w:t>
      </w:r>
      <w:r>
        <w:t>）</w:t>
      </w:r>
    </w:p>
    <w:p w14:paraId="3AA0797F">
      <w:pPr>
        <w:pStyle w:val="11"/>
        <w:numPr>
          <w:ilvl w:val="0"/>
          <w:numId w:val="20"/>
        </w:numPr>
        <w:topLinePunct w:val="0"/>
        <w:ind w:left="0" w:leftChars="0" w:firstLine="480" w:firstLineChars="0"/>
        <w:rPr>
          <w:b w:val="0"/>
        </w:rPr>
      </w:pPr>
      <w:r>
        <w:t>供应商认为资格审查需要的其他材料</w:t>
      </w:r>
    </w:p>
    <w:p w14:paraId="64E14F9E">
      <w:pPr>
        <w:pStyle w:val="11"/>
        <w:numPr>
          <w:ilvl w:val="0"/>
          <w:numId w:val="19"/>
        </w:numPr>
        <w:tabs>
          <w:tab w:val="left" w:pos="0"/>
        </w:tabs>
        <w:ind w:left="0" w:leftChars="0" w:firstLine="480" w:firstLineChars="0"/>
        <w:rPr>
          <w:b/>
          <w:color w:val="000000"/>
        </w:rPr>
      </w:pPr>
      <w:r>
        <w:rPr>
          <w:rFonts w:ascii="Times New Roman" w:hAnsi="Times New Roman" w:eastAsia="宋体" w:cs="Times New Roman"/>
          <w:b/>
          <w:bCs/>
          <w:sz w:val="24"/>
        </w:rPr>
        <w:t>商务</w:t>
      </w:r>
      <w:r>
        <w:rPr>
          <w:b/>
          <w:color w:val="000000"/>
        </w:rPr>
        <w:t>文件</w:t>
      </w:r>
    </w:p>
    <w:p w14:paraId="33B3A6D9">
      <w:pPr>
        <w:pStyle w:val="11"/>
        <w:numPr>
          <w:ilvl w:val="0"/>
          <w:numId w:val="21"/>
        </w:numPr>
        <w:topLinePunct w:val="0"/>
        <w:ind w:left="0" w:leftChars="0" w:firstLine="480" w:firstLineChars="0"/>
        <w:rPr>
          <w:b w:val="0"/>
          <w:color w:val="000000"/>
        </w:rPr>
      </w:pPr>
      <w:r>
        <w:rPr>
          <w:color w:val="000000"/>
        </w:rPr>
        <w:t>磋商函；</w:t>
      </w:r>
      <w:r>
        <w:rPr>
          <w:b/>
          <w:color w:val="000000"/>
        </w:rPr>
        <w:t>（必须提供，加盖单位公章）</w:t>
      </w:r>
    </w:p>
    <w:p w14:paraId="7D197EDA">
      <w:pPr>
        <w:pStyle w:val="11"/>
        <w:numPr>
          <w:ilvl w:val="0"/>
          <w:numId w:val="21"/>
        </w:numPr>
        <w:topLinePunct w:val="0"/>
        <w:ind w:left="0" w:leftChars="0" w:firstLine="480" w:firstLineChars="0"/>
        <w:rPr>
          <w:b w:val="0"/>
          <w:color w:val="000000"/>
        </w:rPr>
      </w:pPr>
      <w:r>
        <w:rPr>
          <w:color w:val="000000"/>
        </w:rPr>
        <w:t>磋商函附录；</w:t>
      </w:r>
      <w:r>
        <w:rPr>
          <w:b/>
          <w:color w:val="000000"/>
        </w:rPr>
        <w:t>（必须提供，加盖单位公章）</w:t>
      </w:r>
    </w:p>
    <w:p w14:paraId="6A09E191">
      <w:pPr>
        <w:pStyle w:val="11"/>
        <w:numPr>
          <w:ilvl w:val="0"/>
          <w:numId w:val="21"/>
        </w:numPr>
        <w:topLinePunct w:val="0"/>
        <w:ind w:left="0" w:leftChars="0" w:firstLine="480" w:firstLineChars="0"/>
        <w:rPr>
          <w:b w:val="0"/>
          <w:color w:val="000000"/>
        </w:rPr>
      </w:pPr>
      <w:r>
        <w:rPr>
          <w:color w:val="000000"/>
        </w:rPr>
        <w:t>磋商报价表；</w:t>
      </w:r>
      <w:r>
        <w:rPr>
          <w:b/>
          <w:color w:val="000000"/>
        </w:rPr>
        <w:t>（必须提供，加盖单位公章）</w:t>
      </w:r>
    </w:p>
    <w:p w14:paraId="5033D4AE">
      <w:pPr>
        <w:pStyle w:val="11"/>
        <w:numPr>
          <w:ilvl w:val="0"/>
          <w:numId w:val="21"/>
        </w:numPr>
        <w:topLinePunct w:val="0"/>
        <w:ind w:left="0" w:leftChars="0" w:firstLine="480" w:firstLineChars="0"/>
        <w:rPr>
          <w:b w:val="0"/>
          <w:color w:val="000000"/>
        </w:rPr>
      </w:pPr>
      <w:r>
        <w:rPr>
          <w:color w:val="000000"/>
        </w:rPr>
        <w:t>已标价工程量清单；</w:t>
      </w:r>
      <w:r>
        <w:rPr>
          <w:b/>
          <w:color w:val="000000"/>
        </w:rPr>
        <w:t>（必须提供，加盖单位公章）</w:t>
      </w:r>
    </w:p>
    <w:p w14:paraId="2EEA7882">
      <w:pPr>
        <w:pStyle w:val="11"/>
        <w:numPr>
          <w:ilvl w:val="0"/>
          <w:numId w:val="21"/>
        </w:numPr>
        <w:topLinePunct w:val="0"/>
        <w:ind w:left="0" w:leftChars="0" w:firstLine="480" w:firstLineChars="0"/>
        <w:rPr>
          <w:b w:val="0"/>
          <w:color w:val="000000"/>
        </w:rPr>
      </w:pPr>
      <w:r>
        <w:rPr>
          <w:color w:val="000000"/>
        </w:rPr>
        <w:t>供应商认为必要提供的其它资料</w:t>
      </w:r>
    </w:p>
    <w:p w14:paraId="7F2CFCE9">
      <w:pPr>
        <w:pStyle w:val="11"/>
        <w:numPr>
          <w:ilvl w:val="0"/>
          <w:numId w:val="19"/>
        </w:numPr>
        <w:tabs>
          <w:tab w:val="left" w:pos="0"/>
        </w:tabs>
        <w:ind w:left="0" w:leftChars="0" w:firstLine="480" w:firstLineChars="0"/>
        <w:rPr>
          <w:b/>
          <w:color w:val="000000"/>
        </w:rPr>
      </w:pPr>
      <w:r>
        <w:rPr>
          <w:b/>
          <w:color w:val="000000"/>
        </w:rPr>
        <w:t>技术文件</w:t>
      </w:r>
    </w:p>
    <w:p w14:paraId="6380025B">
      <w:pPr>
        <w:pStyle w:val="11"/>
        <w:numPr>
          <w:ilvl w:val="0"/>
          <w:numId w:val="22"/>
        </w:numPr>
        <w:topLinePunct w:val="0"/>
        <w:ind w:left="0" w:leftChars="0" w:firstLine="480" w:firstLineChars="0"/>
        <w:rPr>
          <w:b w:val="0"/>
          <w:color w:val="000000"/>
        </w:rPr>
      </w:pPr>
      <w:r>
        <w:rPr>
          <w:color w:val="000000"/>
        </w:rPr>
        <w:t>施工组织设计；（必须提供，加盖单位公章）</w:t>
      </w:r>
    </w:p>
    <w:p w14:paraId="5CBB49F5">
      <w:pPr>
        <w:pStyle w:val="11"/>
        <w:numPr>
          <w:ilvl w:val="0"/>
          <w:numId w:val="22"/>
        </w:numPr>
        <w:topLinePunct w:val="0"/>
        <w:ind w:left="0" w:leftChars="0" w:firstLine="480" w:firstLineChars="0"/>
        <w:rPr>
          <w:b w:val="0"/>
          <w:color w:val="000000"/>
        </w:rPr>
      </w:pPr>
      <w:r>
        <w:rPr>
          <w:color w:val="000000"/>
        </w:rPr>
        <w:t>项目管理机构配备情况表；（必须提供，加盖单位公章）</w:t>
      </w:r>
    </w:p>
    <w:p w14:paraId="48BC3449">
      <w:pPr>
        <w:pStyle w:val="11"/>
        <w:numPr>
          <w:ilvl w:val="0"/>
          <w:numId w:val="22"/>
        </w:numPr>
        <w:topLinePunct w:val="0"/>
        <w:ind w:left="0" w:leftChars="0" w:firstLine="480" w:firstLineChars="0"/>
        <w:rPr>
          <w:b w:val="0"/>
          <w:color w:val="000000"/>
        </w:rPr>
      </w:pPr>
      <w:r>
        <w:rPr>
          <w:color w:val="000000"/>
        </w:rPr>
        <w:t>按本竞争性磋商文件规定提交的其它资料。</w:t>
      </w:r>
    </w:p>
    <w:p w14:paraId="39FB85E3">
      <w:pPr>
        <w:pStyle w:val="43"/>
        <w:numPr>
          <w:ilvl w:val="0"/>
          <w:numId w:val="0"/>
        </w:numPr>
        <w:ind w:leftChars="-1662"/>
        <w:jc w:val="left"/>
        <w:outlineLvl w:val="1"/>
        <w:rPr>
          <w:b/>
          <w:color w:val="000000"/>
        </w:rPr>
      </w:pPr>
      <w:r>
        <w:rPr>
          <w:b/>
          <w:color w:val="000000"/>
        </w:rPr>
        <w:t>▲特别说明：</w:t>
      </w:r>
    </w:p>
    <w:p w14:paraId="095FE50C">
      <w:pPr>
        <w:pStyle w:val="11"/>
        <w:rPr>
          <w:b/>
          <w:color w:val="000000"/>
        </w:rPr>
      </w:pPr>
      <w:r>
        <w:rPr>
          <w:rFonts w:hint="eastAsia" w:ascii="宋体" w:hAnsi="宋体"/>
          <w:b/>
          <w:color w:val="000000"/>
          <w:szCs w:val="21"/>
        </w:rPr>
        <w:t>▲特别说明：</w:t>
      </w:r>
      <w:r>
        <w:rPr>
          <w:b/>
          <w:color w:val="000000"/>
        </w:rPr>
        <w:t>（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BE598EC">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2</w:t>
      </w:r>
      <w:r>
        <w:rPr>
          <w:rFonts w:hint="eastAsia"/>
          <w:b/>
          <w:color w:val="000000"/>
          <w:lang w:eastAsia="zh-CN"/>
        </w:rPr>
        <w:t>）</w:t>
      </w:r>
      <w:r>
        <w:rPr>
          <w:b/>
          <w:color w:val="000000"/>
        </w:rPr>
        <w:t>竞争性磋商文件要求提供的的各种复印件，须加盖磋商供应商CA签章，否则其磋商无效。</w:t>
      </w:r>
    </w:p>
    <w:p w14:paraId="785FD460">
      <w:pPr>
        <w:pStyle w:val="11"/>
        <w:numPr>
          <w:ilvl w:val="0"/>
          <w:numId w:val="0"/>
        </w:numPr>
        <w:topLinePunct w:val="0"/>
        <w:ind w:left="480" w:leftChars="0"/>
        <w:rPr>
          <w:b/>
          <w:color w:val="000000"/>
        </w:rPr>
      </w:pPr>
      <w:r>
        <w:rPr>
          <w:rFonts w:hint="eastAsia"/>
          <w:b/>
          <w:color w:val="000000"/>
          <w:lang w:eastAsia="zh-CN"/>
        </w:rPr>
        <w:t>（</w:t>
      </w:r>
      <w:r>
        <w:rPr>
          <w:rFonts w:hint="eastAsia"/>
          <w:b/>
          <w:color w:val="000000"/>
          <w:lang w:val="en-US" w:eastAsia="zh-CN"/>
        </w:rPr>
        <w:t>3</w:t>
      </w:r>
      <w:r>
        <w:rPr>
          <w:rFonts w:hint="eastAsia"/>
          <w:b/>
          <w:color w:val="000000"/>
          <w:lang w:eastAsia="zh-CN"/>
        </w:rPr>
        <w:t>）</w:t>
      </w:r>
      <w:r>
        <w:rPr>
          <w:b/>
          <w:color w:val="000000"/>
        </w:rPr>
        <w:t>竞争性磋商文件要求“必须提供”的证明等材料，磋商供应商必须全部提供，缺一不可，否则磋商无效。</w:t>
      </w:r>
    </w:p>
    <w:p w14:paraId="74FE2DE2">
      <w:pPr>
        <w:pStyle w:val="11"/>
        <w:numPr>
          <w:ilvl w:val="0"/>
          <w:numId w:val="22"/>
        </w:numPr>
        <w:topLinePunct w:val="0"/>
        <w:ind w:left="0" w:leftChars="0" w:firstLine="480" w:firstLineChars="0"/>
        <w:rPr>
          <w:b/>
          <w:color w:val="000000"/>
        </w:rPr>
      </w:pPr>
      <w:r>
        <w:rPr>
          <w:b/>
          <w:color w:val="000000"/>
        </w:rPr>
        <w:t>竞争性磋商文件要求法定代表人（负责人）或委托代理人签字的部分必须签字然后扫描或者拍照做成pdf格式上传，无签字的视为磋商无效。</w:t>
      </w:r>
    </w:p>
    <w:p w14:paraId="1D457FE5">
      <w:pPr>
        <w:pStyle w:val="3"/>
        <w:numPr>
          <w:ilvl w:val="0"/>
          <w:numId w:val="11"/>
        </w:numPr>
        <w:tabs>
          <w:tab w:val="clear" w:pos="482"/>
        </w:tabs>
        <w:ind w:left="0" w:leftChars="0" w:firstLine="482" w:firstLineChars="0"/>
        <w:rPr>
          <w:b/>
          <w:color w:val="000000"/>
        </w:rPr>
      </w:pPr>
      <w:r>
        <w:t>响应文件</w:t>
      </w:r>
      <w:r>
        <w:rPr>
          <w:b/>
          <w:color w:val="000000"/>
        </w:rPr>
        <w:t>编制要求</w:t>
      </w:r>
    </w:p>
    <w:p w14:paraId="4247DE17">
      <w:pPr>
        <w:pStyle w:val="11"/>
        <w:numPr>
          <w:ilvl w:val="0"/>
          <w:numId w:val="23"/>
        </w:numPr>
        <w:ind w:left="0" w:leftChars="0" w:firstLine="480" w:firstLineChars="0"/>
        <w:rPr>
          <w:b w:val="0"/>
          <w:color w:val="000000"/>
        </w:rPr>
      </w:pPr>
      <w:r>
        <w:rPr>
          <w:rFonts w:hint="default" w:ascii="Times New Roman" w:hAnsi="Times New Roman" w:eastAsia="宋体" w:cs="Times New Roman"/>
          <w:b w:val="0"/>
          <w:color w:val="000000"/>
          <w:sz w:val="24"/>
        </w:rPr>
        <w:t>.</w:t>
      </w:r>
      <w:r>
        <w:rPr>
          <w:color w:val="000000"/>
        </w:rPr>
        <w:t>本项目实行电子投标，供应商应准备电子磋商响应文件：</w:t>
      </w:r>
    </w:p>
    <w:p w14:paraId="4761EE72">
      <w:pPr>
        <w:pStyle w:val="11"/>
        <w:rPr>
          <w:color w:val="000000"/>
        </w:rPr>
      </w:pPr>
      <w:r>
        <w:rPr>
          <w:color w:val="000000"/>
        </w:rPr>
        <w:t>9.1.1电子响应文件按政采云平台要求及本竞争性磋商文件要求制作、加密并递交。具体操作流程可参考《政府采购项目电子交易管理操作指南-供应商》，指南可在“http://www.ccgp-guangxi.gov.cn/PurchaseAdvisory/ImportantNotice/2866753.html”下载。</w:t>
      </w:r>
    </w:p>
    <w:p w14:paraId="51E44A9F">
      <w:pPr>
        <w:pStyle w:val="11"/>
        <w:rPr>
          <w:color w:val="000000"/>
        </w:rPr>
      </w:pPr>
      <w:r>
        <w:rPr>
          <w:color w:val="000000"/>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14:paraId="3ADAD3AB">
      <w:pPr>
        <w:pStyle w:val="11"/>
        <w:numPr>
          <w:ilvl w:val="0"/>
          <w:numId w:val="23"/>
        </w:numPr>
        <w:ind w:left="0" w:leftChars="0" w:firstLine="480" w:firstLineChars="0"/>
        <w:rPr>
          <w:b w:val="0"/>
          <w:color w:val="000000"/>
        </w:rPr>
      </w:pPr>
      <w:r>
        <w:rPr>
          <w:color w:val="000000"/>
        </w:rPr>
        <w:t xml:space="preserve">磋商供应商应按采购文件的要求对竞争性磋商电子响应文件进行编制。  </w:t>
      </w:r>
    </w:p>
    <w:p w14:paraId="502E5C6F">
      <w:pPr>
        <w:pStyle w:val="11"/>
        <w:numPr>
          <w:ilvl w:val="0"/>
          <w:numId w:val="23"/>
        </w:numPr>
        <w:ind w:left="0" w:leftChars="0" w:firstLine="480" w:firstLineChars="0"/>
        <w:rPr>
          <w:b w:val="0"/>
          <w:color w:val="000000"/>
        </w:rPr>
      </w:pPr>
      <w:r>
        <w:rPr>
          <w:color w:val="000000"/>
        </w:rPr>
        <w:t xml:space="preserve">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14:paraId="37E115A4">
      <w:pPr>
        <w:pStyle w:val="11"/>
        <w:numPr>
          <w:ilvl w:val="0"/>
          <w:numId w:val="23"/>
        </w:numPr>
        <w:ind w:left="0" w:leftChars="0" w:firstLine="480" w:firstLineChars="0"/>
        <w:rPr>
          <w:b w:val="0"/>
          <w:color w:val="000000"/>
        </w:rPr>
      </w:pPr>
      <w:r>
        <w:rPr>
          <w:color w:val="000000"/>
        </w:rPr>
        <w:t xml:space="preserve">磋商供应商应认真阅读、并充分理解本文件的全部内容（包括所有的澄清、更改、补充、答疑等内容），承诺并履行本文件中各项条款规定及要求 。  </w:t>
      </w:r>
    </w:p>
    <w:p w14:paraId="67E45F83">
      <w:pPr>
        <w:pStyle w:val="11"/>
        <w:numPr>
          <w:ilvl w:val="0"/>
          <w:numId w:val="23"/>
        </w:numPr>
        <w:ind w:left="0" w:leftChars="0" w:firstLine="480" w:firstLineChars="0"/>
        <w:rPr>
          <w:b w:val="0"/>
          <w:color w:val="000000"/>
        </w:rPr>
      </w:pPr>
      <w:r>
        <w:rPr>
          <w:color w:val="000000"/>
        </w:rPr>
        <w:t>竞争性磋商响应文件必须按本文件的全部内容，包括所有的澄清、更改、补充、答疑等内容及附件进行编制。</w:t>
      </w:r>
    </w:p>
    <w:p w14:paraId="144B755D">
      <w:pPr>
        <w:pStyle w:val="11"/>
        <w:numPr>
          <w:ilvl w:val="0"/>
          <w:numId w:val="23"/>
        </w:numPr>
        <w:ind w:left="0" w:leftChars="0" w:firstLine="480" w:firstLineChars="0"/>
        <w:rPr>
          <w:b w:val="0"/>
          <w:color w:val="000000"/>
        </w:rPr>
      </w:pPr>
      <w:r>
        <w:rPr>
          <w:color w:val="000000"/>
        </w:rPr>
        <w:t xml:space="preserve">如因磋商供应商只填写和提供了本文件要求的部分内容和附件，而给磋商小组评审造成困难，其可能导致的结果和责任由磋商供应商自行承担。 </w:t>
      </w:r>
    </w:p>
    <w:p w14:paraId="2E55126E">
      <w:pPr>
        <w:pStyle w:val="11"/>
        <w:numPr>
          <w:ilvl w:val="0"/>
          <w:numId w:val="23"/>
        </w:numPr>
        <w:ind w:left="0" w:leftChars="0" w:firstLine="480" w:firstLineChars="0"/>
        <w:rPr>
          <w:b w:val="0"/>
          <w:color w:val="000000"/>
        </w:rPr>
      </w:pPr>
      <w:r>
        <w:rPr>
          <w:color w:val="000000"/>
        </w:rPr>
        <w:t xml:space="preserve">竞争性磋商响应文件的组成：竞争性磋商响应文件应分为资格审查文件、商务文件和技术文件三个部分组成。 </w:t>
      </w:r>
    </w:p>
    <w:p w14:paraId="2906BCF9">
      <w:pPr>
        <w:pStyle w:val="3"/>
        <w:numPr>
          <w:ilvl w:val="0"/>
          <w:numId w:val="11"/>
        </w:numPr>
        <w:tabs>
          <w:tab w:val="clear" w:pos="482"/>
        </w:tabs>
        <w:ind w:left="0" w:leftChars="0" w:firstLine="482" w:firstLineChars="0"/>
      </w:pPr>
      <w:r>
        <w:t>计量单位</w:t>
      </w:r>
    </w:p>
    <w:p w14:paraId="08BF59AF">
      <w:pPr>
        <w:pStyle w:val="11"/>
        <w:rPr>
          <w:color w:val="000000"/>
        </w:rPr>
      </w:pPr>
      <w:r>
        <w:rPr>
          <w:color w:val="000000"/>
        </w:rPr>
        <w:t>10.1除技术要求中另有规定外，本文件所要求使用的计量单位均应采用国家法定计量单位。</w:t>
      </w:r>
    </w:p>
    <w:p w14:paraId="2A27BCB9">
      <w:pPr>
        <w:pStyle w:val="3"/>
        <w:numPr>
          <w:ilvl w:val="0"/>
          <w:numId w:val="11"/>
        </w:numPr>
        <w:tabs>
          <w:tab w:val="clear" w:pos="482"/>
        </w:tabs>
        <w:ind w:left="0" w:leftChars="0" w:firstLine="482" w:firstLineChars="0"/>
        <w:rPr>
          <w:b/>
          <w:color w:val="000000"/>
        </w:rPr>
      </w:pPr>
      <w:r>
        <w:t>响应</w:t>
      </w:r>
      <w:r>
        <w:rPr>
          <w:b/>
          <w:color w:val="000000"/>
        </w:rPr>
        <w:t>文件有效期</w:t>
      </w:r>
    </w:p>
    <w:p w14:paraId="2B3ED28D">
      <w:pPr>
        <w:pStyle w:val="11"/>
        <w:numPr>
          <w:ilvl w:val="0"/>
          <w:numId w:val="24"/>
        </w:numPr>
        <w:ind w:left="0" w:leftChars="0" w:firstLine="480" w:firstLineChars="0"/>
        <w:rPr>
          <w:b w:val="0"/>
          <w:color w:val="000000"/>
        </w:rPr>
      </w:pPr>
      <w:r>
        <w:rPr>
          <w:color w:val="000000"/>
        </w:rPr>
        <w:t>响应文件有效期按须知前附表规定的期限，有效期不足的响应文件按无效处理。</w:t>
      </w:r>
    </w:p>
    <w:p w14:paraId="380BF1FE">
      <w:pPr>
        <w:pStyle w:val="11"/>
        <w:numPr>
          <w:ilvl w:val="0"/>
          <w:numId w:val="24"/>
        </w:numPr>
        <w:ind w:left="0" w:leftChars="0" w:firstLine="480" w:firstLineChars="0"/>
        <w:rPr>
          <w:b w:val="0"/>
          <w:color w:val="000000"/>
        </w:rPr>
      </w:pPr>
      <w:bookmarkStart w:id="47" w:name="_Toc254970540"/>
      <w:bookmarkStart w:id="48" w:name="_Toc254970681"/>
      <w:r>
        <w:rPr>
          <w:color w:val="000000"/>
        </w:rPr>
        <w:t>未成交的响应文件有效期内均应保持有效。</w:t>
      </w:r>
      <w:bookmarkEnd w:id="47"/>
      <w:bookmarkEnd w:id="48"/>
    </w:p>
    <w:p w14:paraId="331F5137">
      <w:pPr>
        <w:pStyle w:val="11"/>
        <w:numPr>
          <w:ilvl w:val="0"/>
          <w:numId w:val="24"/>
        </w:numPr>
        <w:ind w:left="0" w:leftChars="0" w:firstLine="480" w:firstLineChars="0"/>
        <w:rPr>
          <w:b w:val="0"/>
          <w:color w:val="000000"/>
        </w:rPr>
      </w:pPr>
      <w:r>
        <w:rPr>
          <w:color w:val="000000"/>
        </w:rPr>
        <w:t>成交供应商的响应文件自响应文件递交截止之日起至合同履行完毕止均应保持有效。</w:t>
      </w:r>
    </w:p>
    <w:p w14:paraId="7171DB91">
      <w:pPr>
        <w:pStyle w:val="3"/>
        <w:numPr>
          <w:ilvl w:val="0"/>
          <w:numId w:val="11"/>
        </w:numPr>
        <w:tabs>
          <w:tab w:val="clear" w:pos="482"/>
        </w:tabs>
        <w:ind w:left="0" w:leftChars="0" w:firstLine="482" w:firstLineChars="0"/>
        <w:rPr>
          <w:b/>
          <w:color w:val="000000"/>
        </w:rPr>
      </w:pPr>
      <w:r>
        <w:t>磋商</w:t>
      </w:r>
      <w:r>
        <w:rPr>
          <w:b/>
          <w:color w:val="000000"/>
        </w:rPr>
        <w:t>保证金</w:t>
      </w:r>
    </w:p>
    <w:p w14:paraId="0769A59E">
      <w:pPr>
        <w:pStyle w:val="11"/>
        <w:numPr>
          <w:ilvl w:val="0"/>
          <w:numId w:val="25"/>
        </w:numPr>
        <w:ind w:left="0" w:leftChars="0" w:firstLine="480" w:firstLineChars="0"/>
        <w:rPr>
          <w:b w:val="0"/>
          <w:color w:val="000000"/>
        </w:rPr>
      </w:pPr>
      <w:r>
        <w:rPr>
          <w:color w:val="000000"/>
        </w:rPr>
        <w:t>供应商必须按须知前附表的规定交纳磋商保证金，否则，其响应文件按无效响应处理。</w:t>
      </w:r>
    </w:p>
    <w:p w14:paraId="27F73E8A">
      <w:pPr>
        <w:pStyle w:val="11"/>
        <w:numPr>
          <w:ilvl w:val="0"/>
          <w:numId w:val="25"/>
        </w:numPr>
        <w:ind w:left="0" w:leftChars="0" w:firstLine="480" w:firstLineChars="0"/>
        <w:rPr>
          <w:b w:val="0"/>
          <w:color w:val="000000"/>
        </w:rPr>
      </w:pPr>
      <w:r>
        <w:rPr>
          <w:color w:val="000000"/>
        </w:rPr>
        <w:t>磋商保证金交纳方式：按须知前附表的规定。</w:t>
      </w:r>
    </w:p>
    <w:p w14:paraId="5163E597">
      <w:pPr>
        <w:pStyle w:val="11"/>
        <w:numPr>
          <w:ilvl w:val="0"/>
          <w:numId w:val="25"/>
        </w:numPr>
        <w:ind w:left="0" w:leftChars="0" w:firstLine="480" w:firstLineChars="0"/>
        <w:rPr>
          <w:b w:val="0"/>
          <w:color w:val="000000"/>
        </w:rPr>
      </w:pPr>
      <w:r>
        <w:rPr>
          <w:color w:val="000000"/>
        </w:rPr>
        <w:t>磋商保证金交纳截止时间：按须知前附表的规定。</w:t>
      </w:r>
    </w:p>
    <w:p w14:paraId="235DA851">
      <w:pPr>
        <w:pStyle w:val="11"/>
        <w:numPr>
          <w:ilvl w:val="0"/>
          <w:numId w:val="25"/>
        </w:numPr>
        <w:ind w:left="0" w:leftChars="0" w:firstLine="480" w:firstLineChars="0"/>
        <w:rPr>
          <w:b w:val="0"/>
          <w:color w:val="000000"/>
        </w:rPr>
      </w:pPr>
      <w:r>
        <w:rPr>
          <w:color w:val="000000"/>
        </w:rPr>
        <w:t>磋商保证金：详见须知前附表。</w:t>
      </w:r>
    </w:p>
    <w:p w14:paraId="7EDF76F2">
      <w:pPr>
        <w:pStyle w:val="11"/>
        <w:numPr>
          <w:ilvl w:val="0"/>
          <w:numId w:val="25"/>
        </w:numPr>
        <w:ind w:left="0" w:leftChars="0" w:firstLine="480" w:firstLineChars="0"/>
        <w:rPr>
          <w:b w:val="0"/>
          <w:color w:val="000000"/>
        </w:rPr>
      </w:pPr>
      <w:r>
        <w:rPr>
          <w:color w:val="000000"/>
        </w:rPr>
        <w:t>磋商保证金的退还均以转账形式退回到供应商银行账户。</w:t>
      </w:r>
    </w:p>
    <w:p w14:paraId="320B5B66">
      <w:pPr>
        <w:pStyle w:val="11"/>
        <w:numPr>
          <w:ilvl w:val="0"/>
          <w:numId w:val="25"/>
        </w:numPr>
        <w:ind w:left="0" w:leftChars="0" w:firstLine="480" w:firstLineChars="0"/>
        <w:rPr>
          <w:b w:val="0"/>
          <w:color w:val="000000"/>
        </w:rPr>
      </w:pPr>
      <w:r>
        <w:rPr>
          <w:color w:val="000000"/>
        </w:rPr>
        <w:t>有下列情形之一的，磋商保证金不予退还：</w:t>
      </w:r>
    </w:p>
    <w:p w14:paraId="5604B58E">
      <w:pPr>
        <w:pStyle w:val="11"/>
        <w:numPr>
          <w:ilvl w:val="0"/>
          <w:numId w:val="26"/>
        </w:numPr>
        <w:ind w:left="0" w:leftChars="0" w:firstLine="480" w:firstLineChars="0"/>
        <w:rPr>
          <w:b w:val="0"/>
          <w:color w:val="000000"/>
        </w:rPr>
      </w:pPr>
      <w:r>
        <w:rPr>
          <w:color w:val="000000"/>
        </w:rPr>
        <w:t xml:space="preserve">供应商在提交响应文件截止时间后撤回响应文件的； </w:t>
      </w:r>
    </w:p>
    <w:p w14:paraId="57FCE81E">
      <w:pPr>
        <w:pStyle w:val="11"/>
        <w:numPr>
          <w:ilvl w:val="0"/>
          <w:numId w:val="26"/>
        </w:numPr>
        <w:ind w:left="0" w:leftChars="0" w:firstLine="480" w:firstLineChars="0"/>
        <w:rPr>
          <w:b w:val="0"/>
          <w:color w:val="000000"/>
        </w:rPr>
      </w:pPr>
      <w:r>
        <w:rPr>
          <w:color w:val="000000"/>
        </w:rPr>
        <w:t>供应商在响应文件中提供虚假材料的；</w:t>
      </w:r>
    </w:p>
    <w:p w14:paraId="7A01B46A">
      <w:pPr>
        <w:pStyle w:val="11"/>
        <w:numPr>
          <w:ilvl w:val="0"/>
          <w:numId w:val="26"/>
        </w:numPr>
        <w:ind w:left="0" w:leftChars="0" w:firstLine="480" w:firstLineChars="0"/>
        <w:rPr>
          <w:b w:val="0"/>
          <w:color w:val="000000"/>
        </w:rPr>
      </w:pPr>
      <w:r>
        <w:rPr>
          <w:color w:val="000000"/>
        </w:rPr>
        <w:t>除因不可抗力或磋商文件认可的情形以外，成交供应商不与采购人签订合同的；</w:t>
      </w:r>
    </w:p>
    <w:p w14:paraId="33A9771C">
      <w:pPr>
        <w:pStyle w:val="11"/>
        <w:numPr>
          <w:ilvl w:val="0"/>
          <w:numId w:val="26"/>
        </w:numPr>
        <w:ind w:left="0" w:leftChars="0" w:firstLine="480" w:firstLineChars="0"/>
        <w:rPr>
          <w:b w:val="0"/>
          <w:color w:val="000000"/>
        </w:rPr>
      </w:pPr>
      <w:r>
        <w:rPr>
          <w:color w:val="000000"/>
        </w:rPr>
        <w:t>供应商与采购人、其他供应商或者采购代理机构恶意串通的；</w:t>
      </w:r>
    </w:p>
    <w:p w14:paraId="5D10B749">
      <w:pPr>
        <w:pStyle w:val="11"/>
        <w:numPr>
          <w:ilvl w:val="0"/>
          <w:numId w:val="26"/>
        </w:numPr>
        <w:ind w:left="0" w:leftChars="0" w:firstLine="480" w:firstLineChars="0"/>
        <w:rPr>
          <w:b w:val="0"/>
          <w:color w:val="000000"/>
        </w:rPr>
      </w:pPr>
      <w:r>
        <w:rPr>
          <w:color w:val="000000"/>
        </w:rPr>
        <w:t>法律法规规定的其他情形。</w:t>
      </w:r>
    </w:p>
    <w:p w14:paraId="31BA8C48">
      <w:pPr>
        <w:pStyle w:val="3"/>
        <w:numPr>
          <w:ilvl w:val="0"/>
          <w:numId w:val="11"/>
        </w:numPr>
        <w:tabs>
          <w:tab w:val="clear" w:pos="482"/>
        </w:tabs>
        <w:ind w:left="0" w:leftChars="0" w:firstLine="482" w:firstLineChars="0"/>
        <w:rPr>
          <w:b/>
          <w:color w:val="000000"/>
        </w:rPr>
      </w:pPr>
      <w:r>
        <w:rPr>
          <w:b/>
          <w:color w:val="000000"/>
        </w:rPr>
        <w:t>磋</w:t>
      </w:r>
      <w:r>
        <w:rPr>
          <w:rFonts w:ascii="Times New Roman" w:hAnsi="Times New Roman" w:eastAsia="宋体" w:cs="Times New Roman"/>
          <w:b/>
          <w:kern w:val="2"/>
          <w:sz w:val="24"/>
        </w:rPr>
        <w:t>商</w:t>
      </w:r>
      <w:r>
        <w:rPr>
          <w:b/>
          <w:color w:val="000000"/>
        </w:rPr>
        <w:t>报价要求</w:t>
      </w:r>
      <w:r>
        <w:rPr>
          <w:color w:val="000000"/>
        </w:rPr>
        <w:t>：见本须知前附表。</w:t>
      </w:r>
    </w:p>
    <w:p w14:paraId="7BFD0B5F">
      <w:pPr>
        <w:pStyle w:val="3"/>
        <w:numPr>
          <w:ilvl w:val="0"/>
          <w:numId w:val="11"/>
        </w:numPr>
        <w:tabs>
          <w:tab w:val="clear" w:pos="482"/>
        </w:tabs>
        <w:ind w:left="0" w:leftChars="0" w:firstLine="482" w:firstLineChars="0"/>
        <w:rPr>
          <w:b/>
          <w:color w:val="000000"/>
        </w:rPr>
      </w:pPr>
      <w:r>
        <w:rPr>
          <w:b/>
          <w:color w:val="000000"/>
        </w:rPr>
        <w:t>响应文件的份数、封装</w:t>
      </w:r>
    </w:p>
    <w:p w14:paraId="7623666F">
      <w:pPr>
        <w:pStyle w:val="11"/>
        <w:numPr>
          <w:ilvl w:val="0"/>
          <w:numId w:val="27"/>
        </w:numPr>
        <w:ind w:left="0" w:leftChars="0" w:firstLine="480" w:firstLineChars="0"/>
        <w:rPr>
          <w:b w:val="0"/>
          <w:color w:val="000000"/>
        </w:rPr>
      </w:pPr>
      <w:r>
        <w:rPr>
          <w:color w:val="000000"/>
        </w:rPr>
        <w:t>磋商响应文件的封装</w:t>
      </w:r>
    </w:p>
    <w:p w14:paraId="1CB70441">
      <w:pPr>
        <w:pStyle w:val="11"/>
        <w:numPr>
          <w:ilvl w:val="0"/>
          <w:numId w:val="28"/>
        </w:numPr>
        <w:ind w:left="0" w:leftChars="0" w:firstLine="480" w:firstLineChars="0"/>
        <w:rPr>
          <w:b w:val="0"/>
          <w:color w:val="000000"/>
        </w:rPr>
      </w:pPr>
      <w:r>
        <w:rPr>
          <w:color w:val="000000"/>
        </w:rPr>
        <w:t>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14:paraId="02332B1B">
      <w:pPr>
        <w:pStyle w:val="11"/>
        <w:numPr>
          <w:ilvl w:val="0"/>
          <w:numId w:val="28"/>
        </w:numPr>
        <w:ind w:left="0" w:leftChars="0" w:firstLine="480" w:firstLineChars="0"/>
        <w:rPr>
          <w:b w:val="0"/>
          <w:color w:val="000000"/>
        </w:rPr>
      </w:pPr>
      <w:r>
        <w:rPr>
          <w:color w:val="000000"/>
        </w:rPr>
        <w:t>CA 签章上目前没有法人（负责人）或授权代表签字信息，供应商在磋商响应文件中涉及到签字的位置线下签好字然后扫描或者拍照做成PDF的格式即可。</w:t>
      </w:r>
    </w:p>
    <w:p w14:paraId="6D2424C2">
      <w:pPr>
        <w:pStyle w:val="11"/>
        <w:numPr>
          <w:ilvl w:val="0"/>
          <w:numId w:val="27"/>
        </w:numPr>
        <w:ind w:left="0" w:leftChars="0" w:firstLine="480" w:firstLineChars="0"/>
        <w:rPr>
          <w:b w:val="0"/>
          <w:color w:val="000000"/>
        </w:rPr>
      </w:pPr>
      <w:r>
        <w:rPr>
          <w:color w:val="000000"/>
        </w:rPr>
        <w:t>磋商响应文件不得涂改，若有修改错漏处，须法定代表人（负责人）或授权委托人签字。磋商响应文件因字迹潦草或表达不清所引起的后果由供应商负责。</w:t>
      </w:r>
    </w:p>
    <w:p w14:paraId="7BCCFD84">
      <w:pPr>
        <w:pStyle w:val="3"/>
        <w:numPr>
          <w:ilvl w:val="0"/>
          <w:numId w:val="11"/>
        </w:numPr>
        <w:tabs>
          <w:tab w:val="clear" w:pos="482"/>
        </w:tabs>
        <w:ind w:left="0" w:leftChars="0" w:firstLine="482" w:firstLineChars="0"/>
        <w:rPr>
          <w:b/>
          <w:color w:val="000000"/>
        </w:rPr>
      </w:pPr>
      <w:r>
        <w:rPr>
          <w:b/>
          <w:color w:val="000000"/>
        </w:rPr>
        <w:t>响应文件的递交</w:t>
      </w:r>
    </w:p>
    <w:p w14:paraId="730229FA">
      <w:pPr>
        <w:pStyle w:val="11"/>
        <w:numPr>
          <w:ilvl w:val="0"/>
          <w:numId w:val="29"/>
        </w:numPr>
        <w:ind w:left="0" w:leftChars="0" w:firstLine="480" w:firstLineChars="0"/>
        <w:rPr>
          <w:b w:val="0"/>
          <w:color w:val="000000"/>
        </w:rPr>
      </w:pPr>
      <w:r>
        <w:rPr>
          <w:color w:val="000000"/>
        </w:rPr>
        <w:t>所有竞争性磋商响应文件应于竞争性磋商文件中规定的时间前上传递交至政采云平台。</w:t>
      </w:r>
    </w:p>
    <w:p w14:paraId="60AC7614">
      <w:pPr>
        <w:pStyle w:val="11"/>
        <w:numPr>
          <w:ilvl w:val="0"/>
          <w:numId w:val="29"/>
        </w:numPr>
        <w:ind w:left="0" w:leftChars="0" w:firstLine="480" w:firstLineChars="0"/>
        <w:rPr>
          <w:b w:val="0"/>
          <w:color w:val="000000"/>
        </w:rPr>
      </w:pPr>
      <w:r>
        <w:rPr>
          <w:color w:val="000000"/>
        </w:rPr>
        <w:t xml:space="preserve">竞争性磋商响应文件从响应文件递交截止日期后60天内有效。  </w:t>
      </w:r>
    </w:p>
    <w:p w14:paraId="77776321">
      <w:pPr>
        <w:pStyle w:val="11"/>
        <w:numPr>
          <w:ilvl w:val="0"/>
          <w:numId w:val="0"/>
        </w:numPr>
        <w:ind w:left="480" w:leftChars="0"/>
        <w:rPr>
          <w:b/>
          <w:color w:val="000000"/>
        </w:rPr>
      </w:pPr>
      <w:r>
        <w:rPr>
          <w:b/>
          <w:color w:val="000000"/>
        </w:rPr>
        <w:t>电子响应文件的相关说明</w:t>
      </w:r>
    </w:p>
    <w:p w14:paraId="77BAE903">
      <w:pPr>
        <w:pStyle w:val="11"/>
        <w:numPr>
          <w:ilvl w:val="0"/>
          <w:numId w:val="30"/>
        </w:numPr>
        <w:topLinePunct w:val="0"/>
        <w:ind w:left="0" w:leftChars="0" w:firstLine="482" w:firstLineChars="0"/>
        <w:rPr>
          <w:b/>
          <w:color w:val="000000"/>
        </w:rPr>
      </w:pPr>
      <w:r>
        <w:rPr>
          <w:b/>
          <w:color w:val="000000"/>
        </w:rPr>
        <w:t>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F510085">
      <w:pPr>
        <w:pStyle w:val="11"/>
        <w:numPr>
          <w:ilvl w:val="0"/>
          <w:numId w:val="30"/>
        </w:numPr>
        <w:topLinePunct w:val="0"/>
        <w:ind w:left="0" w:leftChars="0" w:firstLine="482" w:firstLineChars="0"/>
        <w:rPr>
          <w:b/>
          <w:color w:val="000000"/>
        </w:rPr>
      </w:pPr>
      <w:r>
        <w:rPr>
          <w:b/>
          <w:color w:val="000000"/>
        </w:rPr>
        <w:t>如有特殊情况，采购代理机构延长截止时间和开标时间，采购代理机构和供应商的权利和义务将受到新的截止时间和开标时间的约束。</w:t>
      </w:r>
    </w:p>
    <w:p w14:paraId="3CDAA722">
      <w:pPr>
        <w:pStyle w:val="3"/>
        <w:numPr>
          <w:ilvl w:val="0"/>
          <w:numId w:val="11"/>
        </w:numPr>
        <w:tabs>
          <w:tab w:val="clear" w:pos="482"/>
        </w:tabs>
        <w:ind w:left="0" w:leftChars="0" w:firstLine="482" w:firstLineChars="0"/>
        <w:rPr>
          <w:b/>
          <w:color w:val="000000"/>
        </w:rPr>
      </w:pPr>
      <w:r>
        <w:rPr>
          <w:b/>
          <w:color w:val="000000"/>
        </w:rPr>
        <w:t>响应文件的补充、修改</w:t>
      </w:r>
    </w:p>
    <w:p w14:paraId="7FDE9817">
      <w:pPr>
        <w:pStyle w:val="11"/>
        <w:rPr>
          <w:color w:val="000000"/>
        </w:rPr>
      </w:pPr>
      <w:r>
        <w:rPr>
          <w:color w:val="000000"/>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B491C42">
      <w:pPr>
        <w:pStyle w:val="3"/>
        <w:numPr>
          <w:ilvl w:val="0"/>
          <w:numId w:val="11"/>
        </w:numPr>
        <w:tabs>
          <w:tab w:val="clear" w:pos="482"/>
        </w:tabs>
        <w:ind w:left="0" w:leftChars="0" w:firstLine="482" w:firstLineChars="0"/>
        <w:rPr>
          <w:b/>
          <w:color w:val="000000"/>
        </w:rPr>
      </w:pPr>
      <w:r>
        <w:rPr>
          <w:b/>
          <w:color w:val="000000"/>
        </w:rPr>
        <w:t>迟交的响应文件</w:t>
      </w:r>
    </w:p>
    <w:p w14:paraId="23205449">
      <w:pPr>
        <w:pStyle w:val="11"/>
        <w:rPr>
          <w:color w:val="000000"/>
        </w:rPr>
      </w:pPr>
      <w:r>
        <w:rPr>
          <w:color w:val="000000"/>
        </w:rPr>
        <w:t>采购代理机构拒绝在其规定的递交响应文件截止时间之后收到的任何响应文件。</w:t>
      </w:r>
    </w:p>
    <w:p w14:paraId="2950F2DC">
      <w:pPr>
        <w:pStyle w:val="11"/>
        <w:rPr>
          <w:color w:val="000000"/>
        </w:rPr>
      </w:pPr>
      <w:r>
        <w:rPr>
          <w:color w:val="000000"/>
        </w:rPr>
        <w:t>供应商应认真阅读、并充分理解本文件的全部内容（包括所有的补充、修改内容），承诺并履行本文件中各项条款规定及要求。</w:t>
      </w:r>
    </w:p>
    <w:p w14:paraId="776E74FE">
      <w:pPr>
        <w:pStyle w:val="11"/>
        <w:rPr>
          <w:color w:val="000000"/>
        </w:rPr>
      </w:pPr>
      <w:r>
        <w:rPr>
          <w:color w:val="000000"/>
        </w:rPr>
        <w:t>响应文件必须按本文件的全部内容，包括所有的补充通知及附件进行编制。</w:t>
      </w:r>
    </w:p>
    <w:p w14:paraId="67434592">
      <w:pPr>
        <w:pStyle w:val="11"/>
        <w:rPr>
          <w:color w:val="000000"/>
        </w:rPr>
      </w:pPr>
      <w:r>
        <w:rPr>
          <w:color w:val="000000"/>
        </w:rPr>
        <w:t>如因供应商只填写和提供了本文件要求的部分内容和附件，而给评审造成困难，其可能导致的结果和责任由供应商自行承担。</w:t>
      </w:r>
    </w:p>
    <w:p w14:paraId="4A8140A9">
      <w:pPr>
        <w:pStyle w:val="2"/>
        <w:numPr>
          <w:ilvl w:val="0"/>
          <w:numId w:val="10"/>
        </w:numPr>
        <w:tabs>
          <w:tab w:val="clear" w:pos="482"/>
        </w:tabs>
        <w:topLinePunct w:val="0"/>
        <w:ind w:left="0" w:leftChars="0" w:firstLine="0" w:firstLineChars="0"/>
        <w:rPr>
          <w:b/>
        </w:rPr>
      </w:pPr>
      <w:r>
        <w:t>响应文件评审程序</w:t>
      </w:r>
    </w:p>
    <w:p w14:paraId="45E352BF">
      <w:pPr>
        <w:pStyle w:val="3"/>
        <w:numPr>
          <w:ilvl w:val="0"/>
          <w:numId w:val="11"/>
        </w:numPr>
        <w:tabs>
          <w:tab w:val="clear" w:pos="482"/>
        </w:tabs>
        <w:ind w:left="0" w:leftChars="0" w:firstLine="482" w:firstLineChars="0"/>
        <w:rPr>
          <w:b/>
          <w:color w:val="000000"/>
        </w:rPr>
      </w:pPr>
      <w:r>
        <w:rPr>
          <w:b/>
          <w:color w:val="000000"/>
        </w:rPr>
        <w:t>磋商小组组建</w:t>
      </w:r>
    </w:p>
    <w:p w14:paraId="4B8D3B9C">
      <w:pPr>
        <w:pStyle w:val="11"/>
        <w:numPr>
          <w:ilvl w:val="0"/>
          <w:numId w:val="31"/>
        </w:numPr>
        <w:ind w:left="0" w:leftChars="0" w:firstLine="480" w:firstLineChars="0"/>
        <w:rPr>
          <w:b w:val="0"/>
          <w:color w:val="000000"/>
        </w:rPr>
      </w:pPr>
      <w:r>
        <w:t>成立磋商小组：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3人以上单数组成。</w:t>
      </w:r>
    </w:p>
    <w:p w14:paraId="219F6152">
      <w:pPr>
        <w:pStyle w:val="11"/>
        <w:numPr>
          <w:ilvl w:val="0"/>
          <w:numId w:val="31"/>
        </w:numPr>
        <w:ind w:left="0" w:leftChars="0" w:firstLine="480" w:firstLineChars="0"/>
        <w:rPr>
          <w:b w:val="0"/>
          <w:color w:val="000000"/>
        </w:rPr>
      </w:pPr>
      <w:r>
        <w:rPr>
          <w:color w:val="000000"/>
        </w:rPr>
        <w:t>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8479465">
      <w:pPr>
        <w:pStyle w:val="3"/>
        <w:numPr>
          <w:ilvl w:val="0"/>
          <w:numId w:val="11"/>
        </w:numPr>
        <w:tabs>
          <w:tab w:val="clear" w:pos="482"/>
        </w:tabs>
        <w:ind w:left="0" w:leftChars="0" w:firstLine="482" w:firstLineChars="0"/>
        <w:rPr>
          <w:b/>
          <w:color w:val="000000"/>
        </w:rPr>
      </w:pPr>
      <w:r>
        <w:t>评审</w:t>
      </w:r>
      <w:r>
        <w:rPr>
          <w:b/>
          <w:color w:val="000000"/>
        </w:rPr>
        <w:t>程序</w:t>
      </w:r>
    </w:p>
    <w:p w14:paraId="1417FA05">
      <w:pPr>
        <w:pStyle w:val="11"/>
        <w:numPr>
          <w:ilvl w:val="0"/>
          <w:numId w:val="32"/>
        </w:numPr>
        <w:ind w:left="0" w:leftChars="0" w:firstLine="482" w:firstLineChars="0"/>
        <w:rPr>
          <w:b/>
          <w:color w:val="000000"/>
        </w:rPr>
      </w:pPr>
      <w:r>
        <w:rPr>
          <w:b/>
          <w:color w:val="000000"/>
        </w:rPr>
        <w:t>采购代理机构向磋商小组移交接收所有的响应文件。</w:t>
      </w:r>
    </w:p>
    <w:p w14:paraId="30B77323">
      <w:pPr>
        <w:pStyle w:val="11"/>
        <w:numPr>
          <w:ilvl w:val="0"/>
          <w:numId w:val="32"/>
        </w:numPr>
        <w:ind w:left="0" w:leftChars="0" w:firstLine="482" w:firstLineChars="0"/>
        <w:rPr>
          <w:b/>
          <w:color w:val="000000"/>
        </w:rPr>
      </w:pPr>
      <w:r>
        <w:rPr>
          <w:b/>
          <w:color w:val="000000"/>
        </w:rPr>
        <w:t>磋商小组评审响应文件</w:t>
      </w:r>
    </w:p>
    <w:p w14:paraId="390E9506">
      <w:pPr>
        <w:pStyle w:val="11"/>
        <w:rPr>
          <w:color w:val="000000"/>
        </w:rPr>
      </w:pPr>
      <w:r>
        <w:rPr>
          <w:color w:val="000000"/>
        </w:rPr>
        <w:t>磋商小组对供应商资格条件和响应文件的有效性、完整性和响应程度进行审查。对资格条件不符合的供应商或未实质性响应磋商文件的响应文件按无效响应处理，磋商小组应当告知有关供应商。</w:t>
      </w:r>
    </w:p>
    <w:p w14:paraId="628CDCCE">
      <w:pPr>
        <w:pStyle w:val="11"/>
        <w:numPr>
          <w:ilvl w:val="0"/>
          <w:numId w:val="32"/>
        </w:numPr>
        <w:ind w:left="0" w:leftChars="0" w:firstLine="482" w:firstLineChars="0"/>
        <w:rPr>
          <w:b/>
          <w:color w:val="000000"/>
        </w:rPr>
      </w:pPr>
      <w:r>
        <w:rPr>
          <w:b/>
          <w:color w:val="000000"/>
        </w:rPr>
        <w:t>澄清</w:t>
      </w:r>
    </w:p>
    <w:p w14:paraId="39A837F6">
      <w:pPr>
        <w:pStyle w:val="11"/>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F0089B8">
      <w:pPr>
        <w:pStyle w:val="11"/>
        <w:rPr>
          <w:color w:val="000000"/>
        </w:rPr>
      </w:pPr>
      <w:r>
        <w:rPr>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CD0070F">
      <w:pPr>
        <w:pStyle w:val="11"/>
        <w:widowControl/>
        <w:numPr>
          <w:ilvl w:val="0"/>
          <w:numId w:val="32"/>
        </w:numPr>
        <w:ind w:left="0" w:leftChars="0" w:firstLine="482" w:firstLineChars="0"/>
        <w:rPr>
          <w:b/>
          <w:color w:val="000000"/>
        </w:rPr>
      </w:pPr>
      <w:r>
        <w:rPr>
          <w:b/>
          <w:color w:val="000000"/>
        </w:rPr>
        <w:t>磋商</w:t>
      </w:r>
    </w:p>
    <w:p w14:paraId="468D7CAB">
      <w:pPr>
        <w:pStyle w:val="11"/>
        <w:widowControl/>
        <w:numPr>
          <w:ilvl w:val="0"/>
          <w:numId w:val="33"/>
        </w:numPr>
        <w:tabs>
          <w:tab w:val="left" w:pos="0"/>
        </w:tabs>
        <w:ind w:left="0" w:leftChars="0" w:firstLine="480" w:firstLineChars="0"/>
        <w:rPr>
          <w:b w:val="0"/>
          <w:color w:val="000000"/>
        </w:rPr>
      </w:pPr>
      <w:r>
        <w:rPr>
          <w:color w:val="000000"/>
        </w:rPr>
        <w:t>磋商时间及地点：按须知前附表规定。</w:t>
      </w:r>
    </w:p>
    <w:p w14:paraId="6D002A1F">
      <w:pPr>
        <w:pStyle w:val="11"/>
        <w:widowControl/>
        <w:numPr>
          <w:ilvl w:val="0"/>
          <w:numId w:val="33"/>
        </w:numPr>
        <w:tabs>
          <w:tab w:val="left" w:pos="0"/>
        </w:tabs>
        <w:ind w:left="0" w:leftChars="0" w:firstLine="480" w:firstLineChars="0"/>
        <w:rPr>
          <w:b w:val="0"/>
          <w:color w:val="000000"/>
        </w:rPr>
      </w:pPr>
      <w:r>
        <w:rPr>
          <w:color w:val="000000"/>
        </w:rPr>
        <w:t>供应商参加需要携带的材料：按须知前附表规定。</w:t>
      </w:r>
    </w:p>
    <w:p w14:paraId="5A301E23">
      <w:pPr>
        <w:pStyle w:val="11"/>
        <w:widowControl/>
        <w:numPr>
          <w:ilvl w:val="0"/>
          <w:numId w:val="33"/>
        </w:numPr>
        <w:tabs>
          <w:tab w:val="left" w:pos="0"/>
        </w:tabs>
        <w:ind w:left="0" w:leftChars="0" w:firstLine="480" w:firstLineChars="0"/>
        <w:rPr>
          <w:b w:val="0"/>
          <w:color w:val="000000"/>
        </w:rPr>
      </w:pPr>
      <w:r>
        <w:rPr>
          <w:color w:val="000000"/>
        </w:rPr>
        <w:t>磋商小组按须知前附表规定的磋商顺序，集中与单一供应商分别进行磋商，并给予所有参加磋商的供应商平等的磋商机会。符合磋商资格的供应商未在规定时间内参加磋商的，视同放弃参加磋商权利，其响应文件作无效处理。</w:t>
      </w:r>
    </w:p>
    <w:p w14:paraId="628B3A74">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在磋商过程中，磋商小组可以根据磋商文件和磋商情况实质性变动采购需求中的技术、服务要求以及合同草案条款，但不得变动磋商文件中的其他内容。实质性变动的内容，须经采购人代表确认。</w:t>
      </w:r>
    </w:p>
    <w:p w14:paraId="4CE641A6">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对磋商文件作出的实质性变动是磋商文件的有效组成部分，磋商小组应当及时以书面形式同时通知所有参加磋商的供应商。</w:t>
      </w:r>
    </w:p>
    <w:p w14:paraId="0E1B2AA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供应商应当按照磋商文件的变动情况和磋商小组的要求重新提交响应文件，并由其法定代表人或授权代表签字或者加盖公章。由授权代表签字的，应当附法定代表人授权书。参加磋商的供应商未在规定时间内重新提交响应文件的，视同放弃提交权利，其响应文件作无效处理。</w:t>
      </w:r>
    </w:p>
    <w:p w14:paraId="2254F355">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磋商中，磋商的任何一方不得透露与磋商有关的其他供应商的技术资料、价格和其他信息。</w:t>
      </w:r>
    </w:p>
    <w:p w14:paraId="3826862B">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采购代理机构对磋商过程和重要磋商内容进行记录，磋商双方在记录上签字确认。</w:t>
      </w:r>
    </w:p>
    <w:p w14:paraId="00FE7621">
      <w:pPr>
        <w:pStyle w:val="11"/>
        <w:widowControl/>
        <w:numPr>
          <w:ilvl w:val="0"/>
          <w:numId w:val="0"/>
        </w:numPr>
        <w:tabs>
          <w:tab w:val="left" w:pos="0"/>
        </w:tabs>
        <w:ind w:left="480" w:leftChars="0"/>
        <w:rPr>
          <w:b/>
          <w:bCs w:val="0"/>
          <w:color w:val="000000"/>
        </w:rPr>
      </w:pPr>
      <w:r>
        <w:rPr>
          <w:b/>
          <w:bCs w:val="0"/>
          <w:color w:val="000000"/>
        </w:rPr>
        <w:t>特别说明：政采云公司如对电子化磋商及评审程序有调整的，按调整后的程序操作。</w:t>
      </w:r>
    </w:p>
    <w:p w14:paraId="0A9EDCD9">
      <w:pPr>
        <w:pStyle w:val="1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firstLine="480" w:firstLineChars="200"/>
        <w:textAlignment w:val="auto"/>
        <w:rPr>
          <w:color w:val="000000"/>
        </w:rPr>
      </w:pPr>
      <w:r>
        <w:rPr>
          <w:color w:val="000000"/>
        </w:rPr>
        <w:t>澄清有关问题。对响应文件中含义不明确、同类问题表述不一致或者有明显文字和计算错误的内容，磋商小组可以书面形式（应当由磋商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14:paraId="03A0F65F">
      <w:pPr>
        <w:pStyle w:val="11"/>
        <w:numPr>
          <w:ilvl w:val="0"/>
          <w:numId w:val="33"/>
        </w:numPr>
        <w:tabs>
          <w:tab w:val="left" w:pos="0"/>
        </w:tabs>
        <w:ind w:left="0" w:leftChars="0" w:firstLine="480" w:firstLineChars="0"/>
        <w:rPr>
          <w:b w:val="0"/>
          <w:color w:val="000000"/>
        </w:rPr>
      </w:pPr>
      <w:r>
        <w:rPr>
          <w:color w:val="000000"/>
        </w:rPr>
        <w:t xml:space="preserve">确定参加磋商的供应商名单。磋商小组将所有通过资格性审查及符合性审查的供应商确定为参加磋商的供应商。 </w:t>
      </w:r>
    </w:p>
    <w:p w14:paraId="28CF7324">
      <w:pPr>
        <w:pStyle w:val="11"/>
        <w:numPr>
          <w:ilvl w:val="0"/>
          <w:numId w:val="33"/>
        </w:numPr>
        <w:tabs>
          <w:tab w:val="left" w:pos="0"/>
        </w:tabs>
        <w:ind w:left="0" w:leftChars="0" w:firstLine="480" w:firstLineChars="0"/>
        <w:rPr>
          <w:b w:val="0"/>
          <w:color w:val="000000"/>
        </w:rPr>
      </w:pPr>
      <w:r>
        <w:rPr>
          <w:color w:val="000000"/>
        </w:rPr>
        <w:t>采购过程中出现以下情形，导致电子交易平台无法正常运行，或者无法保证电子交易的公平、公正和安全时，采购组织机构可中止电子交易活动：</w:t>
      </w:r>
    </w:p>
    <w:p w14:paraId="619CACF9">
      <w:pPr>
        <w:pStyle w:val="11"/>
        <w:numPr>
          <w:ilvl w:val="0"/>
          <w:numId w:val="33"/>
        </w:numPr>
        <w:tabs>
          <w:tab w:val="left" w:pos="0"/>
        </w:tabs>
        <w:ind w:left="0" w:leftChars="0" w:firstLine="480" w:firstLineChars="0"/>
        <w:rPr>
          <w:b w:val="0"/>
          <w:color w:val="000000"/>
        </w:rPr>
      </w:pPr>
      <w:r>
        <w:rPr>
          <w:color w:val="000000"/>
        </w:rPr>
        <w:t xml:space="preserve">电子交易平台发生故障而无法登录访问的； </w:t>
      </w:r>
    </w:p>
    <w:p w14:paraId="3AFE2E02">
      <w:pPr>
        <w:pStyle w:val="11"/>
        <w:numPr>
          <w:ilvl w:val="0"/>
          <w:numId w:val="33"/>
        </w:numPr>
        <w:tabs>
          <w:tab w:val="left" w:pos="0"/>
        </w:tabs>
        <w:ind w:left="0" w:leftChars="0" w:firstLine="480" w:firstLineChars="0"/>
        <w:rPr>
          <w:b w:val="0"/>
          <w:color w:val="000000"/>
        </w:rPr>
      </w:pPr>
      <w:r>
        <w:rPr>
          <w:color w:val="000000"/>
        </w:rPr>
        <w:t>电子交易平台应用或数据库出现错误，不能进行正常操作的；</w:t>
      </w:r>
    </w:p>
    <w:p w14:paraId="61640D90">
      <w:pPr>
        <w:pStyle w:val="11"/>
        <w:numPr>
          <w:ilvl w:val="0"/>
          <w:numId w:val="33"/>
        </w:numPr>
        <w:tabs>
          <w:tab w:val="left" w:pos="0"/>
        </w:tabs>
        <w:ind w:left="0" w:leftChars="0" w:firstLine="480" w:firstLineChars="0"/>
        <w:rPr>
          <w:b w:val="0"/>
          <w:color w:val="000000"/>
        </w:rPr>
      </w:pPr>
      <w:r>
        <w:rPr>
          <w:color w:val="000000"/>
        </w:rPr>
        <w:t>电子交易平台发现严重安全漏洞，有潜在泄密危险的；</w:t>
      </w:r>
    </w:p>
    <w:p w14:paraId="616DFD56">
      <w:pPr>
        <w:pStyle w:val="11"/>
        <w:numPr>
          <w:ilvl w:val="0"/>
          <w:numId w:val="33"/>
        </w:numPr>
        <w:tabs>
          <w:tab w:val="left" w:pos="0"/>
        </w:tabs>
        <w:ind w:left="0" w:leftChars="0" w:firstLine="480" w:firstLineChars="0"/>
        <w:rPr>
          <w:b w:val="0"/>
          <w:color w:val="000000"/>
        </w:rPr>
      </w:pPr>
      <w:r>
        <w:rPr>
          <w:color w:val="000000"/>
        </w:rPr>
        <w:t xml:space="preserve">病毒发作导致不能进行正常操作的； </w:t>
      </w:r>
    </w:p>
    <w:p w14:paraId="48EBDB42">
      <w:pPr>
        <w:pStyle w:val="11"/>
        <w:numPr>
          <w:ilvl w:val="0"/>
          <w:numId w:val="33"/>
        </w:numPr>
        <w:tabs>
          <w:tab w:val="left" w:pos="0"/>
        </w:tabs>
        <w:ind w:left="0" w:leftChars="0" w:firstLine="480" w:firstLineChars="0"/>
        <w:rPr>
          <w:b w:val="0"/>
          <w:color w:val="000000"/>
        </w:rPr>
      </w:pPr>
      <w:r>
        <w:rPr>
          <w:color w:val="000000"/>
        </w:rPr>
        <w:t>其他无法保证电子交易的公平、公正和安全的情况。</w:t>
      </w:r>
    </w:p>
    <w:p w14:paraId="1EEFBB12">
      <w:pPr>
        <w:pStyle w:val="11"/>
        <w:numPr>
          <w:ilvl w:val="0"/>
          <w:numId w:val="33"/>
        </w:numPr>
        <w:tabs>
          <w:tab w:val="left" w:pos="0"/>
        </w:tabs>
        <w:ind w:left="0" w:leftChars="0" w:firstLine="480" w:firstLineChars="0"/>
        <w:rPr>
          <w:b w:val="0"/>
          <w:color w:val="000000"/>
        </w:rPr>
      </w:pPr>
      <w:r>
        <w:rPr>
          <w:color w:val="000000"/>
        </w:rPr>
        <w:t>出现前款规定情形，不影响采购公平、公正性的，采购组织机构可以待上述情形消除后继续组织电子交易活动，也可以决定某些环节以纸质形式进行；影响或可能影响采购公平、公正性的，应当重新采购。</w:t>
      </w:r>
    </w:p>
    <w:p w14:paraId="31A9CA87">
      <w:pPr>
        <w:pStyle w:val="11"/>
        <w:numPr>
          <w:ilvl w:val="0"/>
          <w:numId w:val="33"/>
        </w:numPr>
        <w:tabs>
          <w:tab w:val="left" w:pos="0"/>
        </w:tabs>
        <w:ind w:left="0" w:leftChars="0" w:firstLine="480" w:firstLineChars="0"/>
        <w:rPr>
          <w:b w:val="0"/>
          <w:color w:val="000000"/>
        </w:rPr>
      </w:pPr>
      <w:r>
        <w:rPr>
          <w:color w:val="000000"/>
        </w:rPr>
        <w:t>磋商小组对磋商资格条件及响应文件进行评审，并从符合竟争性磋商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文件的响应文件按无效响应处理，磋商小组应当告知有关供应商。</w:t>
      </w:r>
    </w:p>
    <w:p w14:paraId="53D87641">
      <w:pPr>
        <w:pStyle w:val="11"/>
        <w:widowControl/>
        <w:numPr>
          <w:ilvl w:val="0"/>
          <w:numId w:val="33"/>
        </w:numPr>
        <w:tabs>
          <w:tab w:val="left" w:pos="0"/>
        </w:tabs>
        <w:ind w:left="0" w:leftChars="0" w:firstLine="480" w:firstLineChars="0"/>
        <w:rPr>
          <w:color w:val="000000"/>
        </w:rPr>
      </w:pPr>
      <w:r>
        <w:rPr>
          <w:color w:val="00000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74220EF">
      <w:pPr>
        <w:pStyle w:val="11"/>
        <w:widowControl/>
        <w:numPr>
          <w:ilvl w:val="0"/>
          <w:numId w:val="33"/>
        </w:numPr>
        <w:tabs>
          <w:tab w:val="left" w:pos="0"/>
        </w:tabs>
        <w:ind w:left="0" w:leftChars="0" w:firstLine="480" w:firstLineChars="0"/>
        <w:rPr>
          <w:rStyle w:val="28"/>
          <w:color w:val="000000"/>
        </w:rPr>
      </w:pPr>
      <w:r>
        <w:rPr>
          <w:color w:val="000000"/>
        </w:rPr>
        <w:t>磋商小组要求供应商澄清、说明或者更正响应文件应当在政采云在线评标系统向供应商发起在线询标澄清。供应商的澄清、说明或者更正应当由法定代表人或其授权代表签字或者加盖公章。由授权代表签字的，应当附法定代表人授权书。供应商为自然人的，应当由本人签字并附身份证明。</w:t>
      </w:r>
    </w:p>
    <w:p w14:paraId="55705C6C">
      <w:pPr>
        <w:pStyle w:val="11"/>
        <w:widowControl/>
        <w:numPr>
          <w:ilvl w:val="0"/>
          <w:numId w:val="0"/>
        </w:numPr>
        <w:tabs>
          <w:tab w:val="left" w:pos="0"/>
        </w:tabs>
        <w:ind w:left="480" w:leftChars="0"/>
        <w:rPr>
          <w:rStyle w:val="28"/>
          <w:color w:val="000000"/>
        </w:rPr>
      </w:pPr>
      <w:r>
        <w:rPr>
          <w:rStyle w:val="28"/>
          <w:color w:val="000000"/>
        </w:rPr>
        <w:t>磋商主要内容及程序：</w:t>
      </w:r>
    </w:p>
    <w:p w14:paraId="51441620">
      <w:pPr>
        <w:pStyle w:val="11"/>
        <w:numPr>
          <w:ilvl w:val="0"/>
          <w:numId w:val="34"/>
        </w:numPr>
        <w:ind w:left="0" w:leftChars="0" w:firstLine="480" w:firstLineChars="0"/>
        <w:rPr>
          <w:rStyle w:val="28"/>
          <w:b w:val="0"/>
          <w:color w:val="000000"/>
        </w:rPr>
      </w:pPr>
      <w:r>
        <w:rPr>
          <w:rStyle w:val="28"/>
          <w:color w:val="000000"/>
        </w:rPr>
        <w:t xml:space="preserve">就本项目各类报价进行磋商； </w:t>
      </w:r>
    </w:p>
    <w:p w14:paraId="1A839BDB">
      <w:pPr>
        <w:pStyle w:val="11"/>
        <w:numPr>
          <w:ilvl w:val="0"/>
          <w:numId w:val="34"/>
        </w:numPr>
        <w:ind w:left="0" w:leftChars="0" w:firstLine="480" w:firstLineChars="0"/>
        <w:rPr>
          <w:rStyle w:val="28"/>
          <w:b w:val="0"/>
          <w:color w:val="000000"/>
        </w:rPr>
      </w:pPr>
      <w:r>
        <w:rPr>
          <w:rStyle w:val="28"/>
          <w:color w:val="000000"/>
        </w:rPr>
        <w:t>就本项目的服务承诺进行磋商；</w:t>
      </w:r>
    </w:p>
    <w:p w14:paraId="768D0304">
      <w:pPr>
        <w:pStyle w:val="11"/>
        <w:numPr>
          <w:ilvl w:val="0"/>
          <w:numId w:val="34"/>
        </w:numPr>
        <w:ind w:left="0" w:leftChars="0" w:firstLine="480" w:firstLineChars="0"/>
        <w:rPr>
          <w:rStyle w:val="28"/>
          <w:b w:val="0"/>
          <w:color w:val="000000"/>
        </w:rPr>
      </w:pPr>
      <w:r>
        <w:rPr>
          <w:rStyle w:val="28"/>
          <w:color w:val="000000"/>
        </w:rPr>
        <w:t>就本项目的质量要求进行磋商并对其作出相关承诺。</w:t>
      </w:r>
    </w:p>
    <w:p w14:paraId="7D6D8022">
      <w:pPr>
        <w:pStyle w:val="11"/>
        <w:widowControl/>
        <w:numPr>
          <w:ilvl w:val="0"/>
          <w:numId w:val="33"/>
        </w:numPr>
        <w:tabs>
          <w:tab w:val="left" w:pos="0"/>
        </w:tabs>
        <w:ind w:left="0" w:leftChars="0" w:firstLine="480" w:firstLineChars="0"/>
        <w:rPr>
          <w:color w:val="000000"/>
        </w:rPr>
      </w:pPr>
      <w:r>
        <w:rPr>
          <w:rStyle w:val="28"/>
          <w:color w:val="000000"/>
        </w:rPr>
        <w:t>磋商评审在严格保密的情况下进行，磋商的任何一方不得透露与磋商有关的其他供应商的技术服务资料、价格和其他信息。</w:t>
      </w:r>
    </w:p>
    <w:p w14:paraId="78A71E19">
      <w:pPr>
        <w:pStyle w:val="11"/>
        <w:widowControl/>
        <w:numPr>
          <w:ilvl w:val="0"/>
          <w:numId w:val="32"/>
        </w:numPr>
        <w:ind w:left="0" w:leftChars="0" w:firstLine="482" w:firstLineChars="0"/>
        <w:rPr>
          <w:b/>
          <w:color w:val="000000"/>
        </w:rPr>
      </w:pPr>
      <w:r>
        <w:rPr>
          <w:b/>
          <w:color w:val="000000"/>
        </w:rPr>
        <w:t>最后报价</w:t>
      </w:r>
    </w:p>
    <w:p w14:paraId="42BFC00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color w:val="000000"/>
        </w:rPr>
        <w:t>采购组织机构在平台开启新一轮报价，供应商点击【报价】，参与报价。在报价页面填写最终报价、项目负责人等信息，生成报价文件。生成报价文件后，供应商需报价文件进行CA签章。</w:t>
      </w:r>
    </w:p>
    <w:p w14:paraId="5B2CF2E7">
      <w:pPr>
        <w:pStyle w:val="11"/>
        <w:numPr>
          <w:ilvl w:val="0"/>
          <w:numId w:val="36"/>
        </w:numPr>
        <w:topLinePunct w:val="0"/>
        <w:ind w:left="0" w:leftChars="0" w:firstLine="480" w:firstLineChars="0"/>
        <w:rPr>
          <w:b w:val="0"/>
        </w:rPr>
      </w:pPr>
      <w:r>
        <w:t>修改报价文件：生成报价文件后，报价栏内容都置灰，无法编辑，如供应商需要修改，可点击【重新编辑】，进行修改。</w:t>
      </w:r>
    </w:p>
    <w:p w14:paraId="4D3644EE">
      <w:pPr>
        <w:pStyle w:val="11"/>
        <w:numPr>
          <w:ilvl w:val="0"/>
          <w:numId w:val="36"/>
        </w:numPr>
        <w:topLinePunct w:val="0"/>
        <w:ind w:left="0" w:leftChars="0" w:firstLine="480" w:firstLineChars="0"/>
        <w:rPr>
          <w:b w:val="0"/>
        </w:rPr>
      </w:pPr>
      <w:r>
        <w:t>提交报价文件：确认报价文件后，点击右上角【提交】，提交报价文件。</w:t>
      </w:r>
    </w:p>
    <w:p w14:paraId="16A75E23">
      <w:pPr>
        <w:pStyle w:val="11"/>
        <w:widowControl/>
        <w:rPr>
          <w:b/>
          <w:color w:val="000000"/>
        </w:rPr>
      </w:pPr>
      <w:r>
        <w:rPr>
          <w:b/>
        </w:rPr>
        <w:t>注：本项目磋商采用二次报价（在线多轮报价（最终报价））方式，如磋商人的第二次报价有调整时，报价文件必须以工程量清单报价表的格式编制转为pdf格式作为附件上传系统。磋商人不得以总价下浮的方式做报价，否则作无效磋商处理。请各磋商人须提前做好相关准备并按时递交报价文件，报价高于本项目招标控制价的磋商响应文件将被拒绝。</w:t>
      </w:r>
    </w:p>
    <w:p w14:paraId="571815F5">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磋商文件能够详细列明采购标的的技术、服务要求的，磋商结束后，磋商小组应当要求所有继续参加磋商的供应商在规定时间内提交最终报价，提交最终报价的供应商不得少于3家。</w:t>
      </w:r>
    </w:p>
    <w:p w14:paraId="61882BC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供应商未在规定时间内提交最后报价的，视同放弃最后报价权利。</w:t>
      </w:r>
    </w:p>
    <w:p w14:paraId="0E73C83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属于市场竞争不充分的科研项目，以及需要扶持的科技成果转化项目，提交最后报价的供应商可以为2家。</w:t>
      </w:r>
    </w:p>
    <w:p w14:paraId="5723055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02CC021">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最后报价是供应商响应文件的有效组成部分。</w:t>
      </w:r>
    </w:p>
    <w:p w14:paraId="61DE9AC3">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已经提交响应文件的供应商，在提交最后报价之前，可以根据磋商情况退出磋商。采购人、采购代理机构将退还退出磋商的供应商的保证金。</w:t>
      </w:r>
    </w:p>
    <w:p w14:paraId="4F47CE10">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响应供应商的报价均超过了采购预算，采购人不能支付的，磋商活动终止。</w:t>
      </w:r>
    </w:p>
    <w:p w14:paraId="7D9A2BC6">
      <w:pPr>
        <w:pStyle w:val="11"/>
        <w:keepNext w:val="0"/>
        <w:keepLines w:val="0"/>
        <w:pageBreakBefore w:val="0"/>
        <w:widowControl/>
        <w:numPr>
          <w:ilvl w:val="0"/>
          <w:numId w:val="35"/>
        </w:numPr>
        <w:kinsoku/>
        <w:wordWrap/>
        <w:overflowPunct/>
        <w:topLinePunct w:val="0"/>
        <w:autoSpaceDE/>
        <w:autoSpaceDN/>
        <w:bidi w:val="0"/>
        <w:adjustRightInd/>
        <w:snapToGrid/>
        <w:ind w:left="0" w:leftChars="0" w:firstLine="480" w:firstLineChars="0"/>
        <w:textAlignment w:val="auto"/>
        <w:rPr>
          <w:b w:val="0"/>
          <w:color w:val="000000"/>
        </w:rPr>
      </w:pPr>
      <w:r>
        <w:rPr>
          <w:color w:val="000000"/>
        </w:rPr>
        <w:t>低于成本报价</w:t>
      </w:r>
    </w:p>
    <w:p w14:paraId="77CDE26E">
      <w:pPr>
        <w:pStyle w:val="11"/>
        <w:widowControl/>
        <w:rPr>
          <w:color w:val="000000"/>
        </w:rPr>
      </w:pPr>
      <w:r>
        <w:rPr>
          <w:color w:val="000000"/>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3B131B9">
      <w:pPr>
        <w:pStyle w:val="3"/>
        <w:numPr>
          <w:ilvl w:val="0"/>
          <w:numId w:val="11"/>
        </w:numPr>
        <w:tabs>
          <w:tab w:val="clear" w:pos="482"/>
        </w:tabs>
        <w:ind w:left="0" w:leftChars="0" w:firstLine="482" w:firstLineChars="0"/>
        <w:rPr>
          <w:b/>
          <w:color w:val="000000"/>
        </w:rPr>
      </w:pPr>
      <w:r>
        <w:rPr>
          <w:b/>
          <w:color w:val="000000"/>
        </w:rPr>
        <w:t>最终磋</w:t>
      </w:r>
      <w:r>
        <w:t>商</w:t>
      </w:r>
      <w:r>
        <w:rPr>
          <w:b/>
          <w:color w:val="000000"/>
        </w:rPr>
        <w:t>结束后，磋商小组不得再与供应商进行任何形式的商谈</w:t>
      </w:r>
    </w:p>
    <w:p w14:paraId="6D848310">
      <w:pPr>
        <w:pStyle w:val="3"/>
        <w:numPr>
          <w:ilvl w:val="0"/>
          <w:numId w:val="11"/>
        </w:numPr>
        <w:tabs>
          <w:tab w:val="clear" w:pos="482"/>
        </w:tabs>
        <w:ind w:left="0" w:leftChars="0" w:firstLine="482" w:firstLineChars="0"/>
        <w:rPr>
          <w:b/>
          <w:color w:val="000000"/>
        </w:rPr>
      </w:pPr>
      <w:r>
        <w:rPr>
          <w:b/>
          <w:color w:val="000000"/>
        </w:rPr>
        <w:t>评审与比较</w:t>
      </w:r>
    </w:p>
    <w:p w14:paraId="6237DB1F">
      <w:pPr>
        <w:pStyle w:val="11"/>
        <w:widowControl/>
        <w:numPr>
          <w:ilvl w:val="0"/>
          <w:numId w:val="37"/>
        </w:numPr>
        <w:ind w:left="0" w:leftChars="0" w:firstLine="480" w:firstLineChars="0"/>
        <w:rPr>
          <w:b w:val="0"/>
          <w:color w:val="000000"/>
        </w:rPr>
      </w:pPr>
      <w:r>
        <w:rPr>
          <w:color w:val="000000"/>
        </w:rPr>
        <w:t>经磋商确定最终采购需求和提交最后报价的供应商后，由磋商小组采用综合评分法对提交最后报价的供应商的响应文件和最后报价进行综合评分。</w:t>
      </w:r>
    </w:p>
    <w:p w14:paraId="63D5F800">
      <w:pPr>
        <w:pStyle w:val="11"/>
        <w:widowControl/>
        <w:numPr>
          <w:ilvl w:val="0"/>
          <w:numId w:val="37"/>
        </w:numPr>
        <w:ind w:left="0" w:leftChars="0" w:firstLine="480" w:firstLineChars="0"/>
        <w:rPr>
          <w:b w:val="0"/>
          <w:color w:val="000000"/>
        </w:rPr>
      </w:pPr>
      <w:r>
        <w:rPr>
          <w:color w:val="000000"/>
        </w:rPr>
        <w:t>评审原则。磋商小组必须公平、公正、客观，不带任何倾向性和启发性；不得向外界透露任何与评审有关的内容；任何单位和个人不得干扰、影响评审的正常进行。</w:t>
      </w:r>
    </w:p>
    <w:p w14:paraId="4F57D743">
      <w:pPr>
        <w:pStyle w:val="11"/>
        <w:widowControl/>
        <w:numPr>
          <w:ilvl w:val="0"/>
          <w:numId w:val="37"/>
        </w:numPr>
        <w:ind w:left="0" w:leftChars="0" w:firstLine="480" w:firstLineChars="0"/>
        <w:rPr>
          <w:b w:val="0"/>
          <w:color w:val="000000"/>
        </w:rPr>
      </w:pPr>
      <w:r>
        <w:rPr>
          <w:color w:val="000000"/>
        </w:rPr>
        <w:t>评标办法及标准详见第四章。</w:t>
      </w:r>
    </w:p>
    <w:p w14:paraId="550E6A29">
      <w:pPr>
        <w:pStyle w:val="3"/>
        <w:numPr>
          <w:ilvl w:val="0"/>
          <w:numId w:val="11"/>
        </w:numPr>
        <w:tabs>
          <w:tab w:val="clear" w:pos="482"/>
        </w:tabs>
        <w:ind w:left="0" w:leftChars="0" w:firstLine="482" w:firstLineChars="0"/>
        <w:rPr>
          <w:b w:val="0"/>
          <w:bCs/>
          <w:color w:val="000000"/>
        </w:rPr>
      </w:pPr>
      <w:r>
        <w:rPr>
          <w:b w:val="0"/>
          <w:bCs/>
          <w:color w:val="000000"/>
        </w:rPr>
        <w:t>在评审过程中出现法律法规和磋商文件均没有明确规定的情形时，由磋商小组现场协商解决，协商不一致的，由全体磋商小组投票表决，以得票率二分之一以上专家的意见为准。</w:t>
      </w:r>
    </w:p>
    <w:p w14:paraId="7F4F3195">
      <w:pPr>
        <w:pStyle w:val="3"/>
        <w:numPr>
          <w:ilvl w:val="0"/>
          <w:numId w:val="11"/>
        </w:numPr>
        <w:tabs>
          <w:tab w:val="clear" w:pos="482"/>
        </w:tabs>
        <w:ind w:left="0" w:leftChars="0" w:firstLine="482" w:firstLineChars="0"/>
        <w:rPr>
          <w:b/>
          <w:color w:val="000000"/>
        </w:rPr>
      </w:pPr>
      <w:r>
        <w:rPr>
          <w:b/>
          <w:color w:val="000000"/>
        </w:rPr>
        <w:t>特别说明：</w:t>
      </w:r>
    </w:p>
    <w:p w14:paraId="4026DDBB">
      <w:pPr>
        <w:pStyle w:val="11"/>
        <w:widowControl/>
        <w:numPr>
          <w:ilvl w:val="0"/>
          <w:numId w:val="38"/>
        </w:numPr>
        <w:ind w:left="0" w:leftChars="0" w:firstLine="480" w:firstLineChars="0"/>
        <w:rPr>
          <w:b w:val="0"/>
          <w:color w:val="000000"/>
        </w:rPr>
      </w:pPr>
      <w:r>
        <w:rPr>
          <w:color w:val="000000"/>
        </w:rPr>
        <w:t>供应商磋商所使用的资格、信誉、荣誉、业绩与企业认证必须为本法人所拥有。供应商磋商所使用的采购项目实施人员必须为本法人员工（或必须为本法人或控股公司正式员工）。</w:t>
      </w:r>
    </w:p>
    <w:p w14:paraId="2F7D4FB9">
      <w:pPr>
        <w:pStyle w:val="11"/>
        <w:widowControl/>
        <w:numPr>
          <w:ilvl w:val="0"/>
          <w:numId w:val="38"/>
        </w:numPr>
        <w:ind w:left="0" w:leftChars="0" w:firstLine="480" w:firstLineChars="0"/>
        <w:rPr>
          <w:b w:val="0"/>
          <w:color w:val="000000"/>
        </w:rPr>
      </w:pPr>
      <w:r>
        <w:rPr>
          <w:color w:val="000000"/>
        </w:rPr>
        <w:t>供应商应仔细阅读竞争性磋商文件的所有内容，按照竞争性磋商文件的要求提交响应文件，并对所提供的全部资料的真实性承担法律责任。</w:t>
      </w:r>
    </w:p>
    <w:p w14:paraId="727EB495">
      <w:pPr>
        <w:pStyle w:val="11"/>
        <w:widowControl/>
        <w:numPr>
          <w:ilvl w:val="0"/>
          <w:numId w:val="38"/>
        </w:numPr>
        <w:ind w:left="0" w:leftChars="0" w:firstLine="480" w:firstLineChars="0"/>
        <w:rPr>
          <w:b w:val="0"/>
          <w:color w:val="000000"/>
        </w:rPr>
      </w:pPr>
      <w:r>
        <w:rPr>
          <w:color w:val="000000"/>
        </w:rPr>
        <w:t>供应商在磋商活动中提供任何虚假材料，其磋商无效，并报监管部门查处；中标后发现的，成交供应商须依照《中华人民共和国消费者权益保护法》的规定赔偿采购人，且民事赔偿并不免除违法供应商的行政与刑事责任。</w:t>
      </w:r>
    </w:p>
    <w:p w14:paraId="253EE705">
      <w:pPr>
        <w:pStyle w:val="11"/>
        <w:numPr>
          <w:ilvl w:val="0"/>
          <w:numId w:val="38"/>
        </w:numPr>
        <w:ind w:left="0" w:leftChars="0" w:firstLine="480" w:firstLineChars="0"/>
        <w:rPr>
          <w:b w:val="0"/>
          <w:color w:val="000000"/>
        </w:rPr>
      </w:pPr>
      <w:r>
        <w:rPr>
          <w:color w:val="000000"/>
        </w:rPr>
        <w:t>有下列情形之一的视为供应商相互串通投标，响应文件将被视为无效：</w:t>
      </w:r>
    </w:p>
    <w:p w14:paraId="39B9EAF9">
      <w:pPr>
        <w:pStyle w:val="11"/>
        <w:numPr>
          <w:ilvl w:val="0"/>
          <w:numId w:val="39"/>
        </w:numPr>
        <w:topLinePunct w:val="0"/>
        <w:ind w:left="0" w:leftChars="0" w:firstLine="480" w:firstLineChars="0"/>
        <w:rPr>
          <w:b w:val="0"/>
          <w:color w:val="000000"/>
        </w:rPr>
      </w:pPr>
      <w:r>
        <w:rPr>
          <w:color w:val="000000"/>
        </w:rPr>
        <w:t>不同供应商的响应文件由同一单位或者个人编制；或不同供应商报名的IP地址一致的；</w:t>
      </w:r>
    </w:p>
    <w:p w14:paraId="444B5031">
      <w:pPr>
        <w:pStyle w:val="11"/>
        <w:numPr>
          <w:ilvl w:val="0"/>
          <w:numId w:val="39"/>
        </w:numPr>
        <w:topLinePunct w:val="0"/>
        <w:ind w:left="0" w:leftChars="0" w:firstLine="480" w:firstLineChars="0"/>
        <w:rPr>
          <w:b w:val="0"/>
          <w:color w:val="000000"/>
        </w:rPr>
      </w:pPr>
      <w:r>
        <w:rPr>
          <w:color w:val="000000"/>
        </w:rPr>
        <w:t>不同供应商委托同一单位或者个人办理磋商事宜；</w:t>
      </w:r>
    </w:p>
    <w:p w14:paraId="2B335A39">
      <w:pPr>
        <w:pStyle w:val="11"/>
        <w:numPr>
          <w:ilvl w:val="0"/>
          <w:numId w:val="39"/>
        </w:numPr>
        <w:topLinePunct w:val="0"/>
        <w:ind w:left="0" w:leftChars="0" w:firstLine="480" w:firstLineChars="0"/>
        <w:rPr>
          <w:b w:val="0"/>
          <w:color w:val="000000"/>
        </w:rPr>
      </w:pPr>
      <w:r>
        <w:rPr>
          <w:color w:val="000000"/>
        </w:rPr>
        <w:t>不同的供应商的响应文件载明的项目管理员为同一个人；</w:t>
      </w:r>
    </w:p>
    <w:p w14:paraId="0226429D">
      <w:pPr>
        <w:pStyle w:val="11"/>
        <w:numPr>
          <w:ilvl w:val="0"/>
          <w:numId w:val="39"/>
        </w:numPr>
        <w:topLinePunct w:val="0"/>
        <w:ind w:left="0" w:leftChars="0" w:firstLine="480" w:firstLineChars="0"/>
        <w:rPr>
          <w:b w:val="0"/>
          <w:color w:val="000000"/>
        </w:rPr>
      </w:pPr>
      <w:r>
        <w:rPr>
          <w:color w:val="000000"/>
        </w:rPr>
        <w:t>不同供应商的响应文件异常一致或报价呈规律性差异；</w:t>
      </w:r>
    </w:p>
    <w:p w14:paraId="3EE1B04B">
      <w:pPr>
        <w:pStyle w:val="11"/>
        <w:numPr>
          <w:ilvl w:val="0"/>
          <w:numId w:val="39"/>
        </w:numPr>
        <w:topLinePunct w:val="0"/>
        <w:ind w:left="0" w:leftChars="0" w:firstLine="480" w:firstLineChars="0"/>
        <w:rPr>
          <w:b w:val="0"/>
          <w:color w:val="000000"/>
        </w:rPr>
      </w:pPr>
      <w:r>
        <w:rPr>
          <w:color w:val="000000"/>
        </w:rPr>
        <w:t>不同供应商的响应文件相互混装；</w:t>
      </w:r>
    </w:p>
    <w:p w14:paraId="683E4ED4">
      <w:pPr>
        <w:pStyle w:val="11"/>
        <w:numPr>
          <w:ilvl w:val="0"/>
          <w:numId w:val="39"/>
        </w:numPr>
        <w:topLinePunct w:val="0"/>
        <w:ind w:left="0" w:leftChars="0" w:firstLine="480" w:firstLineChars="0"/>
        <w:rPr>
          <w:b w:val="0"/>
          <w:color w:val="000000"/>
        </w:rPr>
      </w:pPr>
      <w:r>
        <w:rPr>
          <w:color w:val="000000"/>
        </w:rPr>
        <w:t>不同供应商的保证金从同一单位或者个人账户转出。</w:t>
      </w:r>
    </w:p>
    <w:p w14:paraId="3593AF46">
      <w:pPr>
        <w:pStyle w:val="11"/>
        <w:numPr>
          <w:ilvl w:val="0"/>
          <w:numId w:val="38"/>
        </w:numPr>
        <w:ind w:left="0" w:leftChars="0" w:firstLine="480" w:firstLineChars="0"/>
        <w:rPr>
          <w:b w:val="0"/>
          <w:color w:val="000000"/>
        </w:rPr>
      </w:pPr>
      <w:r>
        <w:rPr>
          <w:color w:val="000000"/>
        </w:rPr>
        <w:t>供应商有下列情形之一的，属于恶意串通行为：</w:t>
      </w:r>
    </w:p>
    <w:p w14:paraId="3B1EC18D">
      <w:pPr>
        <w:pStyle w:val="11"/>
        <w:numPr>
          <w:ilvl w:val="0"/>
          <w:numId w:val="40"/>
        </w:numPr>
        <w:topLinePunct w:val="0"/>
        <w:ind w:left="0" w:leftChars="0" w:firstLine="480" w:firstLineChars="0"/>
        <w:rPr>
          <w:b w:val="0"/>
          <w:color w:val="000000"/>
        </w:rPr>
      </w:pPr>
      <w:r>
        <w:rPr>
          <w:color w:val="000000"/>
        </w:rPr>
        <w:t>供应商直接或者间接从采购人或者采购代理机构处获得其他供应商的相关信息并修改其响应文件：</w:t>
      </w:r>
    </w:p>
    <w:p w14:paraId="4ECF93BD">
      <w:pPr>
        <w:pStyle w:val="11"/>
        <w:numPr>
          <w:ilvl w:val="0"/>
          <w:numId w:val="40"/>
        </w:numPr>
        <w:topLinePunct w:val="0"/>
        <w:ind w:left="0" w:leftChars="0" w:firstLine="480" w:firstLineChars="0"/>
        <w:rPr>
          <w:b w:val="0"/>
          <w:color w:val="000000"/>
        </w:rPr>
      </w:pPr>
      <w:r>
        <w:rPr>
          <w:color w:val="000000"/>
        </w:rPr>
        <w:t>供应商按照采购人或者采购代理机构的授意撤换、修改响应文件；</w:t>
      </w:r>
    </w:p>
    <w:p w14:paraId="520A481F">
      <w:pPr>
        <w:pStyle w:val="11"/>
        <w:numPr>
          <w:ilvl w:val="0"/>
          <w:numId w:val="40"/>
        </w:numPr>
        <w:topLinePunct w:val="0"/>
        <w:ind w:left="0" w:leftChars="0" w:firstLine="480" w:firstLineChars="0"/>
        <w:rPr>
          <w:b w:val="0"/>
          <w:color w:val="000000"/>
        </w:rPr>
      </w:pPr>
      <w:r>
        <w:rPr>
          <w:color w:val="000000"/>
        </w:rPr>
        <w:t>供应商之间协商报价、技术方案等响应文件的实质性内容；</w:t>
      </w:r>
    </w:p>
    <w:p w14:paraId="0247A57E">
      <w:pPr>
        <w:pStyle w:val="11"/>
        <w:numPr>
          <w:ilvl w:val="0"/>
          <w:numId w:val="40"/>
        </w:numPr>
        <w:topLinePunct w:val="0"/>
        <w:ind w:left="0" w:leftChars="0" w:firstLine="480" w:firstLineChars="0"/>
        <w:rPr>
          <w:b w:val="0"/>
          <w:color w:val="000000"/>
        </w:rPr>
      </w:pPr>
      <w:r>
        <w:rPr>
          <w:color w:val="000000"/>
        </w:rPr>
        <w:t>属于同一集团、协会、商会等组织成员的供应商按照该组织要求协同参加政府采购活动；</w:t>
      </w:r>
    </w:p>
    <w:p w14:paraId="1733C7F2">
      <w:pPr>
        <w:pStyle w:val="11"/>
        <w:numPr>
          <w:ilvl w:val="0"/>
          <w:numId w:val="40"/>
        </w:numPr>
        <w:topLinePunct w:val="0"/>
        <w:ind w:left="0" w:leftChars="0" w:firstLine="480" w:firstLineChars="0"/>
        <w:rPr>
          <w:b w:val="0"/>
          <w:color w:val="000000"/>
        </w:rPr>
      </w:pPr>
      <w:r>
        <w:rPr>
          <w:color w:val="000000"/>
        </w:rPr>
        <w:t>供应商之间事先约定一致抬高或者压低报价,或者在采购项目中事先约定轮流以高价位或者低价位成交,或者事先约定由某一特定供应商成交,然后再参加磋商；</w:t>
      </w:r>
    </w:p>
    <w:p w14:paraId="3D7B23C7">
      <w:pPr>
        <w:pStyle w:val="11"/>
        <w:numPr>
          <w:ilvl w:val="0"/>
          <w:numId w:val="40"/>
        </w:numPr>
        <w:topLinePunct w:val="0"/>
        <w:ind w:left="0" w:leftChars="0" w:firstLine="480" w:firstLineChars="0"/>
        <w:rPr>
          <w:b w:val="0"/>
          <w:color w:val="000000"/>
        </w:rPr>
      </w:pPr>
      <w:r>
        <w:rPr>
          <w:color w:val="000000"/>
        </w:rPr>
        <w:t>供应商之间商定部分供应商放弃参加政府采购活动或者放弃成交；</w:t>
      </w:r>
    </w:p>
    <w:p w14:paraId="66DEFA4C">
      <w:pPr>
        <w:pStyle w:val="11"/>
        <w:numPr>
          <w:ilvl w:val="0"/>
          <w:numId w:val="40"/>
        </w:numPr>
        <w:topLinePunct w:val="0"/>
        <w:ind w:left="0" w:leftChars="0" w:firstLine="480" w:firstLineChars="0"/>
        <w:rPr>
          <w:b w:val="0"/>
          <w:color w:val="000000"/>
        </w:rPr>
      </w:pPr>
      <w:r>
        <w:rPr>
          <w:color w:val="000000"/>
        </w:rPr>
        <w:t>供应商与采购人或者采购代理机构之间、供应商相互之间，为谋求特定供应商成交或者排斥其他供应商的其他串通行为。</w:t>
      </w:r>
    </w:p>
    <w:p w14:paraId="5730D702">
      <w:pPr>
        <w:pStyle w:val="11"/>
        <w:numPr>
          <w:ilvl w:val="0"/>
          <w:numId w:val="38"/>
        </w:numPr>
        <w:ind w:left="0" w:leftChars="0" w:firstLine="480" w:firstLineChars="0"/>
        <w:rPr>
          <w:b w:val="0"/>
          <w:color w:val="000000"/>
        </w:rPr>
      </w:pPr>
      <w:r>
        <w:rPr>
          <w:color w:val="000000"/>
        </w:rPr>
        <w:t>单位负责人为同一人或者存在直接控股、管理关系的不同的供应商，不得参加同一合同项下的政府采购活动，否则响应文件将被视为无效。</w:t>
      </w:r>
    </w:p>
    <w:p w14:paraId="2FA9892F">
      <w:pPr>
        <w:pStyle w:val="3"/>
        <w:numPr>
          <w:ilvl w:val="0"/>
          <w:numId w:val="11"/>
        </w:numPr>
        <w:tabs>
          <w:tab w:val="clear" w:pos="482"/>
        </w:tabs>
        <w:ind w:left="0" w:leftChars="0" w:firstLine="482" w:firstLineChars="0"/>
        <w:rPr>
          <w:b w:val="0"/>
          <w:bCs/>
          <w:color w:val="000000"/>
        </w:rPr>
      </w:pPr>
      <w:r>
        <w:rPr>
          <w:b w:val="0"/>
          <w:bCs/>
          <w:color w:val="000000"/>
        </w:rPr>
        <w:t>出现下列情形之一的，采购人或者采购代理机构应当终止竞争性磋商采购活动，发布项目终止公告并说明原因，重新开展采购活动：</w:t>
      </w:r>
    </w:p>
    <w:p w14:paraId="688EE1DC">
      <w:pPr>
        <w:pStyle w:val="11"/>
        <w:widowControl/>
        <w:numPr>
          <w:ilvl w:val="0"/>
          <w:numId w:val="41"/>
        </w:numPr>
        <w:ind w:left="0" w:leftChars="0" w:firstLine="480" w:firstLineChars="0"/>
        <w:rPr>
          <w:b w:val="0"/>
          <w:color w:val="000000"/>
        </w:rPr>
      </w:pPr>
      <w:r>
        <w:rPr>
          <w:color w:val="000000"/>
        </w:rPr>
        <w:t>因情况变化，不再符合规定的竞争性磋商采购方式适用情形的；</w:t>
      </w:r>
    </w:p>
    <w:p w14:paraId="02B94E8A">
      <w:pPr>
        <w:pStyle w:val="11"/>
        <w:widowControl/>
        <w:numPr>
          <w:ilvl w:val="0"/>
          <w:numId w:val="41"/>
        </w:numPr>
        <w:ind w:left="0" w:leftChars="0" w:firstLine="480" w:firstLineChars="0"/>
        <w:rPr>
          <w:b w:val="0"/>
          <w:color w:val="000000"/>
        </w:rPr>
      </w:pPr>
      <w:r>
        <w:rPr>
          <w:color w:val="000000"/>
        </w:rPr>
        <w:t>出现影响采购公正的违法、违规行为的；</w:t>
      </w:r>
    </w:p>
    <w:p w14:paraId="3E02BD65">
      <w:pPr>
        <w:pStyle w:val="11"/>
        <w:widowControl/>
        <w:numPr>
          <w:ilvl w:val="0"/>
          <w:numId w:val="41"/>
        </w:numPr>
        <w:ind w:left="0" w:leftChars="0" w:firstLine="480" w:firstLineChars="0"/>
        <w:rPr>
          <w:b w:val="0"/>
          <w:color w:val="000000"/>
        </w:rPr>
      </w:pPr>
      <w:r>
        <w:rPr>
          <w:color w:val="000000"/>
        </w:rPr>
        <w:t>除本须知19.5.4、19.5.5及法律法规规定的情形外，在采购过程中符合要求的供应商或者报价未超过采购预算的供应商不足3家的。</w:t>
      </w:r>
    </w:p>
    <w:p w14:paraId="3DCFB017">
      <w:pPr>
        <w:pStyle w:val="3"/>
        <w:numPr>
          <w:ilvl w:val="0"/>
          <w:numId w:val="11"/>
        </w:numPr>
        <w:tabs>
          <w:tab w:val="clear" w:pos="482"/>
        </w:tabs>
        <w:ind w:left="0" w:leftChars="0" w:firstLine="482" w:firstLineChars="0"/>
        <w:rPr>
          <w:b w:val="0"/>
          <w:bCs/>
          <w:color w:val="000000"/>
        </w:rPr>
      </w:pPr>
      <w:r>
        <w:rPr>
          <w:b w:val="0"/>
          <w:bCs/>
          <w:color w:val="000000"/>
        </w:rPr>
        <w:t>在采购活动中因重大变故，采购任务取消的，采购人或者采购代理机构应当终止采购活动，通知所有参加采购活动的供应商，并将项目实施情况和采购任务取消原因报送本级财政部门。</w:t>
      </w:r>
    </w:p>
    <w:p w14:paraId="549892CE">
      <w:pPr>
        <w:pStyle w:val="2"/>
        <w:numPr>
          <w:ilvl w:val="0"/>
          <w:numId w:val="10"/>
        </w:numPr>
        <w:tabs>
          <w:tab w:val="clear" w:pos="482"/>
        </w:tabs>
        <w:topLinePunct w:val="0"/>
        <w:ind w:left="0" w:leftChars="0" w:firstLine="0" w:firstLineChars="0"/>
        <w:rPr>
          <w:b/>
        </w:rPr>
      </w:pPr>
      <w:r>
        <w:t>确定成交供应商办法及结果公告</w:t>
      </w:r>
    </w:p>
    <w:p w14:paraId="16296913">
      <w:pPr>
        <w:pStyle w:val="3"/>
        <w:numPr>
          <w:ilvl w:val="0"/>
          <w:numId w:val="11"/>
        </w:numPr>
        <w:tabs>
          <w:tab w:val="clear" w:pos="482"/>
        </w:tabs>
        <w:ind w:left="0" w:leftChars="0" w:firstLine="482" w:firstLineChars="0"/>
        <w:rPr>
          <w:b w:val="0"/>
          <w:bCs/>
          <w:color w:val="000000"/>
        </w:rPr>
      </w:pPr>
      <w:r>
        <w:rPr>
          <w:b w:val="0"/>
          <w:bCs/>
          <w:color w:val="000000"/>
        </w:rPr>
        <w:t>代理机构应当自评审结束之日起2个工作日内将评审报告送交采购人，采购人在收到代理机构提交的评审报告后，2个工作日内从评审报告提出的成交候选供应商中确定成交供应商。</w:t>
      </w:r>
    </w:p>
    <w:p w14:paraId="3059E0B6">
      <w:pPr>
        <w:pStyle w:val="3"/>
        <w:numPr>
          <w:ilvl w:val="0"/>
          <w:numId w:val="11"/>
        </w:numPr>
        <w:tabs>
          <w:tab w:val="clear" w:pos="482"/>
        </w:tabs>
        <w:ind w:left="0" w:leftChars="0" w:firstLine="482" w:firstLineChars="0"/>
        <w:rPr>
          <w:b w:val="0"/>
          <w:color w:val="000000"/>
        </w:rPr>
      </w:pPr>
      <w:r>
        <w:rPr>
          <w:b w:val="0"/>
          <w:bCs/>
          <w:color w:val="000000"/>
        </w:rPr>
        <w:t>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前款规定的同样原因被取消成交资格的，采购人可以确定排名第三的成交候选人</w:t>
      </w:r>
      <w:r>
        <w:rPr>
          <w:color w:val="000000"/>
        </w:rPr>
        <w:t>为成交人。</w:t>
      </w:r>
    </w:p>
    <w:p w14:paraId="3E021F28">
      <w:pPr>
        <w:pStyle w:val="11"/>
        <w:rPr>
          <w:color w:val="000000"/>
        </w:rPr>
      </w:pPr>
      <w:r>
        <w:rPr>
          <w:color w:val="000000"/>
        </w:rPr>
        <w:t>以上信息查询记录及相关证据与采购文件一并保存。</w:t>
      </w:r>
    </w:p>
    <w:p w14:paraId="03A2930E">
      <w:pPr>
        <w:pStyle w:val="2"/>
        <w:numPr>
          <w:ilvl w:val="0"/>
          <w:numId w:val="10"/>
        </w:numPr>
        <w:tabs>
          <w:tab w:val="clear" w:pos="482"/>
        </w:tabs>
        <w:topLinePunct w:val="0"/>
        <w:ind w:left="0" w:leftChars="0" w:firstLine="0" w:firstLineChars="0"/>
        <w:rPr>
          <w:b/>
        </w:rPr>
      </w:pPr>
      <w:r>
        <w:t>履约保证金</w:t>
      </w:r>
    </w:p>
    <w:p w14:paraId="2810AFE3">
      <w:pPr>
        <w:pStyle w:val="3"/>
        <w:numPr>
          <w:ilvl w:val="0"/>
          <w:numId w:val="11"/>
        </w:numPr>
        <w:tabs>
          <w:tab w:val="clear" w:pos="482"/>
        </w:tabs>
        <w:ind w:left="0" w:leftChars="0" w:firstLine="482" w:firstLineChars="0"/>
        <w:rPr>
          <w:b w:val="0"/>
          <w:bCs/>
          <w:color w:val="000000"/>
        </w:rPr>
      </w:pPr>
      <w:r>
        <w:rPr>
          <w:b w:val="0"/>
          <w:bCs/>
          <w:color w:val="000000"/>
        </w:rPr>
        <w:t>本项目无履约保证金</w:t>
      </w:r>
    </w:p>
    <w:p w14:paraId="5BC55DAD">
      <w:pPr>
        <w:pStyle w:val="2"/>
        <w:numPr>
          <w:ilvl w:val="0"/>
          <w:numId w:val="10"/>
        </w:numPr>
        <w:tabs>
          <w:tab w:val="clear" w:pos="482"/>
        </w:tabs>
        <w:topLinePunct w:val="0"/>
        <w:ind w:left="0" w:leftChars="0" w:firstLine="0" w:firstLineChars="0"/>
        <w:rPr>
          <w:b/>
        </w:rPr>
      </w:pPr>
      <w:r>
        <w:t>签订合同</w:t>
      </w:r>
    </w:p>
    <w:p w14:paraId="56B63B64">
      <w:pPr>
        <w:pStyle w:val="3"/>
        <w:numPr>
          <w:ilvl w:val="0"/>
          <w:numId w:val="11"/>
        </w:numPr>
        <w:tabs>
          <w:tab w:val="clear" w:pos="482"/>
        </w:tabs>
        <w:ind w:left="0" w:leftChars="0" w:firstLine="482" w:firstLineChars="0"/>
        <w:rPr>
          <w:b w:val="0"/>
          <w:bCs/>
          <w:color w:val="000000"/>
        </w:rPr>
      </w:pPr>
      <w:r>
        <w:rPr>
          <w:b w:val="0"/>
          <w:bCs/>
          <w:color w:val="000000"/>
        </w:rPr>
        <w:t>根据《广西深化政府采购制度改革工作方案》和《关于促进政府采购公平竞争优化营商环境的通知》（财库〔2019〕38号）等相关政策的要求，为了提高采购时效，压缩采购合同签订时间，成交供应商自接到成交通知书之日起7个工作日内与采购人签订政府采购合同。</w:t>
      </w:r>
    </w:p>
    <w:p w14:paraId="04449260">
      <w:pPr>
        <w:pStyle w:val="3"/>
        <w:numPr>
          <w:ilvl w:val="0"/>
          <w:numId w:val="11"/>
        </w:numPr>
        <w:tabs>
          <w:tab w:val="clear" w:pos="482"/>
        </w:tabs>
        <w:ind w:left="0" w:leftChars="0" w:firstLine="482" w:firstLineChars="0"/>
        <w:rPr>
          <w:b w:val="0"/>
          <w:bCs/>
          <w:color w:val="000000"/>
        </w:rPr>
      </w:pPr>
      <w:r>
        <w:rPr>
          <w:b w:val="0"/>
          <w:bCs/>
          <w:color w:val="000000"/>
        </w:rPr>
        <w:t>如成交供应商不按成交通知书的规定签订合同，则按成交供应商违约处理。</w:t>
      </w:r>
    </w:p>
    <w:p w14:paraId="4A766311">
      <w:pPr>
        <w:pStyle w:val="3"/>
        <w:numPr>
          <w:ilvl w:val="0"/>
          <w:numId w:val="11"/>
        </w:numPr>
        <w:tabs>
          <w:tab w:val="clear" w:pos="482"/>
        </w:tabs>
        <w:ind w:left="0" w:leftChars="0" w:firstLine="482" w:firstLineChars="0"/>
        <w:rPr>
          <w:b w:val="0"/>
          <w:bCs/>
          <w:color w:val="000000"/>
        </w:rPr>
      </w:pPr>
      <w:r>
        <w:rPr>
          <w:b w:val="0"/>
          <w:bCs/>
          <w:color w:val="000000"/>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14:paraId="775D0057">
      <w:pPr>
        <w:pStyle w:val="3"/>
        <w:numPr>
          <w:ilvl w:val="0"/>
          <w:numId w:val="11"/>
        </w:numPr>
        <w:tabs>
          <w:tab w:val="clear" w:pos="482"/>
        </w:tabs>
        <w:ind w:left="0" w:leftChars="0" w:firstLine="482" w:firstLineChars="0"/>
        <w:rPr>
          <w:b w:val="0"/>
          <w:bCs/>
          <w:color w:val="000000"/>
        </w:rPr>
      </w:pPr>
      <w:r>
        <w:rPr>
          <w:b w:val="0"/>
          <w:bCs/>
          <w:color w:val="000000"/>
        </w:rPr>
        <w:t>政府采购合同公告</w:t>
      </w:r>
    </w:p>
    <w:p w14:paraId="074B704B">
      <w:pPr>
        <w:pStyle w:val="11"/>
        <w:rPr>
          <w:color w:val="000000"/>
        </w:rPr>
      </w:pPr>
      <w:r>
        <w:rPr>
          <w:color w:val="000000"/>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0D9D5B5">
      <w:pPr>
        <w:pStyle w:val="2"/>
        <w:numPr>
          <w:ilvl w:val="0"/>
          <w:numId w:val="10"/>
        </w:numPr>
        <w:tabs>
          <w:tab w:val="clear" w:pos="482"/>
        </w:tabs>
        <w:topLinePunct w:val="0"/>
        <w:ind w:left="0" w:leftChars="0" w:firstLine="0" w:firstLineChars="0"/>
        <w:rPr>
          <w:b/>
        </w:rPr>
      </w:pPr>
      <w:r>
        <w:t>适用法律</w:t>
      </w:r>
    </w:p>
    <w:p w14:paraId="3A8D2B3C">
      <w:pPr>
        <w:pStyle w:val="3"/>
        <w:numPr>
          <w:ilvl w:val="0"/>
          <w:numId w:val="11"/>
        </w:numPr>
        <w:tabs>
          <w:tab w:val="clear" w:pos="482"/>
        </w:tabs>
        <w:ind w:left="0" w:leftChars="0" w:firstLine="482" w:firstLineChars="0"/>
        <w:rPr>
          <w:b w:val="0"/>
          <w:bCs/>
          <w:color w:val="000000"/>
        </w:rPr>
      </w:pPr>
      <w:r>
        <w:rPr>
          <w:b w:val="0"/>
          <w:bCs/>
          <w:color w:val="000000"/>
        </w:rPr>
        <w:t>采购当事人的一切活动均适用于《中华人民共和国政府采购法》、《政府采购竞争性磋商采购方式管理暂行办法》及相关规定。</w:t>
      </w:r>
    </w:p>
    <w:p w14:paraId="35289AEC">
      <w:pPr>
        <w:pStyle w:val="2"/>
        <w:numPr>
          <w:ilvl w:val="0"/>
          <w:numId w:val="10"/>
        </w:numPr>
        <w:tabs>
          <w:tab w:val="clear" w:pos="482"/>
        </w:tabs>
        <w:topLinePunct w:val="0"/>
        <w:ind w:left="0" w:leftChars="0" w:firstLine="0" w:firstLineChars="0"/>
        <w:rPr>
          <w:b/>
        </w:rPr>
      </w:pPr>
      <w:r>
        <w:t>其它内容</w:t>
      </w:r>
    </w:p>
    <w:p w14:paraId="02E2840D">
      <w:pPr>
        <w:pStyle w:val="3"/>
        <w:numPr>
          <w:ilvl w:val="0"/>
          <w:numId w:val="11"/>
        </w:numPr>
        <w:tabs>
          <w:tab w:val="clear" w:pos="482"/>
        </w:tabs>
        <w:ind w:left="0" w:leftChars="0" w:firstLine="482" w:firstLineChars="0"/>
        <w:rPr>
          <w:b w:val="0"/>
          <w:bCs/>
        </w:rPr>
      </w:pPr>
      <w:r>
        <w:rPr>
          <w:b w:val="0"/>
          <w:bCs/>
        </w:rPr>
        <w:t>代理服务费</w:t>
      </w:r>
    </w:p>
    <w:p w14:paraId="7E10D127">
      <w:pPr>
        <w:pStyle w:val="11"/>
        <w:rPr>
          <w:color w:val="000000"/>
        </w:rPr>
      </w:pPr>
      <w:r>
        <w:rPr>
          <w:color w:val="000000"/>
        </w:rPr>
        <w:t>见本须知前附表</w:t>
      </w:r>
    </w:p>
    <w:p w14:paraId="6A79065E">
      <w:pPr>
        <w:pStyle w:val="3"/>
        <w:numPr>
          <w:ilvl w:val="0"/>
          <w:numId w:val="11"/>
        </w:numPr>
        <w:tabs>
          <w:tab w:val="clear" w:pos="482"/>
        </w:tabs>
        <w:ind w:left="0" w:leftChars="0" w:firstLine="482" w:firstLineChars="0"/>
        <w:rPr>
          <w:b w:val="0"/>
          <w:bCs/>
        </w:rPr>
      </w:pPr>
      <w:r>
        <w:rPr>
          <w:b w:val="0"/>
          <w:bCs/>
        </w:rPr>
        <w:t>询问、质疑和投诉</w:t>
      </w:r>
    </w:p>
    <w:p w14:paraId="24B6A80D">
      <w:pPr>
        <w:pStyle w:val="3"/>
        <w:numPr>
          <w:ilvl w:val="0"/>
          <w:numId w:val="11"/>
        </w:numPr>
        <w:ind w:left="0" w:leftChars="0" w:firstLine="482" w:firstLineChars="0"/>
        <w:rPr>
          <w:b w:val="0"/>
          <w:bCs/>
          <w:color w:val="000000"/>
        </w:rPr>
      </w:pPr>
      <w:r>
        <w:rPr>
          <w:b w:val="0"/>
          <w:bCs/>
          <w:color w:val="000000"/>
        </w:rPr>
        <w:t>供应商对政府采购活动事项有疑问的，可以向采购人、采购代理机构提出询问。</w:t>
      </w:r>
    </w:p>
    <w:p w14:paraId="0DC3F87F">
      <w:pPr>
        <w:pStyle w:val="11"/>
        <w:numPr>
          <w:ilvl w:val="0"/>
          <w:numId w:val="42"/>
        </w:numPr>
        <w:ind w:left="0" w:leftChars="0" w:firstLine="480" w:firstLineChars="0"/>
        <w:rPr>
          <w:b w:val="0"/>
          <w:color w:val="000000"/>
        </w:rPr>
      </w:pPr>
      <w:r>
        <w:rPr>
          <w:color w:val="000000"/>
        </w:rPr>
        <w:t>供应商认为采购文件、采购过程或成交结果使自己的合法权益受到损害的，应当在知道或者应知其权益受到损害之日起七个工作日内，以书面形式向采购人、采购代理机构提出质疑。具体计算时间如下：</w:t>
      </w:r>
    </w:p>
    <w:p w14:paraId="2E400AC7">
      <w:pPr>
        <w:pStyle w:val="11"/>
        <w:numPr>
          <w:ilvl w:val="0"/>
          <w:numId w:val="43"/>
        </w:numPr>
        <w:topLinePunct w:val="0"/>
        <w:ind w:left="0" w:leftChars="0" w:firstLine="480" w:firstLineChars="0"/>
        <w:rPr>
          <w:b w:val="0"/>
          <w:color w:val="000000"/>
        </w:rPr>
      </w:pPr>
      <w:r>
        <w:rPr>
          <w:color w:val="000000"/>
        </w:rPr>
        <w:t>对可以质疑的采购文件提出质疑的，为收到采购文件之日；</w:t>
      </w:r>
    </w:p>
    <w:p w14:paraId="741DBED1">
      <w:pPr>
        <w:pStyle w:val="11"/>
        <w:numPr>
          <w:ilvl w:val="0"/>
          <w:numId w:val="43"/>
        </w:numPr>
        <w:topLinePunct w:val="0"/>
        <w:ind w:left="0" w:leftChars="0" w:firstLine="480" w:firstLineChars="0"/>
        <w:rPr>
          <w:b w:val="0"/>
          <w:color w:val="000000"/>
        </w:rPr>
      </w:pPr>
      <w:r>
        <w:rPr>
          <w:color w:val="000000"/>
        </w:rPr>
        <w:t>对采购过程提出质疑的，为各采购程序环节结束之日；</w:t>
      </w:r>
    </w:p>
    <w:p w14:paraId="30EDE744">
      <w:pPr>
        <w:pStyle w:val="11"/>
        <w:numPr>
          <w:ilvl w:val="0"/>
          <w:numId w:val="43"/>
        </w:numPr>
        <w:topLinePunct w:val="0"/>
        <w:ind w:left="0" w:leftChars="0" w:firstLine="480" w:firstLineChars="0"/>
        <w:rPr>
          <w:b w:val="0"/>
          <w:color w:val="000000"/>
        </w:rPr>
      </w:pPr>
      <w:r>
        <w:rPr>
          <w:color w:val="000000"/>
        </w:rPr>
        <w:t>对成交结果提出质疑的，为成交结果公告期限届满之日。</w:t>
      </w:r>
    </w:p>
    <w:p w14:paraId="16A81E19">
      <w:pPr>
        <w:pStyle w:val="11"/>
        <w:rPr>
          <w:color w:val="000000"/>
        </w:rPr>
      </w:pPr>
      <w:r>
        <w:rPr>
          <w:color w:val="000000"/>
        </w:rPr>
        <w:t>供应商对采购人或采购代理机构的质疑答复不满意或者采购人或采购代理机构未在规定时间内作出答复的，可以在答复期满后十五个工作日内向同级采购监管部门投诉。</w:t>
      </w:r>
    </w:p>
    <w:p w14:paraId="7AD1D659">
      <w:pPr>
        <w:pStyle w:val="11"/>
        <w:numPr>
          <w:ilvl w:val="0"/>
          <w:numId w:val="42"/>
        </w:numPr>
        <w:ind w:left="0" w:leftChars="0" w:firstLine="480" w:firstLineChars="0"/>
        <w:rPr>
          <w:b w:val="0"/>
          <w:color w:val="000000"/>
        </w:rPr>
      </w:pPr>
      <w:r>
        <w:rPr>
          <w:color w:val="000000"/>
        </w:rPr>
        <w:t>质疑、投诉应当采用书面形式，质疑书、投诉书均应明确阐述采购文件、采购过程、成交结果中使自己合法权益受到损害的实质性内容，提供相关事实、明确的请求、必要的证明材料，便于有关单位调查、答复和处理。</w:t>
      </w:r>
    </w:p>
    <w:p w14:paraId="36C5E83C">
      <w:pPr>
        <w:pStyle w:val="11"/>
        <w:rPr>
          <w:color w:val="000000"/>
        </w:rPr>
      </w:pPr>
      <w:r>
        <w:rPr>
          <w:color w:val="000000"/>
        </w:rPr>
        <w:t>供应商提出质疑应当提交质疑函和必要的证明材料，针对同一采购程序环节的质疑必须在法定质疑期内一次性提出。质疑函应当包括下列内容：</w:t>
      </w:r>
    </w:p>
    <w:p w14:paraId="4D248430">
      <w:pPr>
        <w:pStyle w:val="11"/>
        <w:numPr>
          <w:ilvl w:val="0"/>
          <w:numId w:val="44"/>
        </w:numPr>
        <w:topLinePunct w:val="0"/>
        <w:ind w:left="0" w:leftChars="0" w:firstLine="480" w:firstLineChars="0"/>
        <w:rPr>
          <w:b w:val="0"/>
          <w:color w:val="000000"/>
        </w:rPr>
      </w:pPr>
      <w:r>
        <w:rPr>
          <w:color w:val="000000"/>
        </w:rPr>
        <w:t>供应商的姓名或者名称、地址、邮编、联系人及联系电话；</w:t>
      </w:r>
    </w:p>
    <w:p w14:paraId="1F31AC28">
      <w:pPr>
        <w:pStyle w:val="11"/>
        <w:numPr>
          <w:ilvl w:val="0"/>
          <w:numId w:val="44"/>
        </w:numPr>
        <w:topLinePunct w:val="0"/>
        <w:ind w:left="0" w:leftChars="0" w:firstLine="480" w:firstLineChars="0"/>
        <w:rPr>
          <w:b w:val="0"/>
          <w:color w:val="000000"/>
        </w:rPr>
      </w:pPr>
      <w:r>
        <w:rPr>
          <w:color w:val="000000"/>
        </w:rPr>
        <w:t>质疑项目的名称、编号；</w:t>
      </w:r>
    </w:p>
    <w:p w14:paraId="2858DF2D">
      <w:pPr>
        <w:pStyle w:val="11"/>
        <w:numPr>
          <w:ilvl w:val="0"/>
          <w:numId w:val="44"/>
        </w:numPr>
        <w:topLinePunct w:val="0"/>
        <w:ind w:left="0" w:leftChars="0" w:firstLine="480" w:firstLineChars="0"/>
        <w:rPr>
          <w:b w:val="0"/>
          <w:color w:val="000000"/>
        </w:rPr>
      </w:pPr>
      <w:r>
        <w:rPr>
          <w:color w:val="000000"/>
        </w:rPr>
        <w:t>具体、明确的质疑事项和与质疑事项相关的请求；</w:t>
      </w:r>
    </w:p>
    <w:p w14:paraId="5141F70A">
      <w:pPr>
        <w:pStyle w:val="11"/>
        <w:numPr>
          <w:ilvl w:val="0"/>
          <w:numId w:val="44"/>
        </w:numPr>
        <w:topLinePunct w:val="0"/>
        <w:ind w:left="0" w:leftChars="0" w:firstLine="480" w:firstLineChars="0"/>
        <w:rPr>
          <w:b w:val="0"/>
          <w:color w:val="000000"/>
        </w:rPr>
      </w:pPr>
      <w:r>
        <w:rPr>
          <w:color w:val="000000"/>
        </w:rPr>
        <w:t>事实依据；</w:t>
      </w:r>
    </w:p>
    <w:p w14:paraId="3EE293E3">
      <w:pPr>
        <w:pStyle w:val="11"/>
        <w:numPr>
          <w:ilvl w:val="0"/>
          <w:numId w:val="44"/>
        </w:numPr>
        <w:topLinePunct w:val="0"/>
        <w:ind w:left="0" w:leftChars="0" w:firstLine="480" w:firstLineChars="0"/>
        <w:rPr>
          <w:b w:val="0"/>
          <w:color w:val="000000"/>
        </w:rPr>
      </w:pPr>
      <w:r>
        <w:rPr>
          <w:color w:val="000000"/>
        </w:rPr>
        <w:t>必要的法律依据；</w:t>
      </w:r>
    </w:p>
    <w:p w14:paraId="30B91685">
      <w:pPr>
        <w:pStyle w:val="11"/>
        <w:numPr>
          <w:ilvl w:val="0"/>
          <w:numId w:val="44"/>
        </w:numPr>
        <w:topLinePunct w:val="0"/>
        <w:ind w:left="0" w:leftChars="0" w:firstLine="480" w:firstLineChars="0"/>
        <w:rPr>
          <w:b w:val="0"/>
          <w:color w:val="000000"/>
        </w:rPr>
      </w:pPr>
      <w:r>
        <w:rPr>
          <w:color w:val="000000"/>
        </w:rPr>
        <w:t>提出质疑的日期。</w:t>
      </w:r>
    </w:p>
    <w:p w14:paraId="431CF8AA">
      <w:pPr>
        <w:pStyle w:val="11"/>
        <w:rPr>
          <w:color w:val="000000"/>
        </w:rPr>
      </w:pPr>
      <w:r>
        <w:rPr>
          <w:color w:val="000000"/>
        </w:rPr>
        <w:t>供应商为自然人的，应当由本人签字；供应商为法人或者其他组织的，应当由法定代表人、主要负责人，或者其授权代表签字或者盖章，并加盖公章。</w:t>
      </w:r>
    </w:p>
    <w:p w14:paraId="245A3DEE">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808E4B7">
      <w:pPr>
        <w:rPr>
          <w:rFonts w:hint="eastAsia"/>
          <w:color w:val="000000"/>
        </w:rPr>
      </w:pPr>
    </w:p>
    <w:p w14:paraId="7A6A9398">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4D39035">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5A56BCB">
      <w:pPr>
        <w:rPr>
          <w:rFonts w:hint="eastAsia"/>
          <w:color w:val="000000"/>
        </w:rPr>
      </w:pPr>
    </w:p>
    <w:p w14:paraId="67282D75">
      <w:pPr>
        <w:pStyle w:val="11"/>
        <w:rPr>
          <w:rFonts w:hint="eastAsia"/>
          <w:color w:val="000000"/>
        </w:rPr>
      </w:pPr>
    </w:p>
    <w:p w14:paraId="21876406">
      <w:pPr>
        <w:rPr>
          <w:rFonts w:hint="eastAsia"/>
          <w:color w:val="000000"/>
        </w:rPr>
      </w:pPr>
    </w:p>
    <w:p w14:paraId="39475841">
      <w:pPr>
        <w:pStyle w:val="11"/>
        <w:rPr>
          <w:rFonts w:hint="eastAsia"/>
          <w:color w:val="000000"/>
        </w:rPr>
      </w:pPr>
    </w:p>
    <w:p w14:paraId="3CED62A0">
      <w:pPr>
        <w:rPr>
          <w:rFonts w:hint="eastAsia"/>
          <w:color w:val="000000"/>
        </w:rPr>
      </w:pPr>
    </w:p>
    <w:p w14:paraId="197604D6">
      <w:pPr>
        <w:pStyle w:val="11"/>
        <w:rPr>
          <w:rFonts w:hint="eastAsia"/>
          <w:color w:val="000000"/>
        </w:rPr>
      </w:pPr>
    </w:p>
    <w:p w14:paraId="1C93A2FB">
      <w:pPr>
        <w:rPr>
          <w:rFonts w:hint="eastAsia"/>
          <w:color w:val="000000"/>
        </w:rPr>
      </w:pPr>
    </w:p>
    <w:p w14:paraId="7B75E0A6">
      <w:pPr>
        <w:pStyle w:val="11"/>
        <w:rPr>
          <w:rFonts w:hint="eastAsia"/>
          <w:color w:val="000000"/>
        </w:rPr>
      </w:pPr>
    </w:p>
    <w:p w14:paraId="5DFF929A">
      <w:pPr>
        <w:rPr>
          <w:rFonts w:hint="eastAsia"/>
          <w:color w:val="000000"/>
        </w:rPr>
      </w:pPr>
    </w:p>
    <w:p w14:paraId="1AB3151C">
      <w:bookmarkStart w:id="49" w:name="_Toc12144"/>
      <w:r>
        <w:br w:type="page"/>
      </w:r>
    </w:p>
    <w:p w14:paraId="1683B67D">
      <w:pPr>
        <w:pStyle w:val="42"/>
        <w:numPr>
          <w:ilvl w:val="0"/>
          <w:numId w:val="2"/>
        </w:numPr>
        <w:ind w:left="0" w:leftChars="0" w:firstLine="0" w:firstLineChars="0"/>
        <w:outlineLvl w:val="0"/>
        <w:rPr>
          <w:b w:val="0"/>
        </w:rPr>
      </w:pPr>
      <w:r>
        <w:t>评审方法及定标标准</w:t>
      </w:r>
      <w:bookmarkEnd w:id="49"/>
    </w:p>
    <w:p w14:paraId="27330177">
      <w:pPr>
        <w:pStyle w:val="2"/>
        <w:numPr>
          <w:ilvl w:val="0"/>
          <w:numId w:val="45"/>
        </w:numPr>
        <w:tabs>
          <w:tab w:val="clear" w:pos="482"/>
        </w:tabs>
        <w:topLinePunct w:val="0"/>
        <w:ind w:left="0" w:leftChars="0" w:firstLine="0" w:firstLineChars="0"/>
        <w:rPr>
          <w:b/>
        </w:rPr>
      </w:pPr>
      <w:r>
        <w:t>评标原则</w:t>
      </w:r>
    </w:p>
    <w:p w14:paraId="3F449896">
      <w:pPr>
        <w:pStyle w:val="11"/>
        <w:numPr>
          <w:ilvl w:val="0"/>
          <w:numId w:val="46"/>
        </w:numPr>
        <w:ind w:left="0" w:leftChars="0" w:firstLine="480" w:firstLineChars="0"/>
        <w:rPr>
          <w:b w:val="0"/>
          <w:color w:val="000000"/>
        </w:rPr>
      </w:pPr>
      <w:r>
        <w:rPr>
          <w:color w:val="000000"/>
        </w:rPr>
        <w:t>磋商小组的构成：</w:t>
      </w:r>
    </w:p>
    <w:p w14:paraId="2663A778">
      <w:pPr>
        <w:pStyle w:val="11"/>
        <w:numPr>
          <w:ilvl w:val="0"/>
          <w:numId w:val="47"/>
        </w:numPr>
        <w:ind w:left="0" w:leftChars="0" w:firstLine="482" w:firstLineChars="0"/>
        <w:rPr>
          <w:b w:val="0"/>
          <w:color w:val="000000"/>
        </w:rPr>
      </w:pPr>
      <w:r>
        <w:rPr>
          <w:color w:val="000000"/>
        </w:rPr>
        <w:t>本采购项目的磋商小组分别由依法组成的评审专家、采购人代表等三人组成，其中专家人数不少于成员总数的三分之二。</w:t>
      </w:r>
    </w:p>
    <w:p w14:paraId="45EE27DF">
      <w:pPr>
        <w:pStyle w:val="11"/>
        <w:numPr>
          <w:ilvl w:val="0"/>
          <w:numId w:val="47"/>
        </w:numPr>
        <w:ind w:left="0" w:leftChars="0" w:firstLine="482" w:firstLineChars="0"/>
      </w:pPr>
      <w:r>
        <w:rPr>
          <w:color w:val="000000"/>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r>
        <w:t>。</w:t>
      </w:r>
    </w:p>
    <w:p w14:paraId="5CF05039">
      <w:pPr>
        <w:pStyle w:val="11"/>
        <w:numPr>
          <w:ilvl w:val="0"/>
          <w:numId w:val="46"/>
        </w:numPr>
        <w:ind w:left="0" w:leftChars="0" w:firstLine="480" w:firstLineChars="0"/>
        <w:rPr>
          <w:b w:val="0"/>
          <w:color w:val="000000"/>
        </w:rPr>
      </w:pPr>
      <w:r>
        <w:rPr>
          <w:color w:val="000000"/>
        </w:rPr>
        <w:t>评标依据：磋商小组将以磋商响应文件为评标依据，对供应商的价格、技术方案分等方面内容按百分制打分。</w:t>
      </w:r>
    </w:p>
    <w:p w14:paraId="3B86394B">
      <w:pPr>
        <w:pStyle w:val="11"/>
        <w:numPr>
          <w:ilvl w:val="0"/>
          <w:numId w:val="46"/>
        </w:numPr>
        <w:ind w:left="0" w:leftChars="0" w:firstLine="480" w:firstLineChars="0"/>
        <w:rPr>
          <w:b w:val="0"/>
          <w:color w:val="000000"/>
        </w:rPr>
      </w:pPr>
      <w:r>
        <w:rPr>
          <w:color w:val="000000"/>
        </w:rPr>
        <w:t>评标方法：综合评分法。</w:t>
      </w:r>
    </w:p>
    <w:p w14:paraId="61633588">
      <w:pPr>
        <w:pStyle w:val="2"/>
        <w:numPr>
          <w:ilvl w:val="0"/>
          <w:numId w:val="45"/>
        </w:numPr>
        <w:tabs>
          <w:tab w:val="clear" w:pos="482"/>
        </w:tabs>
        <w:topLinePunct w:val="0"/>
        <w:ind w:left="0" w:leftChars="0" w:firstLine="0" w:firstLineChars="0"/>
        <w:rPr>
          <w:b/>
        </w:rPr>
      </w:pPr>
      <w:r>
        <w:t>评标方法（计分办法按四舍五入取至百分位）：</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1"/>
        <w:gridCol w:w="6784"/>
      </w:tblGrid>
      <w:tr w14:paraId="578C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622B18B">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691" w:type="dxa"/>
            <w:noWrap w:val="0"/>
            <w:vAlign w:val="center"/>
          </w:tcPr>
          <w:p w14:paraId="6A1226C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评分因素</w:t>
            </w:r>
          </w:p>
        </w:tc>
        <w:tc>
          <w:tcPr>
            <w:tcW w:w="6784" w:type="dxa"/>
            <w:noWrap w:val="0"/>
            <w:vAlign w:val="center"/>
          </w:tcPr>
          <w:p w14:paraId="59FB96FD">
            <w:pPr>
              <w:widowControl/>
              <w:spacing w:line="400" w:lineRule="exact"/>
              <w:jc w:val="center"/>
              <w:rPr>
                <w:rFonts w:ascii="宋体" w:hAnsi="宋体" w:cs="Tahoma"/>
                <w:b/>
                <w:bCs/>
                <w:color w:val="000000"/>
                <w:kern w:val="0"/>
                <w:szCs w:val="21"/>
              </w:rPr>
            </w:pPr>
            <w:r>
              <w:rPr>
                <w:rFonts w:hint="eastAsia" w:ascii="宋体" w:hAnsi="宋体" w:cs="Tahoma"/>
                <w:b/>
                <w:bCs/>
                <w:color w:val="000000"/>
                <w:kern w:val="0"/>
                <w:szCs w:val="21"/>
              </w:rPr>
              <w:t>评分内容</w:t>
            </w:r>
          </w:p>
        </w:tc>
      </w:tr>
      <w:tr w14:paraId="7D5A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416B54B8">
            <w:pPr>
              <w:widowControl/>
              <w:spacing w:line="400" w:lineRule="exact"/>
              <w:rPr>
                <w:rFonts w:hint="eastAsia" w:ascii="宋体" w:hAnsi="宋体" w:cs="Tahoma"/>
                <w:b/>
                <w:bCs/>
                <w:color w:val="000000"/>
                <w:kern w:val="0"/>
                <w:szCs w:val="21"/>
              </w:rPr>
            </w:pPr>
            <w:r>
              <w:rPr>
                <w:rFonts w:hint="eastAsia" w:ascii="宋体" w:hAnsi="宋体" w:cs="Tahoma"/>
                <w:b/>
                <w:bCs/>
                <w:color w:val="000000"/>
                <w:kern w:val="0"/>
                <w:szCs w:val="21"/>
              </w:rPr>
              <w:t>1、价格分（满分30分）</w:t>
            </w:r>
          </w:p>
        </w:tc>
      </w:tr>
      <w:tr w14:paraId="0E48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28C760A">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1.1</w:t>
            </w:r>
          </w:p>
        </w:tc>
        <w:tc>
          <w:tcPr>
            <w:tcW w:w="1691" w:type="dxa"/>
            <w:noWrap w:val="0"/>
            <w:vAlign w:val="center"/>
          </w:tcPr>
          <w:p w14:paraId="4ABDE348">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价格分</w:t>
            </w:r>
          </w:p>
          <w:p w14:paraId="19340E29">
            <w:pPr>
              <w:widowControl/>
              <w:spacing w:line="400" w:lineRule="exact"/>
              <w:jc w:val="center"/>
              <w:rPr>
                <w:rFonts w:ascii="宋体" w:hAnsi="宋体" w:cs="Tahoma"/>
                <w:color w:val="000000"/>
                <w:kern w:val="0"/>
                <w:szCs w:val="21"/>
              </w:rPr>
            </w:pPr>
            <w:r>
              <w:rPr>
                <w:rFonts w:hint="eastAsia" w:ascii="宋体" w:hAnsi="宋体" w:cs="Tahoma"/>
                <w:color w:val="000000"/>
                <w:kern w:val="0"/>
                <w:szCs w:val="21"/>
              </w:rPr>
              <w:t>（满分30分）</w:t>
            </w:r>
          </w:p>
        </w:tc>
        <w:tc>
          <w:tcPr>
            <w:tcW w:w="6784" w:type="dxa"/>
            <w:noWrap w:val="0"/>
            <w:vAlign w:val="top"/>
          </w:tcPr>
          <w:p w14:paraId="3C0B5175">
            <w:pPr>
              <w:pStyle w:val="15"/>
              <w:numPr>
                <w:ilvl w:val="0"/>
                <w:numId w:val="0"/>
              </w:numPr>
              <w:spacing w:line="400" w:lineRule="exact"/>
              <w:ind w:firstLine="420" w:firstLineChars="200"/>
              <w:rPr>
                <w:rFonts w:hint="eastAsia" w:hAnsi="宋体"/>
                <w:bCs/>
                <w:color w:val="000000"/>
                <w:sz w:val="21"/>
              </w:rPr>
            </w:pPr>
            <w:r>
              <w:rPr>
                <w:rFonts w:hint="eastAsia" w:ascii="宋体" w:hAnsi="宋体" w:eastAsia="宋体" w:cs="Times New Roman"/>
                <w:bCs/>
                <w:color w:val="000000"/>
                <w:kern w:val="0"/>
                <w:sz w:val="21"/>
                <w:szCs w:val="21"/>
                <w:lang w:val="en-US" w:eastAsia="zh-CN" w:bidi="ar-SA"/>
              </w:rPr>
              <w:t>（1）</w:t>
            </w:r>
            <w:r>
              <w:rPr>
                <w:rFonts w:hint="eastAsia" w:hAnsi="宋体"/>
                <w:bCs/>
                <w:color w:val="000000"/>
                <w:sz w:val="21"/>
              </w:rPr>
              <w:t>评标价为供应商的磋商报价进行政策性扣除后的价格，评标价只是作为评标时使用。最终成交供应商的成交金额＝磋商报价。</w:t>
            </w:r>
          </w:p>
          <w:p w14:paraId="755ACB9D">
            <w:pPr>
              <w:pStyle w:val="15"/>
              <w:spacing w:line="400" w:lineRule="exact"/>
              <w:ind w:firstLine="420" w:firstLineChars="200"/>
              <w:rPr>
                <w:rFonts w:hint="eastAsia" w:ascii="宋体" w:hAnsi="宋体" w:eastAsia="宋体" w:cs="宋体"/>
                <w:bCs/>
                <w:color w:val="000000"/>
                <w:sz w:val="21"/>
                <w:szCs w:val="21"/>
                <w:highlight w:val="none"/>
                <w:lang w:val="en-US"/>
              </w:rPr>
            </w:pPr>
            <w:r>
              <w:rPr>
                <w:rFonts w:hint="eastAsia" w:ascii="宋体" w:hAnsi="宋体" w:eastAsia="宋体" w:cs="宋体"/>
                <w:bCs/>
                <w:color w:val="auto"/>
                <w:sz w:val="21"/>
                <w:szCs w:val="21"/>
                <w:highlight w:val="none"/>
                <w:lang w:val="en-US"/>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w:t>
            </w:r>
            <w:r>
              <w:rPr>
                <w:rFonts w:hint="eastAsia" w:ascii="宋体" w:hAnsi="宋体" w:eastAsia="宋体" w:cs="宋体"/>
                <w:bCs/>
                <w:color w:val="000000"/>
                <w:sz w:val="21"/>
                <w:szCs w:val="21"/>
                <w:highlight w:val="none"/>
                <w:lang w:val="en-US"/>
              </w:rPr>
              <w:t>本项目为专门面对中小企业项目，</w:t>
            </w:r>
            <w:r>
              <w:rPr>
                <w:rFonts w:hint="eastAsia" w:ascii="宋体" w:hAnsi="宋体" w:eastAsia="宋体" w:cs="宋体"/>
                <w:bCs/>
                <w:color w:val="000000"/>
                <w:sz w:val="21"/>
                <w:szCs w:val="21"/>
                <w:highlight w:val="none"/>
                <w:lang w:val="en-US" w:eastAsia="zh-CN"/>
              </w:rPr>
              <w:t>按照《政府采购促进中小企业发展管理办法》（财库）</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2020</w:t>
            </w:r>
            <w:r>
              <w:rPr>
                <w:rFonts w:hint="eastAsia" w:ascii="宋体" w:hAnsi="宋体" w:eastAsia="宋体" w:cs="宋体"/>
                <w:bCs/>
                <w:color w:val="000000"/>
                <w:sz w:val="21"/>
                <w:szCs w:val="21"/>
                <w:highlight w:val="none"/>
                <w:lang w:val="en-US"/>
              </w:rPr>
              <w:t>〕</w:t>
            </w:r>
            <w:r>
              <w:rPr>
                <w:rFonts w:hint="eastAsia" w:ascii="宋体" w:hAnsi="宋体" w:eastAsia="宋体" w:cs="宋体"/>
                <w:bCs/>
                <w:color w:val="000000"/>
                <w:sz w:val="21"/>
                <w:szCs w:val="21"/>
                <w:highlight w:val="none"/>
                <w:lang w:val="en-US" w:eastAsia="zh-CN"/>
              </w:rPr>
              <w:t>46</w:t>
            </w:r>
            <w:r>
              <w:rPr>
                <w:rFonts w:hint="eastAsia" w:ascii="宋体" w:hAnsi="宋体" w:eastAsia="宋体" w:cs="宋体"/>
                <w:bCs/>
                <w:color w:val="000000"/>
                <w:sz w:val="21"/>
                <w:szCs w:val="21"/>
                <w:highlight w:val="none"/>
                <w:lang w:val="en-US"/>
              </w:rPr>
              <w:t>号</w:t>
            </w:r>
            <w:r>
              <w:rPr>
                <w:rFonts w:hint="eastAsia" w:ascii="宋体" w:hAnsi="宋体" w:eastAsia="宋体" w:cs="宋体"/>
                <w:bCs/>
                <w:color w:val="000000"/>
                <w:sz w:val="21"/>
                <w:szCs w:val="21"/>
                <w:highlight w:val="none"/>
                <w:lang w:val="en-US" w:eastAsia="zh-CN"/>
              </w:rPr>
              <w:t>）的规定及《财政部、司法部关于政府采购支持监狱企业发展有关问题的通知》（财库〔2014〕68号）的规定，对应供应商最后报价不再执行价格评审优惠的扶持政策</w:t>
            </w:r>
            <w:r>
              <w:rPr>
                <w:rFonts w:hint="eastAsia" w:ascii="宋体" w:hAnsi="宋体" w:eastAsia="宋体" w:cs="宋体"/>
                <w:bCs/>
                <w:color w:val="000000"/>
                <w:sz w:val="21"/>
                <w:szCs w:val="21"/>
                <w:highlight w:val="none"/>
                <w:lang w:val="en-US"/>
              </w:rPr>
              <w:t>。</w:t>
            </w:r>
          </w:p>
          <w:p w14:paraId="78CD2CD1">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3</w:t>
            </w:r>
            <w:r>
              <w:rPr>
                <w:rFonts w:hint="eastAsia" w:hAnsi="宋体"/>
                <w:bCs/>
                <w:color w:val="000000"/>
                <w:sz w:val="21"/>
                <w:highlight w:val="none"/>
              </w:rPr>
              <w:t>）以进入综合评分环节的最低的评标报价为基准价，基准价报价得分为30分。</w:t>
            </w:r>
          </w:p>
          <w:p w14:paraId="4394017F">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4</w:t>
            </w:r>
            <w:r>
              <w:rPr>
                <w:rFonts w:hint="eastAsia" w:hAnsi="宋体"/>
                <w:bCs/>
                <w:color w:val="000000"/>
                <w:sz w:val="21"/>
                <w:highlight w:val="none"/>
              </w:rPr>
              <w:t>）有效的最后磋商报价应为对磋商文件实质性响应且完整、合理，不低于企业成本，且不超过采购人的政府采购预算的报价。如果磋商人的最后磋商报价超出采购人的政府采购预算做无效标处理。</w:t>
            </w:r>
          </w:p>
          <w:p w14:paraId="07EDBD68">
            <w:pPr>
              <w:pStyle w:val="15"/>
              <w:spacing w:line="400" w:lineRule="exact"/>
              <w:ind w:firstLine="420" w:firstLineChars="200"/>
              <w:rPr>
                <w:rFonts w:hAnsi="宋体"/>
                <w:bCs/>
                <w:color w:val="000000"/>
                <w:sz w:val="21"/>
                <w:highlight w:val="none"/>
              </w:rPr>
            </w:pPr>
            <w:r>
              <w:rPr>
                <w:rFonts w:hint="eastAsia" w:hAnsi="宋体"/>
                <w:bCs/>
                <w:color w:val="000000"/>
                <w:sz w:val="21"/>
                <w:highlight w:val="none"/>
              </w:rPr>
              <w:t>（</w:t>
            </w:r>
            <w:r>
              <w:rPr>
                <w:rFonts w:hint="eastAsia" w:hAnsi="宋体"/>
                <w:bCs/>
                <w:color w:val="000000"/>
                <w:sz w:val="21"/>
                <w:highlight w:val="none"/>
                <w:lang w:val="en-US" w:eastAsia="zh-CN"/>
              </w:rPr>
              <w:t>5</w:t>
            </w:r>
            <w:r>
              <w:rPr>
                <w:rFonts w:hint="eastAsia" w:hAnsi="宋体"/>
                <w:bCs/>
                <w:color w:val="000000"/>
                <w:sz w:val="21"/>
                <w:highlight w:val="none"/>
              </w:rPr>
              <w:t>）价格分计算公式：</w:t>
            </w:r>
          </w:p>
          <w:p w14:paraId="5C1520F5">
            <w:pPr>
              <w:pStyle w:val="15"/>
              <w:spacing w:line="400" w:lineRule="exact"/>
              <w:ind w:firstLine="420" w:firstLineChars="200"/>
              <w:rPr>
                <w:rFonts w:hint="eastAsia" w:hAnsi="宋体"/>
                <w:bCs/>
                <w:color w:val="000000"/>
                <w:sz w:val="21"/>
                <w:highlight w:val="none"/>
              </w:rPr>
            </w:pPr>
            <w:r>
              <w:rPr>
                <w:rFonts w:hint="eastAsia" w:hAnsi="宋体"/>
                <w:bCs/>
                <w:color w:val="000000"/>
                <w:sz w:val="21"/>
                <w:highlight w:val="none"/>
              </w:rPr>
              <w:t>某供应商价格分=基准价/某供应商磋商报价金额×30分</w:t>
            </w:r>
          </w:p>
          <w:p w14:paraId="2AA8BC62">
            <w:pPr>
              <w:pStyle w:val="15"/>
              <w:spacing w:line="400" w:lineRule="exact"/>
              <w:ind w:firstLine="422" w:firstLineChars="200"/>
              <w:rPr>
                <w:rFonts w:hAnsi="宋体"/>
                <w:bCs/>
                <w:color w:val="000000"/>
                <w:sz w:val="21"/>
              </w:rPr>
            </w:pPr>
            <w:r>
              <w:rPr>
                <w:rFonts w:hint="eastAsia" w:hAnsi="宋体"/>
                <w:b/>
                <w:bCs/>
                <w:color w:val="000000"/>
                <w:sz w:val="21"/>
              </w:rPr>
              <w:t>备注: 磋商小组认为供应商的报价明显低于其他通过符合性审查供应商的报价，有可能影响工程质量或者不能诚信履约的，应当要求其在评标现场合理的时间内提供书面说明，必要时提交相关证明材料；供应商不能证明其报价合理性的，磋商小组应当将其作为无效竞标处理。</w:t>
            </w:r>
          </w:p>
        </w:tc>
      </w:tr>
      <w:tr w14:paraId="7F91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69E3BC9C">
            <w:pPr>
              <w:widowControl/>
              <w:spacing w:line="400" w:lineRule="exact"/>
              <w:rPr>
                <w:rFonts w:hint="eastAsia" w:hAnsi="宋体"/>
                <w:b/>
                <w:bCs/>
                <w:color w:val="000000"/>
              </w:rPr>
            </w:pPr>
            <w:r>
              <w:rPr>
                <w:rFonts w:hint="eastAsia" w:hAnsi="宋体"/>
                <w:b/>
                <w:bCs/>
                <w:color w:val="000000"/>
              </w:rPr>
              <w:t>2、技术方案分（满分</w:t>
            </w:r>
            <w:r>
              <w:rPr>
                <w:rFonts w:hint="eastAsia" w:hAnsi="宋体"/>
                <w:b/>
                <w:bCs/>
                <w:color w:val="000000"/>
                <w:lang w:val="en-US" w:eastAsia="zh-CN"/>
              </w:rPr>
              <w:t>66</w:t>
            </w:r>
            <w:r>
              <w:rPr>
                <w:rFonts w:hint="eastAsia" w:hAnsi="宋体"/>
                <w:b/>
                <w:bCs/>
                <w:color w:val="000000"/>
              </w:rPr>
              <w:t>分）</w:t>
            </w:r>
          </w:p>
        </w:tc>
      </w:tr>
      <w:tr w14:paraId="07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B5CAB3A">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1</w:t>
            </w:r>
          </w:p>
        </w:tc>
        <w:tc>
          <w:tcPr>
            <w:tcW w:w="1691" w:type="dxa"/>
            <w:noWrap w:val="0"/>
            <w:vAlign w:val="center"/>
          </w:tcPr>
          <w:p w14:paraId="6B7B9726">
            <w:pPr>
              <w:spacing w:line="400" w:lineRule="exact"/>
              <w:jc w:val="center"/>
              <w:rPr>
                <w:rFonts w:hint="eastAsia" w:ascii="宋体" w:hAnsi="宋体" w:cs="宋体"/>
                <w:bCs/>
                <w:color w:val="000000"/>
                <w:szCs w:val="21"/>
              </w:rPr>
            </w:pPr>
            <w:r>
              <w:rPr>
                <w:rFonts w:hint="eastAsia" w:ascii="宋体" w:hAnsi="宋体" w:cs="宋体"/>
                <w:bCs/>
                <w:color w:val="000000"/>
                <w:szCs w:val="21"/>
              </w:rPr>
              <w:t>主要施工</w:t>
            </w:r>
            <w:r>
              <w:rPr>
                <w:rFonts w:hint="eastAsia" w:ascii="宋体" w:hAnsi="宋体" w:cs="宋体"/>
                <w:bCs/>
                <w:color w:val="000000"/>
                <w:szCs w:val="21"/>
                <w:lang w:val="en-US" w:eastAsia="zh-CN"/>
              </w:rPr>
              <w:t>方法、方案与技术措施</w:t>
            </w:r>
            <w:r>
              <w:rPr>
                <w:rFonts w:hint="eastAsia" w:ascii="宋体" w:hAnsi="宋体" w:cs="宋体"/>
                <w:bCs/>
                <w:color w:val="000000"/>
                <w:szCs w:val="21"/>
              </w:rPr>
              <w:t>（满分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10CDB34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 xml:space="preserve">分）：各主要分部施工方法针对性强，施工技术方案详尽周密，工艺先进、方法科学、可行，能很好的指导具体施工并确保安全。 </w:t>
            </w:r>
          </w:p>
          <w:p w14:paraId="0C0AF6E9">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分）：各主要分部施工方法符合项目实际，施工技术方案齐全，工艺成熟、方法合理、可行，能指导具体施工并确保安全。</w:t>
            </w:r>
          </w:p>
          <w:p w14:paraId="65040B90">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分）：各主要分部施工方法基本符合项目实际，施工技术方案基本齐全，方法基本合理、基本可行，基本能指导具体施工并确保安全。</w:t>
            </w:r>
          </w:p>
          <w:p w14:paraId="7A8A90B4">
            <w:pPr>
              <w:widowControl/>
              <w:spacing w:line="360" w:lineRule="auto"/>
              <w:rPr>
                <w:rFonts w:hint="eastAsia" w:hAnsi="宋体"/>
                <w:bCs/>
                <w:color w:val="000000"/>
              </w:rPr>
            </w:pPr>
            <w:r>
              <w:rPr>
                <w:rFonts w:hint="eastAsia" w:ascii="宋体" w:hAnsi="宋体"/>
                <w:bCs/>
                <w:color w:val="000000"/>
                <w:kern w:val="0"/>
                <w:szCs w:val="21"/>
              </w:rPr>
              <w:t xml:space="preserve"> 差（</w:t>
            </w:r>
            <w:r>
              <w:rPr>
                <w:rFonts w:hint="eastAsia" w:ascii="宋体" w:hAnsi="宋体"/>
                <w:bCs/>
                <w:color w:val="000000"/>
                <w:kern w:val="0"/>
                <w:szCs w:val="21"/>
                <w:lang w:val="en-US" w:eastAsia="zh-CN"/>
              </w:rPr>
              <w:t>2</w:t>
            </w:r>
            <w:r>
              <w:rPr>
                <w:rFonts w:hint="eastAsia" w:ascii="宋体" w:hAnsi="宋体"/>
                <w:bCs/>
                <w:color w:val="000000"/>
                <w:kern w:val="0"/>
                <w:szCs w:val="21"/>
              </w:rPr>
              <w:t>分）：各主要分部施工方法针对性差，施工技术方案差，工艺落后、方法不合理，不能指导具体施工和确保安全。</w:t>
            </w:r>
          </w:p>
        </w:tc>
      </w:tr>
      <w:tr w14:paraId="166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0A9265D8">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2</w:t>
            </w:r>
          </w:p>
        </w:tc>
        <w:tc>
          <w:tcPr>
            <w:tcW w:w="1691" w:type="dxa"/>
            <w:noWrap w:val="0"/>
            <w:vAlign w:val="center"/>
          </w:tcPr>
          <w:p w14:paraId="5EA6DADF">
            <w:pPr>
              <w:widowControl/>
              <w:spacing w:line="400" w:lineRule="exact"/>
              <w:jc w:val="center"/>
              <w:rPr>
                <w:rFonts w:ascii="宋体" w:hAnsi="宋体" w:cs="Tahoma"/>
                <w:color w:val="000000"/>
                <w:kern w:val="0"/>
                <w:szCs w:val="21"/>
              </w:rPr>
            </w:pPr>
            <w:r>
              <w:rPr>
                <w:rFonts w:hint="eastAsia" w:ascii="宋体" w:hAnsi="宋体" w:cs="宋体"/>
                <w:color w:val="000000"/>
                <w:kern w:val="0"/>
                <w:szCs w:val="21"/>
              </w:rPr>
              <w:t>拟投入的主要物资计划（满分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07EDC60C">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分）：投入的施工材料有详细的组织计划且计划周密，投入计划与进度计划呼应，较好满足施工需要，调配投入计划合理、准确。</w:t>
            </w:r>
          </w:p>
          <w:p w14:paraId="7B5544B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良（4分）：投入的施工材料有详细的组织计划，投入计划与进度计划呼应，基本满足施工需要，调配投入计划基本合理、准确。 </w:t>
            </w:r>
          </w:p>
          <w:p w14:paraId="4A4D1BF9">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中（2分）：投入的施工材料有详细的组织计划，投入计划与进度计划呼应，基本满足施工需要，调配投入计划基本合理。 </w:t>
            </w:r>
          </w:p>
          <w:p w14:paraId="58A0CFF3">
            <w:pPr>
              <w:widowControl/>
              <w:spacing w:line="360" w:lineRule="auto"/>
              <w:rPr>
                <w:rFonts w:hAnsi="宋体"/>
                <w:bCs/>
                <w:color w:val="000000"/>
              </w:rPr>
            </w:pPr>
            <w:r>
              <w:rPr>
                <w:rFonts w:hint="eastAsia" w:ascii="宋体" w:hAnsi="宋体"/>
                <w:bCs/>
                <w:color w:val="000000"/>
                <w:kern w:val="0"/>
                <w:szCs w:val="21"/>
              </w:rPr>
              <w:t>差（1分）：投入的施工材料的组织计划差，投入计划与进度计划不呼应，不能满足施工需要。</w:t>
            </w:r>
          </w:p>
        </w:tc>
      </w:tr>
      <w:tr w14:paraId="0114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4C04F0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3</w:t>
            </w:r>
          </w:p>
        </w:tc>
        <w:tc>
          <w:tcPr>
            <w:tcW w:w="1691" w:type="dxa"/>
            <w:noWrap w:val="0"/>
            <w:vAlign w:val="center"/>
          </w:tcPr>
          <w:p w14:paraId="499FA5A3">
            <w:pPr>
              <w:widowControl/>
              <w:spacing w:line="400" w:lineRule="exact"/>
              <w:jc w:val="center"/>
              <w:rPr>
                <w:rFonts w:hint="eastAsia" w:ascii="宋体" w:hAnsi="宋体" w:cs="宋体"/>
                <w:color w:val="000000"/>
                <w:kern w:val="0"/>
                <w:szCs w:val="21"/>
              </w:rPr>
            </w:pPr>
            <w:r>
              <w:rPr>
                <w:rFonts w:hint="eastAsia" w:ascii="宋体" w:hAnsi="宋体" w:cs="宋体"/>
                <w:bCs/>
                <w:szCs w:val="21"/>
              </w:rPr>
              <w:t>拟投入的主要施工机械、设备计划（满分</w:t>
            </w:r>
            <w:r>
              <w:rPr>
                <w:rFonts w:hint="eastAsia" w:ascii="宋体" w:hAnsi="宋体" w:cs="宋体"/>
                <w:bCs/>
                <w:szCs w:val="21"/>
                <w:lang w:val="en-US" w:eastAsia="zh-CN"/>
              </w:rPr>
              <w:t>8</w:t>
            </w:r>
            <w:r>
              <w:rPr>
                <w:rFonts w:hint="eastAsia" w:ascii="宋体" w:hAnsi="宋体" w:cs="宋体"/>
                <w:bCs/>
                <w:szCs w:val="21"/>
              </w:rPr>
              <w:t>分）</w:t>
            </w:r>
          </w:p>
        </w:tc>
        <w:tc>
          <w:tcPr>
            <w:tcW w:w="6784" w:type="dxa"/>
            <w:noWrap w:val="0"/>
            <w:vAlign w:val="center"/>
          </w:tcPr>
          <w:p w14:paraId="37516A70">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分）：投入的施工机械、设备、机具有详细的组织计划且计划周密，设备数量、选型配置、进场时间安排合理，满足施工需要。</w:t>
            </w:r>
          </w:p>
          <w:p w14:paraId="72975A05">
            <w:pPr>
              <w:widowControl/>
              <w:spacing w:line="360" w:lineRule="auto"/>
              <w:rPr>
                <w:rFonts w:hint="eastAsia" w:ascii="宋体" w:hAnsi="宋体"/>
                <w:bCs/>
                <w:color w:val="000000"/>
                <w:kern w:val="0"/>
                <w:szCs w:val="21"/>
              </w:rPr>
            </w:pPr>
            <w:r>
              <w:rPr>
                <w:rFonts w:hint="eastAsia" w:ascii="宋体" w:hAnsi="宋体"/>
                <w:bCs/>
                <w:color w:val="000000"/>
                <w:kern w:val="0"/>
                <w:szCs w:val="21"/>
              </w:rPr>
              <w:t>良（</w:t>
            </w:r>
            <w:r>
              <w:rPr>
                <w:rFonts w:hint="eastAsia" w:ascii="宋体" w:hAnsi="宋体"/>
                <w:bCs/>
                <w:color w:val="000000"/>
                <w:kern w:val="0"/>
                <w:szCs w:val="21"/>
                <w:lang w:val="en-US" w:eastAsia="zh-CN"/>
              </w:rPr>
              <w:t>6</w:t>
            </w:r>
            <w:r>
              <w:rPr>
                <w:rFonts w:hint="eastAsia" w:ascii="宋体" w:hAnsi="宋体"/>
                <w:bCs/>
                <w:color w:val="000000"/>
                <w:kern w:val="0"/>
                <w:szCs w:val="21"/>
              </w:rPr>
              <w:t>分）：投入的施工机械、设备、机具有详细的组织计划，设备数量、选型配置、进场投入计划与进度计划呼应，满足施工需要。</w:t>
            </w:r>
          </w:p>
          <w:p w14:paraId="62C22E8A">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分）：投入的施工机械、设备、机具有组织计划，设备数量、选型配置、进场投入计划与进度计划呼应，基本满足施工需要。</w:t>
            </w:r>
          </w:p>
          <w:p w14:paraId="7FF12AAF">
            <w:pPr>
              <w:widowControl/>
              <w:spacing w:line="360" w:lineRule="auto"/>
              <w:rPr>
                <w:rFonts w:hint="eastAsia" w:ascii="宋体" w:hAnsi="宋体" w:cs="宋体"/>
                <w:bCs/>
                <w:color w:val="00000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分）：投入的施工机械、设备、机具组织计划差，投入计划与进度计划不呼应，不能满足施工需要。</w:t>
            </w:r>
          </w:p>
        </w:tc>
      </w:tr>
      <w:tr w14:paraId="5FF8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137C7ECC">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4</w:t>
            </w:r>
          </w:p>
        </w:tc>
        <w:tc>
          <w:tcPr>
            <w:tcW w:w="1691" w:type="dxa"/>
            <w:noWrap w:val="0"/>
            <w:vAlign w:val="center"/>
          </w:tcPr>
          <w:p w14:paraId="7296FF1A">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lang w:val="en-US" w:eastAsia="zh-CN"/>
              </w:rPr>
              <w:t>拟投入项目班子人员、</w:t>
            </w:r>
            <w:r>
              <w:rPr>
                <w:rFonts w:hint="eastAsia" w:ascii="宋体" w:hAnsi="宋体" w:cs="宋体"/>
                <w:bCs/>
                <w:color w:val="000000"/>
                <w:szCs w:val="21"/>
              </w:rPr>
              <w:t>劳动力安排计划（满分</w:t>
            </w:r>
            <w:r>
              <w:rPr>
                <w:rFonts w:hint="eastAsia" w:ascii="宋体" w:hAnsi="宋体" w:cs="宋体"/>
                <w:bCs/>
                <w:color w:val="000000"/>
                <w:szCs w:val="21"/>
                <w:lang w:val="en-US" w:eastAsia="zh-CN"/>
              </w:rPr>
              <w:t>8</w:t>
            </w:r>
            <w:r>
              <w:rPr>
                <w:rFonts w:hint="eastAsia" w:ascii="宋体" w:hAnsi="宋体" w:cs="宋体"/>
                <w:bCs/>
                <w:color w:val="000000"/>
                <w:szCs w:val="21"/>
              </w:rPr>
              <w:t>分）</w:t>
            </w:r>
          </w:p>
        </w:tc>
        <w:tc>
          <w:tcPr>
            <w:tcW w:w="6784" w:type="dxa"/>
            <w:noWrap w:val="0"/>
            <w:vAlign w:val="center"/>
          </w:tcPr>
          <w:p w14:paraId="50B5DDA2">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8</w:t>
            </w:r>
            <w:r>
              <w:rPr>
                <w:rFonts w:hint="eastAsia" w:ascii="宋体" w:hAnsi="宋体"/>
                <w:bCs/>
                <w:color w:val="000000"/>
                <w:kern w:val="0"/>
                <w:szCs w:val="21"/>
              </w:rPr>
              <w:t>分）：</w:t>
            </w:r>
            <w:r>
              <w:rPr>
                <w:rFonts w:hint="eastAsia" w:ascii="宋体" w:hAnsi="宋体"/>
                <w:bCs/>
                <w:color w:val="000000"/>
                <w:kern w:val="0"/>
                <w:szCs w:val="21"/>
                <w:lang w:val="en-US" w:eastAsia="zh-CN"/>
              </w:rPr>
              <w:t>拟投入项目管理</w:t>
            </w:r>
            <w:r>
              <w:rPr>
                <w:rFonts w:hint="eastAsia" w:ascii="宋体" w:hAnsi="宋体"/>
                <w:bCs/>
                <w:color w:val="000000"/>
                <w:kern w:val="0"/>
                <w:szCs w:val="21"/>
              </w:rPr>
              <w:t>班子人员齐备、搭配合理，都有岗位证书</w:t>
            </w:r>
            <w:r>
              <w:rPr>
                <w:rFonts w:hint="eastAsia" w:ascii="宋体" w:hAnsi="宋体"/>
                <w:bCs/>
                <w:color w:val="000000"/>
                <w:kern w:val="0"/>
                <w:szCs w:val="21"/>
                <w:lang w:eastAsia="zh-CN"/>
              </w:rPr>
              <w:t>，</w:t>
            </w:r>
            <w:r>
              <w:rPr>
                <w:rFonts w:hint="eastAsia" w:ascii="宋体" w:hAnsi="宋体"/>
                <w:bCs/>
                <w:color w:val="000000"/>
                <w:kern w:val="0"/>
                <w:szCs w:val="21"/>
              </w:rPr>
              <w:t>各主要施工工序有详细周密的劳动力安排计划，各工种劳动力安排计划齐全，劳动力投入与进度计划呼应合理，满足施工需要。</w:t>
            </w:r>
          </w:p>
          <w:p w14:paraId="472C67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分）：拟投入项目管理班子人员齐备、搭配合理，都有岗位证书，各主要施工工序有详细的劳动力安排计划，有各工种劳动力安排计划，劳动力投入合理，满足施工需要。 </w:t>
            </w:r>
          </w:p>
          <w:p w14:paraId="6E4C3DDC">
            <w:pPr>
              <w:widowControl/>
              <w:spacing w:line="360" w:lineRule="auto"/>
              <w:rPr>
                <w:rFonts w:hint="eastAsia" w:ascii="宋体" w:hAnsi="宋体"/>
                <w:bCs/>
                <w:color w:val="000000"/>
                <w:kern w:val="0"/>
                <w:szCs w:val="21"/>
              </w:rPr>
            </w:pPr>
            <w:r>
              <w:rPr>
                <w:rFonts w:hint="eastAsia" w:ascii="宋体" w:hAnsi="宋体"/>
                <w:bCs/>
                <w:color w:val="000000"/>
                <w:kern w:val="0"/>
                <w:szCs w:val="21"/>
              </w:rPr>
              <w:t>中（</w:t>
            </w:r>
            <w:r>
              <w:rPr>
                <w:rFonts w:hint="eastAsia" w:ascii="宋体" w:hAnsi="宋体"/>
                <w:bCs/>
                <w:color w:val="000000"/>
                <w:kern w:val="0"/>
                <w:szCs w:val="21"/>
                <w:lang w:val="en-US" w:eastAsia="zh-CN"/>
              </w:rPr>
              <w:t>4</w:t>
            </w:r>
            <w:r>
              <w:rPr>
                <w:rFonts w:hint="eastAsia" w:ascii="宋体" w:hAnsi="宋体"/>
                <w:bCs/>
                <w:color w:val="000000"/>
                <w:kern w:val="0"/>
                <w:szCs w:val="21"/>
              </w:rPr>
              <w:t xml:space="preserve">分）：拟投入项目管理班子人员齐备、搭配基本合理，各主要施工工序应有劳动力安排计划，有各工种劳动力安排计划，劳动力投入基本合理，基本满足施工需要。 </w:t>
            </w:r>
          </w:p>
          <w:p w14:paraId="1FDB90D4">
            <w:pPr>
              <w:widowControl/>
              <w:spacing w:line="360" w:lineRule="auto"/>
              <w:rPr>
                <w:rFonts w:hint="eastAsia" w:ascii="宋体" w:hAnsi="宋体"/>
                <w:bCs/>
                <w:color w:val="000000"/>
                <w:kern w:val="0"/>
                <w:szCs w:val="21"/>
              </w:rPr>
            </w:pPr>
            <w:r>
              <w:rPr>
                <w:rFonts w:hint="eastAsia" w:ascii="宋体" w:hAnsi="宋体"/>
                <w:bCs/>
                <w:color w:val="000000"/>
                <w:kern w:val="0"/>
                <w:szCs w:val="21"/>
              </w:rPr>
              <w:t>差（</w:t>
            </w:r>
            <w:r>
              <w:rPr>
                <w:rFonts w:hint="eastAsia" w:ascii="宋体" w:hAnsi="宋体"/>
                <w:bCs/>
                <w:color w:val="000000"/>
                <w:kern w:val="0"/>
                <w:szCs w:val="21"/>
                <w:lang w:val="en-US" w:eastAsia="zh-CN"/>
              </w:rPr>
              <w:t>2</w:t>
            </w:r>
            <w:r>
              <w:rPr>
                <w:rFonts w:hint="eastAsia" w:ascii="宋体" w:hAnsi="宋体"/>
                <w:bCs/>
                <w:color w:val="000000"/>
                <w:kern w:val="0"/>
                <w:szCs w:val="21"/>
              </w:rPr>
              <w:t>分）：拟投入项目管理班子人员不齐备或搭配不合理</w:t>
            </w:r>
            <w:r>
              <w:rPr>
                <w:rFonts w:hint="eastAsia" w:ascii="宋体" w:hAnsi="宋体"/>
                <w:bCs/>
                <w:color w:val="000000"/>
                <w:kern w:val="0"/>
                <w:szCs w:val="21"/>
                <w:lang w:eastAsia="zh-CN"/>
              </w:rPr>
              <w:t>，</w:t>
            </w:r>
            <w:r>
              <w:rPr>
                <w:rFonts w:hint="eastAsia" w:ascii="宋体" w:hAnsi="宋体"/>
                <w:bCs/>
                <w:color w:val="000000"/>
                <w:kern w:val="0"/>
                <w:szCs w:val="21"/>
              </w:rPr>
              <w:t>各主要施工工序劳动力安排计划不全，无各工种劳动力安排计划或计划不全，劳动力投入不合理，不能满足施工需要。</w:t>
            </w:r>
          </w:p>
        </w:tc>
      </w:tr>
      <w:tr w14:paraId="668A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5638640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5</w:t>
            </w:r>
          </w:p>
        </w:tc>
        <w:tc>
          <w:tcPr>
            <w:tcW w:w="1691" w:type="dxa"/>
            <w:noWrap w:val="0"/>
            <w:vAlign w:val="center"/>
          </w:tcPr>
          <w:p w14:paraId="4DB07960">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确保工程质量的技术组织措施（满分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16DABB6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分）：有专门的质量技术管理班子和制度，且人员配备合理，制度健全。主要工序有质量技术保证措施和手段，且先进、可行、具体，达到招标文件的质量要求及施工验收规范要求，达到承诺的质量标准</w:t>
            </w:r>
          </w:p>
          <w:p w14:paraId="31C97BCE">
            <w:pPr>
              <w:widowControl/>
              <w:spacing w:line="360" w:lineRule="auto"/>
              <w:rPr>
                <w:rFonts w:hint="eastAsia" w:ascii="宋体" w:hAnsi="宋体"/>
                <w:bCs/>
                <w:color w:val="000000"/>
                <w:kern w:val="0"/>
                <w:szCs w:val="21"/>
              </w:rPr>
            </w:pPr>
            <w:r>
              <w:rPr>
                <w:rFonts w:hint="eastAsia" w:ascii="宋体" w:hAnsi="宋体"/>
                <w:bCs/>
                <w:color w:val="000000"/>
                <w:kern w:val="0"/>
                <w:szCs w:val="21"/>
              </w:rPr>
              <w:t>良（4分）：有专门的质量技术管理班子和制度，且人员配备合理，制度健全。主要工序有质量技术保证措施和手段，自控体系完整，能有效保证技术质量，达到承诺的质量标准。</w:t>
            </w:r>
          </w:p>
          <w:p w14:paraId="170ABB3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中（2分）：质量技术管理班子人员配备基本合理，制度基本健全。主要工序有质量技术保证措施和手段，能有效保证技术质量，满足招标文件的质量要求。 </w:t>
            </w:r>
          </w:p>
          <w:p w14:paraId="1977B2FB">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差（1分）：质量技术管理班子人员配备不合理，制度不健全。质量技术保证措施和手段不可行，没有质量违约责任承诺。</w:t>
            </w:r>
          </w:p>
        </w:tc>
      </w:tr>
      <w:tr w14:paraId="0AF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3132B0BB">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6</w:t>
            </w:r>
          </w:p>
        </w:tc>
        <w:tc>
          <w:tcPr>
            <w:tcW w:w="1691" w:type="dxa"/>
            <w:noWrap w:val="0"/>
            <w:vAlign w:val="center"/>
          </w:tcPr>
          <w:p w14:paraId="58E907B4">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确保安全生产的技术组织措施（满分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59EE8BDE">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分）：安全人员配备合理；有健全的安全管理制度，各道工序安全技术措施针对性强，符合实际且高于国家有关安全技术标准要求。现场防火、应急救援、社会治安安全措施得力。 </w:t>
            </w:r>
          </w:p>
          <w:p w14:paraId="028CC106">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良（4分）：安全人员配备合理；有健全的安全管理制度，各道工序安全技术措施符合实际且满足有关安全技术标准要求。现场防火、应急救援、社会治安安全措施合理。 </w:t>
            </w:r>
          </w:p>
          <w:p w14:paraId="099395F3">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中（2分）：安全人员配备基本合理，安全管理制度基本健全，各道工序安全技术措施基本符合实际，基本满足有关安全技术标准要求。现场防火、应急救援、社会治安安全措施基本合理。 </w:t>
            </w:r>
          </w:p>
          <w:p w14:paraId="77AED2C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差（1分）：安全人员配备不合理，安全管理制度不健全，各道工序安全技术措施基本符合实际，不能满足有关安全技术标准要求。现场防火、应急救援、社会治安安全措施不合理。</w:t>
            </w:r>
          </w:p>
        </w:tc>
      </w:tr>
      <w:tr w14:paraId="0700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E8E2CE1">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7</w:t>
            </w:r>
          </w:p>
        </w:tc>
        <w:tc>
          <w:tcPr>
            <w:tcW w:w="1691" w:type="dxa"/>
            <w:noWrap w:val="0"/>
            <w:vAlign w:val="center"/>
          </w:tcPr>
          <w:p w14:paraId="3DADFD9C">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确保工期的技术组织措施（满分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4DB1B9CF">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分）：有保证工期的具体措施且措施得力。各项计划图表编制详尽周密，安排科学合理，符合本项目施工实际要求。 </w:t>
            </w:r>
          </w:p>
          <w:p w14:paraId="62F1C08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良（4分）：有保证工期的具体措施且措施得当。各项计划图表编制完善，安排较合理，符合本项目施工实际要求。 </w:t>
            </w:r>
          </w:p>
          <w:p w14:paraId="537C951B">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中（2分）：有保证工期的具体措施且措施基本得当。各项计划图表编制基本完善，安排较合理，符合本项目施工实际要求。</w:t>
            </w:r>
          </w:p>
          <w:p w14:paraId="7E45A5CA">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差（1分）：有保证工期的具体措施。各项计划图表编制不完善，安排不合理，不能满足本项目施工实际要求。</w:t>
            </w:r>
          </w:p>
        </w:tc>
      </w:tr>
      <w:tr w14:paraId="5526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7E8088C7">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8</w:t>
            </w:r>
          </w:p>
        </w:tc>
        <w:tc>
          <w:tcPr>
            <w:tcW w:w="1691" w:type="dxa"/>
            <w:noWrap w:val="0"/>
            <w:vAlign w:val="center"/>
          </w:tcPr>
          <w:p w14:paraId="00552B32">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确保文明施工的技术组织措施（满分</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c>
          <w:tcPr>
            <w:tcW w:w="6784" w:type="dxa"/>
            <w:noWrap w:val="0"/>
            <w:vAlign w:val="center"/>
          </w:tcPr>
          <w:p w14:paraId="78B69244">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现场文明施工、环境保护措施和内容达到且高于《建筑施工安全生产检查标准》、《广西壮族自治区建筑工程文明施工导则》要求；有具体实现现场文明施工目标的承诺，而且各项措施科学、具体、得力的。</w:t>
            </w:r>
          </w:p>
          <w:p w14:paraId="792C5774">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良（4分）：现场文明施工、环境保护措施和内容达到《建筑施工安全生产检查标准》、《广西壮族自治区建筑工程文明施工导则》；有具体实现现场文明施工目标的承诺，而且各项措施周全、具体、有效的。 </w:t>
            </w:r>
          </w:p>
          <w:p w14:paraId="338343E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现场文明施工、环境保护措施和内容基本达到《建筑施工安全生产检查标准》、《广西壮族自治区建筑工程文明施工导则》；有具体实现现场文明施工目标的承诺，而且各项措施基本全面、具体、有效的。</w:t>
            </w:r>
          </w:p>
          <w:p w14:paraId="71909621">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 差（1分）: 现场文明施工、环境保护措施和内容与《建筑施工安全生产检查标准》、《广西壮族自治区建筑工程文明施工导则》的要求偏差大，无现场文明施工目标的承诺。</w:t>
            </w:r>
          </w:p>
        </w:tc>
      </w:tr>
      <w:tr w14:paraId="26CA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451D77F9">
            <w:pPr>
              <w:adjustRightInd w:val="0"/>
              <w:spacing w:line="400" w:lineRule="exact"/>
              <w:ind w:left="-105" w:leftChars="-50" w:right="-105" w:rightChars="-50"/>
              <w:jc w:val="center"/>
              <w:textAlignment w:val="baseline"/>
              <w:rPr>
                <w:rFonts w:hint="eastAsia" w:ascii="宋体" w:hAnsi="宋体" w:eastAsia="宋体"/>
                <w:bCs/>
                <w:color w:val="000000"/>
                <w:kern w:val="0"/>
                <w:szCs w:val="21"/>
                <w:lang w:eastAsia="zh-CN"/>
              </w:rPr>
            </w:pPr>
            <w:r>
              <w:rPr>
                <w:rFonts w:hint="eastAsia" w:ascii="宋体" w:hAnsi="宋体"/>
                <w:bCs/>
                <w:color w:val="000000"/>
                <w:kern w:val="0"/>
                <w:szCs w:val="21"/>
              </w:rPr>
              <w:t>2.</w:t>
            </w:r>
            <w:r>
              <w:rPr>
                <w:rFonts w:hint="eastAsia" w:ascii="宋体" w:hAnsi="宋体"/>
                <w:bCs/>
                <w:color w:val="000000"/>
                <w:kern w:val="0"/>
                <w:szCs w:val="21"/>
                <w:lang w:val="en-US" w:eastAsia="zh-CN"/>
              </w:rPr>
              <w:t>9</w:t>
            </w:r>
          </w:p>
        </w:tc>
        <w:tc>
          <w:tcPr>
            <w:tcW w:w="1691" w:type="dxa"/>
            <w:noWrap w:val="0"/>
            <w:vAlign w:val="center"/>
          </w:tcPr>
          <w:p w14:paraId="25758C02">
            <w:pPr>
              <w:widowControl/>
              <w:spacing w:line="400" w:lineRule="exact"/>
              <w:jc w:val="center"/>
              <w:rPr>
                <w:rFonts w:hint="eastAsia" w:ascii="宋体" w:hAnsi="宋体" w:cs="宋体"/>
                <w:color w:val="000000"/>
                <w:kern w:val="0"/>
                <w:szCs w:val="21"/>
              </w:rPr>
            </w:pPr>
            <w:r>
              <w:rPr>
                <w:rFonts w:hint="eastAsia" w:ascii="宋体" w:hAnsi="宋体" w:cs="宋体"/>
                <w:bCs/>
                <w:color w:val="000000"/>
                <w:szCs w:val="21"/>
              </w:rPr>
              <w:t>工程施工的重点和难点及保证措施（满分</w:t>
            </w:r>
            <w:r>
              <w:rPr>
                <w:rFonts w:hint="eastAsia" w:ascii="宋体" w:hAnsi="宋体" w:cs="宋体"/>
                <w:bCs/>
                <w:color w:val="000000"/>
                <w:szCs w:val="21"/>
                <w:lang w:val="en-US" w:eastAsia="zh-CN"/>
              </w:rPr>
              <w:t>6</w:t>
            </w:r>
            <w:r>
              <w:rPr>
                <w:rFonts w:hint="eastAsia" w:ascii="宋体" w:hAnsi="宋体" w:cs="宋体"/>
                <w:bCs/>
                <w:color w:val="000000"/>
                <w:szCs w:val="21"/>
              </w:rPr>
              <w:t>分）</w:t>
            </w:r>
          </w:p>
        </w:tc>
        <w:tc>
          <w:tcPr>
            <w:tcW w:w="6784" w:type="dxa"/>
            <w:noWrap w:val="0"/>
            <w:vAlign w:val="center"/>
          </w:tcPr>
          <w:p w14:paraId="4F37D36B">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 xml:space="preserve">分）：对项目关键技术、工艺有深入的表述。对重点、难点有先进合理的施工措施并有可行的安全措施，解决方案完整、经济、安全、切实可行，措施得力。 </w:t>
            </w:r>
          </w:p>
          <w:p w14:paraId="10FF2A1C">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良（4分）：对项目关键技术、工艺有深入的表述，对重点、难点有合理的建议，解决方案经济、安全、基本可行。 </w:t>
            </w:r>
          </w:p>
          <w:p w14:paraId="3A313681">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中（2分）：对项目关键技术有一定了解，对重点、难点有建议，解决方案基本可行。</w:t>
            </w:r>
          </w:p>
          <w:p w14:paraId="7B1759B8">
            <w:pPr>
              <w:widowControl/>
              <w:spacing w:line="360" w:lineRule="auto"/>
              <w:rPr>
                <w:rFonts w:hint="eastAsia" w:ascii="宋体" w:hAnsi="宋体" w:cs="宋体"/>
                <w:bCs/>
                <w:color w:val="000000"/>
                <w:szCs w:val="21"/>
              </w:rPr>
            </w:pPr>
            <w:r>
              <w:rPr>
                <w:rFonts w:hint="eastAsia" w:ascii="宋体" w:hAnsi="宋体"/>
                <w:bCs/>
                <w:color w:val="000000"/>
                <w:kern w:val="0"/>
                <w:szCs w:val="21"/>
              </w:rPr>
              <w:t>差（1分）：对项目关键技术有表述，对重点、难点有建议，解决方案不可行。</w:t>
            </w:r>
          </w:p>
        </w:tc>
      </w:tr>
      <w:tr w14:paraId="0EF9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noWrap w:val="0"/>
            <w:vAlign w:val="center"/>
          </w:tcPr>
          <w:p w14:paraId="63A604F4">
            <w:pPr>
              <w:spacing w:line="400" w:lineRule="exact"/>
              <w:jc w:val="center"/>
              <w:rPr>
                <w:rFonts w:hint="default" w:ascii="宋体" w:hAnsi="宋体" w:eastAsia="宋体"/>
                <w:bCs/>
                <w:color w:val="000000"/>
                <w:kern w:val="0"/>
                <w:szCs w:val="21"/>
                <w:lang w:val="en-US" w:eastAsia="zh-CN"/>
              </w:rPr>
            </w:pPr>
            <w:r>
              <w:rPr>
                <w:rFonts w:hint="eastAsia" w:ascii="宋体" w:hAnsi="宋体" w:cs="宋体"/>
                <w:bCs/>
              </w:rPr>
              <w:t>2.</w:t>
            </w:r>
            <w:r>
              <w:rPr>
                <w:rFonts w:hint="eastAsia" w:ascii="宋体" w:hAnsi="宋体" w:cs="宋体"/>
                <w:bCs/>
                <w:lang w:val="en-US" w:eastAsia="zh-CN"/>
              </w:rPr>
              <w:t>10</w:t>
            </w:r>
          </w:p>
        </w:tc>
        <w:tc>
          <w:tcPr>
            <w:tcW w:w="1691" w:type="dxa"/>
            <w:noWrap w:val="0"/>
            <w:vAlign w:val="center"/>
          </w:tcPr>
          <w:p w14:paraId="364EC3F0">
            <w:pPr>
              <w:spacing w:line="400" w:lineRule="exact"/>
              <w:jc w:val="center"/>
              <w:rPr>
                <w:rFonts w:hint="eastAsia" w:ascii="宋体" w:hAnsi="宋体" w:cs="宋体"/>
                <w:bCs/>
                <w:color w:val="000000"/>
                <w:szCs w:val="21"/>
              </w:rPr>
            </w:pPr>
            <w:r>
              <w:rPr>
                <w:rFonts w:hint="eastAsia" w:ascii="宋体" w:hAnsi="宋体" w:cs="宋体"/>
                <w:bCs/>
              </w:rPr>
              <w:t>施工总平面布置图（满分</w:t>
            </w:r>
            <w:r>
              <w:rPr>
                <w:rFonts w:hint="eastAsia" w:ascii="宋体" w:hAnsi="宋体" w:cs="宋体"/>
                <w:bCs/>
                <w:lang w:val="en-US" w:eastAsia="zh-CN"/>
              </w:rPr>
              <w:t>6</w:t>
            </w:r>
            <w:r>
              <w:rPr>
                <w:rFonts w:hint="eastAsia" w:ascii="宋体" w:hAnsi="宋体" w:cs="宋体"/>
                <w:bCs/>
              </w:rPr>
              <w:t>分）</w:t>
            </w:r>
          </w:p>
        </w:tc>
        <w:tc>
          <w:tcPr>
            <w:tcW w:w="6784" w:type="dxa"/>
            <w:noWrap w:val="0"/>
            <w:vAlign w:val="center"/>
          </w:tcPr>
          <w:p w14:paraId="4CC02778">
            <w:pPr>
              <w:widowControl/>
              <w:spacing w:line="360" w:lineRule="auto"/>
              <w:rPr>
                <w:rFonts w:hint="eastAsia" w:ascii="宋体" w:hAnsi="宋体"/>
                <w:bCs/>
                <w:color w:val="000000"/>
                <w:kern w:val="0"/>
                <w:szCs w:val="21"/>
              </w:rPr>
            </w:pPr>
            <w:r>
              <w:rPr>
                <w:rFonts w:hint="eastAsia" w:ascii="宋体" w:hAnsi="宋体"/>
                <w:bCs/>
                <w:color w:val="000000"/>
                <w:kern w:val="0"/>
                <w:szCs w:val="21"/>
              </w:rPr>
              <w:t>优（</w:t>
            </w:r>
            <w:r>
              <w:rPr>
                <w:rFonts w:hint="eastAsia" w:ascii="宋体" w:hAnsi="宋体"/>
                <w:bCs/>
                <w:color w:val="000000"/>
                <w:kern w:val="0"/>
                <w:szCs w:val="21"/>
                <w:lang w:val="en-US" w:eastAsia="zh-CN"/>
              </w:rPr>
              <w:t>6</w:t>
            </w:r>
            <w:r>
              <w:rPr>
                <w:rFonts w:hint="eastAsia" w:ascii="宋体" w:hAnsi="宋体"/>
                <w:bCs/>
                <w:color w:val="000000"/>
                <w:kern w:val="0"/>
                <w:szCs w:val="21"/>
              </w:rPr>
              <w:t>分）：总体布置有针对性、合理，较好满足施工需要，符合安全、文明生产要求。</w:t>
            </w:r>
          </w:p>
          <w:p w14:paraId="77BAA2DB">
            <w:pPr>
              <w:widowControl/>
              <w:spacing w:line="360" w:lineRule="auto"/>
              <w:rPr>
                <w:rFonts w:hint="eastAsia" w:ascii="宋体" w:hAnsi="宋体"/>
                <w:bCs/>
                <w:color w:val="000000"/>
                <w:kern w:val="0"/>
                <w:szCs w:val="21"/>
              </w:rPr>
            </w:pPr>
            <w:r>
              <w:rPr>
                <w:rFonts w:hint="eastAsia" w:ascii="宋体" w:hAnsi="宋体"/>
                <w:bCs/>
                <w:color w:val="000000"/>
                <w:kern w:val="0"/>
                <w:szCs w:val="21"/>
              </w:rPr>
              <w:t xml:space="preserve">良（4分）：总体布置合理，能满足施工需要，基本符合安全、文明生产要求。 </w:t>
            </w:r>
          </w:p>
          <w:p w14:paraId="34F96170">
            <w:pPr>
              <w:widowControl/>
              <w:spacing w:line="360" w:lineRule="auto"/>
              <w:rPr>
                <w:rFonts w:hint="eastAsia" w:ascii="宋体" w:hAnsi="宋体"/>
                <w:bCs/>
                <w:color w:val="000000"/>
                <w:kern w:val="0"/>
                <w:szCs w:val="21"/>
              </w:rPr>
            </w:pPr>
            <w:r>
              <w:rPr>
                <w:rFonts w:hint="eastAsia" w:ascii="宋体" w:hAnsi="宋体"/>
                <w:bCs/>
                <w:color w:val="000000"/>
                <w:kern w:val="0"/>
                <w:szCs w:val="21"/>
              </w:rPr>
              <w:t>中（2分）：总体布置基本合理，基本满足施工需要。</w:t>
            </w:r>
          </w:p>
          <w:p w14:paraId="0F5AFCED">
            <w:pPr>
              <w:widowControl/>
              <w:spacing w:line="360" w:lineRule="auto"/>
              <w:rPr>
                <w:rFonts w:hint="eastAsia" w:ascii="宋体" w:hAnsi="宋体"/>
                <w:bCs/>
                <w:color w:val="000000"/>
                <w:kern w:val="0"/>
                <w:szCs w:val="21"/>
              </w:rPr>
            </w:pPr>
            <w:r>
              <w:rPr>
                <w:rFonts w:hint="eastAsia" w:ascii="宋体" w:hAnsi="宋体"/>
                <w:bCs/>
                <w:color w:val="000000"/>
                <w:kern w:val="0"/>
                <w:szCs w:val="21"/>
              </w:rPr>
              <w:t>差（1分）：总体布置不合理，不符合安全、文明生产要求 。</w:t>
            </w:r>
          </w:p>
        </w:tc>
      </w:tr>
      <w:tr w14:paraId="5837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center"/>
          </w:tcPr>
          <w:p w14:paraId="2F3C2F38">
            <w:pPr>
              <w:pStyle w:val="29"/>
              <w:ind w:firstLine="0" w:firstLineChars="0"/>
              <w:jc w:val="both"/>
              <w:rPr>
                <w:rFonts w:hint="eastAsia"/>
                <w:color w:val="auto"/>
                <w:highlight w:val="none"/>
              </w:rPr>
            </w:pPr>
            <w:r>
              <w:rPr>
                <w:rFonts w:hint="eastAsia" w:ascii="Times New Roman" w:hAnsi="宋体" w:eastAsia="宋体" w:cs="Times New Roman"/>
                <w:b/>
                <w:color w:val="000000"/>
                <w:spacing w:val="0"/>
                <w:kern w:val="2"/>
                <w:sz w:val="21"/>
                <w:szCs w:val="24"/>
                <w:highlight w:val="none"/>
                <w:lang w:eastAsia="zh-CN"/>
              </w:rPr>
              <w:t>3</w:t>
            </w:r>
            <w:r>
              <w:rPr>
                <w:rFonts w:hint="eastAsia" w:ascii="Times New Roman" w:hAnsi="宋体" w:eastAsia="宋体" w:cs="Times New Roman"/>
                <w:b/>
                <w:color w:val="000000"/>
                <w:spacing w:val="0"/>
                <w:kern w:val="2"/>
                <w:sz w:val="21"/>
                <w:szCs w:val="24"/>
                <w:highlight w:val="none"/>
              </w:rPr>
              <w:t>、</w:t>
            </w:r>
            <w:r>
              <w:rPr>
                <w:rFonts w:hint="eastAsia" w:ascii="Times New Roman" w:hAnsi="宋体" w:eastAsia="宋体" w:cs="Times New Roman"/>
                <w:b/>
                <w:color w:val="000000"/>
                <w:spacing w:val="0"/>
                <w:kern w:val="2"/>
                <w:sz w:val="21"/>
                <w:szCs w:val="24"/>
                <w:highlight w:val="none"/>
                <w:lang w:val="en-US" w:eastAsia="zh-CN"/>
              </w:rPr>
              <w:t>商务</w:t>
            </w:r>
            <w:r>
              <w:rPr>
                <w:rFonts w:hint="eastAsia" w:ascii="Times New Roman" w:hAnsi="宋体" w:eastAsia="宋体" w:cs="Times New Roman"/>
                <w:b/>
                <w:color w:val="000000"/>
                <w:spacing w:val="0"/>
                <w:kern w:val="2"/>
                <w:sz w:val="21"/>
                <w:szCs w:val="24"/>
                <w:highlight w:val="none"/>
              </w:rPr>
              <w:t>分（满分</w:t>
            </w:r>
            <w:r>
              <w:rPr>
                <w:rFonts w:hint="eastAsia" w:ascii="Times New Roman" w:hAnsi="宋体" w:eastAsia="宋体" w:cs="Times New Roman"/>
                <w:b/>
                <w:color w:val="000000"/>
                <w:spacing w:val="0"/>
                <w:kern w:val="2"/>
                <w:sz w:val="21"/>
                <w:szCs w:val="24"/>
                <w:highlight w:val="none"/>
                <w:lang w:eastAsia="zh-CN"/>
              </w:rPr>
              <w:t>4</w:t>
            </w:r>
            <w:r>
              <w:rPr>
                <w:rFonts w:hint="eastAsia" w:ascii="Times New Roman" w:hAnsi="宋体" w:eastAsia="宋体" w:cs="Times New Roman"/>
                <w:b/>
                <w:color w:val="000000"/>
                <w:spacing w:val="0"/>
                <w:kern w:val="2"/>
                <w:sz w:val="21"/>
                <w:szCs w:val="24"/>
                <w:highlight w:val="none"/>
              </w:rPr>
              <w:t>分）</w:t>
            </w:r>
          </w:p>
        </w:tc>
      </w:tr>
      <w:tr w14:paraId="5933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restart"/>
            <w:noWrap w:val="0"/>
            <w:vAlign w:val="center"/>
          </w:tcPr>
          <w:p w14:paraId="7F7920AA">
            <w:pPr>
              <w:spacing w:line="400" w:lineRule="exact"/>
              <w:jc w:val="center"/>
              <w:rPr>
                <w:rFonts w:hint="default" w:ascii="宋体" w:hAnsi="宋体" w:eastAsia="宋体" w:cs="宋体"/>
                <w:bCs/>
                <w:color w:val="auto"/>
                <w:highlight w:val="none"/>
                <w:lang w:val="en-US" w:eastAsia="zh-CN"/>
              </w:rPr>
            </w:pPr>
            <w:bookmarkStart w:id="1233" w:name="_GoBack" w:colFirst="1" w:colLast="2"/>
            <w:r>
              <w:rPr>
                <w:rFonts w:hint="eastAsia" w:ascii="宋体" w:hAnsi="宋体" w:cs="宋体"/>
                <w:bCs/>
                <w:color w:val="auto"/>
                <w:highlight w:val="none"/>
                <w:lang w:val="en-US" w:eastAsia="zh-CN"/>
              </w:rPr>
              <w:t>3.1</w:t>
            </w:r>
          </w:p>
        </w:tc>
        <w:tc>
          <w:tcPr>
            <w:tcW w:w="1691" w:type="dxa"/>
            <w:vMerge w:val="restart"/>
            <w:noWrap w:val="0"/>
            <w:vAlign w:val="center"/>
          </w:tcPr>
          <w:p w14:paraId="07319B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Cs/>
                <w:color w:val="auto"/>
                <w:sz w:val="21"/>
                <w:szCs w:val="21"/>
                <w:highlight w:val="none"/>
              </w:rPr>
            </w:pPr>
            <w:r>
              <w:rPr>
                <w:rFonts w:hint="eastAsia" w:ascii="宋体" w:hAnsi="宋体" w:eastAsia="宋体" w:cs="宋体"/>
                <w:b w:val="0"/>
                <w:i w:val="0"/>
                <w:caps w:val="0"/>
                <w:color w:val="auto"/>
                <w:spacing w:val="0"/>
                <w:w w:val="100"/>
                <w:sz w:val="21"/>
                <w:szCs w:val="21"/>
              </w:rPr>
              <w:t>资信业绩评分</w:t>
            </w: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4分</w:t>
            </w:r>
            <w:r>
              <w:rPr>
                <w:rFonts w:hint="eastAsia" w:ascii="宋体" w:hAnsi="宋体" w:eastAsia="宋体" w:cs="宋体"/>
                <w:bCs/>
                <w:color w:val="auto"/>
                <w:sz w:val="21"/>
                <w:szCs w:val="21"/>
                <w:highlight w:val="none"/>
              </w:rPr>
              <w:t>）</w:t>
            </w:r>
          </w:p>
        </w:tc>
        <w:tc>
          <w:tcPr>
            <w:tcW w:w="6784" w:type="dxa"/>
            <w:noWrap w:val="0"/>
            <w:vAlign w:val="center"/>
          </w:tcPr>
          <w:p w14:paraId="2546CDE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项目经理具有</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工程专业中级及以上（含中级）职称，得</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分；具有</w:t>
            </w:r>
            <w:r>
              <w:rPr>
                <w:rFonts w:hint="eastAsia" w:ascii="宋体" w:hAnsi="宋体" w:eastAsia="宋体" w:cs="宋体"/>
                <w:b w:val="0"/>
                <w:i w:val="0"/>
                <w:caps w:val="0"/>
                <w:color w:val="auto"/>
                <w:spacing w:val="0"/>
                <w:w w:val="100"/>
                <w:sz w:val="21"/>
                <w:szCs w:val="21"/>
                <w:highlight w:val="none"/>
                <w:lang w:val="en-US" w:eastAsia="zh-CN"/>
              </w:rPr>
              <w:t>市政</w:t>
            </w:r>
            <w:r>
              <w:rPr>
                <w:rFonts w:hint="eastAsia" w:ascii="宋体" w:hAnsi="宋体" w:eastAsia="宋体" w:cs="宋体"/>
                <w:b w:val="0"/>
                <w:i w:val="0"/>
                <w:caps w:val="0"/>
                <w:color w:val="auto"/>
                <w:spacing w:val="0"/>
                <w:w w:val="100"/>
                <w:sz w:val="21"/>
                <w:szCs w:val="21"/>
                <w:highlight w:val="none"/>
              </w:rPr>
              <w:t>工程专业初级职称，得</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rPr>
              <w:t>分；（满分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7FC66603">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i w:val="0"/>
                <w:caps w:val="0"/>
                <w:color w:val="auto"/>
                <w:spacing w:val="0"/>
                <w:w w:val="100"/>
                <w:sz w:val="21"/>
                <w:szCs w:val="21"/>
                <w:highlight w:val="none"/>
              </w:rPr>
              <w:t>注：未提供上述人员</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4</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10</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12</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color w:val="auto"/>
                <w:spacing w:val="0"/>
                <w:w w:val="100"/>
                <w:sz w:val="21"/>
                <w:szCs w:val="21"/>
                <w:highlight w:val="none"/>
              </w:rPr>
              <w:t>社保缴纳证明的不予计分。</w:t>
            </w:r>
          </w:p>
        </w:tc>
      </w:tr>
      <w:tr w14:paraId="1443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 w:type="dxa"/>
            <w:vMerge w:val="continue"/>
            <w:noWrap w:val="0"/>
            <w:vAlign w:val="center"/>
          </w:tcPr>
          <w:p w14:paraId="70E8BFF6">
            <w:pPr>
              <w:spacing w:line="400" w:lineRule="exact"/>
              <w:jc w:val="center"/>
              <w:rPr>
                <w:rFonts w:hint="eastAsia" w:ascii="宋体" w:hAnsi="宋体" w:cs="宋体"/>
                <w:bCs/>
                <w:color w:val="auto"/>
                <w:highlight w:val="none"/>
                <w:lang w:val="en-US" w:eastAsia="zh-CN"/>
              </w:rPr>
            </w:pPr>
          </w:p>
        </w:tc>
        <w:tc>
          <w:tcPr>
            <w:tcW w:w="1691" w:type="dxa"/>
            <w:vMerge w:val="continue"/>
            <w:noWrap w:val="0"/>
            <w:vAlign w:val="center"/>
          </w:tcPr>
          <w:p w14:paraId="1D998AB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1"/>
                <w:szCs w:val="21"/>
              </w:rPr>
            </w:pPr>
          </w:p>
        </w:tc>
        <w:tc>
          <w:tcPr>
            <w:tcW w:w="6784" w:type="dxa"/>
            <w:noWrap w:val="0"/>
            <w:vAlign w:val="center"/>
          </w:tcPr>
          <w:p w14:paraId="3EC38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baseline"/>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lang w:eastAsia="zh-CN"/>
              </w:rPr>
              <w:t>）</w:t>
            </w:r>
            <w:r>
              <w:rPr>
                <w:rFonts w:hint="eastAsia" w:ascii="宋体" w:hAnsi="宋体" w:eastAsia="宋体" w:cs="宋体"/>
                <w:b w:val="0"/>
                <w:bCs/>
                <w:i w:val="0"/>
                <w:caps w:val="0"/>
                <w:color w:val="auto"/>
                <w:spacing w:val="0"/>
                <w:w w:val="100"/>
                <w:sz w:val="21"/>
                <w:szCs w:val="21"/>
                <w:highlight w:val="none"/>
              </w:rPr>
              <w:t>投入本工程的技术负责人具有</w:t>
            </w:r>
            <w:r>
              <w:rPr>
                <w:rFonts w:hint="eastAsia" w:ascii="宋体" w:hAnsi="宋体" w:eastAsia="宋体" w:cs="宋体"/>
                <w:b w:val="0"/>
                <w:bCs/>
                <w:i w:val="0"/>
                <w:caps w:val="0"/>
                <w:color w:val="auto"/>
                <w:spacing w:val="0"/>
                <w:w w:val="100"/>
                <w:sz w:val="21"/>
                <w:szCs w:val="21"/>
                <w:highlight w:val="none"/>
                <w:lang w:eastAsia="zh-CN"/>
              </w:rPr>
              <w:t>中</w:t>
            </w:r>
            <w:r>
              <w:rPr>
                <w:rFonts w:hint="eastAsia" w:ascii="宋体" w:hAnsi="宋体" w:eastAsia="宋体" w:cs="宋体"/>
                <w:b w:val="0"/>
                <w:bCs/>
                <w:i w:val="0"/>
                <w:caps w:val="0"/>
                <w:color w:val="auto"/>
                <w:spacing w:val="0"/>
                <w:w w:val="100"/>
                <w:sz w:val="21"/>
                <w:szCs w:val="21"/>
                <w:highlight w:val="none"/>
              </w:rPr>
              <w:t>级工程师及以上职称的得</w:t>
            </w:r>
            <w:r>
              <w:rPr>
                <w:rFonts w:hint="eastAsia" w:ascii="宋体" w:hAnsi="宋体" w:eastAsia="宋体" w:cs="宋体"/>
                <w:b w:val="0"/>
                <w:bCs/>
                <w:i w:val="0"/>
                <w:caps w:val="0"/>
                <w:color w:val="auto"/>
                <w:spacing w:val="0"/>
                <w:w w:val="100"/>
                <w:sz w:val="21"/>
                <w:szCs w:val="21"/>
                <w:highlight w:val="none"/>
                <w:lang w:val="en-US" w:eastAsia="zh-CN"/>
              </w:rPr>
              <w:t>2</w:t>
            </w:r>
            <w:r>
              <w:rPr>
                <w:rFonts w:hint="eastAsia" w:ascii="宋体" w:hAnsi="宋体" w:eastAsia="宋体" w:cs="宋体"/>
                <w:b w:val="0"/>
                <w:bCs/>
                <w:i w:val="0"/>
                <w:caps w:val="0"/>
                <w:color w:val="auto"/>
                <w:spacing w:val="0"/>
                <w:w w:val="100"/>
                <w:sz w:val="21"/>
                <w:szCs w:val="21"/>
                <w:highlight w:val="none"/>
              </w:rPr>
              <w:t>分；具有</w:t>
            </w:r>
            <w:r>
              <w:rPr>
                <w:rFonts w:hint="eastAsia" w:ascii="宋体" w:hAnsi="宋体" w:eastAsia="宋体" w:cs="宋体"/>
                <w:b w:val="0"/>
                <w:bCs/>
                <w:i w:val="0"/>
                <w:caps w:val="0"/>
                <w:color w:val="auto"/>
                <w:spacing w:val="0"/>
                <w:w w:val="100"/>
                <w:sz w:val="21"/>
                <w:szCs w:val="21"/>
                <w:highlight w:val="none"/>
                <w:lang w:eastAsia="zh-CN"/>
              </w:rPr>
              <w:t>初级</w:t>
            </w:r>
            <w:r>
              <w:rPr>
                <w:rFonts w:hint="eastAsia" w:ascii="宋体" w:hAnsi="宋体" w:eastAsia="宋体" w:cs="宋体"/>
                <w:b w:val="0"/>
                <w:bCs/>
                <w:i w:val="0"/>
                <w:caps w:val="0"/>
                <w:color w:val="auto"/>
                <w:spacing w:val="0"/>
                <w:w w:val="100"/>
                <w:sz w:val="21"/>
                <w:szCs w:val="21"/>
                <w:highlight w:val="none"/>
              </w:rPr>
              <w:t>工程师职称的得1分；</w:t>
            </w:r>
            <w:r>
              <w:rPr>
                <w:rFonts w:hint="eastAsia" w:ascii="宋体" w:hAnsi="宋体" w:eastAsia="宋体" w:cs="宋体"/>
                <w:b w:val="0"/>
                <w:i w:val="0"/>
                <w:caps w:val="0"/>
                <w:color w:val="auto"/>
                <w:spacing w:val="0"/>
                <w:w w:val="100"/>
                <w:sz w:val="21"/>
                <w:szCs w:val="21"/>
                <w:highlight w:val="none"/>
              </w:rPr>
              <w:t>（满分</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rPr>
              <w:t>分）</w:t>
            </w:r>
          </w:p>
          <w:p w14:paraId="348F6DF7">
            <w:pPr>
              <w:pStyle w:val="29"/>
              <w:keepNext w:val="0"/>
              <w:keepLines w:val="0"/>
              <w:pageBreakBefore w:val="0"/>
              <w:widowControl w:val="0"/>
              <w:kinsoku/>
              <w:wordWrap/>
              <w:overflowPunct/>
              <w:topLinePunct w:val="0"/>
              <w:autoSpaceDE/>
              <w:autoSpaceDN/>
              <w:bidi w:val="0"/>
              <w:adjustRightInd/>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w w:val="100"/>
                <w:sz w:val="21"/>
                <w:szCs w:val="21"/>
                <w:highlight w:val="none"/>
              </w:rPr>
              <w:t>注：未提供技术负责人</w:t>
            </w:r>
            <w:r>
              <w:rPr>
                <w:rFonts w:hint="eastAsia" w:ascii="宋体" w:hAnsi="宋体" w:eastAsia="宋体" w:cs="宋体"/>
                <w:b/>
                <w:bCs/>
                <w:i w:val="0"/>
                <w:caps w:val="0"/>
                <w:spacing w:val="0"/>
                <w:w w:val="100"/>
                <w:sz w:val="21"/>
                <w:szCs w:val="21"/>
                <w:highlight w:val="none"/>
              </w:rPr>
              <w:t>202</w:t>
            </w:r>
            <w:r>
              <w:rPr>
                <w:rFonts w:hint="eastAsia" w:ascii="宋体" w:hAnsi="宋体" w:eastAsia="宋体" w:cs="宋体"/>
                <w:b/>
                <w:bCs/>
                <w:i w:val="0"/>
                <w:caps w:val="0"/>
                <w:spacing w:val="0"/>
                <w:w w:val="100"/>
                <w:sz w:val="21"/>
                <w:szCs w:val="21"/>
                <w:highlight w:val="none"/>
                <w:lang w:val="en-US" w:eastAsia="zh-CN"/>
              </w:rPr>
              <w:t>4</w:t>
            </w:r>
            <w:r>
              <w:rPr>
                <w:rFonts w:hint="eastAsia" w:ascii="宋体" w:hAnsi="宋体" w:eastAsia="宋体" w:cs="宋体"/>
                <w:b/>
                <w:bCs/>
                <w:i w:val="0"/>
                <w:caps w:val="0"/>
                <w:spacing w:val="0"/>
                <w:w w:val="100"/>
                <w:sz w:val="21"/>
                <w:szCs w:val="21"/>
                <w:highlight w:val="none"/>
              </w:rPr>
              <w:t>年</w:t>
            </w:r>
            <w:r>
              <w:rPr>
                <w:rFonts w:hint="eastAsia" w:ascii="宋体" w:hAnsi="宋体" w:eastAsia="宋体" w:cs="宋体"/>
                <w:b/>
                <w:bCs/>
                <w:i w:val="0"/>
                <w:caps w:val="0"/>
                <w:spacing w:val="0"/>
                <w:w w:val="100"/>
                <w:sz w:val="21"/>
                <w:szCs w:val="21"/>
                <w:highlight w:val="none"/>
                <w:lang w:val="en-US" w:eastAsia="zh-CN"/>
              </w:rPr>
              <w:t>10</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bCs/>
                <w:i w:val="0"/>
                <w:caps w:val="0"/>
                <w:spacing w:val="0"/>
                <w:w w:val="100"/>
                <w:sz w:val="21"/>
                <w:szCs w:val="21"/>
                <w:highlight w:val="none"/>
                <w:lang w:val="en-US" w:eastAsia="zh-CN"/>
              </w:rPr>
              <w:t>12</w:t>
            </w:r>
            <w:r>
              <w:rPr>
                <w:rFonts w:hint="eastAsia" w:ascii="宋体" w:hAnsi="宋体" w:eastAsia="宋体" w:cs="宋体"/>
                <w:b/>
                <w:bCs/>
                <w:i w:val="0"/>
                <w:caps w:val="0"/>
                <w:spacing w:val="0"/>
                <w:w w:val="100"/>
                <w:sz w:val="21"/>
                <w:szCs w:val="21"/>
                <w:highlight w:val="none"/>
              </w:rPr>
              <w:t>月</w:t>
            </w:r>
            <w:r>
              <w:rPr>
                <w:rFonts w:hint="eastAsia" w:ascii="宋体" w:hAnsi="宋体" w:eastAsia="宋体" w:cs="宋体"/>
                <w:b/>
                <w:i w:val="0"/>
                <w:caps w:val="0"/>
                <w:color w:val="auto"/>
                <w:spacing w:val="0"/>
                <w:w w:val="100"/>
                <w:sz w:val="21"/>
                <w:szCs w:val="21"/>
                <w:highlight w:val="none"/>
              </w:rPr>
              <w:t>社保缴纳证明的，不予计分。</w:t>
            </w:r>
          </w:p>
        </w:tc>
      </w:tr>
      <w:bookmarkEnd w:id="1233"/>
      <w:tr w14:paraId="01D9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27" w:type="dxa"/>
            <w:gridSpan w:val="3"/>
            <w:noWrap w:val="0"/>
            <w:vAlign w:val="top"/>
          </w:tcPr>
          <w:p w14:paraId="5F4425EE">
            <w:pPr>
              <w:pStyle w:val="15"/>
              <w:spacing w:line="400" w:lineRule="exact"/>
              <w:ind w:firstLine="420" w:firstLineChars="200"/>
              <w:rPr>
                <w:rFonts w:hint="default" w:hAnsi="宋体" w:eastAsia="宋体"/>
                <w:bCs/>
                <w:color w:val="000000"/>
                <w:sz w:val="21"/>
                <w:lang w:val="en-US" w:eastAsia="zh-CN"/>
              </w:rPr>
            </w:pPr>
            <w:r>
              <w:rPr>
                <w:rFonts w:hint="eastAsia" w:hAnsi="宋体"/>
                <w:bCs/>
                <w:color w:val="000000"/>
                <w:sz w:val="21"/>
              </w:rPr>
              <w:t>总得分＝1</w:t>
            </w:r>
            <w:r>
              <w:rPr>
                <w:rFonts w:hAnsi="宋体"/>
                <w:bCs/>
                <w:color w:val="000000"/>
                <w:sz w:val="21"/>
              </w:rPr>
              <w:t>+</w:t>
            </w:r>
            <w:r>
              <w:rPr>
                <w:rFonts w:hint="eastAsia" w:hAnsi="宋体"/>
                <w:bCs/>
                <w:color w:val="000000"/>
                <w:sz w:val="21"/>
              </w:rPr>
              <w:t>2</w:t>
            </w:r>
            <w:r>
              <w:rPr>
                <w:rFonts w:hint="eastAsia" w:hAnsi="宋体"/>
                <w:bCs/>
                <w:color w:val="000000"/>
                <w:sz w:val="21"/>
                <w:lang w:val="en-US" w:eastAsia="zh-CN"/>
              </w:rPr>
              <w:t>+3</w:t>
            </w:r>
          </w:p>
        </w:tc>
      </w:tr>
    </w:tbl>
    <w:p w14:paraId="36F77ACB">
      <w:pPr>
        <w:pStyle w:val="15"/>
        <w:spacing w:line="320" w:lineRule="exact"/>
        <w:rPr>
          <w:rFonts w:hint="eastAsia" w:hAnsi="宋体"/>
          <w:b/>
          <w:bCs/>
          <w:color w:val="000000"/>
          <w:sz w:val="21"/>
        </w:rPr>
      </w:pPr>
    </w:p>
    <w:p w14:paraId="1861D105">
      <w:pPr>
        <w:pStyle w:val="2"/>
        <w:numPr>
          <w:ilvl w:val="0"/>
          <w:numId w:val="45"/>
        </w:numPr>
        <w:tabs>
          <w:tab w:val="clear" w:pos="482"/>
        </w:tabs>
        <w:topLinePunct w:val="0"/>
        <w:ind w:left="0" w:leftChars="0" w:firstLine="0" w:firstLineChars="0"/>
        <w:rPr>
          <w:b/>
        </w:rPr>
      </w:pPr>
      <w:r>
        <w:t>成交候选人推荐原则</w:t>
      </w:r>
    </w:p>
    <w:p w14:paraId="220AA1C2">
      <w:pPr>
        <w:pStyle w:val="11"/>
        <w:rPr>
          <w:color w:val="000000"/>
        </w:rPr>
      </w:pPr>
      <w:r>
        <w:rPr>
          <w:color w:val="000000"/>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不计算价格折扣）由低到高的顺序推荐。评审得分且最后报价（不计算价格折扣）相同的，按照技术指标优劣顺序推荐。</w:t>
      </w:r>
    </w:p>
    <w:p w14:paraId="3EAA731E">
      <w:pPr>
        <w:pStyle w:val="11"/>
        <w:rPr>
          <w:color w:val="000000"/>
        </w:rPr>
      </w:pPr>
      <w:r>
        <w:rPr>
          <w:color w:val="000000"/>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r>
        <w:rPr>
          <w:color w:val="000000"/>
        </w:rPr>
        <w:br w:type="page"/>
      </w:r>
    </w:p>
    <w:p w14:paraId="67304562">
      <w:pPr>
        <w:pStyle w:val="42"/>
        <w:numPr>
          <w:ilvl w:val="0"/>
          <w:numId w:val="2"/>
        </w:numPr>
        <w:ind w:left="0" w:leftChars="0" w:firstLine="0" w:firstLineChars="0"/>
        <w:outlineLvl w:val="0"/>
        <w:rPr>
          <w:b w:val="0"/>
        </w:rPr>
      </w:pPr>
      <w:bookmarkStart w:id="50" w:name="_Toc30146"/>
      <w:r>
        <w:t>工程量清单</w:t>
      </w:r>
      <w:bookmarkEnd w:id="50"/>
    </w:p>
    <w:p w14:paraId="72BCFC4B">
      <w:pPr>
        <w:pStyle w:val="18"/>
      </w:pPr>
      <w:bookmarkStart w:id="51" w:name="_Toc26346"/>
      <w:r>
        <w:t>(由潜在供应商登陆政采云平台自行下载)</w:t>
      </w:r>
      <w:bookmarkEnd w:id="51"/>
    </w:p>
    <w:p w14:paraId="2EB80BDF">
      <w:pPr>
        <w:spacing w:line="360" w:lineRule="auto"/>
        <w:rPr>
          <w:rFonts w:hint="eastAsia" w:ascii="宋体" w:hAnsi="宋体"/>
          <w:color w:val="000000"/>
          <w:szCs w:val="21"/>
        </w:rPr>
      </w:pPr>
      <w:bookmarkStart w:id="52" w:name="_Toc530263370"/>
    </w:p>
    <w:bookmarkEnd w:id="52"/>
    <w:p w14:paraId="3D2E98CE">
      <w:pPr>
        <w:spacing w:line="360" w:lineRule="auto"/>
        <w:jc w:val="center"/>
        <w:rPr>
          <w:rFonts w:hint="eastAsia" w:ascii="宋体" w:hAnsi="宋体"/>
          <w:color w:val="000000"/>
          <w:szCs w:val="21"/>
        </w:rPr>
      </w:pPr>
    </w:p>
    <w:p w14:paraId="0EA726B4">
      <w:pPr>
        <w:spacing w:line="360" w:lineRule="auto"/>
        <w:jc w:val="center"/>
        <w:rPr>
          <w:rFonts w:hint="eastAsia" w:ascii="宋体" w:hAnsi="宋体"/>
          <w:color w:val="000000"/>
          <w:szCs w:val="21"/>
        </w:rPr>
      </w:pPr>
    </w:p>
    <w:p w14:paraId="76BC4193">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159A735">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26165BE">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0D2738A1">
      <w:pPr>
        <w:rPr>
          <w:rFonts w:hint="eastAsia"/>
          <w:color w:val="000000"/>
        </w:rPr>
      </w:pPr>
    </w:p>
    <w:p w14:paraId="54EC1819">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0396A591">
      <w:pPr>
        <w:rPr>
          <w:rFonts w:hint="eastAsia"/>
          <w:color w:val="000000"/>
        </w:rPr>
      </w:pPr>
    </w:p>
    <w:p w14:paraId="5E7E9228">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6587EFB7">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p>
    <w:p w14:paraId="49DCEF75">
      <w:pPr>
        <w:rPr>
          <w:rFonts w:hint="eastAsia"/>
          <w:color w:val="000000"/>
        </w:rPr>
      </w:pPr>
    </w:p>
    <w:p w14:paraId="2B9224B1">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4920533A">
      <w:pPr>
        <w:rPr>
          <w:rFonts w:hint="eastAsia"/>
          <w:color w:val="000000"/>
        </w:rPr>
      </w:pPr>
    </w:p>
    <w:p w14:paraId="6B7F2FAC">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36486BA3">
      <w:pPr>
        <w:rPr>
          <w:rFonts w:hint="eastAsia"/>
          <w:color w:val="000000"/>
        </w:rPr>
      </w:pPr>
    </w:p>
    <w:p w14:paraId="54E76214">
      <w:pPr>
        <w:keepNext/>
        <w:keepLines/>
        <w:widowControl w:val="0"/>
        <w:spacing w:before="260" w:after="260" w:line="360" w:lineRule="auto"/>
        <w:jc w:val="center"/>
        <w:outlineLvl w:val="9"/>
        <w:rPr>
          <w:rFonts w:hint="eastAsia" w:ascii="宋体" w:hAnsi="宋体" w:eastAsia="宋体" w:cs="Times New Roman"/>
          <w:b/>
          <w:bCs/>
          <w:color w:val="000000"/>
          <w:kern w:val="2"/>
          <w:sz w:val="32"/>
          <w:szCs w:val="32"/>
          <w:lang w:val="en-US" w:eastAsia="zh-CN" w:bidi="ar-SA"/>
        </w:rPr>
      </w:pPr>
      <w:bookmarkStart w:id="53" w:name="_Toc23497"/>
    </w:p>
    <w:p w14:paraId="37F3E142">
      <w:r>
        <w:br w:type="page"/>
      </w:r>
    </w:p>
    <w:p w14:paraId="2DF1D5D8">
      <w:pPr>
        <w:pStyle w:val="42"/>
        <w:numPr>
          <w:ilvl w:val="0"/>
          <w:numId w:val="2"/>
        </w:numPr>
        <w:ind w:left="0" w:leftChars="0" w:firstLine="0" w:firstLineChars="0"/>
        <w:outlineLvl w:val="0"/>
        <w:rPr>
          <w:b w:val="0"/>
        </w:rPr>
      </w:pPr>
      <w:r>
        <w:t>图纸</w:t>
      </w:r>
      <w:bookmarkEnd w:id="53"/>
    </w:p>
    <w:p w14:paraId="65FCA8EC">
      <w:pPr>
        <w:pStyle w:val="18"/>
      </w:pPr>
      <w:r>
        <w:t>(由潜在供应商登陆政采云平台自行下载)</w:t>
      </w:r>
    </w:p>
    <w:p w14:paraId="5545EE45">
      <w:pPr>
        <w:spacing w:line="360" w:lineRule="auto"/>
        <w:jc w:val="center"/>
        <w:rPr>
          <w:rFonts w:hint="eastAsia" w:ascii="宋体" w:hAnsi="宋体"/>
          <w:b/>
          <w:color w:val="000000"/>
          <w:sz w:val="32"/>
          <w:szCs w:val="32"/>
        </w:rPr>
      </w:pPr>
    </w:p>
    <w:p w14:paraId="29129976">
      <w:pPr>
        <w:spacing w:line="360" w:lineRule="auto"/>
        <w:jc w:val="center"/>
        <w:rPr>
          <w:rFonts w:hint="eastAsia" w:ascii="宋体" w:hAnsi="宋体"/>
          <w:b/>
          <w:color w:val="000000"/>
          <w:sz w:val="32"/>
          <w:szCs w:val="32"/>
        </w:rPr>
      </w:pPr>
    </w:p>
    <w:p w14:paraId="3279B310">
      <w:pPr>
        <w:spacing w:line="360" w:lineRule="auto"/>
        <w:jc w:val="center"/>
        <w:rPr>
          <w:rFonts w:hint="eastAsia" w:ascii="宋体" w:hAnsi="宋体"/>
          <w:b/>
          <w:color w:val="000000"/>
          <w:sz w:val="32"/>
          <w:szCs w:val="32"/>
        </w:rPr>
      </w:pPr>
    </w:p>
    <w:p w14:paraId="38907C38">
      <w:pPr>
        <w:spacing w:line="360" w:lineRule="auto"/>
        <w:jc w:val="center"/>
        <w:rPr>
          <w:rFonts w:hint="eastAsia" w:ascii="宋体" w:hAnsi="宋体"/>
          <w:b/>
          <w:color w:val="000000"/>
          <w:sz w:val="32"/>
          <w:szCs w:val="32"/>
        </w:rPr>
      </w:pPr>
    </w:p>
    <w:p w14:paraId="78297828">
      <w:pPr>
        <w:spacing w:line="360" w:lineRule="auto"/>
        <w:jc w:val="center"/>
        <w:rPr>
          <w:rFonts w:hint="eastAsia" w:ascii="宋体" w:hAnsi="宋体"/>
          <w:b/>
          <w:color w:val="000000"/>
          <w:sz w:val="32"/>
          <w:szCs w:val="32"/>
        </w:rPr>
      </w:pPr>
    </w:p>
    <w:p w14:paraId="7D63D116">
      <w:pPr>
        <w:spacing w:line="360" w:lineRule="auto"/>
        <w:jc w:val="center"/>
        <w:rPr>
          <w:rFonts w:hint="eastAsia" w:ascii="宋体" w:hAnsi="宋体"/>
          <w:b/>
          <w:color w:val="000000"/>
          <w:sz w:val="32"/>
          <w:szCs w:val="32"/>
        </w:rPr>
      </w:pPr>
    </w:p>
    <w:p w14:paraId="3E064D36">
      <w:pPr>
        <w:spacing w:line="360" w:lineRule="auto"/>
        <w:jc w:val="center"/>
        <w:rPr>
          <w:rFonts w:hint="eastAsia" w:ascii="宋体" w:hAnsi="宋体"/>
          <w:b/>
          <w:color w:val="000000"/>
          <w:sz w:val="32"/>
          <w:szCs w:val="32"/>
        </w:rPr>
      </w:pPr>
    </w:p>
    <w:p w14:paraId="688876CF">
      <w:pPr>
        <w:spacing w:line="360" w:lineRule="auto"/>
        <w:jc w:val="center"/>
        <w:rPr>
          <w:rFonts w:hint="eastAsia" w:ascii="宋体" w:hAnsi="宋体"/>
          <w:b/>
          <w:color w:val="000000"/>
          <w:sz w:val="32"/>
          <w:szCs w:val="32"/>
        </w:rPr>
      </w:pPr>
    </w:p>
    <w:p w14:paraId="2AE25913">
      <w:pPr>
        <w:spacing w:line="360" w:lineRule="auto"/>
        <w:jc w:val="center"/>
        <w:rPr>
          <w:rFonts w:hint="eastAsia" w:ascii="宋体" w:hAnsi="宋体"/>
          <w:b/>
          <w:color w:val="000000"/>
          <w:sz w:val="32"/>
          <w:szCs w:val="32"/>
        </w:rPr>
      </w:pPr>
    </w:p>
    <w:p w14:paraId="61FBD7E4">
      <w:pPr>
        <w:spacing w:line="360" w:lineRule="auto"/>
        <w:rPr>
          <w:rFonts w:hint="eastAsia" w:ascii="宋体" w:hAnsi="宋体"/>
          <w:color w:val="000000"/>
          <w:szCs w:val="21"/>
        </w:rPr>
      </w:pPr>
    </w:p>
    <w:p w14:paraId="2133740C">
      <w:bookmarkStart w:id="54" w:name="_Toc9750"/>
      <w:r>
        <w:br w:type="page"/>
      </w:r>
    </w:p>
    <w:p w14:paraId="7E1E6A96">
      <w:pPr>
        <w:pStyle w:val="42"/>
        <w:numPr>
          <w:ilvl w:val="0"/>
          <w:numId w:val="2"/>
        </w:numPr>
        <w:ind w:left="0" w:leftChars="0" w:firstLine="0" w:firstLineChars="0"/>
        <w:outlineLvl w:val="0"/>
        <w:rPr>
          <w:b w:val="0"/>
        </w:rPr>
      </w:pPr>
      <w:r>
        <w:t>技术标准和要求</w:t>
      </w:r>
      <w:bookmarkEnd w:id="54"/>
    </w:p>
    <w:p w14:paraId="1C4C83EC">
      <w:pPr>
        <w:pStyle w:val="11"/>
        <w:rPr>
          <w:color w:val="000000"/>
        </w:rPr>
      </w:pPr>
      <w:r>
        <w:rPr>
          <w:b/>
          <w:color w:val="000000"/>
        </w:rPr>
        <w:t>本章由采购人根据国家行业及地方现行标准、规范和规程等，以及项目具体情况摘录。</w:t>
      </w:r>
    </w:p>
    <w:p w14:paraId="33C48D6E">
      <w:pPr>
        <w:spacing w:line="360" w:lineRule="auto"/>
        <w:jc w:val="center"/>
        <w:rPr>
          <w:rFonts w:hint="eastAsia" w:ascii="宋体" w:hAnsi="宋体"/>
          <w:b/>
          <w:color w:val="000000"/>
          <w:sz w:val="32"/>
          <w:szCs w:val="32"/>
        </w:rPr>
      </w:pPr>
    </w:p>
    <w:p w14:paraId="55A70B2B">
      <w:pPr>
        <w:spacing w:line="360" w:lineRule="auto"/>
        <w:jc w:val="center"/>
        <w:rPr>
          <w:rFonts w:hint="eastAsia" w:ascii="宋体" w:hAnsi="宋体"/>
          <w:b/>
          <w:color w:val="000000"/>
          <w:sz w:val="32"/>
          <w:szCs w:val="32"/>
        </w:rPr>
      </w:pPr>
      <w:r>
        <w:rPr>
          <w:rFonts w:hint="eastAsia" w:ascii="宋体" w:hAnsi="宋体"/>
          <w:b/>
          <w:color w:val="000000"/>
          <w:sz w:val="32"/>
          <w:szCs w:val="32"/>
        </w:rPr>
        <w:t>现行国家有关工程施工验收规范和标准要求</w:t>
      </w:r>
    </w:p>
    <w:p w14:paraId="2EEFC6A5">
      <w:pPr>
        <w:spacing w:line="360" w:lineRule="auto"/>
        <w:jc w:val="center"/>
        <w:rPr>
          <w:rFonts w:hint="eastAsia" w:ascii="宋体" w:hAnsi="宋体"/>
          <w:b/>
          <w:color w:val="000000"/>
          <w:sz w:val="32"/>
          <w:szCs w:val="32"/>
        </w:rPr>
      </w:pPr>
    </w:p>
    <w:p w14:paraId="36A83032">
      <w:pPr>
        <w:spacing w:line="360" w:lineRule="auto"/>
        <w:jc w:val="center"/>
        <w:rPr>
          <w:rFonts w:hint="eastAsia" w:ascii="宋体" w:hAnsi="宋体"/>
          <w:b/>
          <w:color w:val="000000"/>
          <w:sz w:val="32"/>
          <w:szCs w:val="32"/>
        </w:rPr>
      </w:pPr>
    </w:p>
    <w:p w14:paraId="106DFA8D">
      <w:pPr>
        <w:spacing w:line="360" w:lineRule="auto"/>
        <w:jc w:val="center"/>
        <w:rPr>
          <w:rFonts w:hint="eastAsia" w:ascii="宋体" w:hAnsi="宋体"/>
          <w:b/>
          <w:color w:val="000000"/>
          <w:sz w:val="32"/>
          <w:szCs w:val="32"/>
        </w:rPr>
      </w:pPr>
    </w:p>
    <w:p w14:paraId="2952E620">
      <w:pPr>
        <w:spacing w:line="360" w:lineRule="auto"/>
        <w:jc w:val="center"/>
        <w:rPr>
          <w:rFonts w:hint="eastAsia" w:ascii="宋体" w:hAnsi="宋体"/>
          <w:b/>
          <w:color w:val="000000"/>
          <w:sz w:val="32"/>
          <w:szCs w:val="32"/>
        </w:rPr>
      </w:pPr>
    </w:p>
    <w:p w14:paraId="1B0B365F">
      <w:pPr>
        <w:spacing w:line="360" w:lineRule="auto"/>
        <w:jc w:val="center"/>
        <w:rPr>
          <w:rFonts w:hint="eastAsia" w:ascii="宋体" w:hAnsi="宋体"/>
          <w:b/>
          <w:color w:val="000000"/>
          <w:sz w:val="32"/>
          <w:szCs w:val="32"/>
        </w:rPr>
      </w:pPr>
    </w:p>
    <w:p w14:paraId="4FB89013">
      <w:pPr>
        <w:spacing w:line="360" w:lineRule="auto"/>
        <w:jc w:val="center"/>
        <w:rPr>
          <w:rFonts w:hint="eastAsia" w:ascii="宋体" w:hAnsi="宋体"/>
          <w:b/>
          <w:color w:val="000000"/>
          <w:sz w:val="32"/>
          <w:szCs w:val="32"/>
        </w:rPr>
      </w:pPr>
    </w:p>
    <w:p w14:paraId="696EC58E">
      <w:pPr>
        <w:spacing w:line="360" w:lineRule="auto"/>
        <w:jc w:val="center"/>
        <w:rPr>
          <w:rFonts w:hint="eastAsia" w:ascii="宋体" w:hAnsi="宋体"/>
          <w:b/>
          <w:color w:val="000000"/>
          <w:sz w:val="32"/>
          <w:szCs w:val="32"/>
        </w:rPr>
      </w:pPr>
    </w:p>
    <w:p w14:paraId="0C3DA742">
      <w:pPr>
        <w:spacing w:line="360" w:lineRule="auto"/>
        <w:jc w:val="center"/>
        <w:rPr>
          <w:rFonts w:hint="eastAsia" w:ascii="宋体" w:hAnsi="宋体"/>
          <w:b/>
          <w:color w:val="000000"/>
          <w:sz w:val="32"/>
          <w:szCs w:val="32"/>
        </w:rPr>
      </w:pPr>
    </w:p>
    <w:p w14:paraId="53BEE707">
      <w:pPr>
        <w:spacing w:line="360" w:lineRule="auto"/>
        <w:jc w:val="center"/>
        <w:rPr>
          <w:rFonts w:hint="eastAsia" w:ascii="宋体" w:hAnsi="宋体"/>
          <w:b/>
          <w:color w:val="000000"/>
          <w:sz w:val="32"/>
          <w:szCs w:val="32"/>
        </w:rPr>
      </w:pPr>
    </w:p>
    <w:p w14:paraId="1FE63188">
      <w:pPr>
        <w:spacing w:before="120" w:beforeLines="50" w:after="120" w:afterLines="50" w:line="360" w:lineRule="auto"/>
        <w:ind w:firstLine="422" w:firstLineChars="200"/>
        <w:rPr>
          <w:rFonts w:hint="eastAsia" w:ascii="宋体" w:hAnsi="宋体"/>
          <w:b/>
          <w:color w:val="000000"/>
          <w:szCs w:val="21"/>
        </w:rPr>
      </w:pPr>
    </w:p>
    <w:p w14:paraId="57CDEBE8">
      <w:pPr>
        <w:spacing w:before="120" w:beforeLines="50" w:after="120" w:afterLines="50" w:line="360" w:lineRule="auto"/>
        <w:ind w:firstLine="422" w:firstLineChars="200"/>
        <w:rPr>
          <w:rFonts w:hint="eastAsia" w:ascii="宋体" w:hAnsi="宋体"/>
          <w:b/>
          <w:color w:val="000000"/>
          <w:szCs w:val="21"/>
        </w:rPr>
      </w:pPr>
      <w:r>
        <w:rPr>
          <w:rFonts w:ascii="宋体" w:hAnsi="宋体"/>
          <w:b/>
          <w:color w:val="000000"/>
          <w:szCs w:val="21"/>
        </w:rPr>
        <w:br w:type="page"/>
      </w:r>
    </w:p>
    <w:p w14:paraId="7FDED429">
      <w:pPr>
        <w:spacing w:line="360" w:lineRule="auto"/>
        <w:jc w:val="center"/>
        <w:rPr>
          <w:rFonts w:hint="eastAsia" w:ascii="宋体" w:hAnsi="宋体"/>
          <w:color w:val="000000"/>
          <w:szCs w:val="21"/>
        </w:rPr>
      </w:pPr>
    </w:p>
    <w:p w14:paraId="2E046B01">
      <w:pPr>
        <w:spacing w:line="360" w:lineRule="auto"/>
        <w:jc w:val="center"/>
        <w:rPr>
          <w:rFonts w:hint="eastAsia" w:ascii="宋体" w:hAnsi="宋体"/>
          <w:color w:val="000000"/>
          <w:szCs w:val="21"/>
        </w:rPr>
      </w:pPr>
    </w:p>
    <w:p w14:paraId="0F3E61BE">
      <w:pPr>
        <w:spacing w:line="360" w:lineRule="auto"/>
        <w:jc w:val="center"/>
        <w:rPr>
          <w:rFonts w:hint="eastAsia" w:ascii="宋体" w:hAnsi="宋体"/>
          <w:color w:val="000000"/>
          <w:szCs w:val="21"/>
        </w:rPr>
      </w:pPr>
    </w:p>
    <w:p w14:paraId="0BCDD8E9">
      <w:pPr>
        <w:spacing w:line="360" w:lineRule="auto"/>
        <w:jc w:val="center"/>
        <w:rPr>
          <w:rFonts w:hint="eastAsia" w:ascii="宋体" w:hAnsi="宋体"/>
          <w:color w:val="000000"/>
          <w:szCs w:val="21"/>
        </w:rPr>
      </w:pPr>
    </w:p>
    <w:p w14:paraId="1D04A11F">
      <w:pPr>
        <w:spacing w:line="360" w:lineRule="auto"/>
        <w:jc w:val="center"/>
        <w:rPr>
          <w:rFonts w:hint="eastAsia" w:ascii="宋体" w:hAnsi="宋体"/>
          <w:color w:val="000000"/>
          <w:szCs w:val="21"/>
        </w:rPr>
      </w:pPr>
    </w:p>
    <w:p w14:paraId="523488CE">
      <w:pPr>
        <w:spacing w:line="360" w:lineRule="auto"/>
        <w:jc w:val="center"/>
        <w:rPr>
          <w:rFonts w:hint="eastAsia" w:ascii="宋体" w:hAnsi="宋体"/>
          <w:color w:val="000000"/>
          <w:szCs w:val="21"/>
        </w:rPr>
      </w:pPr>
    </w:p>
    <w:p w14:paraId="20B544A9">
      <w:pPr>
        <w:spacing w:line="360" w:lineRule="auto"/>
        <w:jc w:val="center"/>
        <w:rPr>
          <w:rFonts w:hint="eastAsia" w:ascii="宋体" w:hAnsi="宋体"/>
          <w:color w:val="000000"/>
          <w:szCs w:val="21"/>
        </w:rPr>
      </w:pPr>
    </w:p>
    <w:p w14:paraId="07A4D104">
      <w:pPr>
        <w:spacing w:line="360" w:lineRule="auto"/>
        <w:jc w:val="center"/>
        <w:rPr>
          <w:rFonts w:hint="eastAsia" w:ascii="宋体" w:hAnsi="宋体"/>
          <w:color w:val="000000"/>
          <w:szCs w:val="21"/>
        </w:rPr>
      </w:pPr>
    </w:p>
    <w:p w14:paraId="1777B4EB">
      <w:pPr>
        <w:spacing w:line="360" w:lineRule="auto"/>
        <w:jc w:val="center"/>
        <w:rPr>
          <w:rFonts w:hint="eastAsia" w:ascii="宋体" w:hAnsi="宋体"/>
          <w:color w:val="000000"/>
          <w:szCs w:val="21"/>
        </w:rPr>
      </w:pPr>
    </w:p>
    <w:p w14:paraId="6E6380DC">
      <w:pPr>
        <w:spacing w:line="360" w:lineRule="auto"/>
        <w:jc w:val="center"/>
        <w:rPr>
          <w:rFonts w:hint="eastAsia" w:ascii="宋体" w:hAnsi="宋体"/>
          <w:color w:val="000000"/>
          <w:szCs w:val="21"/>
        </w:rPr>
      </w:pPr>
    </w:p>
    <w:p w14:paraId="22299ACD">
      <w:pPr>
        <w:spacing w:line="360" w:lineRule="auto"/>
        <w:jc w:val="center"/>
        <w:rPr>
          <w:rFonts w:hint="eastAsia" w:ascii="宋体" w:hAnsi="宋体"/>
          <w:color w:val="000000"/>
          <w:szCs w:val="21"/>
        </w:rPr>
      </w:pPr>
    </w:p>
    <w:p w14:paraId="76BAAAAD">
      <w:pPr>
        <w:spacing w:line="360" w:lineRule="auto"/>
        <w:jc w:val="center"/>
        <w:rPr>
          <w:rFonts w:hint="eastAsia" w:ascii="宋体" w:hAnsi="宋体"/>
          <w:color w:val="000000"/>
          <w:szCs w:val="21"/>
        </w:rPr>
      </w:pPr>
    </w:p>
    <w:p w14:paraId="538CE30B">
      <w:pPr>
        <w:pStyle w:val="42"/>
        <w:numPr>
          <w:ilvl w:val="0"/>
          <w:numId w:val="2"/>
        </w:numPr>
        <w:ind w:left="0" w:leftChars="0" w:firstLine="0" w:firstLineChars="0"/>
        <w:outlineLvl w:val="0"/>
        <w:rPr>
          <w:b w:val="0"/>
        </w:rPr>
      </w:pPr>
      <w:bookmarkStart w:id="55" w:name="_Toc1701"/>
      <w:r>
        <w:t>响应文件格式</w:t>
      </w:r>
      <w:bookmarkEnd w:id="55"/>
    </w:p>
    <w:p w14:paraId="19B1D16B">
      <w:pPr>
        <w:spacing w:line="360" w:lineRule="auto"/>
        <w:jc w:val="center"/>
        <w:rPr>
          <w:rFonts w:hint="eastAsia" w:ascii="宋体" w:hAnsi="宋体"/>
          <w:b/>
          <w:color w:val="000000"/>
          <w:sz w:val="32"/>
          <w:szCs w:val="32"/>
        </w:rPr>
      </w:pPr>
    </w:p>
    <w:p w14:paraId="062934B4">
      <w:pPr>
        <w:spacing w:line="360" w:lineRule="auto"/>
        <w:jc w:val="center"/>
        <w:rPr>
          <w:rFonts w:hint="eastAsia" w:ascii="宋体" w:hAnsi="宋体"/>
          <w:b/>
          <w:color w:val="000000"/>
          <w:sz w:val="32"/>
          <w:szCs w:val="32"/>
        </w:rPr>
      </w:pPr>
    </w:p>
    <w:p w14:paraId="788B47B3">
      <w:pPr>
        <w:spacing w:line="360" w:lineRule="auto"/>
        <w:jc w:val="center"/>
        <w:rPr>
          <w:rFonts w:hint="eastAsia" w:ascii="宋体" w:hAnsi="宋体"/>
          <w:b/>
          <w:color w:val="000000"/>
          <w:sz w:val="32"/>
          <w:szCs w:val="32"/>
        </w:rPr>
      </w:pPr>
    </w:p>
    <w:p w14:paraId="6FE628FA">
      <w:pPr>
        <w:spacing w:line="360" w:lineRule="auto"/>
        <w:jc w:val="center"/>
        <w:rPr>
          <w:rFonts w:hint="eastAsia" w:ascii="宋体" w:hAnsi="宋体"/>
          <w:b/>
          <w:color w:val="000000"/>
          <w:sz w:val="32"/>
          <w:szCs w:val="32"/>
        </w:rPr>
      </w:pPr>
    </w:p>
    <w:p w14:paraId="589A5E43">
      <w:pPr>
        <w:spacing w:line="360" w:lineRule="auto"/>
        <w:jc w:val="center"/>
        <w:rPr>
          <w:rFonts w:hint="eastAsia" w:ascii="宋体" w:hAnsi="宋体"/>
          <w:b/>
          <w:color w:val="000000"/>
          <w:sz w:val="32"/>
          <w:szCs w:val="32"/>
        </w:rPr>
      </w:pPr>
    </w:p>
    <w:p w14:paraId="44FD0107">
      <w:pPr>
        <w:spacing w:line="360" w:lineRule="auto"/>
        <w:jc w:val="center"/>
        <w:rPr>
          <w:rFonts w:hint="eastAsia" w:ascii="宋体" w:hAnsi="宋体"/>
          <w:b/>
          <w:color w:val="000000"/>
          <w:sz w:val="32"/>
          <w:szCs w:val="32"/>
        </w:rPr>
      </w:pPr>
    </w:p>
    <w:p w14:paraId="5843D4EB">
      <w:pPr>
        <w:spacing w:line="360" w:lineRule="auto"/>
        <w:jc w:val="center"/>
        <w:rPr>
          <w:rFonts w:hint="eastAsia" w:ascii="宋体" w:hAnsi="宋体"/>
          <w:b/>
          <w:color w:val="000000"/>
          <w:sz w:val="32"/>
          <w:szCs w:val="32"/>
        </w:rPr>
      </w:pPr>
    </w:p>
    <w:p w14:paraId="0E92994A">
      <w:pPr>
        <w:spacing w:line="360" w:lineRule="auto"/>
        <w:jc w:val="center"/>
        <w:rPr>
          <w:rFonts w:hint="eastAsia" w:ascii="宋体" w:hAnsi="宋体"/>
          <w:b/>
          <w:color w:val="000000"/>
          <w:sz w:val="32"/>
          <w:szCs w:val="32"/>
        </w:rPr>
      </w:pPr>
    </w:p>
    <w:p w14:paraId="68A15C1F">
      <w:pPr>
        <w:spacing w:line="360" w:lineRule="auto"/>
        <w:jc w:val="center"/>
        <w:rPr>
          <w:rFonts w:hint="eastAsia" w:ascii="宋体" w:hAnsi="宋体"/>
          <w:b/>
          <w:color w:val="000000"/>
          <w:sz w:val="32"/>
          <w:szCs w:val="32"/>
        </w:rPr>
      </w:pPr>
    </w:p>
    <w:p w14:paraId="30D0FF52">
      <w:pPr>
        <w:spacing w:line="360" w:lineRule="auto"/>
        <w:jc w:val="center"/>
        <w:rPr>
          <w:rFonts w:hint="eastAsia" w:ascii="宋体" w:hAnsi="宋体"/>
          <w:b/>
          <w:color w:val="000000"/>
          <w:sz w:val="32"/>
          <w:szCs w:val="32"/>
        </w:rPr>
      </w:pPr>
    </w:p>
    <w:p w14:paraId="36784A01">
      <w:pPr>
        <w:spacing w:line="360" w:lineRule="auto"/>
        <w:jc w:val="center"/>
        <w:rPr>
          <w:rFonts w:hint="eastAsia" w:ascii="宋体" w:hAnsi="宋体"/>
          <w:b/>
          <w:color w:val="000000"/>
          <w:sz w:val="32"/>
          <w:szCs w:val="32"/>
        </w:rPr>
      </w:pPr>
    </w:p>
    <w:p w14:paraId="729134CA">
      <w:pPr>
        <w:spacing w:line="360" w:lineRule="auto"/>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24"/>
        </w:rPr>
        <w:t>所有响应文件封面格式</w:t>
      </w:r>
    </w:p>
    <w:p w14:paraId="7A09D79F">
      <w:pPr>
        <w:spacing w:line="360" w:lineRule="auto"/>
        <w:jc w:val="center"/>
        <w:rPr>
          <w:rFonts w:hint="eastAsia" w:ascii="宋体" w:hAnsi="宋体"/>
          <w:b/>
          <w:color w:val="000000"/>
          <w:sz w:val="32"/>
          <w:szCs w:val="32"/>
        </w:rPr>
      </w:pPr>
    </w:p>
    <w:p w14:paraId="6A8EC05F">
      <w:pPr>
        <w:spacing w:line="360" w:lineRule="auto"/>
        <w:jc w:val="center"/>
        <w:rPr>
          <w:rFonts w:hint="eastAsia" w:ascii="宋体" w:hAnsi="宋体"/>
          <w:b/>
          <w:color w:val="000000"/>
          <w:sz w:val="32"/>
          <w:szCs w:val="32"/>
        </w:rPr>
      </w:pPr>
    </w:p>
    <w:p w14:paraId="40438E03">
      <w:pPr>
        <w:spacing w:line="360" w:lineRule="auto"/>
        <w:jc w:val="center"/>
        <w:rPr>
          <w:rFonts w:hint="eastAsia" w:ascii="宋体" w:hAnsi="宋体"/>
          <w:b/>
          <w:color w:val="000000"/>
          <w:sz w:val="32"/>
          <w:szCs w:val="32"/>
        </w:rPr>
      </w:pPr>
      <w:r>
        <w:rPr>
          <w:rFonts w:hint="eastAsia" w:ascii="宋体" w:hAnsi="宋体"/>
          <w:b/>
          <w:color w:val="000000"/>
          <w:sz w:val="44"/>
          <w:szCs w:val="44"/>
        </w:rPr>
        <w:t>响 应 文 件</w:t>
      </w:r>
    </w:p>
    <w:p w14:paraId="09E6BCC6">
      <w:pPr>
        <w:spacing w:line="360" w:lineRule="auto"/>
        <w:jc w:val="center"/>
        <w:rPr>
          <w:rFonts w:hint="eastAsia" w:ascii="宋体" w:hAnsi="宋体"/>
          <w:color w:val="000000"/>
          <w:szCs w:val="21"/>
        </w:rPr>
      </w:pPr>
    </w:p>
    <w:p w14:paraId="3C040AD5">
      <w:pPr>
        <w:spacing w:line="360" w:lineRule="auto"/>
        <w:jc w:val="center"/>
        <w:rPr>
          <w:rFonts w:hint="eastAsia" w:ascii="宋体" w:hAnsi="宋体"/>
          <w:color w:val="000000"/>
          <w:szCs w:val="21"/>
        </w:rPr>
      </w:pPr>
    </w:p>
    <w:p w14:paraId="565D5CF2">
      <w:pPr>
        <w:spacing w:line="360" w:lineRule="auto"/>
        <w:jc w:val="center"/>
        <w:rPr>
          <w:rFonts w:hint="eastAsia" w:ascii="宋体" w:hAnsi="宋体"/>
          <w:color w:val="000000"/>
          <w:szCs w:val="21"/>
        </w:rPr>
      </w:pPr>
    </w:p>
    <w:p w14:paraId="5A50EE38">
      <w:pPr>
        <w:spacing w:line="360" w:lineRule="auto"/>
        <w:jc w:val="center"/>
        <w:rPr>
          <w:rFonts w:hint="eastAsia" w:ascii="宋体" w:hAnsi="宋体"/>
          <w:color w:val="000000"/>
          <w:szCs w:val="21"/>
        </w:rPr>
      </w:pPr>
    </w:p>
    <w:p w14:paraId="5AC362E2">
      <w:pPr>
        <w:spacing w:line="360" w:lineRule="auto"/>
        <w:jc w:val="center"/>
        <w:rPr>
          <w:rFonts w:hint="eastAsia" w:ascii="宋体" w:hAnsi="宋体"/>
          <w:color w:val="000000"/>
          <w:szCs w:val="21"/>
        </w:rPr>
      </w:pPr>
    </w:p>
    <w:p w14:paraId="3C0667B4">
      <w:pPr>
        <w:spacing w:line="360" w:lineRule="auto"/>
        <w:jc w:val="center"/>
        <w:rPr>
          <w:rFonts w:hint="eastAsia" w:ascii="宋体" w:hAnsi="宋体"/>
          <w:color w:val="000000"/>
          <w:szCs w:val="21"/>
        </w:rPr>
      </w:pPr>
    </w:p>
    <w:p w14:paraId="34B6075D">
      <w:pPr>
        <w:spacing w:line="360" w:lineRule="auto"/>
        <w:jc w:val="left"/>
        <w:rPr>
          <w:rFonts w:hint="eastAsia" w:ascii="宋体" w:hAnsi="宋体"/>
          <w:color w:val="000000"/>
          <w:szCs w:val="21"/>
          <w:u w:val="single"/>
        </w:rPr>
      </w:pPr>
      <w:r>
        <w:rPr>
          <w:rFonts w:hint="eastAsia" w:ascii="宋体" w:hAnsi="宋体"/>
          <w:color w:val="000000"/>
          <w:szCs w:val="21"/>
        </w:rPr>
        <w:t>竞争性磋商项目编号：</w:t>
      </w:r>
      <w:r>
        <w:rPr>
          <w:rFonts w:hint="eastAsia" w:ascii="宋体" w:hAnsi="宋体"/>
          <w:color w:val="000000"/>
          <w:szCs w:val="21"/>
          <w:u w:val="single"/>
        </w:rPr>
        <w:t xml:space="preserve">                       </w:t>
      </w:r>
    </w:p>
    <w:p w14:paraId="64F30B7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竞争性磋商项目名称：</w:t>
      </w:r>
      <w:r>
        <w:rPr>
          <w:rFonts w:hint="eastAsia" w:ascii="宋体" w:hAnsi="宋体"/>
          <w:color w:val="000000"/>
          <w:szCs w:val="21"/>
          <w:u w:val="single"/>
        </w:rPr>
        <w:t xml:space="preserve">                       </w:t>
      </w:r>
    </w:p>
    <w:p w14:paraId="1808637D">
      <w:pPr>
        <w:tabs>
          <w:tab w:val="left" w:pos="3240"/>
        </w:tabs>
        <w:spacing w:line="360" w:lineRule="auto"/>
        <w:jc w:val="left"/>
        <w:rPr>
          <w:rFonts w:hint="eastAsia"/>
          <w:color w:val="000000"/>
        </w:rPr>
      </w:pPr>
      <w:r>
        <w:rPr>
          <w:rFonts w:hint="eastAsia"/>
          <w:color w:val="000000"/>
        </w:rPr>
        <w:t>响应文件名称：资格审查文件、商务文件、技术文件</w:t>
      </w:r>
    </w:p>
    <w:p w14:paraId="4EEC9072">
      <w:pPr>
        <w:tabs>
          <w:tab w:val="left" w:pos="3240"/>
        </w:tabs>
        <w:spacing w:line="360" w:lineRule="auto"/>
        <w:jc w:val="left"/>
        <w:rPr>
          <w:rFonts w:hint="eastAsia" w:ascii="宋体" w:hAnsi="宋体"/>
          <w:color w:val="000000"/>
          <w:szCs w:val="21"/>
          <w:u w:val="single"/>
        </w:rPr>
      </w:pPr>
      <w:r>
        <w:rPr>
          <w:rFonts w:hint="eastAsia"/>
          <w:color w:val="000000"/>
          <w:lang w:eastAsia="zh-CN"/>
        </w:rPr>
        <w:t>分</w:t>
      </w:r>
      <w:r>
        <w:rPr>
          <w:rFonts w:hint="eastAsia"/>
          <w:color w:val="000000"/>
          <w:lang w:val="en-US" w:eastAsia="zh-CN"/>
        </w:rPr>
        <w:t xml:space="preserve">    </w:t>
      </w:r>
      <w:r>
        <w:rPr>
          <w:rFonts w:hint="eastAsia"/>
          <w:color w:val="000000"/>
          <w:lang w:eastAsia="zh-CN"/>
        </w:rPr>
        <w:t>标</w:t>
      </w:r>
      <w:r>
        <w:rPr>
          <w:rFonts w:hint="eastAsia"/>
          <w:color w:val="000000"/>
          <w:lang w:val="en-US" w:eastAsia="zh-CN"/>
        </w:rPr>
        <w:t>:</w:t>
      </w:r>
      <w:r>
        <w:rPr>
          <w:rFonts w:hint="eastAsia" w:ascii="宋体" w:hAnsi="宋体"/>
          <w:color w:val="000000"/>
          <w:szCs w:val="21"/>
          <w:u w:val="single"/>
        </w:rPr>
        <w:t xml:space="preserve">                    </w:t>
      </w:r>
    </w:p>
    <w:p w14:paraId="42C50EF4">
      <w:pPr>
        <w:tabs>
          <w:tab w:val="left" w:pos="3240"/>
        </w:tabs>
        <w:spacing w:line="360" w:lineRule="auto"/>
        <w:jc w:val="left"/>
        <w:rPr>
          <w:rFonts w:hint="eastAsia" w:ascii="宋体" w:hAnsi="宋体"/>
          <w:color w:val="000000"/>
          <w:szCs w:val="21"/>
          <w:u w:val="single"/>
        </w:rPr>
      </w:pPr>
      <w:r>
        <w:rPr>
          <w:rFonts w:hint="eastAsia"/>
          <w:color w:val="000000"/>
        </w:rPr>
        <w:t>供应商名称：</w:t>
      </w:r>
      <w:r>
        <w:rPr>
          <w:rFonts w:hint="eastAsia" w:ascii="宋体" w:hAnsi="宋体"/>
          <w:color w:val="000000"/>
          <w:szCs w:val="21"/>
          <w:u w:val="single"/>
        </w:rPr>
        <w:t xml:space="preserve">                       </w:t>
      </w:r>
    </w:p>
    <w:p w14:paraId="60F1CA03">
      <w:pPr>
        <w:tabs>
          <w:tab w:val="left" w:pos="3240"/>
        </w:tabs>
        <w:spacing w:line="360" w:lineRule="auto"/>
        <w:jc w:val="left"/>
        <w:rPr>
          <w:rFonts w:hint="eastAsia" w:ascii="宋体" w:hAnsi="宋体"/>
          <w:color w:val="000000"/>
          <w:szCs w:val="21"/>
          <w:u w:val="single"/>
        </w:rPr>
      </w:pPr>
      <w:r>
        <w:rPr>
          <w:rFonts w:hint="eastAsia"/>
          <w:color w:val="000000"/>
        </w:rPr>
        <w:t>供应商地址：</w:t>
      </w:r>
      <w:r>
        <w:rPr>
          <w:rFonts w:hint="eastAsia" w:ascii="宋体" w:hAnsi="宋体"/>
          <w:color w:val="000000"/>
          <w:szCs w:val="21"/>
          <w:u w:val="single"/>
        </w:rPr>
        <w:t xml:space="preserve">                       </w:t>
      </w:r>
    </w:p>
    <w:p w14:paraId="7E6FD2B5">
      <w:pPr>
        <w:tabs>
          <w:tab w:val="left" w:pos="3240"/>
        </w:tabs>
        <w:spacing w:line="360" w:lineRule="auto"/>
        <w:jc w:val="left"/>
        <w:rPr>
          <w:rFonts w:hint="eastAsia" w:ascii="宋体" w:hAnsi="宋体"/>
          <w:color w:val="000000"/>
          <w:szCs w:val="21"/>
          <w:u w:val="single"/>
        </w:rPr>
      </w:pPr>
      <w:r>
        <w:rPr>
          <w:rFonts w:hint="eastAsia"/>
          <w:color w:val="000000"/>
        </w:rPr>
        <w:t>供应商邮编：</w:t>
      </w:r>
      <w:r>
        <w:rPr>
          <w:rFonts w:hint="eastAsia" w:ascii="宋体" w:hAnsi="宋体"/>
          <w:color w:val="000000"/>
          <w:szCs w:val="21"/>
          <w:u w:val="single"/>
        </w:rPr>
        <w:t xml:space="preserve">                       </w:t>
      </w:r>
    </w:p>
    <w:p w14:paraId="448BA5B2">
      <w:pPr>
        <w:tabs>
          <w:tab w:val="left" w:pos="2625"/>
        </w:tabs>
        <w:spacing w:line="360" w:lineRule="auto"/>
        <w:jc w:val="center"/>
        <w:rPr>
          <w:rFonts w:hint="eastAsia" w:ascii="宋体" w:hAnsi="宋体"/>
          <w:color w:val="000000"/>
          <w:szCs w:val="21"/>
        </w:rPr>
      </w:pPr>
    </w:p>
    <w:p w14:paraId="1AFEAC7A">
      <w:pPr>
        <w:tabs>
          <w:tab w:val="left" w:pos="2625"/>
        </w:tabs>
        <w:spacing w:line="360" w:lineRule="auto"/>
        <w:jc w:val="center"/>
        <w:rPr>
          <w:rFonts w:hint="eastAsia" w:ascii="宋体" w:hAnsi="宋体"/>
          <w:color w:val="000000"/>
          <w:szCs w:val="21"/>
        </w:rPr>
      </w:pPr>
    </w:p>
    <w:p w14:paraId="6A52408D">
      <w:pPr>
        <w:spacing w:line="360" w:lineRule="auto"/>
        <w:rPr>
          <w:rFonts w:hint="eastAsia" w:ascii="宋体" w:hAnsi="宋体"/>
          <w:color w:val="000000"/>
          <w:szCs w:val="21"/>
        </w:rPr>
      </w:pPr>
      <w:r>
        <w:rPr>
          <w:rFonts w:hint="eastAsia" w:ascii="宋体" w:hAnsi="宋体"/>
          <w:color w:val="000000"/>
          <w:szCs w:val="21"/>
        </w:rPr>
        <w:t xml:space="preserve">                                        （供应商公章）</w:t>
      </w:r>
    </w:p>
    <w:p w14:paraId="390E6EE9">
      <w:pPr>
        <w:spacing w:line="360" w:lineRule="auto"/>
        <w:rPr>
          <w:rFonts w:hint="eastAsia" w:ascii="宋体" w:hAnsi="宋体"/>
          <w:color w:val="000000"/>
          <w:szCs w:val="21"/>
        </w:rPr>
      </w:pPr>
    </w:p>
    <w:p w14:paraId="3182577C">
      <w:pPr>
        <w:spacing w:line="360" w:lineRule="auto"/>
        <w:rPr>
          <w:rFonts w:hint="eastAsia" w:ascii="宋体" w:hAnsi="宋体"/>
          <w:color w:val="000000"/>
          <w:szCs w:val="21"/>
        </w:rPr>
      </w:pPr>
    </w:p>
    <w:p w14:paraId="435ADBEE">
      <w:pPr>
        <w:spacing w:line="360" w:lineRule="auto"/>
        <w:rPr>
          <w:rFonts w:hint="eastAsia" w:ascii="宋体" w:hAnsi="宋体"/>
          <w:color w:val="000000"/>
          <w:szCs w:val="21"/>
        </w:rPr>
      </w:pPr>
    </w:p>
    <w:p w14:paraId="2E377AAC">
      <w:pPr>
        <w:spacing w:line="360" w:lineRule="auto"/>
        <w:rPr>
          <w:rFonts w:hint="eastAsia" w:ascii="宋体" w:hAnsi="宋体"/>
          <w:color w:val="000000"/>
          <w:szCs w:val="21"/>
        </w:rPr>
      </w:pPr>
    </w:p>
    <w:p w14:paraId="7A9BECF5">
      <w:pPr>
        <w:spacing w:line="360" w:lineRule="auto"/>
        <w:rPr>
          <w:rFonts w:hint="eastAsia" w:ascii="宋体" w:hAnsi="宋体"/>
          <w:color w:val="000000"/>
          <w:szCs w:val="21"/>
        </w:rPr>
      </w:pPr>
    </w:p>
    <w:p w14:paraId="5D233DBE">
      <w:pPr>
        <w:spacing w:line="360" w:lineRule="auto"/>
        <w:rPr>
          <w:rFonts w:hint="eastAsia" w:ascii="宋体" w:hAnsi="宋体"/>
          <w:color w:val="000000"/>
          <w:szCs w:val="21"/>
        </w:rPr>
      </w:pPr>
    </w:p>
    <w:p w14:paraId="4296A011">
      <w:pPr>
        <w:spacing w:line="360" w:lineRule="auto"/>
        <w:rPr>
          <w:rFonts w:hint="eastAsia" w:ascii="宋体" w:hAnsi="宋体"/>
          <w:color w:val="000000"/>
          <w:szCs w:val="21"/>
        </w:rPr>
      </w:pPr>
    </w:p>
    <w:p w14:paraId="77938C54">
      <w:pPr>
        <w:spacing w:line="360" w:lineRule="auto"/>
        <w:rPr>
          <w:rFonts w:hint="eastAsia" w:ascii="宋体" w:hAnsi="宋体"/>
          <w:color w:val="000000"/>
          <w:szCs w:val="21"/>
        </w:rPr>
      </w:pPr>
    </w:p>
    <w:p w14:paraId="51BBC1A1">
      <w:pPr>
        <w:spacing w:line="360" w:lineRule="auto"/>
        <w:rPr>
          <w:rFonts w:hint="eastAsia" w:ascii="宋体" w:hAnsi="宋体"/>
          <w:color w:val="000000"/>
          <w:szCs w:val="21"/>
        </w:rPr>
      </w:pPr>
    </w:p>
    <w:p w14:paraId="12B56C6E">
      <w:pPr>
        <w:spacing w:line="360" w:lineRule="auto"/>
        <w:jc w:val="center"/>
        <w:rPr>
          <w:rFonts w:hint="eastAsia" w:ascii="宋体" w:hAnsi="宋体"/>
          <w:b/>
          <w:bCs/>
          <w:color w:val="000000"/>
          <w:sz w:val="28"/>
          <w:szCs w:val="28"/>
        </w:rPr>
      </w:pPr>
      <w:r>
        <w:rPr>
          <w:rFonts w:ascii="宋体" w:hAnsi="宋体"/>
          <w:color w:val="000000"/>
          <w:szCs w:val="21"/>
        </w:rPr>
        <w:br w:type="page"/>
      </w:r>
      <w:r>
        <w:rPr>
          <w:rFonts w:hint="eastAsia" w:ascii="宋体" w:hAnsi="宋体"/>
          <w:b/>
          <w:bCs/>
          <w:color w:val="000000"/>
          <w:sz w:val="28"/>
          <w:szCs w:val="28"/>
        </w:rPr>
        <w:t>目录</w:t>
      </w:r>
    </w:p>
    <w:p w14:paraId="63538118">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资格审查文件</w:t>
      </w:r>
    </w:p>
    <w:p w14:paraId="0358783B">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法定代表人身份证明书及法定代表人有效身份证正反面复印件；</w:t>
      </w:r>
      <w:r>
        <w:rPr>
          <w:b/>
          <w:color w:val="000000"/>
        </w:rPr>
        <w:t xml:space="preserve"> </w:t>
      </w:r>
    </w:p>
    <w:p w14:paraId="5439B42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法定代表人授权委托书及被授权人有效身份证正反面复印件；</w:t>
      </w:r>
      <w:r>
        <w:rPr>
          <w:b/>
          <w:color w:val="000000"/>
        </w:rPr>
        <w:t xml:space="preserve"> </w:t>
      </w:r>
    </w:p>
    <w:p w14:paraId="2E0C547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供应商基本情况表（附有效的营业执照副本、企业资质证书副本、安全生产许可证副本复印件）；</w:t>
      </w:r>
      <w:r>
        <w:rPr>
          <w:b/>
          <w:color w:val="000000"/>
        </w:rPr>
        <w:t xml:space="preserve"> </w:t>
      </w:r>
    </w:p>
    <w:p w14:paraId="048AE128">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建设工程项目管理承诺书； </w:t>
      </w:r>
    </w:p>
    <w:p w14:paraId="4E846E2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p>
    <w:p w14:paraId="7B78A949">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5E9C34E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3BF09371">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t>磋商供应商2022或2023度经审计财务报告复印件（若为新成立的企业，可根据实际情况提供月度财务报表，格式自拟）；</w:t>
      </w:r>
    </w:p>
    <w:p w14:paraId="557C1C5D">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 xml:space="preserve">参加政府采购活动前3年内在经营活动中没有重大违法记录的书面声明； </w:t>
      </w:r>
    </w:p>
    <w:p w14:paraId="45E53316">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供应商参加本项目无围标串标行为的承诺函（格式后附）</w:t>
      </w:r>
    </w:p>
    <w:p w14:paraId="3DCA187A">
      <w:pPr>
        <w:pStyle w:val="11"/>
        <w:keepNext w:val="0"/>
        <w:keepLines w:val="0"/>
        <w:pageBreakBefore w:val="0"/>
        <w:widowControl w:val="0"/>
        <w:numPr>
          <w:ilvl w:val="0"/>
          <w:numId w:val="48"/>
        </w:numPr>
        <w:kinsoku/>
        <w:wordWrap/>
        <w:overflowPunct/>
        <w:topLinePunct w:val="0"/>
        <w:autoSpaceDE/>
        <w:autoSpaceDN/>
        <w:bidi w:val="0"/>
        <w:adjustRightInd/>
        <w:snapToGrid/>
        <w:spacing w:line="264" w:lineRule="auto"/>
        <w:ind w:left="0" w:leftChars="0" w:firstLine="482" w:firstLineChars="0"/>
        <w:textAlignment w:val="auto"/>
        <w:rPr>
          <w:b w:val="0"/>
          <w:color w:val="000000"/>
        </w:rPr>
      </w:pPr>
      <w:r>
        <w:rPr>
          <w:color w:val="000000"/>
        </w:rPr>
        <w:t>供应商认为资格审查需要的其他材料</w:t>
      </w:r>
    </w:p>
    <w:p w14:paraId="31E8721C">
      <w:pPr>
        <w:pStyle w:val="43"/>
        <w:keepNext w:val="0"/>
        <w:keepLines w:val="0"/>
        <w:pageBreakBefore w:val="0"/>
        <w:widowControl w:val="0"/>
        <w:kinsoku/>
        <w:wordWrap/>
        <w:overflowPunct/>
        <w:topLinePunct w:val="0"/>
        <w:autoSpaceDE/>
        <w:autoSpaceDN/>
        <w:bidi w:val="0"/>
        <w:adjustRightInd/>
        <w:snapToGrid/>
        <w:spacing w:line="264" w:lineRule="auto"/>
        <w:ind w:firstLine="482" w:firstLineChars="200"/>
        <w:jc w:val="left"/>
        <w:textAlignment w:val="auto"/>
        <w:outlineLvl w:val="9"/>
      </w:pPr>
      <w:r>
        <w:t>商务文件</w:t>
      </w:r>
    </w:p>
    <w:p w14:paraId="0303D2DC">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w:t>
      </w:r>
      <w:r>
        <w:rPr>
          <w:b/>
          <w:color w:val="000000"/>
        </w:rPr>
        <w:t xml:space="preserve"> </w:t>
      </w:r>
    </w:p>
    <w:p w14:paraId="5C51BFB7">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磋商函附录</w:t>
      </w:r>
    </w:p>
    <w:p w14:paraId="388FBE99">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磋商报价表</w:t>
      </w:r>
    </w:p>
    <w:p w14:paraId="43F13051">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已标价工程量清单</w:t>
      </w:r>
    </w:p>
    <w:p w14:paraId="59067634">
      <w:pPr>
        <w:pStyle w:val="11"/>
        <w:keepNext w:val="0"/>
        <w:keepLines w:val="0"/>
        <w:pageBreakBefore w:val="0"/>
        <w:widowControl w:val="0"/>
        <w:numPr>
          <w:ilvl w:val="0"/>
          <w:numId w:val="49"/>
        </w:numPr>
        <w:kinsoku/>
        <w:wordWrap/>
        <w:overflowPunct/>
        <w:topLinePunct w:val="0"/>
        <w:autoSpaceDE/>
        <w:autoSpaceDN/>
        <w:bidi w:val="0"/>
        <w:adjustRightInd/>
        <w:snapToGrid/>
        <w:spacing w:line="264" w:lineRule="auto"/>
        <w:ind w:left="0" w:leftChars="0" w:firstLine="480" w:firstLineChars="0"/>
        <w:textAlignment w:val="auto"/>
        <w:rPr>
          <w:b w:val="0"/>
        </w:rPr>
      </w:pPr>
      <w:r>
        <w:t>供应商认为必要提供的其它资料</w:t>
      </w:r>
    </w:p>
    <w:p w14:paraId="276DA067">
      <w:pPr>
        <w:pStyle w:val="11"/>
        <w:keepNext w:val="0"/>
        <w:keepLines w:val="0"/>
        <w:pageBreakBefore w:val="0"/>
        <w:widowControl w:val="0"/>
        <w:kinsoku/>
        <w:wordWrap/>
        <w:overflowPunct/>
        <w:topLinePunct w:val="0"/>
        <w:autoSpaceDE/>
        <w:autoSpaceDN/>
        <w:bidi w:val="0"/>
        <w:adjustRightInd/>
        <w:snapToGrid/>
        <w:spacing w:line="264" w:lineRule="auto"/>
        <w:textAlignment w:val="auto"/>
        <w:rPr>
          <w:b/>
          <w:color w:val="000000"/>
        </w:rPr>
      </w:pPr>
      <w:r>
        <w:rPr>
          <w:b/>
          <w:color w:val="000000"/>
        </w:rPr>
        <w:t>技术文件</w:t>
      </w:r>
    </w:p>
    <w:p w14:paraId="1DAE7C5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施工组织设计</w:t>
      </w:r>
    </w:p>
    <w:p w14:paraId="2EC5F343">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项目管理机构配备情况表</w:t>
      </w:r>
    </w:p>
    <w:p w14:paraId="0CD2DFD2">
      <w:pPr>
        <w:pStyle w:val="11"/>
        <w:keepNext w:val="0"/>
        <w:keepLines w:val="0"/>
        <w:pageBreakBefore w:val="0"/>
        <w:widowControl w:val="0"/>
        <w:numPr>
          <w:ilvl w:val="0"/>
          <w:numId w:val="50"/>
        </w:numPr>
        <w:kinsoku/>
        <w:wordWrap/>
        <w:overflowPunct/>
        <w:topLinePunct w:val="0"/>
        <w:autoSpaceDE/>
        <w:autoSpaceDN/>
        <w:bidi w:val="0"/>
        <w:adjustRightInd/>
        <w:snapToGrid/>
        <w:spacing w:line="264" w:lineRule="auto"/>
        <w:ind w:left="0" w:leftChars="0" w:firstLine="480" w:firstLineChars="0"/>
        <w:textAlignment w:val="auto"/>
        <w:rPr>
          <w:b w:val="0"/>
          <w:color w:val="000000"/>
        </w:rPr>
      </w:pPr>
      <w:r>
        <w:rPr>
          <w:color w:val="000000"/>
        </w:rPr>
        <w:t>按本竞争性磋商文件规定提交的其它资料。</w:t>
      </w:r>
    </w:p>
    <w:p w14:paraId="32FA69C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color w:val="000000"/>
        </w:rPr>
        <w:sectPr>
          <w:headerReference r:id="rId4" w:type="first"/>
          <w:footerReference r:id="rId6" w:type="first"/>
          <w:footerReference r:id="rId5" w:type="default"/>
          <w:pgSz w:w="11907" w:h="16840"/>
          <w:pgMar w:top="1134" w:right="1134" w:bottom="1134" w:left="1134" w:header="851" w:footer="851" w:gutter="0"/>
          <w:cols w:space="720" w:num="1"/>
          <w:titlePg/>
          <w:docGrid w:linePitch="312" w:charSpace="0"/>
        </w:sectPr>
      </w:pPr>
    </w:p>
    <w:p w14:paraId="7029E735">
      <w:pPr>
        <w:spacing w:line="360" w:lineRule="auto"/>
        <w:jc w:val="center"/>
        <w:rPr>
          <w:rFonts w:hint="eastAsia" w:ascii="宋体" w:hAnsi="宋体"/>
          <w:b/>
          <w:color w:val="000000"/>
          <w:sz w:val="32"/>
          <w:szCs w:val="32"/>
        </w:rPr>
      </w:pPr>
      <w:r>
        <w:rPr>
          <w:rFonts w:hint="eastAsia" w:ascii="宋体" w:hAnsi="宋体"/>
          <w:b/>
          <w:color w:val="000000"/>
          <w:sz w:val="44"/>
          <w:szCs w:val="44"/>
        </w:rPr>
        <w:t>资格审查文件</w:t>
      </w:r>
    </w:p>
    <w:p w14:paraId="0E03AAC6">
      <w:pPr>
        <w:spacing w:line="360" w:lineRule="auto"/>
        <w:jc w:val="center"/>
        <w:rPr>
          <w:rFonts w:hint="eastAsia" w:ascii="宋体" w:hAnsi="宋体"/>
          <w:color w:val="000000"/>
          <w:szCs w:val="21"/>
        </w:rPr>
      </w:pPr>
    </w:p>
    <w:p w14:paraId="35AC4F60">
      <w:pPr>
        <w:spacing w:line="360" w:lineRule="auto"/>
        <w:ind w:firstLine="5880" w:firstLineChars="2800"/>
        <w:rPr>
          <w:rFonts w:hint="eastAsia" w:ascii="宋体" w:hAnsi="宋体"/>
          <w:color w:val="000000"/>
          <w:szCs w:val="21"/>
        </w:rPr>
      </w:pPr>
    </w:p>
    <w:p w14:paraId="63FAD453">
      <w:pPr>
        <w:spacing w:line="360" w:lineRule="auto"/>
        <w:rPr>
          <w:rFonts w:hint="eastAsia" w:ascii="宋体" w:hAnsi="宋体"/>
          <w:color w:val="000000"/>
          <w:szCs w:val="21"/>
        </w:rPr>
      </w:pPr>
      <w:r>
        <w:rPr>
          <w:rFonts w:ascii="宋体" w:hAnsi="宋体"/>
          <w:color w:val="000000"/>
          <w:szCs w:val="21"/>
        </w:rPr>
        <w:br w:type="page"/>
      </w:r>
    </w:p>
    <w:p w14:paraId="62C288B0">
      <w:pPr>
        <w:pStyle w:val="41"/>
      </w:pPr>
      <w:r>
        <w:t>资格审查文件目录</w:t>
      </w:r>
    </w:p>
    <w:p w14:paraId="721FCA82">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D369F9D">
      <w:pPr>
        <w:spacing w:line="360" w:lineRule="auto"/>
        <w:jc w:val="center"/>
        <w:rPr>
          <w:rFonts w:hint="eastAsia" w:ascii="宋体" w:hAnsi="宋体"/>
          <w:b/>
          <w:color w:val="000000"/>
          <w:sz w:val="24"/>
        </w:rPr>
      </w:pPr>
    </w:p>
    <w:p w14:paraId="631C4B48">
      <w:pPr>
        <w:spacing w:line="360" w:lineRule="auto"/>
        <w:rPr>
          <w:rFonts w:hint="eastAsia" w:ascii="宋体" w:hAnsi="宋体"/>
          <w:color w:val="000000"/>
          <w:szCs w:val="21"/>
        </w:rPr>
      </w:pPr>
    </w:p>
    <w:p w14:paraId="382B16A4">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法定代表人身份证明书及法定代表人有效身份证正反面复印件； </w:t>
      </w:r>
    </w:p>
    <w:p w14:paraId="6BA82F4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val="0"/>
          <w:bCs w:val="0"/>
          <w:color w:val="000000"/>
          <w:szCs w:val="21"/>
        </w:rPr>
      </w:pPr>
      <w:r>
        <w:rPr>
          <w:rFonts w:hint="eastAsia" w:ascii="宋体" w:hAnsi="宋体"/>
          <w:b w:val="0"/>
          <w:bCs w:val="0"/>
          <w:color w:val="000000"/>
          <w:szCs w:val="21"/>
        </w:rPr>
        <w:t xml:space="preserve">法定代表人授权委托书及被授权人有效身份证正反面复印件； </w:t>
      </w:r>
    </w:p>
    <w:p w14:paraId="18DCBCCE">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b/>
          <w:color w:val="000000"/>
          <w:szCs w:val="21"/>
        </w:rPr>
      </w:pPr>
      <w:r>
        <w:rPr>
          <w:rFonts w:hint="eastAsia" w:ascii="宋体" w:hAnsi="宋体"/>
          <w:b w:val="0"/>
          <w:bCs w:val="0"/>
          <w:color w:val="000000"/>
        </w:rPr>
        <w:t>供应商基本情况表（附有效的营业执照副本、企业资质证书副本、安全生产许可证副本复印件</w:t>
      </w:r>
      <w:r>
        <w:rPr>
          <w:rFonts w:hint="eastAsia" w:ascii="宋体" w:hAnsi="宋体"/>
          <w:color w:val="000000"/>
        </w:rPr>
        <w:t>）</w:t>
      </w:r>
      <w:r>
        <w:rPr>
          <w:rFonts w:hint="eastAsia" w:ascii="宋体" w:hAnsi="宋体"/>
          <w:bCs/>
          <w:color w:val="000000"/>
          <w:szCs w:val="21"/>
        </w:rPr>
        <w:t>；</w:t>
      </w:r>
      <w:r>
        <w:rPr>
          <w:rFonts w:hint="eastAsia" w:ascii="宋体" w:hAnsi="宋体"/>
          <w:b/>
          <w:color w:val="000000"/>
          <w:szCs w:val="21"/>
        </w:rPr>
        <w:t xml:space="preserve"> </w:t>
      </w:r>
    </w:p>
    <w:p w14:paraId="5799CEAA">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rFonts w:hint="eastAsia" w:ascii="宋体" w:hAnsi="宋体"/>
          <w:color w:val="000000"/>
        </w:rPr>
      </w:pPr>
      <w:r>
        <w:rPr>
          <w:rFonts w:hint="eastAsia" w:ascii="宋体" w:hAnsi="宋体"/>
          <w:color w:val="000000"/>
        </w:rPr>
        <w:t>建设工程项目管理承诺书</w:t>
      </w:r>
      <w:r>
        <w:rPr>
          <w:rFonts w:hint="eastAsia" w:ascii="宋体" w:hAnsi="宋体"/>
          <w:bCs/>
          <w:color w:val="000000"/>
          <w:szCs w:val="21"/>
        </w:rPr>
        <w:t>；</w:t>
      </w:r>
      <w:r>
        <w:rPr>
          <w:rFonts w:hint="eastAsia" w:ascii="宋体" w:hAnsi="宋体"/>
          <w:color w:val="000000"/>
        </w:rPr>
        <w:t xml:space="preserve"> </w:t>
      </w:r>
    </w:p>
    <w:p w14:paraId="31A6E9BC">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b/>
          <w:color w:val="000000"/>
        </w:rPr>
      </w:pPr>
      <w:r>
        <w:rPr>
          <w:color w:val="000000"/>
        </w:rPr>
        <w:t>项目经理须具备</w:t>
      </w:r>
      <w:r>
        <w:t>公路工程或</w:t>
      </w:r>
      <w:r>
        <w:rPr>
          <w:color w:val="000000"/>
        </w:rPr>
        <w:t>市政公用工程专业二级（含二级）以上注册建造师执业资格，具备有效的安全生产考核合格证书（B类）的证明材料复印件；</w:t>
      </w:r>
      <w:r>
        <w:rPr>
          <w:b/>
          <w:color w:val="000000"/>
        </w:rPr>
        <w:t xml:space="preserve"> </w:t>
      </w:r>
    </w:p>
    <w:p w14:paraId="5C97D208">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连续三个月的依法缴纳的社保费凭证复印件或者《依法缴纳或依法交社保证明》复印件</w:t>
      </w:r>
      <w:r>
        <w:rPr>
          <w:highlight w:val="none"/>
        </w:rPr>
        <w:t>（如社保凭证或证明未包含养老保险及医疗保险部分，供应商须同时提供养老保险及医疗保险凭证或缴纳证明）</w:t>
      </w:r>
      <w:r>
        <w:rPr>
          <w:color w:val="000000"/>
        </w:rPr>
        <w:t>，如为新成立的磋商单位请按实际依法缴纳月份提供（必须提供，并加盖公章）；</w:t>
      </w:r>
    </w:p>
    <w:p w14:paraId="3D2D9855">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磋商供应商提供</w:t>
      </w:r>
      <w:r>
        <w:t>近半年内</w:t>
      </w:r>
      <w:r>
        <w:rPr>
          <w:color w:val="000000"/>
        </w:rPr>
        <w:t>连续三个月依法纳税的完税凭证复印件或者《依法纳税或依法免税证明》复印件，如为新成立的磋商单位请按实际依法缴纳月份提供（必须提供，并加盖公章）；</w:t>
      </w:r>
    </w:p>
    <w:p w14:paraId="1E0817C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pPr>
      <w:r>
        <w:t>磋商供应商2022或2023年度经审计财务报告复印件（若为新成立的企业，可根据实际情况提供月度财务报表，格式自拟）；</w:t>
      </w:r>
    </w:p>
    <w:p w14:paraId="34334A8D">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 xml:space="preserve">参加政府采购活动前3年内在经营活动中没有重大违法记录的书面声明； </w:t>
      </w:r>
    </w:p>
    <w:p w14:paraId="133E13E7">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供应商参加本项目无围标串标行为的承诺函（格式后附）</w:t>
      </w:r>
    </w:p>
    <w:p w14:paraId="5328F1B2">
      <w:pPr>
        <w:pStyle w:val="11"/>
        <w:keepNext w:val="0"/>
        <w:keepLines w:val="0"/>
        <w:pageBreakBefore w:val="0"/>
        <w:widowControl w:val="0"/>
        <w:numPr>
          <w:ilvl w:val="0"/>
          <w:numId w:val="51"/>
        </w:numPr>
        <w:kinsoku/>
        <w:wordWrap/>
        <w:overflowPunct/>
        <w:topLinePunct w:val="0"/>
        <w:autoSpaceDE/>
        <w:autoSpaceDN/>
        <w:bidi w:val="0"/>
        <w:adjustRightInd/>
        <w:snapToGrid/>
        <w:spacing w:line="264" w:lineRule="auto"/>
        <w:ind w:left="0" w:leftChars="0" w:firstLine="480" w:firstLineChars="0"/>
        <w:textAlignment w:val="auto"/>
        <w:rPr>
          <w:color w:val="000000"/>
        </w:rPr>
      </w:pPr>
      <w:r>
        <w:rPr>
          <w:color w:val="000000"/>
        </w:rPr>
        <w:t>供应商认为资格审查需要的其他材料</w:t>
      </w:r>
    </w:p>
    <w:p w14:paraId="21F33BEE">
      <w:pPr>
        <w:pStyle w:val="12"/>
        <w:rPr>
          <w:color w:val="000000"/>
        </w:rPr>
      </w:pPr>
    </w:p>
    <w:p w14:paraId="6F9F7384">
      <w:pPr>
        <w:pStyle w:val="13"/>
        <w:rPr>
          <w:color w:val="000000"/>
        </w:rPr>
      </w:pPr>
    </w:p>
    <w:p w14:paraId="175E3485">
      <w:pPr>
        <w:rPr>
          <w:color w:val="000000"/>
        </w:rPr>
      </w:pPr>
    </w:p>
    <w:p w14:paraId="6B87E703">
      <w:pPr>
        <w:rPr>
          <w:color w:val="000000"/>
        </w:rPr>
      </w:pPr>
    </w:p>
    <w:p w14:paraId="64F335A7">
      <w:pPr>
        <w:rPr>
          <w:color w:val="000000"/>
        </w:rPr>
      </w:pPr>
    </w:p>
    <w:p w14:paraId="2C837569">
      <w:pPr>
        <w:rPr>
          <w:color w:val="000000"/>
        </w:rPr>
      </w:pPr>
    </w:p>
    <w:p w14:paraId="09C60F52">
      <w:pPr>
        <w:rPr>
          <w:color w:val="000000"/>
        </w:rPr>
      </w:pPr>
    </w:p>
    <w:p w14:paraId="1FAC9DEB">
      <w:pPr>
        <w:rPr>
          <w:color w:val="000000"/>
        </w:rPr>
      </w:pPr>
    </w:p>
    <w:p w14:paraId="40F1C68E">
      <w:pPr>
        <w:rPr>
          <w:color w:val="000000"/>
        </w:rPr>
      </w:pPr>
    </w:p>
    <w:p w14:paraId="44787338">
      <w:pPr>
        <w:rPr>
          <w:color w:val="000000"/>
        </w:rPr>
      </w:pPr>
    </w:p>
    <w:p w14:paraId="264161EB">
      <w:pPr>
        <w:rPr>
          <w:color w:val="000000"/>
        </w:rPr>
      </w:pPr>
    </w:p>
    <w:p w14:paraId="3D31427A">
      <w:pPr>
        <w:rPr>
          <w:color w:val="000000"/>
        </w:rPr>
      </w:pPr>
    </w:p>
    <w:p w14:paraId="77FB4B9B">
      <w:pPr>
        <w:rPr>
          <w:color w:val="000000"/>
        </w:rPr>
      </w:pPr>
    </w:p>
    <w:p w14:paraId="03E9E77D">
      <w:pPr>
        <w:rPr>
          <w:color w:val="000000"/>
        </w:rPr>
      </w:pPr>
    </w:p>
    <w:p w14:paraId="567192AE">
      <w:pPr>
        <w:rPr>
          <w:color w:val="000000"/>
        </w:rPr>
      </w:pPr>
    </w:p>
    <w:p w14:paraId="0C631B98">
      <w:pPr>
        <w:rPr>
          <w:color w:val="000000"/>
        </w:rPr>
      </w:pPr>
    </w:p>
    <w:p w14:paraId="3637007B">
      <w:pPr>
        <w:pStyle w:val="2"/>
        <w:numPr>
          <w:ilvl w:val="0"/>
          <w:numId w:val="52"/>
        </w:numPr>
        <w:tabs>
          <w:tab w:val="clear" w:pos="482"/>
        </w:tabs>
        <w:bidi w:val="0"/>
        <w:ind w:left="0" w:leftChars="0" w:firstLine="480" w:firstLineChars="0"/>
      </w:pPr>
      <w:r>
        <w:t>法定代表人身份证明书及法定代表人有效身份证正反面复印件；（格式）</w:t>
      </w:r>
    </w:p>
    <w:p w14:paraId="3BB0CCF9">
      <w:pPr>
        <w:spacing w:line="360" w:lineRule="auto"/>
        <w:ind w:firstLine="703" w:firstLineChars="250"/>
        <w:jc w:val="center"/>
        <w:rPr>
          <w:rFonts w:hint="eastAsia" w:ascii="宋体" w:hAnsi="宋体"/>
          <w:b/>
          <w:color w:val="000000"/>
          <w:sz w:val="28"/>
          <w:szCs w:val="28"/>
        </w:rPr>
      </w:pPr>
    </w:p>
    <w:p w14:paraId="21EE4B95">
      <w:pPr>
        <w:pStyle w:val="43"/>
        <w:outlineLvl w:val="9"/>
      </w:pPr>
      <w:r>
        <w:t>法定代表人身份证明</w:t>
      </w:r>
    </w:p>
    <w:p w14:paraId="4D8C48BA">
      <w:pPr>
        <w:pStyle w:val="11"/>
        <w:rPr>
          <w:color w:val="000000"/>
        </w:rPr>
      </w:pPr>
      <w:r>
        <w:rPr>
          <w:color w:val="000000"/>
        </w:rPr>
        <w:t>供 应 商：</w:t>
      </w:r>
      <w:r>
        <w:rPr>
          <w:color w:val="000000"/>
          <w:u w:val="single"/>
        </w:rPr>
        <w:t xml:space="preserve">                                                        </w:t>
      </w:r>
    </w:p>
    <w:p w14:paraId="651DD35F">
      <w:pPr>
        <w:pStyle w:val="11"/>
        <w:rPr>
          <w:color w:val="000000"/>
        </w:rPr>
      </w:pPr>
      <w:r>
        <w:rPr>
          <w:color w:val="000000"/>
        </w:rPr>
        <w:t>单位性质：</w:t>
      </w:r>
      <w:r>
        <w:rPr>
          <w:color w:val="000000"/>
          <w:u w:val="single"/>
        </w:rPr>
        <w:t xml:space="preserve">                                                        </w:t>
      </w:r>
    </w:p>
    <w:p w14:paraId="458A2A08">
      <w:pPr>
        <w:pStyle w:val="11"/>
        <w:rPr>
          <w:color w:val="000000"/>
        </w:rPr>
      </w:pPr>
      <w:r>
        <w:rPr>
          <w:color w:val="000000"/>
        </w:rPr>
        <w:t>地    址：</w:t>
      </w:r>
      <w:r>
        <w:rPr>
          <w:color w:val="000000"/>
          <w:u w:val="single"/>
        </w:rPr>
        <w:t xml:space="preserve">                                                        </w:t>
      </w:r>
    </w:p>
    <w:p w14:paraId="196B6E85">
      <w:pPr>
        <w:pStyle w:val="11"/>
        <w:rPr>
          <w:color w:val="000000"/>
        </w:rPr>
      </w:pPr>
      <w:r>
        <w:rPr>
          <w:color w:val="000000"/>
        </w:rPr>
        <w:t>成立时间：</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14:paraId="48B7256B">
      <w:pPr>
        <w:pStyle w:val="11"/>
        <w:rPr>
          <w:color w:val="000000"/>
        </w:rPr>
      </w:pPr>
      <w:r>
        <w:rPr>
          <w:color w:val="000000"/>
        </w:rPr>
        <w:t>经营期限：</w:t>
      </w:r>
      <w:r>
        <w:rPr>
          <w:color w:val="000000"/>
          <w:u w:val="single"/>
        </w:rPr>
        <w:t xml:space="preserve">                                                        </w:t>
      </w:r>
    </w:p>
    <w:p w14:paraId="564C413F">
      <w:pPr>
        <w:pStyle w:val="11"/>
        <w:rPr>
          <w:color w:val="000000"/>
        </w:rPr>
      </w:pPr>
      <w:r>
        <w:rPr>
          <w:color w:val="000000"/>
        </w:rPr>
        <w:t>姓    名：</w:t>
      </w:r>
      <w:r>
        <w:rPr>
          <w:color w:val="000000"/>
          <w:u w:val="single"/>
        </w:rPr>
        <w:t xml:space="preserve">                          </w:t>
      </w:r>
      <w:r>
        <w:rPr>
          <w:color w:val="000000"/>
        </w:rPr>
        <w:t>性     别：</w:t>
      </w:r>
      <w:r>
        <w:rPr>
          <w:color w:val="000000"/>
          <w:u w:val="single"/>
        </w:rPr>
        <w:t xml:space="preserve">                   </w:t>
      </w:r>
    </w:p>
    <w:p w14:paraId="4E5136CB">
      <w:pPr>
        <w:pStyle w:val="11"/>
        <w:rPr>
          <w:color w:val="000000"/>
        </w:rPr>
      </w:pPr>
      <w:r>
        <w:rPr>
          <w:color w:val="000000"/>
        </w:rPr>
        <w:t>年    龄：</w:t>
      </w:r>
      <w:r>
        <w:rPr>
          <w:color w:val="000000"/>
          <w:u w:val="single"/>
        </w:rPr>
        <w:t xml:space="preserve">                          </w:t>
      </w:r>
      <w:r>
        <w:rPr>
          <w:color w:val="000000"/>
        </w:rPr>
        <w:t>职     务：</w:t>
      </w:r>
      <w:r>
        <w:rPr>
          <w:color w:val="000000"/>
          <w:u w:val="single"/>
        </w:rPr>
        <w:t xml:space="preserve">                   </w:t>
      </w:r>
    </w:p>
    <w:p w14:paraId="4A019CDA">
      <w:pPr>
        <w:pStyle w:val="11"/>
        <w:rPr>
          <w:color w:val="000000"/>
        </w:rPr>
      </w:pPr>
      <w:r>
        <w:rPr>
          <w:color w:val="000000"/>
        </w:rPr>
        <w:t>系</w:t>
      </w:r>
      <w:r>
        <w:rPr>
          <w:color w:val="000000"/>
          <w:u w:val="single"/>
        </w:rPr>
        <w:t xml:space="preserve">                                                 </w:t>
      </w:r>
      <w:r>
        <w:rPr>
          <w:color w:val="000000"/>
        </w:rPr>
        <w:t>（供应商名称）的法定代表人。</w:t>
      </w:r>
    </w:p>
    <w:p w14:paraId="08A240EE">
      <w:pPr>
        <w:pStyle w:val="11"/>
        <w:rPr>
          <w:color w:val="000000"/>
        </w:rPr>
      </w:pPr>
      <w:r>
        <w:rPr>
          <w:color w:val="000000"/>
        </w:rPr>
        <w:t>特此证明。</w:t>
      </w:r>
    </w:p>
    <w:p w14:paraId="243062E7">
      <w:pPr>
        <w:spacing w:line="360" w:lineRule="auto"/>
        <w:rPr>
          <w:rFonts w:hint="eastAsia" w:ascii="宋体" w:hAnsi="宋体"/>
          <w:color w:val="000000"/>
          <w:szCs w:val="21"/>
        </w:rPr>
      </w:pPr>
    </w:p>
    <w:p w14:paraId="46774FA6">
      <w:pPr>
        <w:pStyle w:val="11"/>
        <w:rPr>
          <w:color w:val="000000"/>
        </w:rPr>
      </w:pPr>
      <w:r>
        <w:rPr>
          <w:color w:val="000000"/>
        </w:rPr>
        <w:t>附件：法定代表人有效身份证正反面复印件</w:t>
      </w:r>
    </w:p>
    <w:p w14:paraId="32AF4180">
      <w:pPr>
        <w:spacing w:line="360" w:lineRule="auto"/>
        <w:rPr>
          <w:rFonts w:ascii="宋体" w:hAnsi="宋体"/>
          <w:color w:val="000000"/>
          <w:szCs w:val="21"/>
        </w:rPr>
      </w:pPr>
    </w:p>
    <w:p w14:paraId="1E5D0C6D">
      <w:pPr>
        <w:spacing w:line="360" w:lineRule="auto"/>
        <w:jc w:val="right"/>
        <w:rPr>
          <w:rFonts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供应商</w:t>
      </w:r>
      <w:r>
        <w:rPr>
          <w:rFonts w:ascii="Times New Roman" w:hAnsi="Times New Roman" w:eastAsia="宋体" w:cs="Times New Roman"/>
          <w:color w:val="000000"/>
          <w:sz w:val="24"/>
          <w:szCs w:val="21"/>
        </w:rPr>
        <w:t>：</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（盖单位章）</w:t>
      </w:r>
    </w:p>
    <w:p w14:paraId="7730A7D1">
      <w:pPr>
        <w:spacing w:line="360" w:lineRule="auto"/>
        <w:ind w:left="420" w:leftChars="200" w:firstLine="4200" w:firstLineChars="1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0F69A75">
      <w:pPr>
        <w:spacing w:line="360" w:lineRule="auto"/>
        <w:ind w:left="420" w:leftChars="200" w:firstLine="3675" w:firstLineChars="1750"/>
        <w:rPr>
          <w:rFonts w:hint="eastAsia" w:ascii="宋体" w:hAnsi="宋体"/>
          <w:color w:val="000000"/>
          <w:szCs w:val="21"/>
        </w:rPr>
      </w:pPr>
    </w:p>
    <w:p w14:paraId="482E49C3">
      <w:pPr>
        <w:spacing w:line="360" w:lineRule="auto"/>
        <w:ind w:left="420" w:leftChars="200" w:firstLine="3675" w:firstLineChars="1750"/>
        <w:rPr>
          <w:rFonts w:hint="eastAsia" w:ascii="宋体" w:hAnsi="宋体"/>
          <w:color w:val="000000"/>
          <w:szCs w:val="21"/>
        </w:rPr>
      </w:pPr>
    </w:p>
    <w:p w14:paraId="7F62862E">
      <w:pPr>
        <w:spacing w:line="360" w:lineRule="auto"/>
        <w:ind w:left="420" w:leftChars="200" w:firstLine="3675" w:firstLineChars="1750"/>
        <w:rPr>
          <w:rFonts w:hint="eastAsia" w:ascii="宋体" w:hAnsi="宋体"/>
          <w:b/>
          <w:color w:val="000000"/>
          <w:szCs w:val="21"/>
        </w:rPr>
      </w:pPr>
      <w:r>
        <w:rPr>
          <w:rFonts w:ascii="宋体" w:hAnsi="宋体"/>
          <w:color w:val="000000"/>
          <w:szCs w:val="21"/>
        </w:rPr>
        <w:br w:type="page"/>
      </w:r>
    </w:p>
    <w:p w14:paraId="1AA22095">
      <w:pPr>
        <w:pStyle w:val="2"/>
        <w:numPr>
          <w:ilvl w:val="0"/>
          <w:numId w:val="52"/>
        </w:numPr>
        <w:tabs>
          <w:tab w:val="clear" w:pos="482"/>
        </w:tabs>
        <w:bidi w:val="0"/>
        <w:ind w:left="0" w:leftChars="0" w:firstLine="480" w:firstLineChars="0"/>
      </w:pPr>
      <w:r>
        <w:t>法定代表人授权委托书及被授权人有效身份证正反面复印件（格式）</w:t>
      </w:r>
    </w:p>
    <w:p w14:paraId="049F8B7F">
      <w:pPr>
        <w:adjustRightInd w:val="0"/>
        <w:snapToGrid w:val="0"/>
        <w:spacing w:line="360" w:lineRule="auto"/>
        <w:jc w:val="center"/>
        <w:rPr>
          <w:rFonts w:hint="eastAsia" w:ascii="宋体" w:hAnsi="宋体"/>
          <w:b/>
          <w:color w:val="000000"/>
          <w:sz w:val="32"/>
          <w:szCs w:val="32"/>
        </w:rPr>
      </w:pPr>
    </w:p>
    <w:p w14:paraId="5DB2AE5E">
      <w:pPr>
        <w:pStyle w:val="43"/>
        <w:outlineLvl w:val="9"/>
      </w:pPr>
      <w:r>
        <w:t>法 定 代 表 人 授 权 书</w:t>
      </w:r>
    </w:p>
    <w:p w14:paraId="4E947C0A">
      <w:pPr>
        <w:adjustRightInd w:val="0"/>
        <w:snapToGrid w:val="0"/>
        <w:spacing w:line="360" w:lineRule="auto"/>
        <w:rPr>
          <w:rFonts w:hint="eastAsia" w:ascii="宋体" w:hAnsi="宋体"/>
          <w:color w:val="000000"/>
          <w:szCs w:val="21"/>
        </w:rPr>
      </w:pPr>
    </w:p>
    <w:p w14:paraId="7112C1DA">
      <w:pPr>
        <w:pStyle w:val="11"/>
        <w:ind w:firstLine="0" w:firstLineChars="0"/>
        <w:rPr>
          <w:b/>
          <w:color w:val="000000"/>
        </w:rPr>
      </w:pPr>
      <w:r>
        <w:rPr>
          <w:color w:val="000000"/>
        </w:rPr>
        <w:t>致：</w:t>
      </w:r>
      <w:r>
        <w:rPr>
          <w:rFonts w:hint="eastAsia"/>
          <w:color w:val="000000"/>
          <w:u w:val="single"/>
          <w:lang w:eastAsia="zh-CN"/>
        </w:rPr>
        <w:t>广西国立工程咨询有限公司</w:t>
      </w:r>
      <w:r>
        <w:rPr>
          <w:color w:val="000000"/>
          <w:u w:val="single"/>
        </w:rPr>
        <w:t>　</w:t>
      </w:r>
      <w:r>
        <w:rPr>
          <w:b/>
          <w:color w:val="000000"/>
        </w:rPr>
        <w:t xml:space="preserve"> </w:t>
      </w:r>
      <w:r>
        <w:rPr>
          <w:color w:val="000000"/>
        </w:rPr>
        <w:t>：</w:t>
      </w:r>
    </w:p>
    <w:p w14:paraId="5811E9A0">
      <w:pPr>
        <w:pStyle w:val="11"/>
        <w:rPr>
          <w:color w:val="000000"/>
        </w:rPr>
      </w:pPr>
      <w:r>
        <w:rPr>
          <w:color w:val="000000"/>
        </w:rPr>
        <w:t xml:space="preserve">我______（姓名）系______（供应商名称）的法定代表人，现授权委托本单位在职职工 </w:t>
      </w:r>
      <w:r>
        <w:rPr>
          <w:color w:val="000000"/>
          <w:u w:val="single"/>
        </w:rPr>
        <w:t xml:space="preserve">            </w:t>
      </w:r>
      <w:r>
        <w:rPr>
          <w:color w:val="000000"/>
        </w:rPr>
        <w:t>（姓名）以我方的名义参加</w:t>
      </w:r>
      <w:r>
        <w:rPr>
          <w:color w:val="000000"/>
          <w:u w:val="single"/>
        </w:rPr>
        <w:t xml:space="preserve">         </w:t>
      </w:r>
      <w:r>
        <w:rPr>
          <w:color w:val="000000"/>
        </w:rPr>
        <w:t>项目的磋商活动，并代表我方全权办理针对上述项目的递交文件、磋商、澄清、签约等具体事务和签署相关文件。</w:t>
      </w:r>
    </w:p>
    <w:p w14:paraId="3571F61C">
      <w:pPr>
        <w:pStyle w:val="11"/>
        <w:rPr>
          <w:color w:val="000000"/>
        </w:rPr>
      </w:pPr>
      <w:r>
        <w:rPr>
          <w:color w:val="000000"/>
        </w:rPr>
        <w:t>我方对被授权人的签名事项负全部责任。</w:t>
      </w:r>
    </w:p>
    <w:p w14:paraId="09955FBE">
      <w:pPr>
        <w:pStyle w:val="11"/>
        <w:rPr>
          <w:color w:val="000000"/>
        </w:rPr>
      </w:pPr>
      <w:r>
        <w:rPr>
          <w:color w:val="000000"/>
          <w:u w:val="single"/>
        </w:rPr>
        <w:t>在撤销授权的书面通知以前，本授权书一直有效。</w:t>
      </w:r>
      <w:r>
        <w:rPr>
          <w:color w:val="000000"/>
        </w:rPr>
        <w:t>被授权人在授权书有效期内签署的所有文件不因授权的撤销而失效。</w:t>
      </w:r>
    </w:p>
    <w:p w14:paraId="36B5FACE">
      <w:pPr>
        <w:pStyle w:val="11"/>
        <w:rPr>
          <w:color w:val="000000"/>
        </w:rPr>
      </w:pPr>
      <w:r>
        <w:rPr>
          <w:color w:val="000000"/>
        </w:rPr>
        <w:t>被授权人无转委托权，特此委托。</w:t>
      </w:r>
    </w:p>
    <w:p w14:paraId="3438144F">
      <w:pPr>
        <w:pStyle w:val="11"/>
        <w:rPr>
          <w:color w:val="000000"/>
        </w:rPr>
      </w:pPr>
      <w:r>
        <w:rPr>
          <w:color w:val="000000"/>
        </w:rPr>
        <w:t>附：法定代表人身份证明及被授权人有效身份证正反面复印件</w:t>
      </w:r>
    </w:p>
    <w:p w14:paraId="3CAF5586">
      <w:pPr>
        <w:snapToGrid w:val="0"/>
        <w:spacing w:before="120" w:beforeLines="50" w:after="50" w:line="360" w:lineRule="auto"/>
        <w:rPr>
          <w:rFonts w:hint="eastAsia" w:ascii="宋体" w:hAnsi="宋体"/>
          <w:color w:val="000000"/>
          <w:sz w:val="24"/>
          <w:szCs w:val="20"/>
        </w:rPr>
      </w:pPr>
    </w:p>
    <w:p w14:paraId="1D9EDE19">
      <w:pPr>
        <w:snapToGrid w:val="0"/>
        <w:spacing w:before="120" w:beforeLines="50" w:after="50" w:line="360" w:lineRule="auto"/>
        <w:rPr>
          <w:rFonts w:hint="eastAsia" w:ascii="Times New Roman" w:hAnsi="Times New Roman" w:eastAsia="宋体" w:cs="Times New Roman"/>
          <w:color w:val="000000"/>
          <w:sz w:val="24"/>
          <w:u w:val="single"/>
        </w:rPr>
      </w:pPr>
      <w:r>
        <w:rPr>
          <w:rFonts w:hint="eastAsia" w:ascii="Times New Roman" w:hAnsi="Times New Roman" w:eastAsia="宋体" w:cs="Times New Roman"/>
          <w:color w:val="000000"/>
          <w:sz w:val="24"/>
        </w:rPr>
        <w:t>被授权人签名：</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法定代表人签名：</w:t>
      </w:r>
      <w:r>
        <w:rPr>
          <w:rFonts w:hint="eastAsia" w:ascii="Times New Roman" w:hAnsi="Times New Roman" w:eastAsia="宋体" w:cs="Times New Roman"/>
          <w:color w:val="000000"/>
          <w:sz w:val="24"/>
          <w:u w:val="single"/>
        </w:rPr>
        <w:t xml:space="preserve">              </w:t>
      </w:r>
    </w:p>
    <w:p w14:paraId="19DA35D9">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所在部门职务：</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职务：</w:t>
      </w:r>
      <w:r>
        <w:rPr>
          <w:rFonts w:hint="eastAsia" w:ascii="Times New Roman" w:hAnsi="Times New Roman" w:eastAsia="宋体" w:cs="Times New Roman"/>
          <w:color w:val="000000"/>
          <w:sz w:val="24"/>
          <w:u w:val="single"/>
        </w:rPr>
        <w:t xml:space="preserve">                  </w:t>
      </w:r>
    </w:p>
    <w:p w14:paraId="3F3C9CAD">
      <w:pPr>
        <w:snapToGrid w:val="0"/>
        <w:spacing w:before="120" w:beforeLines="50" w:after="50" w:line="360" w:lineRule="auto"/>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被授权人身份证号码：</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 xml:space="preserve"> </w:t>
      </w:r>
    </w:p>
    <w:p w14:paraId="00F40E69">
      <w:pPr>
        <w:snapToGrid w:val="0"/>
        <w:spacing w:before="120" w:beforeLines="50" w:after="50" w:line="360" w:lineRule="auto"/>
        <w:jc w:val="center"/>
        <w:rPr>
          <w:rFonts w:hint="eastAsia" w:ascii="Times New Roman" w:hAnsi="Times New Roman" w:eastAsia="宋体" w:cs="Times New Roman"/>
          <w:color w:val="000000"/>
          <w:sz w:val="24"/>
          <w:szCs w:val="20"/>
        </w:rPr>
      </w:pPr>
      <w:r>
        <w:rPr>
          <w:rFonts w:hint="eastAsia" w:ascii="Times New Roman" w:hAnsi="Times New Roman" w:eastAsia="宋体" w:cs="Times New Roman"/>
          <w:color w:val="000000"/>
          <w:sz w:val="24"/>
        </w:rPr>
        <w:t xml:space="preserve">                                                供应商公章：</w:t>
      </w:r>
    </w:p>
    <w:p w14:paraId="733DCDC7">
      <w:pPr>
        <w:spacing w:line="360" w:lineRule="auto"/>
        <w:ind w:left="420"/>
        <w:rPr>
          <w:rFonts w:hint="eastAsia" w:ascii="Times New Roman" w:hAnsi="Times New Roman" w:eastAsia="宋体" w:cs="Times New Roman"/>
          <w:b/>
          <w:color w:val="000000"/>
          <w:sz w:val="24"/>
          <w:szCs w:val="21"/>
        </w:rPr>
      </w:pPr>
      <w:r>
        <w:rPr>
          <w:rFonts w:hint="eastAsia" w:ascii="Times New Roman" w:hAnsi="Times New Roman" w:eastAsia="宋体" w:cs="Times New Roman"/>
          <w:color w:val="000000"/>
          <w:sz w:val="24"/>
        </w:rPr>
        <w:t xml:space="preserve">                                              年    月    日</w:t>
      </w:r>
    </w:p>
    <w:p w14:paraId="25B91B05">
      <w:pPr>
        <w:spacing w:line="360" w:lineRule="auto"/>
        <w:rPr>
          <w:rFonts w:hint="eastAsia" w:ascii="宋体" w:hAnsi="宋体"/>
          <w:b/>
          <w:color w:val="000000"/>
          <w:szCs w:val="21"/>
        </w:rPr>
      </w:pPr>
      <w:r>
        <w:rPr>
          <w:rFonts w:ascii="宋体" w:hAnsi="宋体"/>
          <w:b/>
          <w:color w:val="000000"/>
          <w:szCs w:val="21"/>
        </w:rPr>
        <w:br w:type="page"/>
      </w:r>
    </w:p>
    <w:p w14:paraId="4C6BEE35">
      <w:pPr>
        <w:pStyle w:val="2"/>
        <w:numPr>
          <w:ilvl w:val="0"/>
          <w:numId w:val="52"/>
        </w:numPr>
        <w:tabs>
          <w:tab w:val="clear" w:pos="482"/>
        </w:tabs>
        <w:bidi w:val="0"/>
        <w:ind w:left="0" w:leftChars="0" w:firstLine="480" w:firstLineChars="0"/>
      </w:pPr>
      <w:r>
        <w:t>供应商基本情况表</w:t>
      </w:r>
    </w:p>
    <w:p w14:paraId="441DF862">
      <w:pPr>
        <w:pStyle w:val="43"/>
        <w:outlineLvl w:val="9"/>
      </w:pPr>
      <w:r>
        <w:t>供应商基本情况表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0D5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1A58FEC">
            <w:pPr>
              <w:spacing w:line="360" w:lineRule="auto"/>
              <w:jc w:val="center"/>
              <w:rPr>
                <w:rFonts w:ascii="宋体" w:hAnsi="宋体"/>
                <w:color w:val="000000"/>
                <w:szCs w:val="21"/>
              </w:rPr>
            </w:pPr>
            <w:r>
              <w:rPr>
                <w:rFonts w:hint="eastAsia" w:ascii="宋体" w:hAnsi="宋体"/>
                <w:color w:val="000000"/>
                <w:szCs w:val="21"/>
              </w:rPr>
              <w:t>供应商</w:t>
            </w:r>
            <w:r>
              <w:rPr>
                <w:rFonts w:ascii="宋体" w:hAnsi="宋体"/>
                <w:color w:val="000000"/>
                <w:szCs w:val="21"/>
              </w:rPr>
              <w:t>名称</w:t>
            </w:r>
          </w:p>
        </w:tc>
        <w:tc>
          <w:tcPr>
            <w:tcW w:w="7341" w:type="dxa"/>
            <w:gridSpan w:val="8"/>
            <w:noWrap w:val="0"/>
            <w:vAlign w:val="center"/>
          </w:tcPr>
          <w:p w14:paraId="55E79093">
            <w:pPr>
              <w:spacing w:line="360" w:lineRule="auto"/>
              <w:jc w:val="center"/>
              <w:rPr>
                <w:rFonts w:ascii="宋体" w:hAnsi="宋体"/>
                <w:color w:val="000000"/>
                <w:szCs w:val="21"/>
              </w:rPr>
            </w:pPr>
          </w:p>
        </w:tc>
      </w:tr>
      <w:tr w14:paraId="6704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97C8573">
            <w:pPr>
              <w:spacing w:line="360" w:lineRule="auto"/>
              <w:jc w:val="center"/>
              <w:rPr>
                <w:rFonts w:ascii="宋体" w:hAnsi="宋体"/>
                <w:color w:val="000000"/>
                <w:szCs w:val="21"/>
              </w:rPr>
            </w:pPr>
            <w:r>
              <w:rPr>
                <w:rFonts w:ascii="宋体" w:hAnsi="宋体"/>
                <w:color w:val="000000"/>
                <w:szCs w:val="21"/>
              </w:rPr>
              <w:t>注册地址</w:t>
            </w:r>
          </w:p>
        </w:tc>
        <w:tc>
          <w:tcPr>
            <w:tcW w:w="3389" w:type="dxa"/>
            <w:gridSpan w:val="4"/>
            <w:noWrap w:val="0"/>
            <w:vAlign w:val="center"/>
          </w:tcPr>
          <w:p w14:paraId="7F439B0E">
            <w:pPr>
              <w:spacing w:line="360" w:lineRule="auto"/>
              <w:jc w:val="center"/>
              <w:rPr>
                <w:rFonts w:ascii="宋体" w:hAnsi="宋体"/>
                <w:color w:val="000000"/>
                <w:szCs w:val="21"/>
              </w:rPr>
            </w:pPr>
          </w:p>
        </w:tc>
        <w:tc>
          <w:tcPr>
            <w:tcW w:w="1246" w:type="dxa"/>
            <w:noWrap w:val="0"/>
            <w:vAlign w:val="center"/>
          </w:tcPr>
          <w:p w14:paraId="0C6C93DA">
            <w:pPr>
              <w:spacing w:line="360" w:lineRule="auto"/>
              <w:jc w:val="center"/>
              <w:rPr>
                <w:rFonts w:ascii="宋体" w:hAnsi="宋体"/>
                <w:color w:val="000000"/>
                <w:szCs w:val="21"/>
              </w:rPr>
            </w:pPr>
            <w:r>
              <w:rPr>
                <w:rFonts w:ascii="宋体" w:hAnsi="宋体"/>
                <w:color w:val="000000"/>
                <w:szCs w:val="21"/>
              </w:rPr>
              <w:t>邮政编码</w:t>
            </w:r>
          </w:p>
        </w:tc>
        <w:tc>
          <w:tcPr>
            <w:tcW w:w="2706" w:type="dxa"/>
            <w:gridSpan w:val="3"/>
            <w:noWrap w:val="0"/>
            <w:vAlign w:val="center"/>
          </w:tcPr>
          <w:p w14:paraId="3295BBF4">
            <w:pPr>
              <w:spacing w:line="360" w:lineRule="auto"/>
              <w:jc w:val="center"/>
              <w:rPr>
                <w:rFonts w:ascii="宋体" w:hAnsi="宋体"/>
                <w:color w:val="000000"/>
                <w:szCs w:val="21"/>
              </w:rPr>
            </w:pPr>
          </w:p>
        </w:tc>
      </w:tr>
      <w:tr w14:paraId="2B81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6F2A4440">
            <w:pPr>
              <w:spacing w:line="360" w:lineRule="auto"/>
              <w:jc w:val="center"/>
              <w:rPr>
                <w:rFonts w:ascii="宋体" w:hAnsi="宋体"/>
                <w:color w:val="000000"/>
                <w:szCs w:val="21"/>
              </w:rPr>
            </w:pPr>
            <w:r>
              <w:rPr>
                <w:rFonts w:ascii="宋体" w:hAnsi="宋体"/>
                <w:color w:val="000000"/>
                <w:szCs w:val="21"/>
              </w:rPr>
              <w:t>联系方式</w:t>
            </w:r>
          </w:p>
        </w:tc>
        <w:tc>
          <w:tcPr>
            <w:tcW w:w="897" w:type="dxa"/>
            <w:noWrap w:val="0"/>
            <w:vAlign w:val="center"/>
          </w:tcPr>
          <w:p w14:paraId="2EA63106">
            <w:pPr>
              <w:spacing w:line="360" w:lineRule="auto"/>
              <w:jc w:val="center"/>
              <w:rPr>
                <w:rFonts w:ascii="宋体" w:hAnsi="宋体"/>
                <w:color w:val="000000"/>
                <w:szCs w:val="21"/>
              </w:rPr>
            </w:pPr>
            <w:r>
              <w:rPr>
                <w:rFonts w:ascii="宋体" w:hAnsi="宋体"/>
                <w:color w:val="000000"/>
                <w:szCs w:val="21"/>
              </w:rPr>
              <w:t>联系人</w:t>
            </w:r>
          </w:p>
        </w:tc>
        <w:tc>
          <w:tcPr>
            <w:tcW w:w="2492" w:type="dxa"/>
            <w:gridSpan w:val="3"/>
            <w:noWrap w:val="0"/>
            <w:vAlign w:val="center"/>
          </w:tcPr>
          <w:p w14:paraId="6DCB1532">
            <w:pPr>
              <w:spacing w:line="360" w:lineRule="auto"/>
              <w:jc w:val="center"/>
              <w:rPr>
                <w:rFonts w:ascii="宋体" w:hAnsi="宋体"/>
                <w:color w:val="000000"/>
                <w:szCs w:val="21"/>
              </w:rPr>
            </w:pPr>
          </w:p>
        </w:tc>
        <w:tc>
          <w:tcPr>
            <w:tcW w:w="1246" w:type="dxa"/>
            <w:noWrap w:val="0"/>
            <w:vAlign w:val="center"/>
          </w:tcPr>
          <w:p w14:paraId="30F29A37">
            <w:pPr>
              <w:spacing w:line="360" w:lineRule="auto"/>
              <w:jc w:val="center"/>
              <w:rPr>
                <w:rFonts w:ascii="宋体" w:hAnsi="宋体"/>
                <w:color w:val="000000"/>
                <w:szCs w:val="21"/>
              </w:rPr>
            </w:pPr>
            <w:r>
              <w:rPr>
                <w:rFonts w:ascii="宋体" w:hAnsi="宋体"/>
                <w:color w:val="000000"/>
                <w:szCs w:val="21"/>
              </w:rPr>
              <w:t>电  话</w:t>
            </w:r>
          </w:p>
        </w:tc>
        <w:tc>
          <w:tcPr>
            <w:tcW w:w="2706" w:type="dxa"/>
            <w:gridSpan w:val="3"/>
            <w:noWrap w:val="0"/>
            <w:vAlign w:val="center"/>
          </w:tcPr>
          <w:p w14:paraId="695C8733">
            <w:pPr>
              <w:spacing w:line="360" w:lineRule="auto"/>
              <w:jc w:val="center"/>
              <w:rPr>
                <w:rFonts w:ascii="宋体" w:hAnsi="宋体"/>
                <w:color w:val="000000"/>
                <w:szCs w:val="21"/>
              </w:rPr>
            </w:pPr>
          </w:p>
        </w:tc>
      </w:tr>
      <w:tr w14:paraId="75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74A84301">
            <w:pPr>
              <w:spacing w:line="360" w:lineRule="auto"/>
              <w:jc w:val="center"/>
              <w:rPr>
                <w:rFonts w:ascii="宋体" w:hAnsi="宋体"/>
                <w:color w:val="000000"/>
                <w:szCs w:val="21"/>
              </w:rPr>
            </w:pPr>
          </w:p>
        </w:tc>
        <w:tc>
          <w:tcPr>
            <w:tcW w:w="897" w:type="dxa"/>
            <w:noWrap w:val="0"/>
            <w:vAlign w:val="center"/>
          </w:tcPr>
          <w:p w14:paraId="2C813A5A">
            <w:pPr>
              <w:spacing w:line="360" w:lineRule="auto"/>
              <w:jc w:val="center"/>
              <w:rPr>
                <w:rFonts w:ascii="宋体" w:hAnsi="宋体"/>
                <w:color w:val="000000"/>
                <w:szCs w:val="21"/>
              </w:rPr>
            </w:pPr>
            <w:r>
              <w:rPr>
                <w:rFonts w:ascii="宋体" w:hAnsi="宋体"/>
                <w:color w:val="000000"/>
                <w:szCs w:val="21"/>
              </w:rPr>
              <w:t>传  真</w:t>
            </w:r>
          </w:p>
        </w:tc>
        <w:tc>
          <w:tcPr>
            <w:tcW w:w="2492" w:type="dxa"/>
            <w:gridSpan w:val="3"/>
            <w:noWrap w:val="0"/>
            <w:vAlign w:val="center"/>
          </w:tcPr>
          <w:p w14:paraId="75DF499C">
            <w:pPr>
              <w:spacing w:line="360" w:lineRule="auto"/>
              <w:jc w:val="center"/>
              <w:rPr>
                <w:rFonts w:ascii="宋体" w:hAnsi="宋体"/>
                <w:color w:val="000000"/>
                <w:szCs w:val="21"/>
              </w:rPr>
            </w:pPr>
          </w:p>
        </w:tc>
        <w:tc>
          <w:tcPr>
            <w:tcW w:w="1246" w:type="dxa"/>
            <w:noWrap w:val="0"/>
            <w:vAlign w:val="center"/>
          </w:tcPr>
          <w:p w14:paraId="7039FC22">
            <w:pPr>
              <w:spacing w:line="360" w:lineRule="auto"/>
              <w:jc w:val="center"/>
              <w:rPr>
                <w:rFonts w:ascii="宋体" w:hAnsi="宋体"/>
                <w:color w:val="000000"/>
                <w:szCs w:val="21"/>
              </w:rPr>
            </w:pPr>
            <w:r>
              <w:rPr>
                <w:rFonts w:ascii="宋体" w:hAnsi="宋体"/>
                <w:color w:val="000000"/>
                <w:szCs w:val="21"/>
              </w:rPr>
              <w:t>网  址</w:t>
            </w:r>
          </w:p>
        </w:tc>
        <w:tc>
          <w:tcPr>
            <w:tcW w:w="2706" w:type="dxa"/>
            <w:gridSpan w:val="3"/>
            <w:noWrap w:val="0"/>
            <w:vAlign w:val="center"/>
          </w:tcPr>
          <w:p w14:paraId="3856B05B">
            <w:pPr>
              <w:spacing w:line="360" w:lineRule="auto"/>
              <w:jc w:val="center"/>
              <w:rPr>
                <w:rFonts w:ascii="宋体" w:hAnsi="宋体"/>
                <w:color w:val="000000"/>
                <w:szCs w:val="21"/>
              </w:rPr>
            </w:pPr>
          </w:p>
        </w:tc>
      </w:tr>
      <w:tr w14:paraId="354D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AC9DA9">
            <w:pPr>
              <w:spacing w:line="360" w:lineRule="auto"/>
              <w:jc w:val="center"/>
              <w:rPr>
                <w:rFonts w:ascii="宋体" w:hAnsi="宋体"/>
                <w:color w:val="000000"/>
                <w:szCs w:val="21"/>
              </w:rPr>
            </w:pPr>
            <w:r>
              <w:rPr>
                <w:rFonts w:hint="eastAsia" w:ascii="宋体" w:hAnsi="宋体"/>
                <w:color w:val="000000"/>
              </w:rPr>
              <w:t>统一社会信用代码</w:t>
            </w:r>
          </w:p>
        </w:tc>
        <w:tc>
          <w:tcPr>
            <w:tcW w:w="7341" w:type="dxa"/>
            <w:gridSpan w:val="8"/>
            <w:noWrap w:val="0"/>
            <w:vAlign w:val="center"/>
          </w:tcPr>
          <w:p w14:paraId="1AF04ADD">
            <w:pPr>
              <w:spacing w:line="360" w:lineRule="auto"/>
              <w:jc w:val="center"/>
              <w:rPr>
                <w:rFonts w:ascii="宋体" w:hAnsi="宋体"/>
                <w:color w:val="000000"/>
                <w:szCs w:val="21"/>
              </w:rPr>
            </w:pPr>
          </w:p>
        </w:tc>
      </w:tr>
      <w:tr w14:paraId="3515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035A579">
            <w:pPr>
              <w:spacing w:line="360" w:lineRule="auto"/>
              <w:jc w:val="center"/>
              <w:rPr>
                <w:rFonts w:hint="eastAsia" w:ascii="宋体" w:hAnsi="宋体"/>
                <w:color w:val="000000"/>
                <w:szCs w:val="21"/>
              </w:rPr>
            </w:pPr>
            <w:r>
              <w:rPr>
                <w:rFonts w:hint="eastAsia" w:ascii="宋体" w:hAnsi="宋体"/>
                <w:color w:val="000000"/>
                <w:szCs w:val="21"/>
              </w:rPr>
              <w:t>法定代表人</w:t>
            </w:r>
          </w:p>
        </w:tc>
        <w:tc>
          <w:tcPr>
            <w:tcW w:w="897" w:type="dxa"/>
            <w:noWrap w:val="0"/>
            <w:vAlign w:val="center"/>
          </w:tcPr>
          <w:p w14:paraId="35639445">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40A8E408">
            <w:pPr>
              <w:spacing w:line="360" w:lineRule="auto"/>
              <w:jc w:val="center"/>
              <w:rPr>
                <w:rFonts w:ascii="宋体" w:hAnsi="宋体"/>
                <w:color w:val="000000"/>
                <w:szCs w:val="21"/>
              </w:rPr>
            </w:pPr>
          </w:p>
        </w:tc>
        <w:tc>
          <w:tcPr>
            <w:tcW w:w="1160" w:type="dxa"/>
            <w:noWrap w:val="0"/>
            <w:vAlign w:val="center"/>
          </w:tcPr>
          <w:p w14:paraId="60DA35B9">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38950F18">
            <w:pPr>
              <w:spacing w:line="360" w:lineRule="auto"/>
              <w:jc w:val="center"/>
              <w:rPr>
                <w:rFonts w:ascii="宋体" w:hAnsi="宋体"/>
                <w:color w:val="000000"/>
                <w:szCs w:val="21"/>
              </w:rPr>
            </w:pPr>
          </w:p>
        </w:tc>
        <w:tc>
          <w:tcPr>
            <w:tcW w:w="720" w:type="dxa"/>
            <w:noWrap w:val="0"/>
            <w:vAlign w:val="center"/>
          </w:tcPr>
          <w:p w14:paraId="3534AB1F">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3A27D06">
            <w:pPr>
              <w:spacing w:line="360" w:lineRule="auto"/>
              <w:jc w:val="center"/>
              <w:rPr>
                <w:rFonts w:ascii="宋体" w:hAnsi="宋体"/>
                <w:color w:val="000000"/>
                <w:szCs w:val="21"/>
              </w:rPr>
            </w:pPr>
          </w:p>
        </w:tc>
      </w:tr>
      <w:tr w14:paraId="5D5B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55523FA">
            <w:pPr>
              <w:spacing w:line="360" w:lineRule="auto"/>
              <w:jc w:val="center"/>
              <w:rPr>
                <w:rFonts w:ascii="宋体" w:hAnsi="宋体"/>
                <w:color w:val="000000"/>
                <w:szCs w:val="21"/>
              </w:rPr>
            </w:pPr>
            <w:r>
              <w:rPr>
                <w:rFonts w:ascii="宋体" w:hAnsi="宋体"/>
                <w:color w:val="000000"/>
                <w:szCs w:val="21"/>
              </w:rPr>
              <w:t>技术负责人</w:t>
            </w:r>
          </w:p>
        </w:tc>
        <w:tc>
          <w:tcPr>
            <w:tcW w:w="897" w:type="dxa"/>
            <w:noWrap w:val="0"/>
            <w:vAlign w:val="center"/>
          </w:tcPr>
          <w:p w14:paraId="73026BC3">
            <w:pPr>
              <w:spacing w:line="360" w:lineRule="auto"/>
              <w:jc w:val="center"/>
              <w:rPr>
                <w:rFonts w:ascii="宋体" w:hAnsi="宋体"/>
                <w:color w:val="000000"/>
                <w:szCs w:val="21"/>
              </w:rPr>
            </w:pPr>
            <w:r>
              <w:rPr>
                <w:rFonts w:ascii="宋体" w:hAnsi="宋体"/>
                <w:color w:val="000000"/>
                <w:szCs w:val="21"/>
              </w:rPr>
              <w:t>姓名</w:t>
            </w:r>
          </w:p>
        </w:tc>
        <w:tc>
          <w:tcPr>
            <w:tcW w:w="1021" w:type="dxa"/>
            <w:noWrap w:val="0"/>
            <w:vAlign w:val="center"/>
          </w:tcPr>
          <w:p w14:paraId="257B53AA">
            <w:pPr>
              <w:spacing w:line="360" w:lineRule="auto"/>
              <w:jc w:val="center"/>
              <w:rPr>
                <w:rFonts w:ascii="宋体" w:hAnsi="宋体"/>
                <w:color w:val="000000"/>
                <w:szCs w:val="21"/>
              </w:rPr>
            </w:pPr>
          </w:p>
        </w:tc>
        <w:tc>
          <w:tcPr>
            <w:tcW w:w="1160" w:type="dxa"/>
            <w:noWrap w:val="0"/>
            <w:vAlign w:val="center"/>
          </w:tcPr>
          <w:p w14:paraId="5D5BF137">
            <w:pPr>
              <w:spacing w:line="360" w:lineRule="auto"/>
              <w:jc w:val="center"/>
              <w:rPr>
                <w:rFonts w:ascii="宋体" w:hAnsi="宋体"/>
                <w:color w:val="000000"/>
                <w:szCs w:val="21"/>
              </w:rPr>
            </w:pPr>
            <w:r>
              <w:rPr>
                <w:rFonts w:ascii="宋体" w:hAnsi="宋体"/>
                <w:color w:val="000000"/>
                <w:szCs w:val="21"/>
              </w:rPr>
              <w:t>技术职称</w:t>
            </w:r>
          </w:p>
        </w:tc>
        <w:tc>
          <w:tcPr>
            <w:tcW w:w="1620" w:type="dxa"/>
            <w:gridSpan w:val="3"/>
            <w:noWrap w:val="0"/>
            <w:vAlign w:val="center"/>
          </w:tcPr>
          <w:p w14:paraId="19BDCFB6">
            <w:pPr>
              <w:spacing w:line="360" w:lineRule="auto"/>
              <w:jc w:val="center"/>
              <w:rPr>
                <w:rFonts w:ascii="宋体" w:hAnsi="宋体"/>
                <w:color w:val="000000"/>
                <w:szCs w:val="21"/>
              </w:rPr>
            </w:pPr>
          </w:p>
        </w:tc>
        <w:tc>
          <w:tcPr>
            <w:tcW w:w="720" w:type="dxa"/>
            <w:noWrap w:val="0"/>
            <w:vAlign w:val="center"/>
          </w:tcPr>
          <w:p w14:paraId="2D968C89">
            <w:pPr>
              <w:spacing w:line="360" w:lineRule="auto"/>
              <w:jc w:val="center"/>
              <w:rPr>
                <w:rFonts w:ascii="宋体" w:hAnsi="宋体"/>
                <w:color w:val="000000"/>
                <w:szCs w:val="21"/>
              </w:rPr>
            </w:pPr>
            <w:r>
              <w:rPr>
                <w:rFonts w:ascii="宋体" w:hAnsi="宋体"/>
                <w:color w:val="000000"/>
                <w:szCs w:val="21"/>
              </w:rPr>
              <w:t>电话</w:t>
            </w:r>
          </w:p>
        </w:tc>
        <w:tc>
          <w:tcPr>
            <w:tcW w:w="1923" w:type="dxa"/>
            <w:noWrap w:val="0"/>
            <w:vAlign w:val="center"/>
          </w:tcPr>
          <w:p w14:paraId="669F30EE">
            <w:pPr>
              <w:spacing w:line="360" w:lineRule="auto"/>
              <w:jc w:val="center"/>
              <w:rPr>
                <w:rFonts w:ascii="宋体" w:hAnsi="宋体"/>
                <w:color w:val="000000"/>
                <w:szCs w:val="21"/>
              </w:rPr>
            </w:pPr>
          </w:p>
        </w:tc>
      </w:tr>
      <w:tr w14:paraId="497F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7C9DB26">
            <w:pPr>
              <w:spacing w:line="360" w:lineRule="auto"/>
              <w:jc w:val="center"/>
              <w:rPr>
                <w:rFonts w:ascii="宋体" w:hAnsi="宋体"/>
                <w:color w:val="000000"/>
                <w:szCs w:val="21"/>
              </w:rPr>
            </w:pPr>
            <w:r>
              <w:rPr>
                <w:rFonts w:ascii="宋体" w:hAnsi="宋体"/>
                <w:color w:val="000000"/>
                <w:szCs w:val="21"/>
              </w:rPr>
              <w:t>成立时间</w:t>
            </w:r>
          </w:p>
        </w:tc>
        <w:tc>
          <w:tcPr>
            <w:tcW w:w="1918" w:type="dxa"/>
            <w:gridSpan w:val="2"/>
            <w:noWrap w:val="0"/>
            <w:vAlign w:val="center"/>
          </w:tcPr>
          <w:p w14:paraId="77F61CB2">
            <w:pPr>
              <w:spacing w:line="360" w:lineRule="auto"/>
              <w:jc w:val="center"/>
              <w:rPr>
                <w:rFonts w:ascii="宋体" w:hAnsi="宋体"/>
                <w:color w:val="000000"/>
                <w:szCs w:val="21"/>
              </w:rPr>
            </w:pPr>
          </w:p>
        </w:tc>
        <w:tc>
          <w:tcPr>
            <w:tcW w:w="5423" w:type="dxa"/>
            <w:gridSpan w:val="6"/>
            <w:noWrap w:val="0"/>
            <w:vAlign w:val="center"/>
          </w:tcPr>
          <w:p w14:paraId="4D4EC38E">
            <w:pPr>
              <w:spacing w:line="360" w:lineRule="auto"/>
              <w:jc w:val="center"/>
              <w:rPr>
                <w:rFonts w:ascii="宋体" w:hAnsi="宋体"/>
                <w:color w:val="000000"/>
                <w:szCs w:val="21"/>
              </w:rPr>
            </w:pPr>
            <w:r>
              <w:rPr>
                <w:rFonts w:ascii="宋体" w:hAnsi="宋体"/>
                <w:color w:val="000000"/>
                <w:szCs w:val="21"/>
              </w:rPr>
              <w:t>员工总人数：</w:t>
            </w:r>
          </w:p>
        </w:tc>
      </w:tr>
      <w:tr w14:paraId="347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61083CB">
            <w:pPr>
              <w:spacing w:line="360" w:lineRule="auto"/>
              <w:jc w:val="center"/>
              <w:rPr>
                <w:rFonts w:ascii="宋体" w:hAnsi="宋体"/>
                <w:color w:val="000000"/>
                <w:szCs w:val="21"/>
              </w:rPr>
            </w:pPr>
            <w:r>
              <w:rPr>
                <w:rFonts w:ascii="宋体" w:hAnsi="宋体"/>
                <w:color w:val="000000"/>
                <w:szCs w:val="21"/>
              </w:rPr>
              <w:t>资质等级</w:t>
            </w:r>
          </w:p>
        </w:tc>
        <w:tc>
          <w:tcPr>
            <w:tcW w:w="1918" w:type="dxa"/>
            <w:gridSpan w:val="2"/>
            <w:noWrap w:val="0"/>
            <w:vAlign w:val="center"/>
          </w:tcPr>
          <w:p w14:paraId="548BD27D">
            <w:pPr>
              <w:spacing w:line="360" w:lineRule="auto"/>
              <w:jc w:val="center"/>
              <w:rPr>
                <w:rFonts w:ascii="宋体" w:hAnsi="宋体"/>
                <w:color w:val="000000"/>
                <w:szCs w:val="21"/>
              </w:rPr>
            </w:pPr>
          </w:p>
        </w:tc>
        <w:tc>
          <w:tcPr>
            <w:tcW w:w="1160" w:type="dxa"/>
            <w:vMerge w:val="restart"/>
            <w:noWrap w:val="0"/>
            <w:vAlign w:val="center"/>
          </w:tcPr>
          <w:p w14:paraId="295359D4">
            <w:pPr>
              <w:spacing w:line="360" w:lineRule="auto"/>
              <w:jc w:val="center"/>
              <w:rPr>
                <w:rFonts w:ascii="宋体" w:hAnsi="宋体"/>
                <w:color w:val="000000"/>
                <w:szCs w:val="21"/>
              </w:rPr>
            </w:pPr>
            <w:r>
              <w:rPr>
                <w:rFonts w:ascii="宋体" w:hAnsi="宋体"/>
                <w:color w:val="000000"/>
                <w:szCs w:val="21"/>
              </w:rPr>
              <w:t>其中</w:t>
            </w:r>
          </w:p>
        </w:tc>
        <w:tc>
          <w:tcPr>
            <w:tcW w:w="1620" w:type="dxa"/>
            <w:gridSpan w:val="3"/>
            <w:noWrap w:val="0"/>
            <w:vAlign w:val="center"/>
          </w:tcPr>
          <w:p w14:paraId="45B5CEBB">
            <w:pPr>
              <w:spacing w:line="360" w:lineRule="auto"/>
              <w:jc w:val="center"/>
              <w:rPr>
                <w:rFonts w:ascii="宋体" w:hAnsi="宋体"/>
                <w:color w:val="000000"/>
                <w:szCs w:val="21"/>
              </w:rPr>
            </w:pPr>
            <w:r>
              <w:rPr>
                <w:rFonts w:ascii="宋体" w:hAnsi="宋体"/>
                <w:color w:val="000000"/>
                <w:szCs w:val="21"/>
              </w:rPr>
              <w:t>项目经理</w:t>
            </w:r>
          </w:p>
        </w:tc>
        <w:tc>
          <w:tcPr>
            <w:tcW w:w="2643" w:type="dxa"/>
            <w:gridSpan w:val="2"/>
            <w:noWrap w:val="0"/>
            <w:vAlign w:val="center"/>
          </w:tcPr>
          <w:p w14:paraId="5F60C7A7">
            <w:pPr>
              <w:spacing w:line="360" w:lineRule="auto"/>
              <w:jc w:val="center"/>
              <w:rPr>
                <w:rFonts w:ascii="宋体" w:hAnsi="宋体"/>
                <w:color w:val="000000"/>
                <w:szCs w:val="21"/>
              </w:rPr>
            </w:pPr>
          </w:p>
        </w:tc>
      </w:tr>
      <w:tr w14:paraId="0608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327C8D5">
            <w:pPr>
              <w:spacing w:line="360" w:lineRule="auto"/>
              <w:jc w:val="center"/>
              <w:rPr>
                <w:rFonts w:ascii="宋体" w:hAnsi="宋体"/>
                <w:color w:val="000000"/>
                <w:szCs w:val="21"/>
              </w:rPr>
            </w:pPr>
            <w:r>
              <w:rPr>
                <w:rFonts w:hint="eastAsia" w:ascii="宋体" w:hAnsi="宋体"/>
                <w:color w:val="000000"/>
                <w:szCs w:val="21"/>
              </w:rPr>
              <w:t>安全生产许可证</w:t>
            </w:r>
            <w:r>
              <w:rPr>
                <w:rFonts w:ascii="宋体" w:hAnsi="宋体"/>
                <w:color w:val="000000"/>
                <w:szCs w:val="21"/>
              </w:rPr>
              <w:t>号</w:t>
            </w:r>
          </w:p>
        </w:tc>
        <w:tc>
          <w:tcPr>
            <w:tcW w:w="1918" w:type="dxa"/>
            <w:gridSpan w:val="2"/>
            <w:noWrap w:val="0"/>
            <w:vAlign w:val="center"/>
          </w:tcPr>
          <w:p w14:paraId="739B38E3">
            <w:pPr>
              <w:spacing w:line="360" w:lineRule="auto"/>
              <w:jc w:val="center"/>
              <w:rPr>
                <w:rFonts w:ascii="宋体" w:hAnsi="宋体"/>
                <w:color w:val="000000"/>
                <w:szCs w:val="21"/>
              </w:rPr>
            </w:pPr>
          </w:p>
        </w:tc>
        <w:tc>
          <w:tcPr>
            <w:tcW w:w="1160" w:type="dxa"/>
            <w:vMerge w:val="continue"/>
            <w:noWrap w:val="0"/>
            <w:vAlign w:val="center"/>
          </w:tcPr>
          <w:p w14:paraId="5698A948">
            <w:pPr>
              <w:spacing w:line="360" w:lineRule="auto"/>
              <w:jc w:val="center"/>
              <w:rPr>
                <w:rFonts w:ascii="宋体" w:hAnsi="宋体"/>
                <w:color w:val="000000"/>
                <w:szCs w:val="21"/>
              </w:rPr>
            </w:pPr>
          </w:p>
        </w:tc>
        <w:tc>
          <w:tcPr>
            <w:tcW w:w="1620" w:type="dxa"/>
            <w:gridSpan w:val="3"/>
            <w:noWrap w:val="0"/>
            <w:vAlign w:val="center"/>
          </w:tcPr>
          <w:p w14:paraId="3C9AC1AC">
            <w:pPr>
              <w:spacing w:line="360" w:lineRule="auto"/>
              <w:jc w:val="center"/>
              <w:rPr>
                <w:rFonts w:ascii="宋体" w:hAnsi="宋体"/>
                <w:color w:val="000000"/>
                <w:szCs w:val="21"/>
              </w:rPr>
            </w:pPr>
            <w:r>
              <w:rPr>
                <w:rFonts w:ascii="宋体" w:hAnsi="宋体"/>
                <w:color w:val="000000"/>
                <w:szCs w:val="21"/>
              </w:rPr>
              <w:t>高级职称人员</w:t>
            </w:r>
          </w:p>
        </w:tc>
        <w:tc>
          <w:tcPr>
            <w:tcW w:w="2643" w:type="dxa"/>
            <w:gridSpan w:val="2"/>
            <w:noWrap w:val="0"/>
            <w:vAlign w:val="center"/>
          </w:tcPr>
          <w:p w14:paraId="1AEE92D2">
            <w:pPr>
              <w:spacing w:line="360" w:lineRule="auto"/>
              <w:jc w:val="center"/>
              <w:rPr>
                <w:rFonts w:ascii="宋体" w:hAnsi="宋体"/>
                <w:color w:val="000000"/>
                <w:szCs w:val="21"/>
              </w:rPr>
            </w:pPr>
          </w:p>
        </w:tc>
      </w:tr>
      <w:tr w14:paraId="60C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3C11AA7">
            <w:pPr>
              <w:spacing w:line="360" w:lineRule="auto"/>
              <w:jc w:val="center"/>
              <w:rPr>
                <w:rFonts w:ascii="宋体" w:hAnsi="宋体"/>
                <w:color w:val="000000"/>
                <w:szCs w:val="21"/>
              </w:rPr>
            </w:pPr>
            <w:r>
              <w:rPr>
                <w:rFonts w:ascii="宋体" w:hAnsi="宋体"/>
                <w:color w:val="000000"/>
                <w:szCs w:val="21"/>
              </w:rPr>
              <w:t>注册资金</w:t>
            </w:r>
          </w:p>
        </w:tc>
        <w:tc>
          <w:tcPr>
            <w:tcW w:w="1918" w:type="dxa"/>
            <w:gridSpan w:val="2"/>
            <w:noWrap w:val="0"/>
            <w:vAlign w:val="center"/>
          </w:tcPr>
          <w:p w14:paraId="14EF0D88">
            <w:pPr>
              <w:spacing w:line="360" w:lineRule="auto"/>
              <w:jc w:val="center"/>
              <w:rPr>
                <w:rFonts w:ascii="宋体" w:hAnsi="宋体"/>
                <w:color w:val="000000"/>
                <w:szCs w:val="21"/>
              </w:rPr>
            </w:pPr>
          </w:p>
        </w:tc>
        <w:tc>
          <w:tcPr>
            <w:tcW w:w="1160" w:type="dxa"/>
            <w:vMerge w:val="continue"/>
            <w:noWrap w:val="0"/>
            <w:vAlign w:val="center"/>
          </w:tcPr>
          <w:p w14:paraId="4636369E">
            <w:pPr>
              <w:spacing w:line="360" w:lineRule="auto"/>
              <w:jc w:val="center"/>
              <w:rPr>
                <w:rFonts w:ascii="宋体" w:hAnsi="宋体"/>
                <w:color w:val="000000"/>
                <w:szCs w:val="21"/>
              </w:rPr>
            </w:pPr>
          </w:p>
        </w:tc>
        <w:tc>
          <w:tcPr>
            <w:tcW w:w="1620" w:type="dxa"/>
            <w:gridSpan w:val="3"/>
            <w:noWrap w:val="0"/>
            <w:vAlign w:val="center"/>
          </w:tcPr>
          <w:p w14:paraId="1F396404">
            <w:pPr>
              <w:spacing w:line="360" w:lineRule="auto"/>
              <w:jc w:val="center"/>
              <w:rPr>
                <w:rFonts w:ascii="宋体" w:hAnsi="宋体"/>
                <w:color w:val="000000"/>
                <w:szCs w:val="21"/>
              </w:rPr>
            </w:pPr>
            <w:r>
              <w:rPr>
                <w:rFonts w:ascii="宋体" w:hAnsi="宋体"/>
                <w:color w:val="000000"/>
                <w:szCs w:val="21"/>
              </w:rPr>
              <w:t>中级职称人员</w:t>
            </w:r>
          </w:p>
        </w:tc>
        <w:tc>
          <w:tcPr>
            <w:tcW w:w="2643" w:type="dxa"/>
            <w:gridSpan w:val="2"/>
            <w:noWrap w:val="0"/>
            <w:vAlign w:val="center"/>
          </w:tcPr>
          <w:p w14:paraId="6C47F440">
            <w:pPr>
              <w:spacing w:line="360" w:lineRule="auto"/>
              <w:jc w:val="center"/>
              <w:rPr>
                <w:rFonts w:ascii="宋体" w:hAnsi="宋体"/>
                <w:color w:val="000000"/>
                <w:szCs w:val="21"/>
              </w:rPr>
            </w:pPr>
          </w:p>
        </w:tc>
      </w:tr>
      <w:tr w14:paraId="7E1B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6F1C721">
            <w:pPr>
              <w:spacing w:line="360" w:lineRule="auto"/>
              <w:jc w:val="center"/>
              <w:rPr>
                <w:rFonts w:ascii="宋体" w:hAnsi="宋体"/>
                <w:color w:val="000000"/>
                <w:szCs w:val="21"/>
              </w:rPr>
            </w:pPr>
            <w:r>
              <w:rPr>
                <w:rFonts w:ascii="宋体" w:hAnsi="宋体"/>
                <w:color w:val="000000"/>
                <w:szCs w:val="21"/>
              </w:rPr>
              <w:t>开户银行</w:t>
            </w:r>
          </w:p>
        </w:tc>
        <w:tc>
          <w:tcPr>
            <w:tcW w:w="1918" w:type="dxa"/>
            <w:gridSpan w:val="2"/>
            <w:noWrap w:val="0"/>
            <w:vAlign w:val="center"/>
          </w:tcPr>
          <w:p w14:paraId="290C8F65">
            <w:pPr>
              <w:spacing w:line="360" w:lineRule="auto"/>
              <w:jc w:val="center"/>
              <w:rPr>
                <w:rFonts w:ascii="宋体" w:hAnsi="宋体"/>
                <w:color w:val="000000"/>
                <w:szCs w:val="21"/>
              </w:rPr>
            </w:pPr>
          </w:p>
        </w:tc>
        <w:tc>
          <w:tcPr>
            <w:tcW w:w="1160" w:type="dxa"/>
            <w:vMerge w:val="continue"/>
            <w:noWrap w:val="0"/>
            <w:vAlign w:val="center"/>
          </w:tcPr>
          <w:p w14:paraId="31CD85D6">
            <w:pPr>
              <w:spacing w:line="360" w:lineRule="auto"/>
              <w:jc w:val="center"/>
              <w:rPr>
                <w:rFonts w:ascii="宋体" w:hAnsi="宋体"/>
                <w:color w:val="000000"/>
                <w:szCs w:val="21"/>
              </w:rPr>
            </w:pPr>
          </w:p>
        </w:tc>
        <w:tc>
          <w:tcPr>
            <w:tcW w:w="1620" w:type="dxa"/>
            <w:gridSpan w:val="3"/>
            <w:noWrap w:val="0"/>
            <w:vAlign w:val="center"/>
          </w:tcPr>
          <w:p w14:paraId="07745B3D">
            <w:pPr>
              <w:spacing w:line="360" w:lineRule="auto"/>
              <w:jc w:val="center"/>
              <w:rPr>
                <w:rFonts w:ascii="宋体" w:hAnsi="宋体"/>
                <w:color w:val="000000"/>
                <w:szCs w:val="21"/>
              </w:rPr>
            </w:pPr>
            <w:r>
              <w:rPr>
                <w:rFonts w:ascii="宋体" w:hAnsi="宋体"/>
                <w:color w:val="000000"/>
                <w:szCs w:val="21"/>
              </w:rPr>
              <w:t>初级职称人员</w:t>
            </w:r>
          </w:p>
        </w:tc>
        <w:tc>
          <w:tcPr>
            <w:tcW w:w="2643" w:type="dxa"/>
            <w:gridSpan w:val="2"/>
            <w:noWrap w:val="0"/>
            <w:vAlign w:val="center"/>
          </w:tcPr>
          <w:p w14:paraId="30B530C4">
            <w:pPr>
              <w:spacing w:line="360" w:lineRule="auto"/>
              <w:jc w:val="center"/>
              <w:rPr>
                <w:rFonts w:ascii="宋体" w:hAnsi="宋体"/>
                <w:color w:val="000000"/>
                <w:szCs w:val="21"/>
              </w:rPr>
            </w:pPr>
          </w:p>
        </w:tc>
      </w:tr>
      <w:tr w14:paraId="5A08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C2068E8">
            <w:pPr>
              <w:spacing w:line="360" w:lineRule="auto"/>
              <w:jc w:val="center"/>
              <w:rPr>
                <w:rFonts w:ascii="宋体" w:hAnsi="宋体"/>
                <w:color w:val="000000"/>
                <w:szCs w:val="21"/>
              </w:rPr>
            </w:pPr>
            <w:r>
              <w:rPr>
                <w:rFonts w:ascii="宋体" w:hAnsi="宋体"/>
                <w:color w:val="000000"/>
                <w:szCs w:val="21"/>
              </w:rPr>
              <w:t>账号</w:t>
            </w:r>
          </w:p>
        </w:tc>
        <w:tc>
          <w:tcPr>
            <w:tcW w:w="1918" w:type="dxa"/>
            <w:gridSpan w:val="2"/>
            <w:noWrap w:val="0"/>
            <w:vAlign w:val="center"/>
          </w:tcPr>
          <w:p w14:paraId="0B1B108E">
            <w:pPr>
              <w:spacing w:line="360" w:lineRule="auto"/>
              <w:jc w:val="center"/>
              <w:rPr>
                <w:rFonts w:ascii="宋体" w:hAnsi="宋体"/>
                <w:color w:val="000000"/>
                <w:szCs w:val="21"/>
              </w:rPr>
            </w:pPr>
          </w:p>
        </w:tc>
        <w:tc>
          <w:tcPr>
            <w:tcW w:w="1160" w:type="dxa"/>
            <w:vMerge w:val="continue"/>
            <w:noWrap w:val="0"/>
            <w:vAlign w:val="center"/>
          </w:tcPr>
          <w:p w14:paraId="6130CAA9">
            <w:pPr>
              <w:spacing w:line="360" w:lineRule="auto"/>
              <w:jc w:val="center"/>
              <w:rPr>
                <w:rFonts w:ascii="宋体" w:hAnsi="宋体"/>
                <w:color w:val="000000"/>
                <w:szCs w:val="21"/>
              </w:rPr>
            </w:pPr>
          </w:p>
        </w:tc>
        <w:tc>
          <w:tcPr>
            <w:tcW w:w="1620" w:type="dxa"/>
            <w:gridSpan w:val="3"/>
            <w:noWrap w:val="0"/>
            <w:vAlign w:val="center"/>
          </w:tcPr>
          <w:p w14:paraId="3B23629D">
            <w:pPr>
              <w:spacing w:line="360" w:lineRule="auto"/>
              <w:jc w:val="center"/>
              <w:rPr>
                <w:rFonts w:ascii="宋体" w:hAnsi="宋体"/>
                <w:color w:val="000000"/>
                <w:szCs w:val="21"/>
              </w:rPr>
            </w:pPr>
            <w:r>
              <w:rPr>
                <w:rFonts w:ascii="宋体" w:hAnsi="宋体"/>
                <w:color w:val="000000"/>
                <w:szCs w:val="21"/>
              </w:rPr>
              <w:t>技  工</w:t>
            </w:r>
          </w:p>
        </w:tc>
        <w:tc>
          <w:tcPr>
            <w:tcW w:w="2643" w:type="dxa"/>
            <w:gridSpan w:val="2"/>
            <w:noWrap w:val="0"/>
            <w:vAlign w:val="center"/>
          </w:tcPr>
          <w:p w14:paraId="7A05B9AF">
            <w:pPr>
              <w:spacing w:line="360" w:lineRule="auto"/>
              <w:jc w:val="center"/>
              <w:rPr>
                <w:rFonts w:ascii="宋体" w:hAnsi="宋体"/>
                <w:color w:val="000000"/>
                <w:szCs w:val="21"/>
              </w:rPr>
            </w:pPr>
          </w:p>
        </w:tc>
      </w:tr>
      <w:tr w14:paraId="575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3D864EE4">
            <w:pPr>
              <w:spacing w:line="360" w:lineRule="auto"/>
              <w:jc w:val="center"/>
              <w:rPr>
                <w:rFonts w:ascii="宋体" w:hAnsi="宋体"/>
                <w:color w:val="000000"/>
                <w:szCs w:val="21"/>
              </w:rPr>
            </w:pPr>
            <w:r>
              <w:rPr>
                <w:rFonts w:ascii="宋体" w:hAnsi="宋体"/>
                <w:color w:val="000000"/>
                <w:szCs w:val="21"/>
              </w:rPr>
              <w:t>经营范围</w:t>
            </w:r>
          </w:p>
        </w:tc>
        <w:tc>
          <w:tcPr>
            <w:tcW w:w="7341" w:type="dxa"/>
            <w:gridSpan w:val="8"/>
            <w:noWrap w:val="0"/>
            <w:vAlign w:val="center"/>
          </w:tcPr>
          <w:p w14:paraId="6CE7A54A">
            <w:pPr>
              <w:spacing w:line="360" w:lineRule="auto"/>
              <w:jc w:val="center"/>
              <w:rPr>
                <w:rFonts w:ascii="宋体" w:hAnsi="宋体"/>
                <w:color w:val="000000"/>
                <w:szCs w:val="21"/>
              </w:rPr>
            </w:pPr>
          </w:p>
        </w:tc>
      </w:tr>
      <w:tr w14:paraId="2AE7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ADE06F0">
            <w:pPr>
              <w:spacing w:line="360" w:lineRule="auto"/>
              <w:jc w:val="center"/>
              <w:rPr>
                <w:rFonts w:ascii="宋体" w:hAnsi="宋体"/>
                <w:color w:val="000000"/>
                <w:szCs w:val="21"/>
              </w:rPr>
            </w:pPr>
            <w:r>
              <w:rPr>
                <w:rFonts w:ascii="宋体" w:hAnsi="宋体"/>
                <w:color w:val="000000"/>
                <w:szCs w:val="21"/>
              </w:rPr>
              <w:t>备注</w:t>
            </w:r>
          </w:p>
        </w:tc>
        <w:tc>
          <w:tcPr>
            <w:tcW w:w="7341" w:type="dxa"/>
            <w:gridSpan w:val="8"/>
            <w:noWrap w:val="0"/>
            <w:vAlign w:val="center"/>
          </w:tcPr>
          <w:p w14:paraId="74478BF3">
            <w:pPr>
              <w:spacing w:line="360" w:lineRule="auto"/>
              <w:jc w:val="center"/>
              <w:rPr>
                <w:rFonts w:ascii="宋体" w:hAnsi="宋体"/>
                <w:color w:val="000000"/>
                <w:szCs w:val="21"/>
              </w:rPr>
            </w:pPr>
          </w:p>
        </w:tc>
      </w:tr>
    </w:tbl>
    <w:p w14:paraId="50989095">
      <w:pPr>
        <w:pStyle w:val="11"/>
        <w:rPr>
          <w:color w:val="000000"/>
        </w:rPr>
      </w:pPr>
      <w:r>
        <w:rPr>
          <w:color w:val="000000"/>
        </w:rPr>
        <w:t>【备注：附有效的营业执照副本、企业资质证书副本、安全生产许可证副本复印件。以上复印件均须加盖供应商单位公章】</w:t>
      </w:r>
    </w:p>
    <w:p w14:paraId="35830871">
      <w:pPr>
        <w:spacing w:line="360" w:lineRule="auto"/>
        <w:ind w:left="420"/>
        <w:rPr>
          <w:rFonts w:hint="eastAsia" w:ascii="宋体" w:hAnsi="宋体" w:eastAsia="楷体_GB2312"/>
          <w:color w:val="000000"/>
        </w:rPr>
      </w:pPr>
    </w:p>
    <w:p w14:paraId="13C4E975">
      <w:pPr>
        <w:keepNext/>
        <w:keepLines/>
        <w:widowControl w:val="0"/>
        <w:spacing w:before="280" w:after="290" w:line="376" w:lineRule="auto"/>
        <w:jc w:val="both"/>
        <w:outlineLvl w:val="9"/>
        <w:rPr>
          <w:rFonts w:hint="eastAsia" w:ascii="宋体" w:hAnsi="宋体" w:eastAsia="楷体_GB2312" w:cs="Times New Roman"/>
          <w:b w:val="0"/>
          <w:bCs w:val="0"/>
          <w:color w:val="000000"/>
          <w:kern w:val="2"/>
          <w:sz w:val="21"/>
          <w:szCs w:val="24"/>
          <w:lang w:val="en-US" w:eastAsia="zh-CN" w:bidi="ar-SA"/>
        </w:rPr>
      </w:pPr>
    </w:p>
    <w:p w14:paraId="635622BD">
      <w:pPr>
        <w:rPr>
          <w:rFonts w:hint="eastAsia" w:ascii="宋体" w:hAnsi="宋体" w:eastAsia="楷体_GB2312"/>
          <w:b/>
          <w:bCs/>
          <w:color w:val="000000"/>
        </w:rPr>
      </w:pPr>
    </w:p>
    <w:p w14:paraId="05708A60">
      <w:pPr>
        <w:rPr>
          <w:rFonts w:hint="eastAsia" w:ascii="宋体" w:hAnsi="宋体" w:eastAsia="楷体_GB2312"/>
          <w:b/>
          <w:bCs/>
          <w:color w:val="000000"/>
        </w:rPr>
      </w:pPr>
    </w:p>
    <w:p w14:paraId="563D3653">
      <w:pPr>
        <w:rPr>
          <w:rFonts w:hint="eastAsia" w:ascii="宋体" w:hAnsi="宋体" w:eastAsia="楷体_GB2312"/>
          <w:b/>
          <w:bCs/>
          <w:color w:val="000000"/>
        </w:rPr>
      </w:pPr>
    </w:p>
    <w:p w14:paraId="57A09879">
      <w:pPr>
        <w:pStyle w:val="2"/>
        <w:numPr>
          <w:ilvl w:val="0"/>
          <w:numId w:val="52"/>
        </w:numPr>
        <w:tabs>
          <w:tab w:val="clear" w:pos="482"/>
        </w:tabs>
        <w:bidi w:val="0"/>
        <w:ind w:left="0" w:leftChars="0" w:firstLine="480" w:firstLineChars="0"/>
      </w:pPr>
      <w:r>
        <w:t>建设工程项目管理承诺书</w:t>
      </w:r>
    </w:p>
    <w:p w14:paraId="05B4E0F0">
      <w:pPr>
        <w:pStyle w:val="43"/>
        <w:outlineLvl w:val="1"/>
      </w:pPr>
      <w:r>
        <w:t>建设工程项目管理承诺书</w:t>
      </w:r>
    </w:p>
    <w:p w14:paraId="698059D8">
      <w:pPr>
        <w:pStyle w:val="11"/>
        <w:ind w:firstLine="0" w:firstLineChars="0"/>
        <w:rPr>
          <w:color w:val="000000"/>
        </w:rPr>
      </w:pPr>
      <w:r>
        <w:rPr>
          <w:color w:val="000000"/>
        </w:rPr>
        <w:t>致</w:t>
      </w:r>
      <w:r>
        <w:rPr>
          <w:color w:val="000000"/>
          <w:u w:val="single"/>
        </w:rPr>
        <w:t xml:space="preserve">                        </w:t>
      </w:r>
      <w:r>
        <w:rPr>
          <w:color w:val="000000"/>
        </w:rPr>
        <w:t>（采购单位名称）：</w:t>
      </w:r>
    </w:p>
    <w:p w14:paraId="230F7531">
      <w:pPr>
        <w:pStyle w:val="11"/>
        <w:rPr>
          <w:color w:val="000000"/>
        </w:rPr>
      </w:pPr>
      <w:r>
        <w:rPr>
          <w:color w:val="000000"/>
        </w:rPr>
        <w:t>作为参与</w:t>
      </w:r>
      <w:r>
        <w:rPr>
          <w:color w:val="000000"/>
          <w:u w:val="single"/>
        </w:rPr>
        <w:t>                  </w:t>
      </w:r>
      <w:r>
        <w:rPr>
          <w:color w:val="000000"/>
        </w:rPr>
        <w:t>（工程名称）项目的磋商单位，根据国家、自治区相关文件规定，我方在此向采购单位承诺：</w:t>
      </w:r>
    </w:p>
    <w:p w14:paraId="51B48427">
      <w:pPr>
        <w:pStyle w:val="11"/>
        <w:numPr>
          <w:ilvl w:val="0"/>
          <w:numId w:val="53"/>
        </w:numPr>
        <w:topLinePunct w:val="0"/>
        <w:ind w:left="0" w:leftChars="0" w:firstLine="480" w:firstLineChars="0"/>
        <w:rPr>
          <w:b w:val="0"/>
          <w:color w:val="000000"/>
        </w:rPr>
      </w:pPr>
      <w:r>
        <w:rPr>
          <w:color w:val="000000"/>
        </w:rPr>
        <w:t>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7D347CD1">
      <w:pPr>
        <w:pStyle w:val="11"/>
        <w:numPr>
          <w:ilvl w:val="0"/>
          <w:numId w:val="53"/>
        </w:numPr>
        <w:topLinePunct w:val="0"/>
        <w:ind w:left="0" w:leftChars="0" w:firstLine="480" w:firstLineChars="0"/>
        <w:rPr>
          <w:b w:val="0"/>
          <w:color w:val="000000"/>
        </w:rPr>
      </w:pPr>
      <w:r>
        <w:rPr>
          <w:color w:val="000000"/>
        </w:rPr>
        <w:t>一旦成交，我方保证在施工过程中，严格执行《广西壮族自治区建设工程安全文明施工费使用管理细则》（</w:t>
      </w:r>
      <w:bookmarkStart w:id="56" w:name="OLE_LINK19"/>
      <w:r>
        <w:rPr>
          <w:color w:val="000000"/>
        </w:rPr>
        <w:t>桂建质【2015】16号</w:t>
      </w:r>
      <w:bookmarkEnd w:id="56"/>
      <w:r>
        <w:rPr>
          <w:color w:val="000000"/>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31D9C871">
      <w:pPr>
        <w:spacing w:line="360" w:lineRule="auto"/>
        <w:ind w:left="-2" w:leftChars="-1" w:firstLine="449" w:firstLineChars="214"/>
        <w:jc w:val="left"/>
        <w:rPr>
          <w:rFonts w:ascii="宋体" w:hAnsi="宋体"/>
          <w:color w:val="000000"/>
        </w:rPr>
      </w:pPr>
    </w:p>
    <w:p w14:paraId="0380883D">
      <w:pPr>
        <w:spacing w:line="360" w:lineRule="auto"/>
        <w:jc w:val="left"/>
        <w:rPr>
          <w:rFonts w:ascii="宋体" w:hAnsi="宋体"/>
          <w:color w:val="000000"/>
        </w:rPr>
      </w:pPr>
    </w:p>
    <w:p w14:paraId="05371E8F">
      <w:pPr>
        <w:spacing w:line="360" w:lineRule="auto"/>
        <w:jc w:val="left"/>
        <w:rPr>
          <w:rFonts w:ascii="宋体" w:hAnsi="宋体"/>
          <w:color w:val="000000"/>
        </w:rPr>
      </w:pPr>
    </w:p>
    <w:p w14:paraId="0C1FF902">
      <w:pPr>
        <w:spacing w:line="360" w:lineRule="auto"/>
        <w:ind w:firstLine="3564" w:firstLineChars="1485"/>
        <w:jc w:val="left"/>
        <w:rPr>
          <w:rFonts w:ascii="Times New Roman" w:hAnsi="Times New Roman" w:eastAsia="宋体" w:cs="Times New Roman"/>
          <w:color w:val="000000"/>
          <w:sz w:val="24"/>
          <w:u w:val="single"/>
        </w:rPr>
      </w:pPr>
      <w:r>
        <w:rPr>
          <w:rFonts w:ascii="Times New Roman" w:hAnsi="Times New Roman" w:eastAsia="宋体" w:cs="Times New Roman"/>
          <w:color w:val="000000"/>
          <w:sz w:val="24"/>
        </w:rPr>
        <w:t>供应商：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44F457FE">
      <w:pPr>
        <w:spacing w:line="360" w:lineRule="auto"/>
        <w:ind w:firstLine="1260" w:firstLineChars="600"/>
        <w:jc w:val="left"/>
        <w:rPr>
          <w:rFonts w:ascii="宋体" w:hAnsi="宋体"/>
          <w:color w:val="000000"/>
        </w:rPr>
      </w:pPr>
    </w:p>
    <w:p w14:paraId="5C211D3D">
      <w:pPr>
        <w:spacing w:line="360" w:lineRule="auto"/>
        <w:ind w:firstLine="2280" w:firstLineChars="95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或授权代理人：</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（签字或盖章）</w:t>
      </w:r>
    </w:p>
    <w:p w14:paraId="6EFFDA85">
      <w:pPr>
        <w:spacing w:line="360" w:lineRule="auto"/>
        <w:ind w:firstLine="1260" w:firstLineChars="600"/>
        <w:jc w:val="left"/>
        <w:rPr>
          <w:rFonts w:ascii="宋体" w:hAnsi="宋体"/>
          <w:color w:val="000000"/>
        </w:rPr>
      </w:pPr>
    </w:p>
    <w:p w14:paraId="6804DC56">
      <w:pPr>
        <w:spacing w:line="360" w:lineRule="auto"/>
        <w:ind w:left="420" w:firstLine="3084" w:firstLineChars="1285"/>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4982392D">
      <w:pPr>
        <w:spacing w:line="360" w:lineRule="auto"/>
        <w:ind w:left="420"/>
        <w:rPr>
          <w:rFonts w:hint="eastAsia" w:ascii="宋体" w:hAnsi="宋体"/>
          <w:color w:val="000000"/>
          <w:szCs w:val="21"/>
        </w:rPr>
      </w:pPr>
    </w:p>
    <w:p w14:paraId="24B04E31">
      <w:pPr>
        <w:spacing w:line="360" w:lineRule="auto"/>
        <w:ind w:left="420"/>
        <w:rPr>
          <w:rFonts w:hint="eastAsia" w:ascii="宋体" w:hAnsi="宋体"/>
          <w:color w:val="000000"/>
          <w:szCs w:val="21"/>
        </w:rPr>
      </w:pPr>
    </w:p>
    <w:p w14:paraId="60596019">
      <w:pPr>
        <w:spacing w:line="360" w:lineRule="auto"/>
        <w:ind w:left="420"/>
        <w:rPr>
          <w:rFonts w:hint="eastAsia" w:ascii="宋体" w:hAnsi="宋体"/>
          <w:b/>
          <w:color w:val="000000"/>
          <w:sz w:val="24"/>
        </w:rPr>
      </w:pPr>
    </w:p>
    <w:p w14:paraId="3A751FB0">
      <w:pPr>
        <w:spacing w:line="360" w:lineRule="auto"/>
        <w:ind w:left="420"/>
        <w:rPr>
          <w:rFonts w:hint="eastAsia" w:ascii="宋体" w:hAnsi="宋体"/>
          <w:b/>
          <w:color w:val="000000"/>
          <w:sz w:val="24"/>
        </w:rPr>
      </w:pPr>
    </w:p>
    <w:p w14:paraId="7235EA2A">
      <w:pPr>
        <w:spacing w:line="360" w:lineRule="auto"/>
        <w:ind w:left="420"/>
        <w:rPr>
          <w:rFonts w:hint="eastAsia" w:ascii="宋体" w:hAnsi="宋体"/>
          <w:b/>
          <w:color w:val="000000"/>
          <w:sz w:val="24"/>
        </w:rPr>
      </w:pPr>
    </w:p>
    <w:p w14:paraId="396F5282">
      <w:pPr>
        <w:spacing w:line="360" w:lineRule="auto"/>
        <w:ind w:left="420"/>
        <w:rPr>
          <w:rFonts w:hint="eastAsia" w:ascii="宋体" w:hAnsi="宋体"/>
          <w:b/>
          <w:color w:val="000000"/>
          <w:sz w:val="24"/>
        </w:rPr>
      </w:pPr>
    </w:p>
    <w:p w14:paraId="2E6FA367">
      <w:pPr>
        <w:spacing w:line="360" w:lineRule="auto"/>
        <w:ind w:left="420"/>
        <w:rPr>
          <w:rFonts w:hint="eastAsia" w:ascii="宋体" w:hAnsi="宋体"/>
          <w:b/>
          <w:color w:val="000000"/>
          <w:sz w:val="24"/>
        </w:rPr>
      </w:pPr>
    </w:p>
    <w:p w14:paraId="50DE5183">
      <w:pPr>
        <w:spacing w:line="360" w:lineRule="auto"/>
        <w:ind w:left="420"/>
        <w:rPr>
          <w:rFonts w:hint="eastAsia" w:ascii="宋体" w:hAnsi="宋体"/>
          <w:b/>
          <w:color w:val="000000"/>
          <w:sz w:val="24"/>
        </w:rPr>
      </w:pPr>
    </w:p>
    <w:p w14:paraId="29C282E1">
      <w:pPr>
        <w:spacing w:line="360" w:lineRule="auto"/>
        <w:ind w:left="420"/>
        <w:rPr>
          <w:rFonts w:hint="eastAsia" w:ascii="宋体" w:hAnsi="宋体"/>
          <w:b/>
          <w:color w:val="000000"/>
          <w:sz w:val="24"/>
        </w:rPr>
      </w:pPr>
    </w:p>
    <w:p w14:paraId="55981ECC">
      <w:pPr>
        <w:spacing w:line="360" w:lineRule="auto"/>
        <w:ind w:firstLine="602" w:firstLineChars="250"/>
        <w:jc w:val="center"/>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广西壮族自治区建筑工程安全文明施工措施项目清单内容</w:t>
      </w:r>
    </w:p>
    <w:p w14:paraId="21904CA6">
      <w:pPr>
        <w:pStyle w:val="30"/>
        <w:spacing w:line="360" w:lineRule="auto"/>
        <w:jc w:val="center"/>
        <w:rPr>
          <w:rFonts w:ascii="宋体" w:hAnsi="宋体"/>
          <w:color w:val="000000"/>
        </w:rPr>
      </w:pPr>
      <w:r>
        <w:rPr>
          <w:rFonts w:ascii="宋体" w:hAnsi="宋体"/>
          <w:color w:val="000000"/>
          <w:sz w:val="24"/>
        </w:rPr>
        <w:t>（</w:t>
      </w:r>
      <w:r>
        <w:rPr>
          <w:rFonts w:hint="eastAsia" w:ascii="宋体" w:hAnsi="宋体"/>
          <w:color w:val="000000"/>
          <w:sz w:val="24"/>
        </w:rPr>
        <w:t>桂建质【</w:t>
      </w:r>
      <w:r>
        <w:rPr>
          <w:rFonts w:ascii="宋体" w:hAnsi="宋体"/>
          <w:color w:val="000000"/>
          <w:sz w:val="24"/>
        </w:rPr>
        <w:t>2015</w:t>
      </w:r>
      <w:r>
        <w:rPr>
          <w:rFonts w:hint="eastAsia" w:ascii="宋体" w:hAnsi="宋体"/>
          <w:color w:val="000000"/>
          <w:sz w:val="24"/>
        </w:rPr>
        <w:t>】</w:t>
      </w:r>
      <w:r>
        <w:rPr>
          <w:rFonts w:ascii="宋体" w:hAnsi="宋体"/>
          <w:color w:val="000000"/>
          <w:sz w:val="24"/>
        </w:rPr>
        <w:t>16</w:t>
      </w:r>
      <w:r>
        <w:rPr>
          <w:rFonts w:hint="eastAsia" w:ascii="宋体" w:hAnsi="宋体"/>
          <w:color w:val="000000"/>
          <w:sz w:val="24"/>
        </w:rPr>
        <w:t>号</w:t>
      </w:r>
      <w:r>
        <w:rPr>
          <w:rFonts w:ascii="宋体" w:hAnsi="宋体"/>
          <w:color w:val="000000"/>
          <w:sz w:val="24"/>
        </w:rPr>
        <w:t>文附件一）</w:t>
      </w:r>
    </w:p>
    <w:p w14:paraId="38EB7FC1">
      <w:pPr>
        <w:pStyle w:val="43"/>
        <w:outlineLvl w:val="9"/>
      </w:pPr>
      <w:r>
        <w:t>广西壮族自治区</w:t>
      </w:r>
    </w:p>
    <w:p w14:paraId="11EFEA81">
      <w:pPr>
        <w:pStyle w:val="43"/>
        <w:outlineLvl w:val="9"/>
      </w:pPr>
      <w:r>
        <w:t>建设工程安全文明施工措施项目清单内容</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9DBE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noWrap w:val="0"/>
            <w:vAlign w:val="center"/>
          </w:tcPr>
          <w:p w14:paraId="24D615D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DB493B">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0A6BABC3">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3DB8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A347BF2">
            <w:pPr>
              <w:pStyle w:val="31"/>
              <w:spacing w:line="360" w:lineRule="auto"/>
              <w:jc w:val="center"/>
              <w:rPr>
                <w:rFonts w:ascii="宋体" w:hAnsi="宋体"/>
                <w:color w:val="000000"/>
                <w:szCs w:val="21"/>
              </w:rPr>
            </w:pPr>
            <w:r>
              <w:rPr>
                <w:rFonts w:hint="eastAsia" w:ascii="宋体" w:hAnsi="宋体"/>
                <w:color w:val="000000"/>
                <w:szCs w:val="21"/>
              </w:rPr>
              <w:t>文明</w:t>
            </w:r>
          </w:p>
          <w:p w14:paraId="7B51E17F">
            <w:pPr>
              <w:pStyle w:val="31"/>
              <w:spacing w:line="360" w:lineRule="auto"/>
              <w:jc w:val="center"/>
              <w:rPr>
                <w:rFonts w:ascii="宋体" w:hAnsi="宋体"/>
                <w:color w:val="000000"/>
                <w:szCs w:val="21"/>
              </w:rPr>
            </w:pPr>
            <w:r>
              <w:rPr>
                <w:rFonts w:hint="eastAsia" w:ascii="宋体" w:hAnsi="宋体"/>
                <w:color w:val="000000"/>
                <w:szCs w:val="21"/>
              </w:rPr>
              <w:t>施工</w:t>
            </w:r>
          </w:p>
          <w:p w14:paraId="510990CA">
            <w:pPr>
              <w:pStyle w:val="31"/>
              <w:spacing w:line="360" w:lineRule="auto"/>
              <w:jc w:val="center"/>
              <w:rPr>
                <w:rFonts w:ascii="宋体" w:hAnsi="宋体"/>
                <w:color w:val="000000"/>
                <w:szCs w:val="21"/>
              </w:rPr>
            </w:pPr>
            <w:r>
              <w:rPr>
                <w:rFonts w:hint="eastAsia" w:ascii="宋体" w:hAnsi="宋体"/>
                <w:color w:val="000000"/>
                <w:szCs w:val="21"/>
              </w:rPr>
              <w:t>与</w:t>
            </w:r>
          </w:p>
          <w:p w14:paraId="25B86DC7">
            <w:pPr>
              <w:pStyle w:val="31"/>
              <w:spacing w:line="360" w:lineRule="auto"/>
              <w:jc w:val="center"/>
              <w:rPr>
                <w:rFonts w:ascii="宋体" w:hAnsi="宋体"/>
                <w:color w:val="000000"/>
                <w:szCs w:val="21"/>
              </w:rPr>
            </w:pPr>
            <w:r>
              <w:rPr>
                <w:rFonts w:hint="eastAsia" w:ascii="宋体" w:hAnsi="宋体"/>
                <w:color w:val="000000"/>
                <w:szCs w:val="21"/>
              </w:rPr>
              <w:t>环境</w:t>
            </w:r>
          </w:p>
          <w:p w14:paraId="3E4B590F">
            <w:pPr>
              <w:pStyle w:val="31"/>
              <w:spacing w:line="360" w:lineRule="auto"/>
              <w:jc w:val="center"/>
              <w:rPr>
                <w:rFonts w:ascii="宋体" w:hAnsi="宋体"/>
                <w:color w:val="000000"/>
                <w:szCs w:val="21"/>
              </w:rPr>
            </w:pPr>
            <w:r>
              <w:rPr>
                <w:rFonts w:hint="eastAsia" w:ascii="宋体" w:hAnsi="宋体"/>
                <w:color w:val="000000"/>
                <w:szCs w:val="21"/>
              </w:rPr>
              <w:t>保护</w:t>
            </w:r>
          </w:p>
        </w:tc>
        <w:tc>
          <w:tcPr>
            <w:tcW w:w="2070" w:type="dxa"/>
            <w:gridSpan w:val="2"/>
            <w:noWrap w:val="0"/>
            <w:vAlign w:val="center"/>
          </w:tcPr>
          <w:p w14:paraId="01AF696D">
            <w:pPr>
              <w:pStyle w:val="31"/>
              <w:spacing w:line="360" w:lineRule="auto"/>
              <w:jc w:val="center"/>
              <w:rPr>
                <w:rFonts w:ascii="宋体" w:hAnsi="宋体"/>
                <w:color w:val="000000"/>
                <w:szCs w:val="21"/>
              </w:rPr>
            </w:pPr>
            <w:r>
              <w:rPr>
                <w:rFonts w:hint="eastAsia" w:ascii="宋体" w:hAnsi="宋体"/>
                <w:color w:val="000000"/>
                <w:szCs w:val="21"/>
              </w:rPr>
              <w:t>安全警示</w:t>
            </w:r>
          </w:p>
          <w:p w14:paraId="399F878D">
            <w:pPr>
              <w:pStyle w:val="31"/>
              <w:spacing w:line="360" w:lineRule="auto"/>
              <w:jc w:val="center"/>
              <w:rPr>
                <w:rFonts w:ascii="宋体" w:hAnsi="宋体"/>
                <w:color w:val="000000"/>
                <w:szCs w:val="21"/>
              </w:rPr>
            </w:pPr>
            <w:r>
              <w:rPr>
                <w:rFonts w:hint="eastAsia" w:ascii="宋体" w:hAnsi="宋体"/>
                <w:color w:val="000000"/>
                <w:szCs w:val="21"/>
              </w:rPr>
              <w:t>标志牌</w:t>
            </w:r>
          </w:p>
        </w:tc>
        <w:tc>
          <w:tcPr>
            <w:tcW w:w="6645" w:type="dxa"/>
            <w:noWrap w:val="0"/>
            <w:vAlign w:val="center"/>
          </w:tcPr>
          <w:p w14:paraId="46810E87">
            <w:pPr>
              <w:pStyle w:val="31"/>
              <w:spacing w:line="360" w:lineRule="auto"/>
              <w:rPr>
                <w:rFonts w:ascii="宋体" w:hAnsi="宋体"/>
                <w:color w:val="000000"/>
                <w:szCs w:val="21"/>
              </w:rPr>
            </w:pPr>
            <w:r>
              <w:rPr>
                <w:rFonts w:hint="eastAsia" w:ascii="宋体" w:hAnsi="宋体"/>
                <w:color w:val="000000"/>
                <w:szCs w:val="21"/>
              </w:rPr>
              <w:t>在易发伤亡事故（或危险）处设置明显的、符合国家标准要求的安全警示标志牌。</w:t>
            </w:r>
          </w:p>
        </w:tc>
      </w:tr>
      <w:tr w14:paraId="2D022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EBA639">
            <w:pPr>
              <w:pStyle w:val="31"/>
              <w:spacing w:line="360" w:lineRule="auto"/>
              <w:jc w:val="center"/>
              <w:rPr>
                <w:rFonts w:ascii="宋体" w:hAnsi="宋体"/>
                <w:color w:val="000000"/>
                <w:szCs w:val="21"/>
              </w:rPr>
            </w:pPr>
          </w:p>
        </w:tc>
        <w:tc>
          <w:tcPr>
            <w:tcW w:w="2070" w:type="dxa"/>
            <w:gridSpan w:val="2"/>
            <w:noWrap w:val="0"/>
            <w:vAlign w:val="center"/>
          </w:tcPr>
          <w:p w14:paraId="0BCE5373">
            <w:pPr>
              <w:pStyle w:val="31"/>
              <w:spacing w:line="360" w:lineRule="auto"/>
              <w:jc w:val="center"/>
              <w:rPr>
                <w:rFonts w:ascii="宋体" w:hAnsi="宋体"/>
                <w:color w:val="000000"/>
                <w:szCs w:val="21"/>
              </w:rPr>
            </w:pPr>
            <w:r>
              <w:rPr>
                <w:rFonts w:hint="eastAsia" w:ascii="宋体" w:hAnsi="宋体"/>
                <w:color w:val="000000"/>
                <w:szCs w:val="21"/>
              </w:rPr>
              <w:t>现场围挡</w:t>
            </w:r>
          </w:p>
        </w:tc>
        <w:tc>
          <w:tcPr>
            <w:tcW w:w="6645" w:type="dxa"/>
            <w:noWrap w:val="0"/>
            <w:vAlign w:val="center"/>
          </w:tcPr>
          <w:p w14:paraId="3B0CDF93">
            <w:pPr>
              <w:pStyle w:val="31"/>
              <w:spacing w:line="360" w:lineRule="auto"/>
              <w:rPr>
                <w:rFonts w:ascii="宋体" w:hAnsi="宋体"/>
                <w:color w:val="000000"/>
                <w:szCs w:val="21"/>
              </w:rPr>
            </w:pPr>
            <w:r>
              <w:rPr>
                <w:rFonts w:hint="eastAsia" w:ascii="宋体" w:hAnsi="宋体"/>
                <w:color w:val="000000"/>
                <w:szCs w:val="21"/>
              </w:rPr>
              <w:t>1. 现场采用封闭围挡，高度不小于1.8m。</w:t>
            </w:r>
          </w:p>
          <w:p w14:paraId="44012720">
            <w:pPr>
              <w:pStyle w:val="31"/>
              <w:spacing w:line="360" w:lineRule="auto"/>
              <w:rPr>
                <w:rFonts w:ascii="宋体" w:hAnsi="宋体"/>
                <w:color w:val="000000"/>
                <w:szCs w:val="21"/>
              </w:rPr>
            </w:pPr>
            <w:r>
              <w:rPr>
                <w:rFonts w:hint="eastAsia" w:ascii="宋体" w:hAnsi="宋体"/>
                <w:color w:val="000000"/>
                <w:szCs w:val="21"/>
              </w:rPr>
              <w:t>2. 围挡材料可用彩色、定型钢板，砌块等墙体。</w:t>
            </w:r>
          </w:p>
        </w:tc>
      </w:tr>
      <w:tr w14:paraId="09EC1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039F149">
            <w:pPr>
              <w:pStyle w:val="31"/>
              <w:spacing w:line="360" w:lineRule="auto"/>
              <w:jc w:val="center"/>
              <w:rPr>
                <w:rFonts w:ascii="宋体" w:hAnsi="宋体"/>
                <w:color w:val="000000"/>
                <w:szCs w:val="21"/>
              </w:rPr>
            </w:pPr>
          </w:p>
        </w:tc>
        <w:tc>
          <w:tcPr>
            <w:tcW w:w="2070" w:type="dxa"/>
            <w:gridSpan w:val="2"/>
            <w:noWrap w:val="0"/>
            <w:vAlign w:val="center"/>
          </w:tcPr>
          <w:p w14:paraId="791501F2">
            <w:pPr>
              <w:pStyle w:val="31"/>
              <w:spacing w:line="360" w:lineRule="auto"/>
              <w:jc w:val="center"/>
              <w:rPr>
                <w:rFonts w:ascii="宋体" w:hAnsi="宋体"/>
                <w:color w:val="000000"/>
                <w:szCs w:val="21"/>
              </w:rPr>
            </w:pPr>
            <w:r>
              <w:rPr>
                <w:rFonts w:hint="eastAsia" w:ascii="宋体" w:hAnsi="宋体"/>
                <w:color w:val="000000"/>
                <w:szCs w:val="21"/>
              </w:rPr>
              <w:t>七牌二图</w:t>
            </w:r>
          </w:p>
        </w:tc>
        <w:tc>
          <w:tcPr>
            <w:tcW w:w="6645" w:type="dxa"/>
            <w:noWrap w:val="0"/>
            <w:vAlign w:val="center"/>
          </w:tcPr>
          <w:p w14:paraId="29A8CA0D">
            <w:pPr>
              <w:pStyle w:val="31"/>
              <w:spacing w:line="360" w:lineRule="auto"/>
              <w:rPr>
                <w:rFonts w:ascii="宋体" w:hAnsi="宋体"/>
                <w:color w:val="000000"/>
                <w:szCs w:val="21"/>
              </w:rPr>
            </w:pPr>
            <w:r>
              <w:rPr>
                <w:rFonts w:hint="eastAsia" w:ascii="宋体" w:hAnsi="宋体"/>
                <w:color w:val="000000"/>
                <w:szCs w:val="21"/>
              </w:rPr>
              <w:t>在进门处悬挂工程概况、现场出入制度、管理人员名单及监督电话、安全生产规定、文明施工、消防保卫、节能公示等七牌以及施工现场总平面图、工程效果图。</w:t>
            </w:r>
          </w:p>
        </w:tc>
      </w:tr>
      <w:tr w14:paraId="16ADE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71BE4F69">
            <w:pPr>
              <w:pStyle w:val="31"/>
              <w:spacing w:line="360" w:lineRule="auto"/>
              <w:jc w:val="center"/>
              <w:rPr>
                <w:rFonts w:ascii="宋体" w:hAnsi="宋体"/>
                <w:color w:val="000000"/>
                <w:szCs w:val="21"/>
              </w:rPr>
            </w:pPr>
          </w:p>
        </w:tc>
        <w:tc>
          <w:tcPr>
            <w:tcW w:w="2070" w:type="dxa"/>
            <w:gridSpan w:val="2"/>
            <w:noWrap w:val="0"/>
            <w:vAlign w:val="center"/>
          </w:tcPr>
          <w:p w14:paraId="4DBE92DA">
            <w:pPr>
              <w:pStyle w:val="31"/>
              <w:spacing w:line="360" w:lineRule="auto"/>
              <w:jc w:val="center"/>
              <w:rPr>
                <w:rFonts w:ascii="宋体" w:hAnsi="宋体"/>
                <w:color w:val="000000"/>
                <w:szCs w:val="21"/>
              </w:rPr>
            </w:pPr>
            <w:r>
              <w:rPr>
                <w:rFonts w:hint="eastAsia" w:ascii="宋体" w:hAnsi="宋体"/>
                <w:color w:val="000000"/>
                <w:szCs w:val="21"/>
              </w:rPr>
              <w:t>企业标志</w:t>
            </w:r>
          </w:p>
        </w:tc>
        <w:tc>
          <w:tcPr>
            <w:tcW w:w="6645" w:type="dxa"/>
            <w:noWrap w:val="0"/>
            <w:vAlign w:val="center"/>
          </w:tcPr>
          <w:p w14:paraId="4BE59024">
            <w:pPr>
              <w:pStyle w:val="31"/>
              <w:spacing w:line="360" w:lineRule="auto"/>
              <w:rPr>
                <w:rFonts w:ascii="宋体" w:hAnsi="宋体"/>
                <w:color w:val="000000"/>
                <w:szCs w:val="21"/>
              </w:rPr>
            </w:pPr>
            <w:r>
              <w:rPr>
                <w:rFonts w:hint="eastAsia" w:ascii="宋体" w:hAnsi="宋体"/>
                <w:color w:val="000000"/>
                <w:szCs w:val="21"/>
              </w:rPr>
              <w:t>现场出入的大门应设有本企业标志或企业标识。</w:t>
            </w:r>
          </w:p>
        </w:tc>
      </w:tr>
      <w:tr w14:paraId="4E1D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EEFF4F9">
            <w:pPr>
              <w:pStyle w:val="31"/>
              <w:spacing w:line="360" w:lineRule="auto"/>
              <w:jc w:val="center"/>
              <w:rPr>
                <w:rFonts w:ascii="宋体" w:hAnsi="宋体"/>
                <w:color w:val="000000"/>
                <w:szCs w:val="21"/>
              </w:rPr>
            </w:pPr>
          </w:p>
        </w:tc>
        <w:tc>
          <w:tcPr>
            <w:tcW w:w="2070" w:type="dxa"/>
            <w:gridSpan w:val="2"/>
            <w:noWrap w:val="0"/>
            <w:vAlign w:val="center"/>
          </w:tcPr>
          <w:p w14:paraId="2097DD96">
            <w:pPr>
              <w:pStyle w:val="31"/>
              <w:spacing w:line="360" w:lineRule="auto"/>
              <w:jc w:val="center"/>
              <w:rPr>
                <w:rFonts w:ascii="宋体" w:hAnsi="宋体"/>
                <w:color w:val="000000"/>
                <w:szCs w:val="21"/>
              </w:rPr>
            </w:pPr>
            <w:r>
              <w:rPr>
                <w:rFonts w:hint="eastAsia" w:ascii="宋体" w:hAnsi="宋体"/>
                <w:color w:val="000000"/>
                <w:szCs w:val="21"/>
              </w:rPr>
              <w:t>场容场貌</w:t>
            </w:r>
          </w:p>
        </w:tc>
        <w:tc>
          <w:tcPr>
            <w:tcW w:w="6645" w:type="dxa"/>
            <w:noWrap w:val="0"/>
            <w:vAlign w:val="center"/>
          </w:tcPr>
          <w:p w14:paraId="3A756F48">
            <w:pPr>
              <w:pStyle w:val="31"/>
              <w:spacing w:line="360" w:lineRule="auto"/>
              <w:rPr>
                <w:rFonts w:ascii="宋体" w:hAnsi="宋体"/>
                <w:color w:val="000000"/>
                <w:szCs w:val="21"/>
              </w:rPr>
            </w:pPr>
            <w:r>
              <w:rPr>
                <w:rFonts w:hint="eastAsia" w:ascii="宋体" w:hAnsi="宋体"/>
                <w:color w:val="000000"/>
                <w:szCs w:val="21"/>
              </w:rPr>
              <w:t>1. 道路畅通。</w:t>
            </w:r>
          </w:p>
          <w:p w14:paraId="74E50166">
            <w:pPr>
              <w:pStyle w:val="31"/>
              <w:spacing w:line="360" w:lineRule="auto"/>
              <w:rPr>
                <w:rFonts w:ascii="宋体" w:hAnsi="宋体"/>
                <w:color w:val="000000"/>
                <w:szCs w:val="21"/>
              </w:rPr>
            </w:pPr>
            <w:r>
              <w:rPr>
                <w:rFonts w:hint="eastAsia" w:ascii="宋体" w:hAnsi="宋体"/>
                <w:color w:val="000000"/>
                <w:szCs w:val="21"/>
              </w:rPr>
              <w:t>2. 排水设施齐全畅通。</w:t>
            </w:r>
          </w:p>
          <w:p w14:paraId="687B700E">
            <w:pPr>
              <w:pStyle w:val="31"/>
              <w:spacing w:line="360" w:lineRule="auto"/>
              <w:rPr>
                <w:rFonts w:ascii="宋体" w:hAnsi="宋体"/>
                <w:color w:val="000000"/>
                <w:szCs w:val="21"/>
              </w:rPr>
            </w:pPr>
            <w:r>
              <w:rPr>
                <w:rFonts w:hint="eastAsia" w:ascii="宋体" w:hAnsi="宋体"/>
                <w:color w:val="000000"/>
                <w:szCs w:val="21"/>
              </w:rPr>
              <w:t>3. 工地地面硬化处理（办公区、生活区、现场道路、材料堆放、混凝土搅拌、砂浆搅拌、钢筋加工等场地和外脚手架基础等）。</w:t>
            </w:r>
          </w:p>
        </w:tc>
      </w:tr>
      <w:tr w14:paraId="407A4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60C00E">
            <w:pPr>
              <w:pStyle w:val="31"/>
              <w:spacing w:line="360" w:lineRule="auto"/>
              <w:jc w:val="center"/>
              <w:rPr>
                <w:rFonts w:ascii="宋体" w:hAnsi="宋体"/>
                <w:color w:val="000000"/>
                <w:szCs w:val="21"/>
              </w:rPr>
            </w:pPr>
          </w:p>
        </w:tc>
        <w:tc>
          <w:tcPr>
            <w:tcW w:w="2070" w:type="dxa"/>
            <w:gridSpan w:val="2"/>
            <w:noWrap w:val="0"/>
            <w:vAlign w:val="center"/>
          </w:tcPr>
          <w:p w14:paraId="763F08D3">
            <w:pPr>
              <w:pStyle w:val="31"/>
              <w:spacing w:line="360" w:lineRule="auto"/>
              <w:jc w:val="center"/>
              <w:rPr>
                <w:rFonts w:ascii="宋体" w:hAnsi="宋体"/>
                <w:color w:val="000000"/>
                <w:szCs w:val="21"/>
              </w:rPr>
            </w:pPr>
            <w:r>
              <w:rPr>
                <w:rFonts w:hint="eastAsia" w:ascii="宋体" w:hAnsi="宋体"/>
                <w:color w:val="000000"/>
                <w:szCs w:val="21"/>
              </w:rPr>
              <w:t>材料堆放</w:t>
            </w:r>
          </w:p>
        </w:tc>
        <w:tc>
          <w:tcPr>
            <w:tcW w:w="6645" w:type="dxa"/>
            <w:noWrap w:val="0"/>
            <w:vAlign w:val="center"/>
          </w:tcPr>
          <w:p w14:paraId="603EC673">
            <w:pPr>
              <w:pStyle w:val="31"/>
              <w:numPr>
                <w:ilvl w:val="0"/>
                <w:numId w:val="0"/>
              </w:numPr>
              <w:spacing w:line="360" w:lineRule="auto"/>
              <w:ind w:left="1200" w:leftChars="0" w:hanging="360" w:firstLineChars="0"/>
              <w:rPr>
                <w:rFonts w:ascii="宋体" w:hAnsi="宋体"/>
                <w:color w:val="000000"/>
                <w:szCs w:val="21"/>
              </w:rPr>
            </w:pPr>
            <w:r>
              <w:rPr>
                <w:rFonts w:ascii="宋体" w:hAnsi="宋体" w:eastAsia="宋体" w:cs="Times New Roman"/>
                <w:color w:val="000000"/>
                <w:kern w:val="2"/>
                <w:sz w:val="21"/>
                <w:szCs w:val="21"/>
                <w:lang w:val="en-US" w:eastAsia="zh-CN" w:bidi="ar-SA"/>
              </w:rPr>
              <w:t>1.</w:t>
            </w:r>
            <w:r>
              <w:rPr>
                <w:rFonts w:hint="eastAsia" w:ascii="宋体" w:hAnsi="宋体"/>
                <w:color w:val="000000"/>
                <w:szCs w:val="21"/>
              </w:rPr>
              <w:t>材料、构件、料具等堆放时，应有名称、品种、规格等标牌。</w:t>
            </w:r>
          </w:p>
          <w:p w14:paraId="720555E4">
            <w:pPr>
              <w:pStyle w:val="31"/>
              <w:spacing w:line="360" w:lineRule="auto"/>
              <w:rPr>
                <w:rFonts w:ascii="宋体" w:hAnsi="宋体"/>
                <w:color w:val="000000"/>
                <w:szCs w:val="21"/>
              </w:rPr>
            </w:pPr>
            <w:r>
              <w:rPr>
                <w:rFonts w:hint="eastAsia" w:ascii="宋体" w:hAnsi="宋体"/>
                <w:color w:val="000000"/>
                <w:szCs w:val="21"/>
              </w:rPr>
              <w:t>2. 水泥和其它易飞扬细颗粒建筑材料应封闭存放或采取覆盖等措施。</w:t>
            </w:r>
          </w:p>
          <w:p w14:paraId="1834ACB6">
            <w:pPr>
              <w:pStyle w:val="31"/>
              <w:spacing w:line="360" w:lineRule="auto"/>
              <w:rPr>
                <w:rFonts w:ascii="宋体" w:hAnsi="宋体"/>
                <w:color w:val="000000"/>
                <w:szCs w:val="21"/>
              </w:rPr>
            </w:pPr>
            <w:r>
              <w:rPr>
                <w:rFonts w:hint="eastAsia" w:ascii="宋体" w:hAnsi="宋体"/>
                <w:color w:val="000000"/>
                <w:szCs w:val="21"/>
              </w:rPr>
              <w:t>3. 易燃、易爆和有毒有害物品分类存放。</w:t>
            </w:r>
          </w:p>
        </w:tc>
      </w:tr>
      <w:tr w14:paraId="24826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26322C2">
            <w:pPr>
              <w:pStyle w:val="31"/>
              <w:spacing w:line="360" w:lineRule="auto"/>
              <w:jc w:val="center"/>
              <w:rPr>
                <w:rFonts w:ascii="宋体" w:hAnsi="宋体"/>
                <w:color w:val="000000"/>
                <w:szCs w:val="21"/>
              </w:rPr>
            </w:pPr>
          </w:p>
        </w:tc>
        <w:tc>
          <w:tcPr>
            <w:tcW w:w="2070" w:type="dxa"/>
            <w:gridSpan w:val="2"/>
            <w:noWrap w:val="0"/>
            <w:vAlign w:val="center"/>
          </w:tcPr>
          <w:p w14:paraId="72EBF8AF">
            <w:pPr>
              <w:pStyle w:val="31"/>
              <w:spacing w:line="360" w:lineRule="auto"/>
              <w:jc w:val="center"/>
              <w:rPr>
                <w:rFonts w:ascii="宋体" w:hAnsi="宋体"/>
                <w:color w:val="000000"/>
                <w:szCs w:val="21"/>
              </w:rPr>
            </w:pPr>
            <w:r>
              <w:rPr>
                <w:rFonts w:hint="eastAsia" w:ascii="宋体" w:hAnsi="宋体"/>
                <w:color w:val="000000"/>
                <w:szCs w:val="21"/>
              </w:rPr>
              <w:t>现场防火</w:t>
            </w:r>
          </w:p>
        </w:tc>
        <w:tc>
          <w:tcPr>
            <w:tcW w:w="6645" w:type="dxa"/>
            <w:noWrap w:val="0"/>
            <w:vAlign w:val="center"/>
          </w:tcPr>
          <w:p w14:paraId="669D50D9">
            <w:pPr>
              <w:pStyle w:val="31"/>
              <w:spacing w:line="360" w:lineRule="auto"/>
              <w:rPr>
                <w:rFonts w:ascii="宋体" w:hAnsi="宋体"/>
                <w:color w:val="000000"/>
                <w:szCs w:val="21"/>
              </w:rPr>
            </w:pPr>
            <w:r>
              <w:rPr>
                <w:rFonts w:hint="eastAsia" w:ascii="宋体" w:hAnsi="宋体"/>
                <w:color w:val="000000"/>
                <w:szCs w:val="21"/>
              </w:rPr>
              <w:t>消防器材配置合理，符合消防要求。</w:t>
            </w:r>
          </w:p>
        </w:tc>
      </w:tr>
      <w:tr w14:paraId="456E1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773FC74">
            <w:pPr>
              <w:pStyle w:val="31"/>
              <w:spacing w:line="360" w:lineRule="auto"/>
              <w:jc w:val="center"/>
              <w:rPr>
                <w:rFonts w:ascii="宋体" w:hAnsi="宋体"/>
                <w:color w:val="000000"/>
                <w:szCs w:val="21"/>
              </w:rPr>
            </w:pPr>
          </w:p>
        </w:tc>
        <w:tc>
          <w:tcPr>
            <w:tcW w:w="2070" w:type="dxa"/>
            <w:gridSpan w:val="2"/>
            <w:noWrap w:val="0"/>
            <w:vAlign w:val="center"/>
          </w:tcPr>
          <w:p w14:paraId="010E215D">
            <w:pPr>
              <w:pStyle w:val="31"/>
              <w:spacing w:line="360" w:lineRule="auto"/>
              <w:jc w:val="center"/>
              <w:rPr>
                <w:rFonts w:ascii="宋体" w:hAnsi="宋体"/>
                <w:color w:val="000000"/>
                <w:szCs w:val="21"/>
              </w:rPr>
            </w:pPr>
            <w:r>
              <w:rPr>
                <w:rFonts w:hint="eastAsia" w:ascii="宋体" w:hAnsi="宋体"/>
                <w:color w:val="000000"/>
                <w:szCs w:val="21"/>
              </w:rPr>
              <w:t>垃圾清运</w:t>
            </w:r>
          </w:p>
        </w:tc>
        <w:tc>
          <w:tcPr>
            <w:tcW w:w="6645" w:type="dxa"/>
            <w:noWrap w:val="0"/>
            <w:vAlign w:val="center"/>
          </w:tcPr>
          <w:p w14:paraId="36433CBC">
            <w:pPr>
              <w:pStyle w:val="31"/>
              <w:spacing w:line="360" w:lineRule="auto"/>
              <w:rPr>
                <w:rFonts w:ascii="宋体" w:hAnsi="宋体"/>
                <w:color w:val="000000"/>
                <w:szCs w:val="21"/>
              </w:rPr>
            </w:pPr>
            <w:r>
              <w:rPr>
                <w:rFonts w:hint="eastAsia" w:ascii="宋体" w:hAnsi="宋体"/>
                <w:color w:val="000000"/>
                <w:szCs w:val="21"/>
              </w:rPr>
              <w:t>1. 施工现场应设置密闭式垃圾站，施工垃圾、生活垃圾应分类存放。</w:t>
            </w:r>
          </w:p>
          <w:p w14:paraId="5E6A1044">
            <w:pPr>
              <w:pStyle w:val="31"/>
              <w:spacing w:line="360" w:lineRule="auto"/>
              <w:rPr>
                <w:rFonts w:ascii="宋体" w:hAnsi="宋体"/>
                <w:color w:val="000000"/>
                <w:szCs w:val="21"/>
              </w:rPr>
            </w:pPr>
            <w:r>
              <w:rPr>
                <w:rFonts w:hint="eastAsia" w:ascii="宋体" w:hAnsi="宋体"/>
                <w:color w:val="000000"/>
                <w:szCs w:val="21"/>
              </w:rPr>
              <w:t>2. 施工垃圾必须采用相应容器或管道运输。</w:t>
            </w:r>
          </w:p>
        </w:tc>
      </w:tr>
      <w:tr w14:paraId="4F0F8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3E929399">
            <w:pPr>
              <w:pStyle w:val="31"/>
              <w:spacing w:line="360" w:lineRule="auto"/>
              <w:jc w:val="center"/>
              <w:rPr>
                <w:rFonts w:ascii="宋体" w:hAnsi="宋体"/>
                <w:color w:val="000000"/>
                <w:szCs w:val="21"/>
              </w:rPr>
            </w:pPr>
          </w:p>
        </w:tc>
        <w:tc>
          <w:tcPr>
            <w:tcW w:w="2070" w:type="dxa"/>
            <w:gridSpan w:val="2"/>
            <w:noWrap w:val="0"/>
            <w:vAlign w:val="center"/>
          </w:tcPr>
          <w:p w14:paraId="6EB10B68">
            <w:pPr>
              <w:pStyle w:val="31"/>
              <w:spacing w:line="360" w:lineRule="auto"/>
              <w:rPr>
                <w:rFonts w:ascii="宋体" w:hAnsi="宋体"/>
                <w:color w:val="000000"/>
                <w:szCs w:val="21"/>
              </w:rPr>
            </w:pPr>
            <w:r>
              <w:rPr>
                <w:rFonts w:hint="eastAsia" w:ascii="宋体" w:hAnsi="宋体"/>
                <w:color w:val="000000"/>
                <w:szCs w:val="21"/>
              </w:rPr>
              <w:t>宣传栏、环保及不扰民措施</w:t>
            </w:r>
          </w:p>
        </w:tc>
        <w:tc>
          <w:tcPr>
            <w:tcW w:w="6645" w:type="dxa"/>
            <w:noWrap w:val="0"/>
            <w:vAlign w:val="center"/>
          </w:tcPr>
          <w:p w14:paraId="22C9F047">
            <w:pPr>
              <w:pStyle w:val="31"/>
              <w:spacing w:line="360" w:lineRule="auto"/>
              <w:rPr>
                <w:rFonts w:ascii="宋体" w:hAnsi="宋体"/>
                <w:color w:val="000000"/>
                <w:szCs w:val="21"/>
              </w:rPr>
            </w:pPr>
            <w:r>
              <w:rPr>
                <w:rFonts w:hint="eastAsia" w:ascii="宋体" w:hAnsi="宋体"/>
                <w:color w:val="000000"/>
                <w:szCs w:val="21"/>
              </w:rPr>
              <w:t>宣传栏、安全宣传标语等，洗车（防止污染市区道路）、粉尘、噪声控制和排污（污水、废气）措施等。</w:t>
            </w:r>
          </w:p>
        </w:tc>
      </w:tr>
      <w:tr w14:paraId="4B179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4724CB6">
            <w:pPr>
              <w:pStyle w:val="31"/>
              <w:spacing w:line="360" w:lineRule="auto"/>
              <w:jc w:val="center"/>
              <w:rPr>
                <w:rFonts w:ascii="宋体" w:hAnsi="宋体"/>
                <w:color w:val="000000"/>
                <w:szCs w:val="21"/>
              </w:rPr>
            </w:pPr>
            <w:r>
              <w:rPr>
                <w:rFonts w:hint="eastAsia" w:ascii="宋体" w:hAnsi="宋体"/>
                <w:color w:val="000000"/>
                <w:szCs w:val="21"/>
              </w:rPr>
              <w:t>临时设施</w:t>
            </w:r>
          </w:p>
        </w:tc>
        <w:tc>
          <w:tcPr>
            <w:tcW w:w="2070" w:type="dxa"/>
            <w:gridSpan w:val="2"/>
            <w:noWrap w:val="0"/>
            <w:vAlign w:val="center"/>
          </w:tcPr>
          <w:p w14:paraId="4F2096D6">
            <w:pPr>
              <w:pStyle w:val="31"/>
              <w:spacing w:line="360" w:lineRule="auto"/>
              <w:jc w:val="center"/>
              <w:rPr>
                <w:rFonts w:ascii="宋体" w:hAnsi="宋体"/>
                <w:color w:val="000000"/>
                <w:szCs w:val="21"/>
              </w:rPr>
            </w:pPr>
            <w:r>
              <w:rPr>
                <w:rFonts w:hint="eastAsia" w:ascii="宋体" w:hAnsi="宋体"/>
                <w:color w:val="000000"/>
                <w:szCs w:val="21"/>
              </w:rPr>
              <w:t>现场办公</w:t>
            </w:r>
          </w:p>
          <w:p w14:paraId="21386316">
            <w:pPr>
              <w:pStyle w:val="31"/>
              <w:spacing w:line="360" w:lineRule="auto"/>
              <w:jc w:val="center"/>
              <w:rPr>
                <w:rFonts w:ascii="宋体" w:hAnsi="宋体"/>
                <w:color w:val="000000"/>
                <w:szCs w:val="21"/>
              </w:rPr>
            </w:pPr>
            <w:r>
              <w:rPr>
                <w:rFonts w:hint="eastAsia" w:ascii="宋体" w:hAnsi="宋体"/>
                <w:color w:val="000000"/>
                <w:szCs w:val="21"/>
              </w:rPr>
              <w:t>生活设施</w:t>
            </w:r>
          </w:p>
        </w:tc>
        <w:tc>
          <w:tcPr>
            <w:tcW w:w="6645" w:type="dxa"/>
            <w:noWrap w:val="0"/>
            <w:vAlign w:val="center"/>
          </w:tcPr>
          <w:p w14:paraId="562A6963">
            <w:pPr>
              <w:pStyle w:val="31"/>
              <w:spacing w:line="360" w:lineRule="auto"/>
              <w:rPr>
                <w:rFonts w:ascii="宋体" w:hAnsi="宋体"/>
                <w:color w:val="000000"/>
                <w:szCs w:val="21"/>
              </w:rPr>
            </w:pPr>
            <w:r>
              <w:rPr>
                <w:rFonts w:hint="eastAsia" w:ascii="宋体" w:hAnsi="宋体"/>
                <w:color w:val="000000"/>
                <w:szCs w:val="21"/>
              </w:rPr>
              <w:t>1. 施工现场办公、生活区与作业区分开设置，保持安全距离。</w:t>
            </w:r>
          </w:p>
          <w:p w14:paraId="47E96C44">
            <w:pPr>
              <w:pStyle w:val="31"/>
              <w:spacing w:line="360" w:lineRule="auto"/>
              <w:rPr>
                <w:rFonts w:ascii="宋体" w:hAnsi="宋体"/>
                <w:color w:val="000000"/>
                <w:szCs w:val="21"/>
              </w:rPr>
            </w:pPr>
            <w:r>
              <w:rPr>
                <w:rFonts w:hint="eastAsia" w:ascii="宋体" w:hAnsi="宋体"/>
                <w:color w:val="000000"/>
                <w:szCs w:val="21"/>
              </w:rPr>
              <w:t>2. 工地办公室、现场宿舍、食堂、厕所、饮水、沐浴、休息场所等符合卫生、消防安全要求。</w:t>
            </w:r>
          </w:p>
        </w:tc>
      </w:tr>
      <w:tr w14:paraId="6C71D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A010B75">
            <w:pPr>
              <w:pStyle w:val="31"/>
              <w:spacing w:line="360" w:lineRule="auto"/>
              <w:jc w:val="center"/>
              <w:rPr>
                <w:rFonts w:ascii="宋体" w:hAnsi="宋体"/>
                <w:color w:val="000000"/>
                <w:szCs w:val="21"/>
              </w:rPr>
            </w:pPr>
          </w:p>
        </w:tc>
        <w:tc>
          <w:tcPr>
            <w:tcW w:w="525" w:type="dxa"/>
            <w:vMerge w:val="restart"/>
            <w:noWrap w:val="0"/>
            <w:vAlign w:val="center"/>
          </w:tcPr>
          <w:p w14:paraId="7180A0C6">
            <w:pPr>
              <w:pStyle w:val="31"/>
              <w:spacing w:line="360" w:lineRule="auto"/>
              <w:jc w:val="center"/>
              <w:rPr>
                <w:rFonts w:ascii="宋体" w:hAnsi="宋体"/>
                <w:color w:val="000000"/>
                <w:szCs w:val="21"/>
              </w:rPr>
            </w:pPr>
            <w:r>
              <w:rPr>
                <w:rFonts w:hint="eastAsia" w:ascii="宋体" w:hAnsi="宋体"/>
                <w:color w:val="000000"/>
                <w:szCs w:val="21"/>
              </w:rPr>
              <w:t>施工现场</w:t>
            </w:r>
          </w:p>
          <w:p w14:paraId="7112192E">
            <w:pPr>
              <w:pStyle w:val="31"/>
              <w:spacing w:line="360" w:lineRule="auto"/>
              <w:jc w:val="center"/>
              <w:rPr>
                <w:rFonts w:ascii="宋体" w:hAnsi="宋体"/>
                <w:color w:val="000000"/>
                <w:szCs w:val="21"/>
              </w:rPr>
            </w:pPr>
            <w:r>
              <w:rPr>
                <w:rFonts w:hint="eastAsia" w:ascii="宋体" w:hAnsi="宋体"/>
                <w:color w:val="000000"/>
                <w:szCs w:val="21"/>
              </w:rPr>
              <w:t>临时用电</w:t>
            </w:r>
          </w:p>
        </w:tc>
        <w:tc>
          <w:tcPr>
            <w:tcW w:w="1545" w:type="dxa"/>
            <w:noWrap w:val="0"/>
            <w:vAlign w:val="center"/>
          </w:tcPr>
          <w:p w14:paraId="0E2DD95F">
            <w:pPr>
              <w:pStyle w:val="31"/>
              <w:spacing w:line="360" w:lineRule="auto"/>
              <w:jc w:val="center"/>
              <w:rPr>
                <w:rFonts w:ascii="宋体" w:hAnsi="宋体"/>
                <w:color w:val="000000"/>
                <w:szCs w:val="21"/>
              </w:rPr>
            </w:pPr>
            <w:r>
              <w:rPr>
                <w:rFonts w:hint="eastAsia" w:ascii="宋体" w:hAnsi="宋体"/>
                <w:color w:val="000000"/>
                <w:szCs w:val="21"/>
              </w:rPr>
              <w:t>配电线路</w:t>
            </w:r>
          </w:p>
        </w:tc>
        <w:tc>
          <w:tcPr>
            <w:tcW w:w="6645" w:type="dxa"/>
            <w:noWrap w:val="0"/>
            <w:vAlign w:val="center"/>
          </w:tcPr>
          <w:p w14:paraId="752EE292">
            <w:pPr>
              <w:pStyle w:val="31"/>
              <w:spacing w:line="360" w:lineRule="auto"/>
              <w:rPr>
                <w:rFonts w:ascii="宋体" w:hAnsi="宋体"/>
                <w:color w:val="000000"/>
                <w:szCs w:val="21"/>
              </w:rPr>
            </w:pPr>
            <w:r>
              <w:rPr>
                <w:rFonts w:hint="eastAsia" w:ascii="宋体" w:hAnsi="宋体"/>
                <w:color w:val="000000"/>
                <w:szCs w:val="21"/>
              </w:rPr>
              <w:t>1. 按照TN-S系统要求配备五芯电缆、四芯电缆和三芯电缆。</w:t>
            </w:r>
          </w:p>
          <w:p w14:paraId="42B5567B">
            <w:pPr>
              <w:pStyle w:val="31"/>
              <w:spacing w:line="360" w:lineRule="auto"/>
              <w:rPr>
                <w:rFonts w:ascii="宋体" w:hAnsi="宋体"/>
                <w:color w:val="000000"/>
                <w:szCs w:val="21"/>
              </w:rPr>
            </w:pPr>
            <w:r>
              <w:rPr>
                <w:rFonts w:hint="eastAsia" w:ascii="宋体" w:hAnsi="宋体"/>
                <w:color w:val="000000"/>
                <w:szCs w:val="21"/>
              </w:rPr>
              <w:t>2. 按要求架设临时用电线路的电杆、横担、瓷夹、瓷瓶等，或电缆埋地的地沟。</w:t>
            </w:r>
          </w:p>
          <w:p w14:paraId="599E12B4">
            <w:pPr>
              <w:pStyle w:val="31"/>
              <w:spacing w:line="360" w:lineRule="auto"/>
              <w:rPr>
                <w:rFonts w:ascii="宋体" w:hAnsi="宋体"/>
                <w:color w:val="000000"/>
                <w:szCs w:val="21"/>
              </w:rPr>
            </w:pPr>
            <w:r>
              <w:rPr>
                <w:rFonts w:hint="eastAsia" w:ascii="宋体" w:hAnsi="宋体"/>
                <w:color w:val="000000"/>
                <w:szCs w:val="21"/>
              </w:rPr>
              <w:t>3. 对靠近施工现场的外电线路，设置木质、塑料等绝缘体的防护设施。</w:t>
            </w:r>
          </w:p>
        </w:tc>
      </w:tr>
      <w:tr w14:paraId="0BA35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CE3B340">
            <w:pPr>
              <w:pStyle w:val="31"/>
              <w:spacing w:line="360" w:lineRule="auto"/>
              <w:jc w:val="center"/>
              <w:rPr>
                <w:rFonts w:ascii="宋体" w:hAnsi="宋体"/>
                <w:color w:val="000000"/>
                <w:szCs w:val="21"/>
              </w:rPr>
            </w:pPr>
          </w:p>
        </w:tc>
        <w:tc>
          <w:tcPr>
            <w:tcW w:w="525" w:type="dxa"/>
            <w:vMerge w:val="continue"/>
            <w:noWrap w:val="0"/>
            <w:vAlign w:val="center"/>
          </w:tcPr>
          <w:p w14:paraId="092023F1">
            <w:pPr>
              <w:pStyle w:val="31"/>
              <w:spacing w:line="360" w:lineRule="auto"/>
              <w:jc w:val="center"/>
              <w:rPr>
                <w:rFonts w:ascii="宋体" w:hAnsi="宋体"/>
                <w:color w:val="000000"/>
                <w:szCs w:val="21"/>
              </w:rPr>
            </w:pPr>
          </w:p>
        </w:tc>
        <w:tc>
          <w:tcPr>
            <w:tcW w:w="1545" w:type="dxa"/>
            <w:noWrap w:val="0"/>
            <w:vAlign w:val="center"/>
          </w:tcPr>
          <w:p w14:paraId="06336A0B">
            <w:pPr>
              <w:pStyle w:val="31"/>
              <w:spacing w:line="360" w:lineRule="auto"/>
              <w:jc w:val="center"/>
              <w:rPr>
                <w:rFonts w:ascii="宋体" w:hAnsi="宋体"/>
                <w:color w:val="000000"/>
                <w:szCs w:val="21"/>
              </w:rPr>
            </w:pPr>
            <w:r>
              <w:rPr>
                <w:rFonts w:hint="eastAsia" w:ascii="宋体" w:hAnsi="宋体"/>
                <w:color w:val="000000"/>
                <w:szCs w:val="21"/>
              </w:rPr>
              <w:t>配电箱</w:t>
            </w:r>
          </w:p>
          <w:p w14:paraId="652B0B59">
            <w:pPr>
              <w:pStyle w:val="31"/>
              <w:spacing w:line="360" w:lineRule="auto"/>
              <w:jc w:val="center"/>
              <w:rPr>
                <w:rFonts w:ascii="宋体" w:hAnsi="宋体"/>
                <w:color w:val="000000"/>
                <w:szCs w:val="21"/>
              </w:rPr>
            </w:pPr>
            <w:r>
              <w:rPr>
                <w:rFonts w:hint="eastAsia" w:ascii="宋体" w:hAnsi="宋体"/>
                <w:color w:val="000000"/>
                <w:szCs w:val="21"/>
              </w:rPr>
              <w:t>开关箱</w:t>
            </w:r>
          </w:p>
        </w:tc>
        <w:tc>
          <w:tcPr>
            <w:tcW w:w="6645" w:type="dxa"/>
            <w:noWrap w:val="0"/>
            <w:vAlign w:val="center"/>
          </w:tcPr>
          <w:p w14:paraId="4EE6F45F">
            <w:pPr>
              <w:pStyle w:val="31"/>
              <w:spacing w:line="360" w:lineRule="auto"/>
              <w:rPr>
                <w:rFonts w:ascii="宋体" w:hAnsi="宋体"/>
                <w:color w:val="000000"/>
                <w:szCs w:val="21"/>
              </w:rPr>
            </w:pPr>
            <w:r>
              <w:rPr>
                <w:rFonts w:hint="eastAsia" w:ascii="宋体" w:hAnsi="宋体"/>
                <w:color w:val="000000"/>
                <w:szCs w:val="21"/>
              </w:rPr>
              <w:t>1. 按三级配电要求，配备总配电箱、分配电箱、开关箱三类（铁质）标准电箱，开关箱应符合“一机、一箱、一闸、一漏”，三类电箱中的各类电器应是合格品。</w:t>
            </w:r>
          </w:p>
          <w:p w14:paraId="21CF76F6">
            <w:pPr>
              <w:pStyle w:val="31"/>
              <w:spacing w:line="360" w:lineRule="auto"/>
              <w:rPr>
                <w:rFonts w:ascii="宋体" w:hAnsi="宋体"/>
                <w:color w:val="000000"/>
                <w:szCs w:val="21"/>
              </w:rPr>
            </w:pPr>
            <w:r>
              <w:rPr>
                <w:rFonts w:hint="eastAsia" w:ascii="宋体" w:hAnsi="宋体"/>
                <w:color w:val="000000"/>
                <w:szCs w:val="21"/>
              </w:rPr>
              <w:t>2. 按两级保护的要求，选取符合容量要求和质量合格的总配电箱和开关箱中的漏电保护器。</w:t>
            </w:r>
          </w:p>
          <w:p w14:paraId="0C5568D3">
            <w:pPr>
              <w:pStyle w:val="31"/>
              <w:spacing w:line="360" w:lineRule="auto"/>
              <w:rPr>
                <w:rFonts w:ascii="宋体" w:hAnsi="宋体"/>
                <w:color w:val="000000"/>
                <w:szCs w:val="21"/>
              </w:rPr>
            </w:pPr>
            <w:r>
              <w:rPr>
                <w:rFonts w:hint="eastAsia" w:ascii="宋体" w:hAnsi="宋体"/>
                <w:color w:val="000000"/>
                <w:szCs w:val="21"/>
              </w:rPr>
              <w:t>3. 对大型、落地式分配电箱、开关箱设置防护棚和通透式围挡。</w:t>
            </w:r>
          </w:p>
        </w:tc>
      </w:tr>
      <w:tr w14:paraId="256C8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06E286E4">
            <w:pPr>
              <w:pStyle w:val="31"/>
              <w:spacing w:line="360" w:lineRule="auto"/>
              <w:jc w:val="center"/>
              <w:rPr>
                <w:rFonts w:ascii="宋体" w:hAnsi="宋体"/>
                <w:color w:val="000000"/>
                <w:szCs w:val="21"/>
              </w:rPr>
            </w:pPr>
          </w:p>
        </w:tc>
        <w:tc>
          <w:tcPr>
            <w:tcW w:w="525" w:type="dxa"/>
            <w:vMerge w:val="continue"/>
            <w:noWrap w:val="0"/>
            <w:vAlign w:val="center"/>
          </w:tcPr>
          <w:p w14:paraId="6A8BE8ED">
            <w:pPr>
              <w:pStyle w:val="31"/>
              <w:spacing w:line="360" w:lineRule="auto"/>
              <w:jc w:val="center"/>
              <w:rPr>
                <w:rFonts w:ascii="宋体" w:hAnsi="宋体"/>
                <w:color w:val="000000"/>
                <w:szCs w:val="21"/>
              </w:rPr>
            </w:pPr>
          </w:p>
        </w:tc>
        <w:tc>
          <w:tcPr>
            <w:tcW w:w="1545" w:type="dxa"/>
            <w:noWrap w:val="0"/>
            <w:vAlign w:val="center"/>
          </w:tcPr>
          <w:p w14:paraId="73DFD8A2">
            <w:pPr>
              <w:pStyle w:val="31"/>
              <w:spacing w:line="360" w:lineRule="auto"/>
              <w:jc w:val="center"/>
              <w:rPr>
                <w:rFonts w:ascii="宋体" w:hAnsi="宋体"/>
                <w:color w:val="000000"/>
                <w:szCs w:val="21"/>
              </w:rPr>
            </w:pPr>
            <w:r>
              <w:rPr>
                <w:rFonts w:hint="eastAsia" w:ascii="宋体" w:hAnsi="宋体"/>
                <w:color w:val="000000"/>
                <w:szCs w:val="21"/>
              </w:rPr>
              <w:t>接地装置</w:t>
            </w:r>
          </w:p>
        </w:tc>
        <w:tc>
          <w:tcPr>
            <w:tcW w:w="6645" w:type="dxa"/>
            <w:noWrap w:val="0"/>
            <w:vAlign w:val="center"/>
          </w:tcPr>
          <w:p w14:paraId="0C1951AD">
            <w:pPr>
              <w:pStyle w:val="31"/>
              <w:spacing w:line="360" w:lineRule="auto"/>
              <w:rPr>
                <w:rFonts w:ascii="宋体" w:hAnsi="宋体"/>
                <w:color w:val="000000"/>
                <w:szCs w:val="21"/>
              </w:rPr>
            </w:pPr>
            <w:r>
              <w:rPr>
                <w:rFonts w:hint="eastAsia" w:ascii="宋体" w:hAnsi="宋体"/>
                <w:color w:val="000000"/>
                <w:szCs w:val="21"/>
              </w:rPr>
              <w:t>施工现场应设置不少于三处的重复接地装置。</w:t>
            </w:r>
          </w:p>
        </w:tc>
      </w:tr>
      <w:tr w14:paraId="3869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48B0EDB5">
            <w:pPr>
              <w:pStyle w:val="31"/>
              <w:spacing w:line="360" w:lineRule="auto"/>
              <w:jc w:val="center"/>
              <w:rPr>
                <w:rFonts w:ascii="宋体" w:hAnsi="宋体"/>
                <w:color w:val="000000"/>
                <w:szCs w:val="21"/>
              </w:rPr>
            </w:pPr>
          </w:p>
        </w:tc>
        <w:tc>
          <w:tcPr>
            <w:tcW w:w="525" w:type="dxa"/>
            <w:vMerge w:val="continue"/>
            <w:noWrap w:val="0"/>
            <w:vAlign w:val="center"/>
          </w:tcPr>
          <w:p w14:paraId="0D9C8114">
            <w:pPr>
              <w:pStyle w:val="31"/>
              <w:spacing w:line="360" w:lineRule="auto"/>
              <w:jc w:val="center"/>
              <w:rPr>
                <w:rFonts w:ascii="宋体" w:hAnsi="宋体"/>
                <w:color w:val="000000"/>
                <w:szCs w:val="21"/>
              </w:rPr>
            </w:pPr>
          </w:p>
        </w:tc>
        <w:tc>
          <w:tcPr>
            <w:tcW w:w="1545" w:type="dxa"/>
            <w:noWrap w:val="0"/>
            <w:vAlign w:val="center"/>
          </w:tcPr>
          <w:p w14:paraId="08D6B349">
            <w:pPr>
              <w:pStyle w:val="31"/>
              <w:spacing w:line="360" w:lineRule="auto"/>
              <w:jc w:val="center"/>
              <w:rPr>
                <w:rFonts w:ascii="宋体" w:hAnsi="宋体"/>
                <w:color w:val="000000"/>
                <w:szCs w:val="21"/>
              </w:rPr>
            </w:pPr>
            <w:r>
              <w:rPr>
                <w:rFonts w:hint="eastAsia" w:ascii="宋体" w:hAnsi="宋体"/>
                <w:color w:val="000000"/>
                <w:szCs w:val="21"/>
              </w:rPr>
              <w:t>现场变配电装置</w:t>
            </w:r>
          </w:p>
        </w:tc>
        <w:tc>
          <w:tcPr>
            <w:tcW w:w="6645" w:type="dxa"/>
            <w:noWrap w:val="0"/>
            <w:vAlign w:val="center"/>
          </w:tcPr>
          <w:p w14:paraId="78790081">
            <w:pPr>
              <w:pStyle w:val="31"/>
              <w:spacing w:line="360" w:lineRule="auto"/>
              <w:rPr>
                <w:rFonts w:ascii="宋体" w:hAnsi="宋体"/>
                <w:color w:val="000000"/>
                <w:szCs w:val="21"/>
              </w:rPr>
            </w:pPr>
            <w:r>
              <w:rPr>
                <w:rFonts w:hint="eastAsia" w:ascii="宋体" w:hAnsi="宋体"/>
                <w:color w:val="000000"/>
                <w:szCs w:val="21"/>
              </w:rPr>
              <w:t>总配电房建筑材料必须达到消防防火要求，室内做硬地坪、电缆沟。</w:t>
            </w:r>
          </w:p>
        </w:tc>
      </w:tr>
      <w:tr w14:paraId="6ECB3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3AAD6FEA">
            <w:pPr>
              <w:pStyle w:val="31"/>
              <w:spacing w:line="360" w:lineRule="auto"/>
              <w:jc w:val="center"/>
              <w:rPr>
                <w:rFonts w:ascii="宋体" w:hAnsi="宋体"/>
                <w:b/>
                <w:bCs/>
                <w:color w:val="000000"/>
                <w:szCs w:val="21"/>
              </w:rPr>
            </w:pPr>
            <w:r>
              <w:rPr>
                <w:rFonts w:hint="eastAsia" w:ascii="宋体" w:hAnsi="宋体"/>
                <w:b/>
                <w:bCs/>
                <w:color w:val="000000"/>
                <w:szCs w:val="21"/>
              </w:rPr>
              <w:t>类别</w:t>
            </w:r>
          </w:p>
        </w:tc>
        <w:tc>
          <w:tcPr>
            <w:tcW w:w="2070" w:type="dxa"/>
            <w:gridSpan w:val="2"/>
            <w:noWrap w:val="0"/>
            <w:vAlign w:val="center"/>
          </w:tcPr>
          <w:p w14:paraId="04CF213E">
            <w:pPr>
              <w:pStyle w:val="31"/>
              <w:spacing w:line="360" w:lineRule="auto"/>
              <w:jc w:val="center"/>
              <w:rPr>
                <w:rFonts w:ascii="宋体" w:hAnsi="宋体"/>
                <w:b/>
                <w:bCs/>
                <w:color w:val="000000"/>
                <w:szCs w:val="21"/>
              </w:rPr>
            </w:pPr>
            <w:r>
              <w:rPr>
                <w:rFonts w:hint="eastAsia" w:ascii="宋体" w:hAnsi="宋体"/>
                <w:b/>
                <w:bCs/>
                <w:color w:val="000000"/>
                <w:szCs w:val="21"/>
              </w:rPr>
              <w:t>项目名称</w:t>
            </w:r>
          </w:p>
        </w:tc>
        <w:tc>
          <w:tcPr>
            <w:tcW w:w="6645" w:type="dxa"/>
            <w:noWrap w:val="0"/>
            <w:vAlign w:val="center"/>
          </w:tcPr>
          <w:p w14:paraId="26D69129">
            <w:pPr>
              <w:pStyle w:val="31"/>
              <w:spacing w:line="360" w:lineRule="auto"/>
              <w:jc w:val="center"/>
              <w:rPr>
                <w:rFonts w:ascii="宋体" w:hAnsi="宋体"/>
                <w:b/>
                <w:bCs/>
                <w:color w:val="000000"/>
                <w:szCs w:val="21"/>
              </w:rPr>
            </w:pPr>
            <w:r>
              <w:rPr>
                <w:rFonts w:hint="eastAsia" w:ascii="宋体" w:hAnsi="宋体"/>
                <w:b/>
                <w:bCs/>
                <w:color w:val="000000"/>
                <w:szCs w:val="21"/>
              </w:rPr>
              <w:t>主要内容和要求</w:t>
            </w:r>
          </w:p>
        </w:tc>
      </w:tr>
      <w:tr w14:paraId="07F53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11F0CD2F">
            <w:pPr>
              <w:pStyle w:val="31"/>
              <w:spacing w:line="360" w:lineRule="auto"/>
              <w:jc w:val="center"/>
              <w:rPr>
                <w:rFonts w:ascii="宋体" w:hAnsi="宋体"/>
                <w:color w:val="000000"/>
                <w:szCs w:val="21"/>
              </w:rPr>
            </w:pPr>
            <w:r>
              <w:rPr>
                <w:rFonts w:hint="eastAsia" w:ascii="宋体" w:hAnsi="宋体"/>
                <w:color w:val="000000"/>
                <w:szCs w:val="21"/>
              </w:rPr>
              <w:t>安全施工</w:t>
            </w:r>
          </w:p>
        </w:tc>
        <w:tc>
          <w:tcPr>
            <w:tcW w:w="525" w:type="dxa"/>
            <w:vMerge w:val="restart"/>
            <w:noWrap w:val="0"/>
            <w:vAlign w:val="center"/>
          </w:tcPr>
          <w:p w14:paraId="67784066">
            <w:pPr>
              <w:pStyle w:val="31"/>
              <w:spacing w:line="360" w:lineRule="auto"/>
              <w:jc w:val="center"/>
              <w:rPr>
                <w:rFonts w:ascii="宋体" w:hAnsi="宋体"/>
                <w:color w:val="000000"/>
                <w:szCs w:val="21"/>
              </w:rPr>
            </w:pPr>
            <w:r>
              <w:rPr>
                <w:rFonts w:hint="eastAsia" w:ascii="宋体" w:hAnsi="宋体"/>
                <w:color w:val="000000"/>
                <w:szCs w:val="21"/>
              </w:rPr>
              <w:t>高处作业防护</w:t>
            </w:r>
          </w:p>
        </w:tc>
        <w:tc>
          <w:tcPr>
            <w:tcW w:w="1545" w:type="dxa"/>
            <w:noWrap w:val="0"/>
            <w:vAlign w:val="center"/>
          </w:tcPr>
          <w:p w14:paraId="59929E22">
            <w:pPr>
              <w:pStyle w:val="31"/>
              <w:spacing w:line="360" w:lineRule="auto"/>
              <w:rPr>
                <w:rFonts w:ascii="宋体" w:hAnsi="宋体"/>
                <w:color w:val="000000"/>
                <w:szCs w:val="21"/>
              </w:rPr>
            </w:pPr>
            <w:r>
              <w:rPr>
                <w:rFonts w:hint="eastAsia" w:ascii="宋体" w:hAnsi="宋体"/>
                <w:color w:val="000000"/>
                <w:szCs w:val="21"/>
              </w:rPr>
              <w:t>楼层、屋面、阳台等临边</w:t>
            </w:r>
          </w:p>
        </w:tc>
        <w:tc>
          <w:tcPr>
            <w:tcW w:w="6645" w:type="dxa"/>
            <w:noWrap w:val="0"/>
            <w:vAlign w:val="center"/>
          </w:tcPr>
          <w:p w14:paraId="71768551">
            <w:pPr>
              <w:pStyle w:val="31"/>
              <w:spacing w:line="360" w:lineRule="auto"/>
              <w:rPr>
                <w:rFonts w:ascii="宋体" w:hAnsi="宋体"/>
                <w:color w:val="000000"/>
                <w:szCs w:val="21"/>
              </w:rPr>
            </w:pPr>
            <w:r>
              <w:rPr>
                <w:rFonts w:hint="eastAsia" w:ascii="宋体" w:hAnsi="宋体"/>
                <w:color w:val="000000"/>
                <w:szCs w:val="21"/>
              </w:rPr>
              <w:t>设两道防护栏杆和18cm高的踢脚板，用密目式安全立网全封闭。</w:t>
            </w:r>
          </w:p>
        </w:tc>
      </w:tr>
      <w:tr w14:paraId="72667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4C4DEED">
            <w:pPr>
              <w:pStyle w:val="31"/>
              <w:spacing w:line="360" w:lineRule="auto"/>
              <w:jc w:val="center"/>
              <w:rPr>
                <w:rFonts w:ascii="宋体" w:hAnsi="宋体"/>
                <w:color w:val="000000"/>
                <w:szCs w:val="21"/>
              </w:rPr>
            </w:pPr>
          </w:p>
        </w:tc>
        <w:tc>
          <w:tcPr>
            <w:tcW w:w="525" w:type="dxa"/>
            <w:vMerge w:val="continue"/>
            <w:noWrap w:val="0"/>
            <w:vAlign w:val="center"/>
          </w:tcPr>
          <w:p w14:paraId="4011E092">
            <w:pPr>
              <w:pStyle w:val="31"/>
              <w:spacing w:line="360" w:lineRule="auto"/>
              <w:jc w:val="center"/>
              <w:rPr>
                <w:rFonts w:ascii="宋体" w:hAnsi="宋体"/>
                <w:color w:val="000000"/>
                <w:szCs w:val="21"/>
              </w:rPr>
            </w:pPr>
          </w:p>
        </w:tc>
        <w:tc>
          <w:tcPr>
            <w:tcW w:w="1545" w:type="dxa"/>
            <w:noWrap w:val="0"/>
            <w:vAlign w:val="center"/>
          </w:tcPr>
          <w:p w14:paraId="18649CB4">
            <w:pPr>
              <w:pStyle w:val="31"/>
              <w:spacing w:line="360" w:lineRule="auto"/>
              <w:rPr>
                <w:rFonts w:ascii="宋体" w:hAnsi="宋体"/>
                <w:color w:val="000000"/>
                <w:szCs w:val="21"/>
              </w:rPr>
            </w:pPr>
            <w:r>
              <w:rPr>
                <w:rFonts w:hint="eastAsia" w:ascii="宋体" w:hAnsi="宋体"/>
                <w:color w:val="000000"/>
                <w:szCs w:val="21"/>
              </w:rPr>
              <w:t>通道口</w:t>
            </w:r>
          </w:p>
        </w:tc>
        <w:tc>
          <w:tcPr>
            <w:tcW w:w="6645" w:type="dxa"/>
            <w:noWrap w:val="0"/>
            <w:vAlign w:val="center"/>
          </w:tcPr>
          <w:p w14:paraId="33406E88">
            <w:pPr>
              <w:pStyle w:val="31"/>
              <w:spacing w:line="360" w:lineRule="auto"/>
              <w:rPr>
                <w:rFonts w:ascii="宋体" w:hAnsi="宋体"/>
                <w:color w:val="000000"/>
                <w:szCs w:val="21"/>
              </w:rPr>
            </w:pPr>
            <w:r>
              <w:rPr>
                <w:rFonts w:hint="eastAsia" w:ascii="宋体" w:hAnsi="宋体"/>
                <w:color w:val="000000"/>
                <w:szCs w:val="21"/>
              </w:rPr>
              <w:t>设防护棚，防护棚应为不小于5cm厚的木板或两道相距50cm的竹笆。两侧应沿栏杆架用密目式安全网封闭。</w:t>
            </w:r>
          </w:p>
        </w:tc>
      </w:tr>
      <w:tr w14:paraId="38FC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137CA41A">
            <w:pPr>
              <w:pStyle w:val="31"/>
              <w:spacing w:line="360" w:lineRule="auto"/>
              <w:jc w:val="center"/>
              <w:rPr>
                <w:rFonts w:ascii="宋体" w:hAnsi="宋体"/>
                <w:color w:val="000000"/>
                <w:szCs w:val="21"/>
              </w:rPr>
            </w:pPr>
          </w:p>
        </w:tc>
        <w:tc>
          <w:tcPr>
            <w:tcW w:w="525" w:type="dxa"/>
            <w:vMerge w:val="continue"/>
            <w:noWrap w:val="0"/>
            <w:vAlign w:val="center"/>
          </w:tcPr>
          <w:p w14:paraId="05770210">
            <w:pPr>
              <w:pStyle w:val="31"/>
              <w:spacing w:line="360" w:lineRule="auto"/>
              <w:jc w:val="center"/>
              <w:rPr>
                <w:rFonts w:ascii="宋体" w:hAnsi="宋体"/>
                <w:color w:val="000000"/>
                <w:szCs w:val="21"/>
              </w:rPr>
            </w:pPr>
          </w:p>
        </w:tc>
        <w:tc>
          <w:tcPr>
            <w:tcW w:w="1545" w:type="dxa"/>
            <w:noWrap w:val="0"/>
            <w:vAlign w:val="center"/>
          </w:tcPr>
          <w:p w14:paraId="148E6B4B">
            <w:pPr>
              <w:pStyle w:val="31"/>
              <w:spacing w:line="360" w:lineRule="auto"/>
              <w:rPr>
                <w:rFonts w:ascii="宋体" w:hAnsi="宋体"/>
                <w:color w:val="000000"/>
                <w:szCs w:val="21"/>
              </w:rPr>
            </w:pPr>
            <w:r>
              <w:rPr>
                <w:rFonts w:hint="eastAsia" w:ascii="宋体" w:hAnsi="宋体"/>
                <w:color w:val="000000"/>
                <w:szCs w:val="21"/>
              </w:rPr>
              <w:t>预留洞口</w:t>
            </w:r>
          </w:p>
        </w:tc>
        <w:tc>
          <w:tcPr>
            <w:tcW w:w="6645" w:type="dxa"/>
            <w:noWrap w:val="0"/>
            <w:vAlign w:val="center"/>
          </w:tcPr>
          <w:p w14:paraId="4910D561">
            <w:pPr>
              <w:pStyle w:val="31"/>
              <w:spacing w:line="360" w:lineRule="auto"/>
              <w:rPr>
                <w:rFonts w:ascii="宋体" w:hAnsi="宋体"/>
                <w:color w:val="000000"/>
                <w:szCs w:val="21"/>
              </w:rPr>
            </w:pPr>
            <w:r>
              <w:rPr>
                <w:rFonts w:hint="eastAsia" w:ascii="宋体" w:hAnsi="宋体"/>
                <w:color w:val="000000"/>
                <w:szCs w:val="21"/>
              </w:rPr>
              <w:t>用硬质材料全封闭，短边超过1.5m长的洞口，除封闭外四周还应设有防护栏杆。</w:t>
            </w:r>
          </w:p>
        </w:tc>
      </w:tr>
      <w:tr w14:paraId="7AEA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2BBFFBFF">
            <w:pPr>
              <w:pStyle w:val="31"/>
              <w:spacing w:line="360" w:lineRule="auto"/>
              <w:jc w:val="center"/>
              <w:rPr>
                <w:rFonts w:ascii="宋体" w:hAnsi="宋体"/>
                <w:color w:val="000000"/>
                <w:szCs w:val="21"/>
              </w:rPr>
            </w:pPr>
          </w:p>
        </w:tc>
        <w:tc>
          <w:tcPr>
            <w:tcW w:w="525" w:type="dxa"/>
            <w:vMerge w:val="continue"/>
            <w:noWrap w:val="0"/>
            <w:vAlign w:val="center"/>
          </w:tcPr>
          <w:p w14:paraId="617696BE">
            <w:pPr>
              <w:pStyle w:val="31"/>
              <w:spacing w:line="360" w:lineRule="auto"/>
              <w:jc w:val="center"/>
              <w:rPr>
                <w:rFonts w:ascii="宋体" w:hAnsi="宋体"/>
                <w:color w:val="000000"/>
                <w:szCs w:val="21"/>
              </w:rPr>
            </w:pPr>
          </w:p>
        </w:tc>
        <w:tc>
          <w:tcPr>
            <w:tcW w:w="1545" w:type="dxa"/>
            <w:noWrap w:val="0"/>
            <w:vAlign w:val="center"/>
          </w:tcPr>
          <w:p w14:paraId="3BF1383D">
            <w:pPr>
              <w:pStyle w:val="31"/>
              <w:spacing w:line="360" w:lineRule="auto"/>
              <w:rPr>
                <w:rFonts w:ascii="宋体" w:hAnsi="宋体"/>
                <w:color w:val="000000"/>
                <w:szCs w:val="21"/>
              </w:rPr>
            </w:pPr>
            <w:r>
              <w:rPr>
                <w:rFonts w:hint="eastAsia" w:ascii="宋体" w:hAnsi="宋体"/>
                <w:color w:val="000000"/>
                <w:szCs w:val="21"/>
              </w:rPr>
              <w:t>电梯井口</w:t>
            </w:r>
          </w:p>
        </w:tc>
        <w:tc>
          <w:tcPr>
            <w:tcW w:w="6645" w:type="dxa"/>
            <w:noWrap w:val="0"/>
            <w:vAlign w:val="center"/>
          </w:tcPr>
          <w:p w14:paraId="065E9009">
            <w:pPr>
              <w:pStyle w:val="31"/>
              <w:spacing w:line="360" w:lineRule="auto"/>
              <w:rPr>
                <w:rFonts w:ascii="宋体" w:hAnsi="宋体"/>
                <w:color w:val="000000"/>
                <w:szCs w:val="21"/>
              </w:rPr>
            </w:pPr>
            <w:r>
              <w:rPr>
                <w:rFonts w:hint="eastAsia" w:ascii="宋体" w:hAnsi="宋体"/>
                <w:color w:val="000000"/>
                <w:szCs w:val="21"/>
              </w:rPr>
              <w:t>设置定型化、工具化的防护门，在电梯井内每隔2层（不大于10m）设置一道水平防护。</w:t>
            </w:r>
          </w:p>
        </w:tc>
      </w:tr>
      <w:tr w14:paraId="42D36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0C84849">
            <w:pPr>
              <w:pStyle w:val="31"/>
              <w:spacing w:line="360" w:lineRule="auto"/>
              <w:jc w:val="center"/>
              <w:rPr>
                <w:rFonts w:ascii="宋体" w:hAnsi="宋体"/>
                <w:color w:val="000000"/>
                <w:szCs w:val="21"/>
              </w:rPr>
            </w:pPr>
          </w:p>
        </w:tc>
        <w:tc>
          <w:tcPr>
            <w:tcW w:w="525" w:type="dxa"/>
            <w:vMerge w:val="continue"/>
            <w:noWrap w:val="0"/>
            <w:vAlign w:val="center"/>
          </w:tcPr>
          <w:p w14:paraId="507FBBAA">
            <w:pPr>
              <w:pStyle w:val="31"/>
              <w:spacing w:line="360" w:lineRule="auto"/>
              <w:jc w:val="center"/>
              <w:rPr>
                <w:rFonts w:ascii="宋体" w:hAnsi="宋体"/>
                <w:color w:val="000000"/>
                <w:szCs w:val="21"/>
              </w:rPr>
            </w:pPr>
          </w:p>
        </w:tc>
        <w:tc>
          <w:tcPr>
            <w:tcW w:w="1545" w:type="dxa"/>
            <w:noWrap w:val="0"/>
            <w:vAlign w:val="center"/>
          </w:tcPr>
          <w:p w14:paraId="0D39052D">
            <w:pPr>
              <w:pStyle w:val="31"/>
              <w:spacing w:line="360" w:lineRule="auto"/>
              <w:rPr>
                <w:rFonts w:ascii="宋体" w:hAnsi="宋体"/>
                <w:color w:val="000000"/>
                <w:szCs w:val="21"/>
              </w:rPr>
            </w:pPr>
            <w:r>
              <w:rPr>
                <w:rFonts w:hint="eastAsia" w:ascii="宋体" w:hAnsi="宋体"/>
                <w:color w:val="000000"/>
                <w:szCs w:val="21"/>
              </w:rPr>
              <w:t>楼梯边</w:t>
            </w:r>
          </w:p>
        </w:tc>
        <w:tc>
          <w:tcPr>
            <w:tcW w:w="6645" w:type="dxa"/>
            <w:noWrap w:val="0"/>
            <w:vAlign w:val="center"/>
          </w:tcPr>
          <w:p w14:paraId="1CE213CE">
            <w:pPr>
              <w:pStyle w:val="31"/>
              <w:spacing w:line="360" w:lineRule="auto"/>
              <w:rPr>
                <w:rFonts w:ascii="宋体" w:hAnsi="宋体"/>
                <w:color w:val="000000"/>
                <w:szCs w:val="21"/>
              </w:rPr>
            </w:pPr>
            <w:r>
              <w:rPr>
                <w:rFonts w:hint="eastAsia" w:ascii="宋体" w:hAnsi="宋体"/>
                <w:color w:val="000000"/>
                <w:szCs w:val="21"/>
              </w:rPr>
              <w:t>设1.2m高的定型化、工具化的防护栏，18cm高的踢脚板。</w:t>
            </w:r>
          </w:p>
        </w:tc>
      </w:tr>
      <w:tr w14:paraId="2B742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D622BA4">
            <w:pPr>
              <w:pStyle w:val="31"/>
              <w:spacing w:line="360" w:lineRule="auto"/>
              <w:jc w:val="center"/>
              <w:rPr>
                <w:rFonts w:ascii="宋体" w:hAnsi="宋体"/>
                <w:color w:val="000000"/>
                <w:szCs w:val="21"/>
              </w:rPr>
            </w:pPr>
          </w:p>
        </w:tc>
        <w:tc>
          <w:tcPr>
            <w:tcW w:w="525" w:type="dxa"/>
            <w:vMerge w:val="continue"/>
            <w:noWrap w:val="0"/>
            <w:vAlign w:val="center"/>
          </w:tcPr>
          <w:p w14:paraId="5A745E0C">
            <w:pPr>
              <w:pStyle w:val="31"/>
              <w:spacing w:line="360" w:lineRule="auto"/>
              <w:jc w:val="center"/>
              <w:rPr>
                <w:rFonts w:ascii="宋体" w:hAnsi="宋体"/>
                <w:color w:val="000000"/>
                <w:szCs w:val="21"/>
              </w:rPr>
            </w:pPr>
          </w:p>
        </w:tc>
        <w:tc>
          <w:tcPr>
            <w:tcW w:w="1545" w:type="dxa"/>
            <w:noWrap w:val="0"/>
            <w:vAlign w:val="center"/>
          </w:tcPr>
          <w:p w14:paraId="39D35A7A">
            <w:pPr>
              <w:pStyle w:val="31"/>
              <w:spacing w:line="360" w:lineRule="auto"/>
              <w:rPr>
                <w:rFonts w:ascii="宋体" w:hAnsi="宋体"/>
                <w:color w:val="000000"/>
                <w:szCs w:val="21"/>
              </w:rPr>
            </w:pPr>
            <w:r>
              <w:rPr>
                <w:rFonts w:hint="eastAsia" w:ascii="宋体" w:hAnsi="宋体"/>
                <w:color w:val="000000"/>
                <w:szCs w:val="21"/>
              </w:rPr>
              <w:t>垂直方向交叉作业</w:t>
            </w:r>
          </w:p>
        </w:tc>
        <w:tc>
          <w:tcPr>
            <w:tcW w:w="6645" w:type="dxa"/>
            <w:noWrap w:val="0"/>
            <w:vAlign w:val="center"/>
          </w:tcPr>
          <w:p w14:paraId="0A4C5F82">
            <w:pPr>
              <w:pStyle w:val="31"/>
              <w:spacing w:line="360" w:lineRule="auto"/>
              <w:rPr>
                <w:rFonts w:ascii="宋体" w:hAnsi="宋体"/>
                <w:color w:val="000000"/>
                <w:szCs w:val="21"/>
              </w:rPr>
            </w:pPr>
            <w:r>
              <w:rPr>
                <w:rFonts w:hint="eastAsia" w:ascii="宋体" w:hAnsi="宋体"/>
                <w:color w:val="000000"/>
                <w:szCs w:val="21"/>
              </w:rPr>
              <w:t>设置防护隔离棚或其它设施。</w:t>
            </w:r>
          </w:p>
        </w:tc>
      </w:tr>
      <w:tr w14:paraId="4282B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0A88222">
            <w:pPr>
              <w:pStyle w:val="31"/>
              <w:spacing w:line="360" w:lineRule="auto"/>
              <w:jc w:val="center"/>
              <w:rPr>
                <w:rFonts w:ascii="宋体" w:hAnsi="宋体"/>
                <w:color w:val="000000"/>
                <w:szCs w:val="21"/>
              </w:rPr>
            </w:pPr>
          </w:p>
        </w:tc>
        <w:tc>
          <w:tcPr>
            <w:tcW w:w="525" w:type="dxa"/>
            <w:vMerge w:val="continue"/>
            <w:noWrap w:val="0"/>
            <w:vAlign w:val="center"/>
          </w:tcPr>
          <w:p w14:paraId="5FDA94DD">
            <w:pPr>
              <w:pStyle w:val="31"/>
              <w:spacing w:line="360" w:lineRule="auto"/>
              <w:jc w:val="center"/>
              <w:rPr>
                <w:rFonts w:ascii="宋体" w:hAnsi="宋体"/>
                <w:color w:val="000000"/>
                <w:szCs w:val="21"/>
              </w:rPr>
            </w:pPr>
          </w:p>
        </w:tc>
        <w:tc>
          <w:tcPr>
            <w:tcW w:w="1545" w:type="dxa"/>
            <w:noWrap w:val="0"/>
            <w:vAlign w:val="center"/>
          </w:tcPr>
          <w:p w14:paraId="23BB157C">
            <w:pPr>
              <w:pStyle w:val="31"/>
              <w:spacing w:line="360" w:lineRule="auto"/>
              <w:rPr>
                <w:rFonts w:ascii="宋体" w:hAnsi="宋体"/>
                <w:color w:val="000000"/>
                <w:szCs w:val="21"/>
              </w:rPr>
            </w:pPr>
            <w:r>
              <w:rPr>
                <w:rFonts w:hint="eastAsia" w:ascii="宋体" w:hAnsi="宋体"/>
                <w:color w:val="000000"/>
                <w:szCs w:val="21"/>
              </w:rPr>
              <w:t>高处作业</w:t>
            </w:r>
          </w:p>
        </w:tc>
        <w:tc>
          <w:tcPr>
            <w:tcW w:w="6645" w:type="dxa"/>
            <w:noWrap w:val="0"/>
            <w:vAlign w:val="center"/>
          </w:tcPr>
          <w:p w14:paraId="151FA7D4">
            <w:pPr>
              <w:pStyle w:val="31"/>
              <w:spacing w:line="360" w:lineRule="auto"/>
              <w:rPr>
                <w:rFonts w:ascii="宋体" w:hAnsi="宋体"/>
                <w:color w:val="000000"/>
                <w:szCs w:val="21"/>
              </w:rPr>
            </w:pPr>
            <w:r>
              <w:rPr>
                <w:rFonts w:hint="eastAsia" w:ascii="宋体" w:hAnsi="宋体"/>
                <w:color w:val="000000"/>
                <w:szCs w:val="21"/>
              </w:rPr>
              <w:t>有悬挂安全带的悬索或其它设施，有操作平台，有上下的梯子或其它形式的通道。</w:t>
            </w:r>
          </w:p>
        </w:tc>
      </w:tr>
      <w:tr w14:paraId="759F0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3F2B1B6">
            <w:pPr>
              <w:pStyle w:val="31"/>
              <w:spacing w:line="360" w:lineRule="auto"/>
              <w:jc w:val="center"/>
              <w:rPr>
                <w:rFonts w:ascii="宋体" w:hAnsi="宋体"/>
                <w:color w:val="000000"/>
                <w:szCs w:val="21"/>
              </w:rPr>
            </w:pPr>
          </w:p>
        </w:tc>
        <w:tc>
          <w:tcPr>
            <w:tcW w:w="525" w:type="dxa"/>
            <w:vMerge w:val="continue"/>
            <w:noWrap w:val="0"/>
            <w:vAlign w:val="center"/>
          </w:tcPr>
          <w:p w14:paraId="1F88295A">
            <w:pPr>
              <w:pStyle w:val="31"/>
              <w:spacing w:line="360" w:lineRule="auto"/>
              <w:jc w:val="center"/>
              <w:rPr>
                <w:rFonts w:ascii="宋体" w:hAnsi="宋体"/>
                <w:color w:val="000000"/>
                <w:szCs w:val="21"/>
              </w:rPr>
            </w:pPr>
          </w:p>
        </w:tc>
        <w:tc>
          <w:tcPr>
            <w:tcW w:w="1545" w:type="dxa"/>
            <w:noWrap w:val="0"/>
            <w:vAlign w:val="center"/>
          </w:tcPr>
          <w:p w14:paraId="56101DD2">
            <w:pPr>
              <w:pStyle w:val="31"/>
              <w:spacing w:line="360" w:lineRule="auto"/>
              <w:rPr>
                <w:rFonts w:ascii="宋体" w:hAnsi="宋体"/>
                <w:color w:val="000000"/>
                <w:szCs w:val="21"/>
              </w:rPr>
            </w:pPr>
            <w:r>
              <w:rPr>
                <w:rFonts w:hint="eastAsia" w:ascii="宋体" w:hAnsi="宋体"/>
                <w:color w:val="000000"/>
                <w:szCs w:val="21"/>
              </w:rPr>
              <w:t>基坑、物料平台</w:t>
            </w:r>
          </w:p>
        </w:tc>
        <w:tc>
          <w:tcPr>
            <w:tcW w:w="6645" w:type="dxa"/>
            <w:noWrap w:val="0"/>
            <w:vAlign w:val="center"/>
          </w:tcPr>
          <w:p w14:paraId="4E5EAA26">
            <w:pPr>
              <w:pStyle w:val="31"/>
              <w:spacing w:line="360" w:lineRule="auto"/>
              <w:rPr>
                <w:rFonts w:ascii="宋体" w:hAnsi="宋体"/>
                <w:color w:val="000000"/>
                <w:szCs w:val="21"/>
              </w:rPr>
            </w:pPr>
            <w:r>
              <w:rPr>
                <w:rFonts w:hint="eastAsia" w:ascii="宋体" w:hAnsi="宋体"/>
                <w:color w:val="000000"/>
                <w:szCs w:val="21"/>
              </w:rPr>
              <w:t>设1.2m高标准化的防护栏，用密目式安全立网封闭，悬挂标识。</w:t>
            </w:r>
          </w:p>
        </w:tc>
      </w:tr>
      <w:tr w14:paraId="61F5E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C7B46E5">
            <w:pPr>
              <w:pStyle w:val="31"/>
              <w:spacing w:line="360" w:lineRule="auto"/>
              <w:jc w:val="center"/>
              <w:rPr>
                <w:rFonts w:ascii="宋体" w:hAnsi="宋体"/>
                <w:color w:val="000000"/>
                <w:szCs w:val="21"/>
              </w:rPr>
            </w:pPr>
          </w:p>
        </w:tc>
        <w:tc>
          <w:tcPr>
            <w:tcW w:w="2070" w:type="dxa"/>
            <w:gridSpan w:val="2"/>
            <w:noWrap w:val="0"/>
            <w:vAlign w:val="center"/>
          </w:tcPr>
          <w:p w14:paraId="2EC37F97">
            <w:pPr>
              <w:pStyle w:val="31"/>
              <w:spacing w:line="360" w:lineRule="auto"/>
              <w:jc w:val="center"/>
              <w:rPr>
                <w:rFonts w:ascii="宋体" w:hAnsi="宋体"/>
                <w:color w:val="000000"/>
                <w:szCs w:val="21"/>
              </w:rPr>
            </w:pPr>
            <w:r>
              <w:rPr>
                <w:rFonts w:hint="eastAsia" w:ascii="宋体" w:hAnsi="宋体"/>
                <w:color w:val="000000"/>
                <w:szCs w:val="21"/>
              </w:rPr>
              <w:t>安全防护用品</w:t>
            </w:r>
          </w:p>
        </w:tc>
        <w:tc>
          <w:tcPr>
            <w:tcW w:w="6645" w:type="dxa"/>
            <w:noWrap w:val="0"/>
            <w:vAlign w:val="center"/>
          </w:tcPr>
          <w:p w14:paraId="5945AE86">
            <w:pPr>
              <w:pStyle w:val="31"/>
              <w:spacing w:line="360" w:lineRule="auto"/>
              <w:rPr>
                <w:rFonts w:ascii="宋体" w:hAnsi="宋体"/>
                <w:color w:val="000000"/>
                <w:szCs w:val="21"/>
              </w:rPr>
            </w:pPr>
            <w:r>
              <w:rPr>
                <w:rFonts w:hint="eastAsia" w:ascii="宋体" w:hAnsi="宋体"/>
                <w:color w:val="000000"/>
                <w:szCs w:val="21"/>
              </w:rPr>
              <w:t>安全帽、安全带、特种作业人员（电工、焊工、架子工等）防护服装、用品等。</w:t>
            </w:r>
          </w:p>
        </w:tc>
      </w:tr>
      <w:tr w14:paraId="1DFB2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03ED3023">
            <w:pPr>
              <w:pStyle w:val="31"/>
              <w:spacing w:line="360" w:lineRule="auto"/>
              <w:jc w:val="center"/>
              <w:rPr>
                <w:rFonts w:ascii="宋体" w:hAnsi="宋体"/>
                <w:color w:val="000000"/>
                <w:szCs w:val="21"/>
              </w:rPr>
            </w:pPr>
            <w:r>
              <w:rPr>
                <w:rFonts w:hint="eastAsia" w:ascii="宋体" w:hAnsi="宋体"/>
                <w:color w:val="000000"/>
                <w:szCs w:val="21"/>
              </w:rPr>
              <w:t>其它</w:t>
            </w:r>
          </w:p>
        </w:tc>
        <w:tc>
          <w:tcPr>
            <w:tcW w:w="525" w:type="dxa"/>
            <w:vMerge w:val="restart"/>
            <w:noWrap w:val="0"/>
            <w:vAlign w:val="center"/>
          </w:tcPr>
          <w:p w14:paraId="7E65BE0A">
            <w:pPr>
              <w:pStyle w:val="31"/>
              <w:spacing w:line="360" w:lineRule="auto"/>
              <w:jc w:val="center"/>
              <w:rPr>
                <w:rFonts w:ascii="宋体" w:hAnsi="宋体"/>
                <w:color w:val="000000"/>
                <w:szCs w:val="21"/>
              </w:rPr>
            </w:pPr>
            <w:r>
              <w:rPr>
                <w:rFonts w:hint="eastAsia" w:ascii="宋体" w:hAnsi="宋体"/>
                <w:color w:val="000000"/>
                <w:szCs w:val="21"/>
              </w:rPr>
              <w:t>机械设备防护</w:t>
            </w:r>
          </w:p>
        </w:tc>
        <w:tc>
          <w:tcPr>
            <w:tcW w:w="1545" w:type="dxa"/>
            <w:noWrap w:val="0"/>
            <w:vAlign w:val="center"/>
          </w:tcPr>
          <w:p w14:paraId="6EF58143">
            <w:pPr>
              <w:pStyle w:val="31"/>
              <w:spacing w:line="360" w:lineRule="auto"/>
              <w:jc w:val="center"/>
              <w:rPr>
                <w:rFonts w:ascii="宋体" w:hAnsi="宋体"/>
                <w:color w:val="000000"/>
                <w:szCs w:val="21"/>
              </w:rPr>
            </w:pPr>
            <w:r>
              <w:rPr>
                <w:rFonts w:hint="eastAsia" w:ascii="宋体" w:hAnsi="宋体"/>
                <w:color w:val="000000"/>
                <w:szCs w:val="21"/>
              </w:rPr>
              <w:t>中小型机械</w:t>
            </w:r>
          </w:p>
        </w:tc>
        <w:tc>
          <w:tcPr>
            <w:tcW w:w="6645" w:type="dxa"/>
            <w:noWrap w:val="0"/>
            <w:vAlign w:val="center"/>
          </w:tcPr>
          <w:p w14:paraId="2C818A6F">
            <w:pPr>
              <w:pStyle w:val="31"/>
              <w:spacing w:line="360" w:lineRule="auto"/>
              <w:rPr>
                <w:rFonts w:ascii="宋体" w:hAnsi="宋体"/>
                <w:color w:val="000000"/>
                <w:szCs w:val="21"/>
              </w:rPr>
            </w:pPr>
            <w:r>
              <w:rPr>
                <w:rFonts w:hint="eastAsia" w:ascii="宋体" w:hAnsi="宋体"/>
                <w:color w:val="000000"/>
                <w:szCs w:val="21"/>
              </w:rPr>
              <w:t>设防护棚（同通道口防护并有防雨措施）。</w:t>
            </w:r>
          </w:p>
        </w:tc>
      </w:tr>
      <w:tr w14:paraId="71E0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AA30D65">
            <w:pPr>
              <w:pStyle w:val="31"/>
              <w:spacing w:line="360" w:lineRule="auto"/>
              <w:jc w:val="center"/>
              <w:rPr>
                <w:rFonts w:ascii="宋体" w:hAnsi="宋体"/>
                <w:color w:val="000000"/>
                <w:szCs w:val="21"/>
              </w:rPr>
            </w:pPr>
          </w:p>
        </w:tc>
        <w:tc>
          <w:tcPr>
            <w:tcW w:w="525" w:type="dxa"/>
            <w:vMerge w:val="continue"/>
            <w:noWrap w:val="0"/>
            <w:vAlign w:val="center"/>
          </w:tcPr>
          <w:p w14:paraId="051E3F5B">
            <w:pPr>
              <w:pStyle w:val="31"/>
              <w:spacing w:line="360" w:lineRule="auto"/>
              <w:jc w:val="center"/>
              <w:rPr>
                <w:rFonts w:ascii="宋体" w:hAnsi="宋体"/>
                <w:color w:val="000000"/>
                <w:szCs w:val="21"/>
              </w:rPr>
            </w:pPr>
          </w:p>
        </w:tc>
        <w:tc>
          <w:tcPr>
            <w:tcW w:w="1545" w:type="dxa"/>
            <w:noWrap w:val="0"/>
            <w:vAlign w:val="center"/>
          </w:tcPr>
          <w:p w14:paraId="4D4F16AD">
            <w:pPr>
              <w:pStyle w:val="31"/>
              <w:spacing w:line="360" w:lineRule="auto"/>
              <w:jc w:val="center"/>
              <w:rPr>
                <w:rFonts w:ascii="宋体" w:hAnsi="宋体"/>
                <w:color w:val="000000"/>
                <w:szCs w:val="21"/>
              </w:rPr>
            </w:pPr>
            <w:r>
              <w:rPr>
                <w:rFonts w:hint="eastAsia" w:ascii="宋体" w:hAnsi="宋体"/>
                <w:color w:val="000000"/>
                <w:szCs w:val="21"/>
              </w:rPr>
              <w:t>垂直运输设备</w:t>
            </w:r>
          </w:p>
        </w:tc>
        <w:tc>
          <w:tcPr>
            <w:tcW w:w="6645" w:type="dxa"/>
            <w:noWrap w:val="0"/>
            <w:vAlign w:val="center"/>
          </w:tcPr>
          <w:p w14:paraId="7AF82E8E">
            <w:pPr>
              <w:pStyle w:val="31"/>
              <w:spacing w:line="360" w:lineRule="auto"/>
              <w:rPr>
                <w:rFonts w:ascii="宋体" w:hAnsi="宋体"/>
                <w:color w:val="000000"/>
                <w:szCs w:val="21"/>
              </w:rPr>
            </w:pPr>
            <w:r>
              <w:rPr>
                <w:rFonts w:hint="eastAsia" w:ascii="宋体" w:hAnsi="宋体"/>
                <w:color w:val="000000"/>
                <w:szCs w:val="21"/>
              </w:rPr>
              <w:t>1. 垂直运输设备检测、检验、日常维护、保养等。</w:t>
            </w:r>
          </w:p>
          <w:p w14:paraId="0CF1DA2C">
            <w:pPr>
              <w:pStyle w:val="31"/>
              <w:spacing w:line="360" w:lineRule="auto"/>
              <w:rPr>
                <w:rFonts w:ascii="宋体" w:hAnsi="宋体"/>
                <w:color w:val="000000"/>
                <w:szCs w:val="21"/>
              </w:rPr>
            </w:pPr>
            <w:r>
              <w:rPr>
                <w:rFonts w:hint="eastAsia" w:ascii="宋体" w:hAnsi="宋体"/>
                <w:color w:val="000000"/>
                <w:szCs w:val="21"/>
              </w:rPr>
              <w:t>2. 物料提升机、施工电梯等物料平台搭设、外侧用密目式安全立网全封闭，有安全通道、安全防护门、防护棚等。</w:t>
            </w:r>
          </w:p>
        </w:tc>
      </w:tr>
      <w:tr w14:paraId="35252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D4E3715">
            <w:pPr>
              <w:pStyle w:val="31"/>
              <w:spacing w:line="360" w:lineRule="auto"/>
              <w:jc w:val="center"/>
              <w:rPr>
                <w:rFonts w:ascii="宋体" w:hAnsi="宋体"/>
                <w:color w:val="000000"/>
                <w:szCs w:val="21"/>
              </w:rPr>
            </w:pPr>
          </w:p>
        </w:tc>
        <w:tc>
          <w:tcPr>
            <w:tcW w:w="2070" w:type="dxa"/>
            <w:gridSpan w:val="2"/>
            <w:noWrap w:val="0"/>
            <w:vAlign w:val="center"/>
          </w:tcPr>
          <w:p w14:paraId="4DED02F6">
            <w:pPr>
              <w:pStyle w:val="31"/>
              <w:spacing w:line="360" w:lineRule="auto"/>
              <w:jc w:val="center"/>
              <w:rPr>
                <w:rFonts w:ascii="宋体" w:hAnsi="宋体"/>
                <w:color w:val="000000"/>
                <w:szCs w:val="21"/>
              </w:rPr>
            </w:pPr>
            <w:r>
              <w:rPr>
                <w:rFonts w:hint="eastAsia" w:ascii="宋体" w:hAnsi="宋体"/>
                <w:color w:val="000000"/>
                <w:szCs w:val="21"/>
              </w:rPr>
              <w:t>专家论证审查</w:t>
            </w:r>
          </w:p>
        </w:tc>
        <w:tc>
          <w:tcPr>
            <w:tcW w:w="6645" w:type="dxa"/>
            <w:noWrap w:val="0"/>
            <w:vAlign w:val="center"/>
          </w:tcPr>
          <w:p w14:paraId="0C41D694">
            <w:pPr>
              <w:pStyle w:val="31"/>
              <w:spacing w:line="360" w:lineRule="auto"/>
              <w:rPr>
                <w:rFonts w:ascii="宋体" w:hAnsi="宋体"/>
                <w:color w:val="000000"/>
                <w:szCs w:val="21"/>
              </w:rPr>
            </w:pPr>
            <w:r>
              <w:rPr>
                <w:rFonts w:hint="eastAsia" w:ascii="宋体" w:hAnsi="宋体"/>
                <w:color w:val="000000"/>
                <w:szCs w:val="21"/>
              </w:rPr>
              <w:t>超过一定规模的危险性较大分部分项工程专家论证审查。</w:t>
            </w:r>
          </w:p>
        </w:tc>
      </w:tr>
      <w:tr w14:paraId="43B7F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BDF4628">
            <w:pPr>
              <w:pStyle w:val="31"/>
              <w:spacing w:line="360" w:lineRule="auto"/>
              <w:jc w:val="center"/>
              <w:rPr>
                <w:rFonts w:ascii="宋体" w:hAnsi="宋体"/>
                <w:color w:val="000000"/>
                <w:szCs w:val="21"/>
              </w:rPr>
            </w:pPr>
          </w:p>
        </w:tc>
        <w:tc>
          <w:tcPr>
            <w:tcW w:w="2070" w:type="dxa"/>
            <w:gridSpan w:val="2"/>
            <w:noWrap w:val="0"/>
            <w:vAlign w:val="center"/>
          </w:tcPr>
          <w:p w14:paraId="15E1461F">
            <w:pPr>
              <w:pStyle w:val="31"/>
              <w:spacing w:line="360" w:lineRule="auto"/>
              <w:jc w:val="center"/>
              <w:rPr>
                <w:rFonts w:ascii="宋体" w:hAnsi="宋体"/>
                <w:color w:val="000000"/>
                <w:szCs w:val="21"/>
              </w:rPr>
            </w:pPr>
            <w:r>
              <w:rPr>
                <w:rFonts w:hint="eastAsia" w:ascii="宋体" w:hAnsi="宋体"/>
                <w:color w:val="000000"/>
                <w:szCs w:val="21"/>
              </w:rPr>
              <w:t>应急救援预案</w:t>
            </w:r>
          </w:p>
        </w:tc>
        <w:tc>
          <w:tcPr>
            <w:tcW w:w="6645" w:type="dxa"/>
            <w:noWrap w:val="0"/>
            <w:vAlign w:val="center"/>
          </w:tcPr>
          <w:p w14:paraId="5A21B539">
            <w:pPr>
              <w:pStyle w:val="31"/>
              <w:spacing w:line="360" w:lineRule="auto"/>
              <w:rPr>
                <w:rFonts w:ascii="宋体" w:hAnsi="宋体"/>
                <w:color w:val="000000"/>
                <w:szCs w:val="21"/>
              </w:rPr>
            </w:pPr>
            <w:r>
              <w:rPr>
                <w:rFonts w:hint="eastAsia" w:ascii="宋体" w:hAnsi="宋体"/>
                <w:color w:val="000000"/>
                <w:szCs w:val="21"/>
              </w:rPr>
              <w:t>救援器材准备及演练等。</w:t>
            </w:r>
          </w:p>
        </w:tc>
      </w:tr>
      <w:tr w14:paraId="5AD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44AB0E">
            <w:pPr>
              <w:pStyle w:val="31"/>
              <w:spacing w:line="360" w:lineRule="auto"/>
              <w:jc w:val="center"/>
              <w:rPr>
                <w:rFonts w:ascii="宋体" w:hAnsi="宋体"/>
                <w:color w:val="000000"/>
                <w:szCs w:val="21"/>
              </w:rPr>
            </w:pPr>
          </w:p>
        </w:tc>
        <w:tc>
          <w:tcPr>
            <w:tcW w:w="2070" w:type="dxa"/>
            <w:gridSpan w:val="2"/>
            <w:noWrap w:val="0"/>
            <w:vAlign w:val="center"/>
          </w:tcPr>
          <w:p w14:paraId="09564948">
            <w:pPr>
              <w:pStyle w:val="31"/>
              <w:spacing w:line="360" w:lineRule="auto"/>
              <w:jc w:val="center"/>
              <w:rPr>
                <w:rFonts w:ascii="宋体" w:hAnsi="宋体"/>
                <w:color w:val="000000"/>
                <w:szCs w:val="21"/>
              </w:rPr>
            </w:pPr>
            <w:r>
              <w:rPr>
                <w:rFonts w:hint="eastAsia" w:ascii="宋体" w:hAnsi="宋体"/>
                <w:color w:val="000000"/>
                <w:szCs w:val="21"/>
              </w:rPr>
              <w:t>非正常情况施工</w:t>
            </w:r>
          </w:p>
        </w:tc>
        <w:tc>
          <w:tcPr>
            <w:tcW w:w="6645" w:type="dxa"/>
            <w:noWrap w:val="0"/>
            <w:vAlign w:val="center"/>
          </w:tcPr>
          <w:p w14:paraId="1DA4C4F0">
            <w:pPr>
              <w:pStyle w:val="31"/>
              <w:spacing w:line="360" w:lineRule="auto"/>
              <w:rPr>
                <w:rFonts w:ascii="宋体" w:hAnsi="宋体"/>
                <w:color w:val="000000"/>
                <w:szCs w:val="21"/>
              </w:rPr>
            </w:pPr>
            <w:r>
              <w:rPr>
                <w:rFonts w:hint="eastAsia" w:ascii="宋体" w:hAnsi="宋体"/>
                <w:color w:val="000000"/>
                <w:szCs w:val="21"/>
              </w:rPr>
              <w:t>其它特殊情况下的防护费用，如：城市主干道、人流密集、河边等处施工及文物、古建筑、古树保护等。</w:t>
            </w:r>
          </w:p>
        </w:tc>
      </w:tr>
    </w:tbl>
    <w:p w14:paraId="760AAB7F">
      <w:pPr>
        <w:pStyle w:val="11"/>
        <w:rPr>
          <w:color w:val="000000"/>
        </w:rPr>
      </w:pPr>
      <w:r>
        <w:rPr>
          <w:color w:val="000000"/>
        </w:rPr>
        <w:t>注：本表所列建设工程安全文明施工费，是依据现行法律法规及标准、规范确定的。如法律法规和标准、规范修订，本表所列项目应按照修订后的法律法规和标准规范进行调整。</w:t>
      </w:r>
    </w:p>
    <w:p w14:paraId="208DFFB6">
      <w:pPr>
        <w:pStyle w:val="2"/>
        <w:numPr>
          <w:ilvl w:val="0"/>
          <w:numId w:val="52"/>
        </w:numPr>
        <w:tabs>
          <w:tab w:val="clear" w:pos="482"/>
        </w:tabs>
        <w:bidi w:val="0"/>
        <w:ind w:left="0" w:leftChars="0" w:firstLine="480" w:firstLineChars="0"/>
      </w:pPr>
      <w:r>
        <w:br w:type="page"/>
      </w:r>
      <w:r>
        <w:t>项目经理须具备公路工程或市政公用工程专业二级（含二级）以上注册建造师执业资格，具备有效的安全生产考核合格证书（B类）的证明材料复印件</w:t>
      </w:r>
    </w:p>
    <w:p w14:paraId="39ED3919">
      <w:pPr>
        <w:pStyle w:val="26"/>
        <w:spacing w:line="360" w:lineRule="auto"/>
        <w:rPr>
          <w:rFonts w:hint="eastAsia"/>
        </w:rPr>
      </w:pPr>
    </w:p>
    <w:p w14:paraId="26120078">
      <w:pPr>
        <w:pStyle w:val="26"/>
        <w:spacing w:line="360" w:lineRule="auto"/>
        <w:rPr>
          <w:rFonts w:hint="eastAsia"/>
        </w:rPr>
      </w:pPr>
    </w:p>
    <w:p w14:paraId="5FF5641B">
      <w:pPr>
        <w:pStyle w:val="26"/>
        <w:spacing w:line="360" w:lineRule="auto"/>
        <w:rPr>
          <w:rFonts w:hint="eastAsia"/>
        </w:rPr>
      </w:pPr>
    </w:p>
    <w:p w14:paraId="184A36AA">
      <w:pPr>
        <w:pStyle w:val="2"/>
        <w:numPr>
          <w:ilvl w:val="0"/>
          <w:numId w:val="52"/>
        </w:numPr>
        <w:tabs>
          <w:tab w:val="clear" w:pos="482"/>
        </w:tabs>
        <w:bidi w:val="0"/>
        <w:ind w:left="0" w:leftChars="0" w:firstLine="480" w:firstLineChars="0"/>
      </w:pPr>
      <w:r>
        <w:t>磋商供应商提供近半年内连续三个月的依法缴纳的社保费凭证复印件或者《依法缴纳或依法交社保证明》复印件（如社保凭证或证明未包含养老保险及医疗保险部分，供应商须同时提供养老保险及医疗保险凭证或缴纳证明），如为新成立的磋商单位请按实际依法缴纳月份提供（必须提供，并加盖公章）；</w:t>
      </w:r>
    </w:p>
    <w:p w14:paraId="44506439">
      <w:pPr>
        <w:spacing w:line="360" w:lineRule="auto"/>
        <w:ind w:left="420"/>
        <w:rPr>
          <w:rFonts w:hint="eastAsia" w:ascii="宋体" w:hAnsi="宋体"/>
          <w:b/>
          <w:color w:val="000000"/>
          <w:sz w:val="24"/>
        </w:rPr>
      </w:pPr>
    </w:p>
    <w:p w14:paraId="3EE5698C">
      <w:pPr>
        <w:pStyle w:val="26"/>
        <w:rPr>
          <w:rFonts w:hint="eastAsia"/>
        </w:rPr>
      </w:pPr>
    </w:p>
    <w:p w14:paraId="7BA1F3D7">
      <w:pPr>
        <w:pStyle w:val="2"/>
        <w:numPr>
          <w:ilvl w:val="0"/>
          <w:numId w:val="52"/>
        </w:numPr>
        <w:tabs>
          <w:tab w:val="clear" w:pos="482"/>
        </w:tabs>
        <w:bidi w:val="0"/>
        <w:ind w:left="0" w:leftChars="0" w:firstLine="480" w:firstLineChars="0"/>
      </w:pPr>
      <w:r>
        <w:t>磋商供应商提供近半年内连续三个月依法纳税的完税凭证复印件或者《依法纳税或依法免税证明》复印件，如为新成立的磋商单位请按实际依法缴纳月份提供（必须提供，并加盖公章）；</w:t>
      </w:r>
    </w:p>
    <w:p w14:paraId="53EA38EE">
      <w:pPr>
        <w:spacing w:line="360" w:lineRule="auto"/>
        <w:ind w:left="420"/>
        <w:rPr>
          <w:rFonts w:hint="eastAsia" w:ascii="宋体" w:hAnsi="宋体"/>
          <w:b/>
          <w:color w:val="000000"/>
          <w:sz w:val="24"/>
        </w:rPr>
      </w:pPr>
    </w:p>
    <w:p w14:paraId="0EC26AA9">
      <w:pPr>
        <w:spacing w:line="360" w:lineRule="auto"/>
        <w:ind w:left="420"/>
        <w:rPr>
          <w:rFonts w:hint="eastAsia" w:ascii="宋体" w:hAnsi="宋体"/>
          <w:b/>
          <w:color w:val="000000"/>
          <w:sz w:val="24"/>
        </w:rPr>
      </w:pPr>
    </w:p>
    <w:p w14:paraId="639C6BD6">
      <w:pPr>
        <w:spacing w:line="360" w:lineRule="auto"/>
        <w:ind w:left="420"/>
        <w:rPr>
          <w:rFonts w:hint="eastAsia" w:ascii="宋体" w:hAnsi="宋体"/>
          <w:b/>
          <w:color w:val="000000"/>
          <w:sz w:val="24"/>
        </w:rPr>
      </w:pPr>
    </w:p>
    <w:p w14:paraId="722A968D">
      <w:pPr>
        <w:pStyle w:val="2"/>
        <w:numPr>
          <w:ilvl w:val="0"/>
          <w:numId w:val="52"/>
        </w:numPr>
        <w:tabs>
          <w:tab w:val="clear" w:pos="482"/>
        </w:tabs>
        <w:bidi w:val="0"/>
        <w:ind w:left="0" w:leftChars="0" w:firstLine="480" w:firstLineChars="0"/>
      </w:pPr>
      <w:r>
        <w:t>磋商供应商2022或2023年度经审计财务报告复印件（若为新成立的企业，可根据实际情况提供月度财务报表，格式自拟）；</w:t>
      </w:r>
    </w:p>
    <w:p w14:paraId="29494A33">
      <w:pPr>
        <w:spacing w:line="360" w:lineRule="auto"/>
        <w:rPr>
          <w:rFonts w:hint="eastAsia" w:ascii="宋体" w:hAnsi="宋体"/>
          <w:b/>
          <w:color w:val="000000"/>
          <w:sz w:val="24"/>
        </w:rPr>
      </w:pPr>
    </w:p>
    <w:p w14:paraId="050CEF89">
      <w:pPr>
        <w:spacing w:line="360" w:lineRule="auto"/>
        <w:rPr>
          <w:rFonts w:hint="eastAsia" w:ascii="宋体" w:hAnsi="宋体"/>
          <w:b/>
          <w:color w:val="000000"/>
          <w:sz w:val="24"/>
        </w:rPr>
      </w:pPr>
    </w:p>
    <w:p w14:paraId="326EED63">
      <w:pPr>
        <w:spacing w:line="360" w:lineRule="auto"/>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036554DE">
      <w:pPr>
        <w:pStyle w:val="2"/>
        <w:numPr>
          <w:ilvl w:val="0"/>
          <w:numId w:val="52"/>
        </w:numPr>
        <w:tabs>
          <w:tab w:val="clear" w:pos="482"/>
        </w:tabs>
        <w:bidi w:val="0"/>
        <w:ind w:left="0" w:leftChars="0" w:firstLine="480" w:firstLineChars="0"/>
      </w:pPr>
      <w:r>
        <w:t>参加政府采购活动前3年内在经营活动中没有重大违法记录的书面声明</w:t>
      </w:r>
    </w:p>
    <w:p w14:paraId="072A7AC0">
      <w:pPr>
        <w:spacing w:line="360" w:lineRule="auto"/>
        <w:ind w:firstLine="240" w:firstLineChars="100"/>
        <w:rPr>
          <w:rStyle w:val="32"/>
          <w:rFonts w:hint="eastAsia" w:ascii="宋体" w:hAnsi="宋体" w:cs="宋体"/>
          <w:color w:val="000000"/>
          <w:sz w:val="24"/>
          <w:u w:val="single"/>
        </w:rPr>
      </w:pPr>
    </w:p>
    <w:p w14:paraId="666F7A5E">
      <w:pPr>
        <w:spacing w:line="360" w:lineRule="auto"/>
        <w:ind w:firstLine="240" w:firstLineChars="100"/>
        <w:rPr>
          <w:rStyle w:val="32"/>
          <w:rFonts w:hint="eastAsia" w:ascii="宋体" w:hAnsi="宋体" w:cs="宋体"/>
          <w:color w:val="000000"/>
          <w:sz w:val="24"/>
          <w:u w:val="single"/>
        </w:rPr>
      </w:pPr>
    </w:p>
    <w:p w14:paraId="6F80DFC9">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000000"/>
          <w:u w:val="single"/>
        </w:rPr>
      </w:pPr>
      <w:r>
        <w:rPr>
          <w:rStyle w:val="32"/>
          <w:rFonts w:hint="eastAsia"/>
          <w:color w:val="000000"/>
          <w:u w:val="single"/>
          <w:lang w:eastAsia="zh-CN"/>
        </w:rPr>
        <w:t>广西国立工程咨询有限公司</w:t>
      </w:r>
      <w:r>
        <w:rPr>
          <w:rStyle w:val="32"/>
          <w:color w:val="000000"/>
          <w:u w:val="single"/>
        </w:rPr>
        <w:t>：</w:t>
      </w:r>
    </w:p>
    <w:p w14:paraId="5E36A3E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color w:val="000000"/>
        </w:rPr>
      </w:pPr>
      <w:r>
        <w:rPr>
          <w:rStyle w:val="32"/>
          <w:color w:val="000000"/>
        </w:rPr>
        <w:t>我公司参加贵公司组织</w:t>
      </w:r>
      <w:r>
        <w:rPr>
          <w:rStyle w:val="32"/>
          <w:color w:val="000000"/>
          <w:u w:val="single"/>
        </w:rPr>
        <w:t xml:space="preserve">         </w:t>
      </w:r>
      <w:r>
        <w:rPr>
          <w:rStyle w:val="32"/>
          <w:color w:val="000000"/>
        </w:rPr>
        <w:t>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EAD019F">
      <w:pPr>
        <w:pStyle w:val="11"/>
        <w:rPr>
          <w:color w:val="000000"/>
        </w:rPr>
      </w:pPr>
      <w:r>
        <w:rPr>
          <w:rStyle w:val="32"/>
          <w:color w:val="000000"/>
        </w:rPr>
        <w:t>特此承诺。</w:t>
      </w:r>
    </w:p>
    <w:p w14:paraId="6F5669A9">
      <w:pPr>
        <w:spacing w:line="360" w:lineRule="auto"/>
        <w:ind w:firstLine="480" w:firstLineChars="200"/>
        <w:rPr>
          <w:rFonts w:hint="eastAsia" w:ascii="宋体" w:hAnsi="宋体" w:cs="宋体"/>
          <w:color w:val="000000"/>
          <w:sz w:val="24"/>
        </w:rPr>
      </w:pPr>
    </w:p>
    <w:p w14:paraId="2FCE4D5A">
      <w:pPr>
        <w:spacing w:line="360" w:lineRule="auto"/>
        <w:ind w:firstLine="480" w:firstLineChars="200"/>
        <w:rPr>
          <w:rFonts w:hint="eastAsia" w:ascii="宋体" w:hAnsi="宋体" w:cs="宋体"/>
          <w:color w:val="000000"/>
          <w:sz w:val="24"/>
        </w:rPr>
      </w:pPr>
    </w:p>
    <w:p w14:paraId="0D851938">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 xml:space="preserve">供应商公章：  </w:t>
      </w:r>
    </w:p>
    <w:p w14:paraId="45AB5236">
      <w:pPr>
        <w:spacing w:line="360" w:lineRule="auto"/>
        <w:ind w:firstLine="480" w:firstLineChars="20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法定代表人或委托代理人签字：   </w:t>
      </w:r>
    </w:p>
    <w:p w14:paraId="7E25CD93">
      <w:pPr>
        <w:spacing w:line="360" w:lineRule="auto"/>
        <w:ind w:left="420"/>
        <w:rPr>
          <w:rStyle w:val="32"/>
          <w:rFonts w:hint="eastAsia" w:ascii="Times New Roman" w:hAnsi="Times New Roman" w:eastAsia="宋体" w:cs="Times New Roman"/>
          <w:color w:val="000000"/>
          <w:sz w:val="24"/>
        </w:rPr>
      </w:pPr>
      <w:r>
        <w:rPr>
          <w:rStyle w:val="32"/>
          <w:rFonts w:hint="eastAsia" w:ascii="Times New Roman" w:hAnsi="Times New Roman" w:eastAsia="宋体" w:cs="Times New Roman"/>
          <w:color w:val="000000"/>
          <w:sz w:val="24"/>
        </w:rPr>
        <w:t>日期：     年     月     日</w:t>
      </w:r>
    </w:p>
    <w:p w14:paraId="672AFA16">
      <w:pPr>
        <w:spacing w:line="360" w:lineRule="auto"/>
        <w:ind w:left="420"/>
        <w:rPr>
          <w:rFonts w:hint="eastAsia" w:ascii="宋体" w:hAnsi="宋体"/>
          <w:b/>
          <w:color w:val="000000"/>
          <w:sz w:val="24"/>
        </w:rPr>
      </w:pPr>
    </w:p>
    <w:p w14:paraId="03BEB3B9">
      <w:pPr>
        <w:pStyle w:val="26"/>
        <w:spacing w:line="360" w:lineRule="auto"/>
        <w:rPr>
          <w:rFonts w:hint="eastAsia" w:ascii="宋体" w:hAnsi="宋体"/>
          <w:b/>
        </w:rPr>
      </w:pPr>
    </w:p>
    <w:p w14:paraId="11149A61">
      <w:pPr>
        <w:pStyle w:val="26"/>
        <w:spacing w:line="360" w:lineRule="auto"/>
        <w:rPr>
          <w:rFonts w:hint="eastAsia" w:ascii="宋体" w:hAnsi="宋体"/>
          <w:b/>
        </w:rPr>
      </w:pPr>
    </w:p>
    <w:p w14:paraId="66251B9E">
      <w:pPr>
        <w:pStyle w:val="26"/>
        <w:spacing w:line="360" w:lineRule="auto"/>
        <w:rPr>
          <w:rFonts w:hint="eastAsia" w:ascii="宋体" w:hAnsi="宋体"/>
          <w:b/>
        </w:rPr>
      </w:pPr>
    </w:p>
    <w:p w14:paraId="75F49A10">
      <w:pPr>
        <w:pStyle w:val="26"/>
        <w:spacing w:line="360" w:lineRule="auto"/>
        <w:rPr>
          <w:rFonts w:hint="eastAsia" w:ascii="宋体" w:hAnsi="宋体"/>
          <w:b/>
        </w:rPr>
      </w:pPr>
    </w:p>
    <w:p w14:paraId="65C57AD8">
      <w:pPr>
        <w:pStyle w:val="26"/>
        <w:spacing w:line="360" w:lineRule="auto"/>
        <w:rPr>
          <w:rFonts w:hint="eastAsia" w:ascii="宋体" w:hAnsi="宋体"/>
          <w:b/>
        </w:rPr>
      </w:pPr>
    </w:p>
    <w:p w14:paraId="23A05ABA">
      <w:pPr>
        <w:pStyle w:val="26"/>
        <w:spacing w:line="360" w:lineRule="auto"/>
        <w:rPr>
          <w:rFonts w:hint="eastAsia" w:ascii="宋体" w:hAnsi="宋体"/>
          <w:b/>
        </w:rPr>
      </w:pPr>
    </w:p>
    <w:p w14:paraId="10ADB49F">
      <w:pPr>
        <w:pStyle w:val="26"/>
        <w:spacing w:line="360" w:lineRule="auto"/>
        <w:rPr>
          <w:rFonts w:hint="eastAsia" w:ascii="宋体" w:hAnsi="宋体"/>
          <w:b/>
        </w:rPr>
      </w:pPr>
    </w:p>
    <w:p w14:paraId="1712052A">
      <w:pPr>
        <w:pStyle w:val="26"/>
        <w:spacing w:line="360" w:lineRule="auto"/>
        <w:rPr>
          <w:rFonts w:hint="eastAsia" w:ascii="宋体" w:hAnsi="宋体"/>
          <w:b/>
        </w:rPr>
      </w:pPr>
    </w:p>
    <w:p w14:paraId="4FDE509C">
      <w:pPr>
        <w:pStyle w:val="26"/>
        <w:spacing w:line="360" w:lineRule="auto"/>
        <w:rPr>
          <w:rFonts w:hint="eastAsia" w:ascii="宋体" w:hAnsi="宋体"/>
          <w:b/>
        </w:rPr>
      </w:pPr>
    </w:p>
    <w:p w14:paraId="14B30B7E">
      <w:pPr>
        <w:pStyle w:val="26"/>
        <w:spacing w:line="360" w:lineRule="auto"/>
        <w:rPr>
          <w:rFonts w:hint="eastAsia" w:ascii="宋体" w:hAnsi="宋体"/>
          <w:b/>
        </w:rPr>
      </w:pPr>
    </w:p>
    <w:p w14:paraId="42E02F45">
      <w:pPr>
        <w:pStyle w:val="26"/>
        <w:spacing w:line="360" w:lineRule="auto"/>
        <w:rPr>
          <w:rFonts w:hint="eastAsia" w:ascii="宋体" w:hAnsi="宋体"/>
          <w:b/>
        </w:rPr>
      </w:pPr>
    </w:p>
    <w:p w14:paraId="675B20F4">
      <w:pPr>
        <w:pStyle w:val="26"/>
        <w:spacing w:line="360" w:lineRule="auto"/>
        <w:rPr>
          <w:rFonts w:hint="eastAsia" w:ascii="宋体" w:hAnsi="宋体"/>
          <w:b/>
        </w:rPr>
      </w:pPr>
    </w:p>
    <w:p w14:paraId="340398B9">
      <w:pPr>
        <w:pStyle w:val="2"/>
        <w:numPr>
          <w:ilvl w:val="0"/>
          <w:numId w:val="52"/>
        </w:numPr>
        <w:tabs>
          <w:tab w:val="clear" w:pos="482"/>
        </w:tabs>
        <w:bidi w:val="0"/>
        <w:ind w:left="0" w:leftChars="0" w:firstLine="480" w:firstLineChars="0"/>
      </w:pPr>
      <w:r>
        <w:t>供应商参加本项目无围标串标行为的承诺函（格式）；</w:t>
      </w:r>
    </w:p>
    <w:p w14:paraId="7094715E">
      <w:pPr>
        <w:pStyle w:val="3"/>
        <w:numPr>
          <w:ilvl w:val="0"/>
          <w:numId w:val="54"/>
        </w:numPr>
        <w:tabs>
          <w:tab w:val="clear" w:pos="482"/>
        </w:tabs>
        <w:topLinePunct w:val="0"/>
        <w:ind w:left="0" w:leftChars="0" w:firstLine="482" w:firstLineChars="0"/>
        <w:rPr>
          <w:b/>
        </w:rPr>
      </w:pPr>
      <w:r>
        <w:t>我公司承诺无下列相互串通投标的情形：</w:t>
      </w:r>
    </w:p>
    <w:p w14:paraId="7FC4AD9D">
      <w:pPr>
        <w:pStyle w:val="11"/>
        <w:numPr>
          <w:ilvl w:val="0"/>
          <w:numId w:val="55"/>
        </w:numPr>
        <w:ind w:left="0" w:leftChars="0" w:firstLine="480" w:firstLineChars="0"/>
        <w:rPr>
          <w:b w:val="0"/>
          <w:color w:val="000000"/>
        </w:rPr>
      </w:pPr>
      <w:r>
        <w:rPr>
          <w:color w:val="000000"/>
        </w:rPr>
        <w:t>不同投标人的投标文件由同一单位或者个人编制；或不同投标人报名的IP地址一致的；</w:t>
      </w:r>
    </w:p>
    <w:p w14:paraId="0E9C2095">
      <w:pPr>
        <w:pStyle w:val="11"/>
        <w:numPr>
          <w:ilvl w:val="0"/>
          <w:numId w:val="55"/>
        </w:numPr>
        <w:ind w:left="0" w:leftChars="0" w:firstLine="480" w:firstLineChars="0"/>
        <w:rPr>
          <w:b w:val="0"/>
          <w:color w:val="000000"/>
        </w:rPr>
      </w:pPr>
      <w:r>
        <w:rPr>
          <w:color w:val="000000"/>
        </w:rPr>
        <w:t>不同投标人委托同一单位或者个人办理投标事宜；</w:t>
      </w:r>
    </w:p>
    <w:p w14:paraId="1FB97EFD">
      <w:pPr>
        <w:pStyle w:val="11"/>
        <w:numPr>
          <w:ilvl w:val="0"/>
          <w:numId w:val="55"/>
        </w:numPr>
        <w:ind w:left="0" w:leftChars="0" w:firstLine="480" w:firstLineChars="0"/>
        <w:rPr>
          <w:b w:val="0"/>
          <w:color w:val="000000"/>
        </w:rPr>
      </w:pPr>
      <w:r>
        <w:rPr>
          <w:color w:val="000000"/>
        </w:rPr>
        <w:t>不同的投标人的投标文件载明的项目管理员为同一个人；</w:t>
      </w:r>
    </w:p>
    <w:p w14:paraId="0C03B8A1">
      <w:pPr>
        <w:pStyle w:val="11"/>
        <w:numPr>
          <w:ilvl w:val="0"/>
          <w:numId w:val="55"/>
        </w:numPr>
        <w:ind w:left="0" w:leftChars="0" w:firstLine="480" w:firstLineChars="0"/>
        <w:rPr>
          <w:b w:val="0"/>
          <w:color w:val="000000"/>
        </w:rPr>
      </w:pPr>
      <w:r>
        <w:rPr>
          <w:color w:val="000000"/>
        </w:rPr>
        <w:t>不同投标人的投标文件异常一致或投标报价呈规律性差异；</w:t>
      </w:r>
    </w:p>
    <w:p w14:paraId="3DDDCA6A">
      <w:pPr>
        <w:pStyle w:val="11"/>
        <w:numPr>
          <w:ilvl w:val="0"/>
          <w:numId w:val="55"/>
        </w:numPr>
        <w:ind w:left="0" w:leftChars="0" w:firstLine="480" w:firstLineChars="0"/>
        <w:rPr>
          <w:b w:val="0"/>
          <w:color w:val="000000"/>
        </w:rPr>
      </w:pPr>
      <w:r>
        <w:rPr>
          <w:color w:val="000000"/>
        </w:rPr>
        <w:t>不同投标人的投标文件相互混装；</w:t>
      </w:r>
    </w:p>
    <w:p w14:paraId="57566154">
      <w:pPr>
        <w:pStyle w:val="11"/>
        <w:numPr>
          <w:ilvl w:val="0"/>
          <w:numId w:val="55"/>
        </w:numPr>
        <w:ind w:left="0" w:leftChars="0" w:firstLine="480" w:firstLineChars="0"/>
        <w:rPr>
          <w:b w:val="0"/>
          <w:color w:val="000000"/>
        </w:rPr>
      </w:pPr>
      <w:r>
        <w:rPr>
          <w:color w:val="000000"/>
        </w:rPr>
        <w:t>不同投标人的投标保证金从同一单位或者个人账户转出。</w:t>
      </w:r>
    </w:p>
    <w:p w14:paraId="72E8E9DD">
      <w:pPr>
        <w:pStyle w:val="3"/>
        <w:numPr>
          <w:ilvl w:val="0"/>
          <w:numId w:val="54"/>
        </w:numPr>
        <w:tabs>
          <w:tab w:val="clear" w:pos="482"/>
        </w:tabs>
        <w:topLinePunct w:val="0"/>
        <w:ind w:left="0" w:leftChars="0" w:firstLine="482" w:firstLineChars="0"/>
        <w:rPr>
          <w:b/>
        </w:rPr>
      </w:pPr>
      <w:r>
        <w:t>我公司承诺无下列恶意串通的情形：</w:t>
      </w:r>
    </w:p>
    <w:p w14:paraId="13D30AF1">
      <w:pPr>
        <w:pStyle w:val="11"/>
        <w:numPr>
          <w:ilvl w:val="0"/>
          <w:numId w:val="56"/>
        </w:numPr>
        <w:ind w:left="0" w:leftChars="0" w:firstLine="480" w:firstLineChars="0"/>
        <w:rPr>
          <w:b w:val="0"/>
          <w:color w:val="000000"/>
        </w:rPr>
      </w:pPr>
      <w:r>
        <w:rPr>
          <w:color w:val="000000"/>
        </w:rPr>
        <w:t>供应商直接或者间接从采购人或者采购代理机构处获得其他供应商的相关信息并修改其投标文件或者响应文件；</w:t>
      </w:r>
    </w:p>
    <w:p w14:paraId="4C8B2441">
      <w:pPr>
        <w:pStyle w:val="11"/>
        <w:numPr>
          <w:ilvl w:val="0"/>
          <w:numId w:val="56"/>
        </w:numPr>
        <w:ind w:left="0" w:leftChars="0" w:firstLine="480" w:firstLineChars="0"/>
        <w:rPr>
          <w:b w:val="0"/>
          <w:color w:val="000000"/>
        </w:rPr>
      </w:pPr>
      <w:r>
        <w:rPr>
          <w:color w:val="000000"/>
        </w:rPr>
        <w:t>供应商按照采购人或者采购代理机构的授意撤换、修改投标文件或者响应文件；</w:t>
      </w:r>
    </w:p>
    <w:p w14:paraId="668B9A4A">
      <w:pPr>
        <w:pStyle w:val="11"/>
        <w:numPr>
          <w:ilvl w:val="0"/>
          <w:numId w:val="56"/>
        </w:numPr>
        <w:ind w:left="0" w:leftChars="0" w:firstLine="480" w:firstLineChars="0"/>
        <w:rPr>
          <w:b w:val="0"/>
          <w:color w:val="000000"/>
        </w:rPr>
      </w:pPr>
      <w:r>
        <w:rPr>
          <w:color w:val="000000"/>
        </w:rPr>
        <w:t>供应商之间协商报价、技术方案等投标文件或者响应文件的实质性内容；</w:t>
      </w:r>
    </w:p>
    <w:p w14:paraId="3E6556A6">
      <w:pPr>
        <w:pStyle w:val="11"/>
        <w:numPr>
          <w:ilvl w:val="0"/>
          <w:numId w:val="56"/>
        </w:numPr>
        <w:ind w:left="0" w:leftChars="0" w:firstLine="480" w:firstLineChars="0"/>
        <w:rPr>
          <w:b w:val="0"/>
          <w:color w:val="000000"/>
        </w:rPr>
      </w:pPr>
      <w:r>
        <w:rPr>
          <w:color w:val="000000"/>
        </w:rPr>
        <w:t>属于同一集团、协会、商会等组织成员的供应商按照该组织要求协同参加政府采购活动；</w:t>
      </w:r>
    </w:p>
    <w:p w14:paraId="120DF94D">
      <w:pPr>
        <w:pStyle w:val="11"/>
        <w:numPr>
          <w:ilvl w:val="0"/>
          <w:numId w:val="56"/>
        </w:numPr>
        <w:ind w:left="0" w:leftChars="0" w:firstLine="480" w:firstLineChars="0"/>
        <w:rPr>
          <w:b w:val="0"/>
          <w:color w:val="000000"/>
        </w:rPr>
      </w:pPr>
      <w:r>
        <w:rPr>
          <w:color w:val="000000"/>
        </w:rPr>
        <w:t>供应商之间事先约定一致抬高或者压低投标报价,或者在招标项目中事先约定轮流以高价位或者低价位中标,或者事先约定由某一特定供应商中标,然后再参加投标；</w:t>
      </w:r>
    </w:p>
    <w:p w14:paraId="043FD2E1">
      <w:pPr>
        <w:pStyle w:val="11"/>
        <w:numPr>
          <w:ilvl w:val="0"/>
          <w:numId w:val="56"/>
        </w:numPr>
        <w:ind w:left="0" w:leftChars="0" w:firstLine="480" w:firstLineChars="0"/>
        <w:rPr>
          <w:b w:val="0"/>
          <w:color w:val="000000"/>
        </w:rPr>
      </w:pPr>
      <w:r>
        <w:rPr>
          <w:color w:val="000000"/>
        </w:rPr>
        <w:t>供应商之间商定部分供应商放弃参加政府采购活动或者放弃中标；</w:t>
      </w:r>
    </w:p>
    <w:p w14:paraId="663EEB49">
      <w:pPr>
        <w:pStyle w:val="11"/>
        <w:numPr>
          <w:ilvl w:val="0"/>
          <w:numId w:val="56"/>
        </w:numPr>
        <w:ind w:left="0" w:leftChars="0" w:firstLine="480" w:firstLineChars="0"/>
        <w:rPr>
          <w:b w:val="0"/>
          <w:color w:val="000000"/>
        </w:rPr>
      </w:pPr>
      <w:r>
        <w:rPr>
          <w:color w:val="000000"/>
        </w:rPr>
        <w:t>供应商与采购人或者采购代理机构之间、供应商相互之间，为谋求特定供应商中标或者排斥其他供应商的其他串通行为。</w:t>
      </w:r>
    </w:p>
    <w:p w14:paraId="69966BD3">
      <w:pPr>
        <w:pStyle w:val="11"/>
        <w:rPr>
          <w:b/>
          <w:color w:val="000000"/>
        </w:rPr>
      </w:pPr>
      <w:r>
        <w:rPr>
          <w:b/>
          <w:color w:val="000000"/>
        </w:rPr>
        <w:t>以上情形一经核查属实，我方愿意承担一切后果，并不再寻求任何旨在减轻或免除法律责任的辩解。</w:t>
      </w:r>
    </w:p>
    <w:p w14:paraId="75FB941D">
      <w:pPr>
        <w:pStyle w:val="15"/>
        <w:snapToGrid w:val="0"/>
        <w:spacing w:before="295" w:after="295" w:line="360" w:lineRule="auto"/>
        <w:ind w:firstLine="6840" w:firstLineChars="2850"/>
        <w:rPr>
          <w:rFonts w:hint="eastAsia" w:hAnsi="宋体"/>
          <w:color w:val="000000"/>
          <w:sz w:val="24"/>
          <w:szCs w:val="24"/>
        </w:rPr>
      </w:pPr>
    </w:p>
    <w:p w14:paraId="6A8444B5">
      <w:pPr>
        <w:pStyle w:val="15"/>
        <w:snapToGrid w:val="0"/>
        <w:spacing w:before="295" w:after="295" w:line="360" w:lineRule="auto"/>
        <w:ind w:firstLine="6840" w:firstLineChars="285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（公章）</w:t>
      </w:r>
    </w:p>
    <w:p w14:paraId="6E8FE86F">
      <w:pPr>
        <w:pStyle w:val="15"/>
        <w:snapToGrid w:val="0"/>
        <w:spacing w:before="295" w:after="295" w:line="360" w:lineRule="auto"/>
        <w:rPr>
          <w:rFonts w:ascii="Times New Roman" w:hAnsi="Times New Roman" w:eastAsia="宋体" w:cs="Times New Roman"/>
          <w:color w:val="000000"/>
          <w:sz w:val="24"/>
        </w:rPr>
      </w:pP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年</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月</w:t>
      </w:r>
      <w:r>
        <w:rPr>
          <w:rFonts w:hint="eastAsia"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rPr>
        <w:t>日</w:t>
      </w:r>
    </w:p>
    <w:p w14:paraId="7903B613">
      <w:pPr>
        <w:rPr>
          <w:rFonts w:hint="eastAsia" w:ascii="宋体" w:hAnsi="宋体"/>
          <w:b/>
          <w:color w:val="000000"/>
          <w:sz w:val="24"/>
        </w:rPr>
      </w:pPr>
      <w:r>
        <w:rPr>
          <w:rFonts w:hint="eastAsia" w:ascii="宋体" w:hAnsi="宋体"/>
          <w:b/>
        </w:rPr>
        <w:br w:type="page"/>
      </w:r>
    </w:p>
    <w:p w14:paraId="019053C7">
      <w:pPr>
        <w:pStyle w:val="2"/>
        <w:numPr>
          <w:ilvl w:val="0"/>
          <w:numId w:val="52"/>
        </w:numPr>
        <w:tabs>
          <w:tab w:val="clear" w:pos="482"/>
        </w:tabs>
        <w:bidi w:val="0"/>
        <w:ind w:left="0" w:leftChars="0" w:firstLine="480" w:firstLineChars="0"/>
      </w:pPr>
      <w:r>
        <w:t>供应商认为资格审查需要的其他材料</w:t>
      </w:r>
    </w:p>
    <w:p w14:paraId="75528650">
      <w:pPr>
        <w:spacing w:line="360" w:lineRule="auto"/>
        <w:rPr>
          <w:rFonts w:hint="eastAsia" w:ascii="宋体" w:hAnsi="宋体"/>
          <w:b/>
          <w:color w:val="000000"/>
          <w:sz w:val="32"/>
          <w:szCs w:val="32"/>
        </w:rPr>
      </w:pPr>
      <w:r>
        <w:rPr>
          <w:rFonts w:ascii="宋体" w:hAnsi="宋体"/>
          <w:color w:val="000000"/>
          <w:szCs w:val="21"/>
        </w:rPr>
        <w:br w:type="page"/>
      </w:r>
    </w:p>
    <w:p w14:paraId="10F79356">
      <w:pPr>
        <w:spacing w:line="360" w:lineRule="auto"/>
        <w:jc w:val="center"/>
        <w:rPr>
          <w:rFonts w:hint="eastAsia" w:ascii="宋体" w:hAnsi="宋体"/>
          <w:b/>
          <w:color w:val="000000"/>
          <w:sz w:val="44"/>
          <w:szCs w:val="44"/>
        </w:rPr>
      </w:pPr>
    </w:p>
    <w:p w14:paraId="326A997B">
      <w:pPr>
        <w:spacing w:line="360" w:lineRule="auto"/>
        <w:jc w:val="center"/>
        <w:rPr>
          <w:rFonts w:hint="eastAsia" w:ascii="宋体" w:hAnsi="宋体"/>
          <w:b/>
          <w:color w:val="000000"/>
          <w:sz w:val="44"/>
          <w:szCs w:val="44"/>
        </w:rPr>
      </w:pPr>
    </w:p>
    <w:p w14:paraId="48D03602">
      <w:pPr>
        <w:spacing w:line="360" w:lineRule="auto"/>
        <w:jc w:val="center"/>
        <w:rPr>
          <w:rFonts w:hint="eastAsia" w:ascii="宋体" w:hAnsi="宋体"/>
          <w:b/>
          <w:color w:val="000000"/>
          <w:sz w:val="44"/>
          <w:szCs w:val="44"/>
        </w:rPr>
      </w:pPr>
    </w:p>
    <w:p w14:paraId="31281F7F">
      <w:pPr>
        <w:spacing w:line="360" w:lineRule="auto"/>
        <w:jc w:val="center"/>
        <w:rPr>
          <w:rFonts w:hint="eastAsia" w:ascii="宋体" w:hAnsi="宋体"/>
          <w:b/>
          <w:color w:val="000000"/>
          <w:sz w:val="44"/>
          <w:szCs w:val="44"/>
        </w:rPr>
      </w:pPr>
    </w:p>
    <w:p w14:paraId="65C721B2">
      <w:pPr>
        <w:spacing w:line="360" w:lineRule="auto"/>
        <w:jc w:val="center"/>
        <w:rPr>
          <w:rFonts w:hint="eastAsia" w:ascii="宋体" w:hAnsi="宋体"/>
          <w:b/>
          <w:color w:val="000000"/>
          <w:sz w:val="44"/>
          <w:szCs w:val="44"/>
        </w:rPr>
      </w:pPr>
    </w:p>
    <w:p w14:paraId="1440878F">
      <w:pPr>
        <w:spacing w:line="360" w:lineRule="auto"/>
        <w:jc w:val="center"/>
      </w:pPr>
      <w:r>
        <w:rPr>
          <w:rFonts w:hint="eastAsia" w:ascii="宋体" w:hAnsi="宋体"/>
          <w:b/>
          <w:color w:val="000000"/>
          <w:sz w:val="44"/>
          <w:szCs w:val="44"/>
        </w:rPr>
        <w:t>商务文件</w:t>
      </w:r>
    </w:p>
    <w:p w14:paraId="23B191C7">
      <w:pPr>
        <w:spacing w:line="360" w:lineRule="auto"/>
        <w:jc w:val="center"/>
        <w:rPr>
          <w:rFonts w:hint="eastAsia" w:ascii="宋体" w:hAnsi="宋体"/>
          <w:color w:val="000000"/>
          <w:szCs w:val="21"/>
        </w:rPr>
      </w:pPr>
    </w:p>
    <w:p w14:paraId="7EEB894E">
      <w:pPr>
        <w:spacing w:line="360" w:lineRule="auto"/>
        <w:jc w:val="center"/>
        <w:rPr>
          <w:rFonts w:hint="eastAsia" w:ascii="宋体" w:hAnsi="宋体"/>
          <w:color w:val="000000"/>
          <w:szCs w:val="21"/>
        </w:rPr>
      </w:pPr>
    </w:p>
    <w:p w14:paraId="08F70BB2">
      <w:pPr>
        <w:spacing w:line="360" w:lineRule="auto"/>
        <w:jc w:val="center"/>
        <w:rPr>
          <w:rFonts w:hint="eastAsia" w:ascii="宋体" w:hAnsi="宋体"/>
          <w:color w:val="000000"/>
          <w:szCs w:val="21"/>
        </w:rPr>
      </w:pPr>
    </w:p>
    <w:p w14:paraId="7A9B966A">
      <w:pPr>
        <w:spacing w:line="360" w:lineRule="auto"/>
        <w:jc w:val="center"/>
        <w:rPr>
          <w:rFonts w:hint="eastAsia" w:ascii="宋体" w:hAnsi="宋体"/>
          <w:color w:val="000000"/>
          <w:szCs w:val="21"/>
        </w:rPr>
      </w:pPr>
    </w:p>
    <w:p w14:paraId="022F816F">
      <w:pPr>
        <w:spacing w:line="360" w:lineRule="auto"/>
        <w:jc w:val="center"/>
        <w:rPr>
          <w:rFonts w:hint="eastAsia" w:ascii="宋体" w:hAnsi="宋体"/>
          <w:color w:val="000000"/>
          <w:szCs w:val="21"/>
        </w:rPr>
      </w:pPr>
    </w:p>
    <w:p w14:paraId="2147CF5A">
      <w:pPr>
        <w:spacing w:line="360" w:lineRule="auto"/>
        <w:jc w:val="center"/>
        <w:rPr>
          <w:rFonts w:hint="eastAsia" w:ascii="宋体" w:hAnsi="宋体"/>
          <w:color w:val="000000"/>
          <w:szCs w:val="21"/>
        </w:rPr>
      </w:pPr>
    </w:p>
    <w:p w14:paraId="722C4CDB">
      <w:pPr>
        <w:spacing w:line="360" w:lineRule="auto"/>
        <w:rPr>
          <w:rFonts w:hint="eastAsia" w:ascii="宋体" w:hAnsi="宋体"/>
          <w:color w:val="000000"/>
          <w:szCs w:val="21"/>
        </w:rPr>
      </w:pPr>
      <w:r>
        <w:rPr>
          <w:rFonts w:ascii="宋体" w:hAnsi="宋体"/>
          <w:color w:val="000000"/>
          <w:szCs w:val="21"/>
        </w:rPr>
        <w:br w:type="page"/>
      </w:r>
    </w:p>
    <w:p w14:paraId="2D972BC8">
      <w:pPr>
        <w:pStyle w:val="41"/>
      </w:pPr>
      <w:r>
        <w:t>商务文件目录</w:t>
      </w:r>
    </w:p>
    <w:p w14:paraId="39150185">
      <w:pPr>
        <w:spacing w:line="360" w:lineRule="auto"/>
        <w:jc w:val="center"/>
        <w:rPr>
          <w:rFonts w:hint="eastAsia" w:ascii="宋体" w:hAnsi="宋体"/>
          <w:b/>
          <w:color w:val="000000"/>
          <w:sz w:val="24"/>
        </w:rPr>
      </w:pPr>
      <w:r>
        <w:rPr>
          <w:rFonts w:hint="eastAsia" w:ascii="宋体" w:hAnsi="宋体"/>
          <w:b/>
          <w:color w:val="000000"/>
          <w:sz w:val="24"/>
        </w:rPr>
        <w:t>（应附有页码）</w:t>
      </w:r>
    </w:p>
    <w:p w14:paraId="52F9A0FB">
      <w:pPr>
        <w:spacing w:line="360" w:lineRule="auto"/>
        <w:jc w:val="center"/>
        <w:rPr>
          <w:rFonts w:hint="eastAsia" w:ascii="宋体" w:hAnsi="宋体"/>
          <w:b/>
          <w:color w:val="000000"/>
          <w:sz w:val="24"/>
        </w:rPr>
      </w:pPr>
    </w:p>
    <w:p w14:paraId="398CA7C8">
      <w:pPr>
        <w:numPr>
          <w:ilvl w:val="0"/>
          <w:numId w:val="57"/>
        </w:numPr>
        <w:tabs>
          <w:tab w:val="left" w:pos="0"/>
        </w:tabs>
        <w:spacing w:line="360" w:lineRule="auto"/>
        <w:ind w:left="0" w:leftChars="0" w:firstLine="482" w:firstLineChars="0"/>
        <w:rPr>
          <w:rFonts w:hint="eastAsia" w:ascii="宋体" w:hAnsi="宋体"/>
          <w:b/>
          <w:color w:val="000000"/>
          <w:szCs w:val="21"/>
        </w:rPr>
      </w:pPr>
      <w:r>
        <w:rPr>
          <w:rFonts w:hint="eastAsia" w:ascii="宋体" w:hAnsi="宋体"/>
          <w:color w:val="000000"/>
          <w:szCs w:val="21"/>
        </w:rPr>
        <w:t>磋商函</w:t>
      </w:r>
      <w:r>
        <w:rPr>
          <w:rFonts w:hint="eastAsia" w:ascii="宋体" w:hAnsi="宋体"/>
          <w:b/>
          <w:color w:val="000000"/>
          <w:szCs w:val="21"/>
        </w:rPr>
        <w:t xml:space="preserve"> </w:t>
      </w:r>
    </w:p>
    <w:p w14:paraId="149311F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磋商函附录</w:t>
      </w:r>
    </w:p>
    <w:p w14:paraId="0ECA03B9">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磋商报价表</w:t>
      </w:r>
    </w:p>
    <w:p w14:paraId="4A210192">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已标价工程量清单</w:t>
      </w:r>
    </w:p>
    <w:p w14:paraId="40ADD111">
      <w:pPr>
        <w:numPr>
          <w:ilvl w:val="0"/>
          <w:numId w:val="57"/>
        </w:numPr>
        <w:tabs>
          <w:tab w:val="left" w:pos="0"/>
        </w:tabs>
        <w:spacing w:line="360" w:lineRule="auto"/>
        <w:ind w:left="0" w:leftChars="0" w:firstLine="482" w:firstLineChars="0"/>
        <w:rPr>
          <w:rFonts w:hint="eastAsia" w:ascii="宋体" w:hAnsi="宋体"/>
          <w:color w:val="000000"/>
          <w:szCs w:val="21"/>
        </w:rPr>
      </w:pPr>
      <w:r>
        <w:rPr>
          <w:rFonts w:hint="eastAsia" w:ascii="宋体" w:hAnsi="宋体"/>
          <w:color w:val="000000"/>
          <w:szCs w:val="21"/>
        </w:rPr>
        <w:t>供应商认为必要提供的其它资料</w:t>
      </w:r>
    </w:p>
    <w:p w14:paraId="36078832">
      <w:pPr>
        <w:spacing w:line="360" w:lineRule="auto"/>
        <w:rPr>
          <w:rFonts w:hint="eastAsia" w:ascii="宋体" w:hAnsi="宋体"/>
          <w:color w:val="000000"/>
          <w:szCs w:val="21"/>
        </w:rPr>
      </w:pPr>
    </w:p>
    <w:p w14:paraId="75EE59DF">
      <w:pPr>
        <w:spacing w:line="360" w:lineRule="auto"/>
        <w:ind w:firstLine="5880" w:firstLineChars="2800"/>
        <w:rPr>
          <w:rFonts w:hint="eastAsia" w:ascii="宋体" w:hAnsi="宋体"/>
          <w:color w:val="000000"/>
          <w:szCs w:val="21"/>
        </w:rPr>
      </w:pPr>
    </w:p>
    <w:p w14:paraId="47A7055D">
      <w:pPr>
        <w:pStyle w:val="2"/>
        <w:numPr>
          <w:ilvl w:val="0"/>
          <w:numId w:val="58"/>
        </w:numPr>
        <w:tabs>
          <w:tab w:val="clear" w:pos="482"/>
        </w:tabs>
        <w:ind w:left="0" w:leftChars="0" w:firstLine="482" w:firstLineChars="0"/>
        <w:rPr>
          <w:b/>
        </w:rPr>
      </w:pPr>
      <w:r>
        <w:br w:type="page"/>
      </w:r>
      <w:r>
        <w:t>磋商函（格式）</w:t>
      </w:r>
    </w:p>
    <w:p w14:paraId="4BC6634E">
      <w:pPr>
        <w:pStyle w:val="43"/>
        <w:outlineLvl w:val="9"/>
      </w:pPr>
      <w:bookmarkStart w:id="57" w:name="_Toc6413134"/>
      <w:bookmarkStart w:id="58" w:name="_Toc14342"/>
      <w:r>
        <w:t>磋商函</w:t>
      </w:r>
      <w:bookmarkEnd w:id="57"/>
      <w:bookmarkEnd w:id="58"/>
    </w:p>
    <w:p w14:paraId="2022D7B0">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213E0460">
      <w:pPr>
        <w:tabs>
          <w:tab w:val="left" w:pos="7560"/>
        </w:tabs>
        <w:spacing w:line="360" w:lineRule="auto"/>
        <w:ind w:firstLine="420" w:firstLineChars="200"/>
        <w:rPr>
          <w:rFonts w:ascii="宋体" w:hAnsi="宋体"/>
          <w:color w:val="000000"/>
        </w:rPr>
      </w:pPr>
    </w:p>
    <w:p w14:paraId="4DC6773D">
      <w:pPr>
        <w:pStyle w:val="11"/>
        <w:numPr>
          <w:ilvl w:val="0"/>
          <w:numId w:val="59"/>
        </w:numPr>
        <w:topLinePunct w:val="0"/>
        <w:ind w:left="0" w:leftChars="0" w:firstLine="480" w:firstLineChars="0"/>
        <w:rPr>
          <w:b w:val="0"/>
          <w:color w:val="000000"/>
        </w:rPr>
      </w:pPr>
      <w:r>
        <w:rPr>
          <w:color w:val="000000"/>
        </w:rPr>
        <w:t>根据你方项目编号为</w:t>
      </w:r>
      <w:r>
        <w:rPr>
          <w:color w:val="000000"/>
          <w:u w:val="single"/>
        </w:rPr>
        <w:t xml:space="preserve">  （项目编号）  </w:t>
      </w:r>
      <w:r>
        <w:rPr>
          <w:color w:val="000000"/>
        </w:rPr>
        <w:t>的</w:t>
      </w:r>
      <w:r>
        <w:rPr>
          <w:color w:val="000000"/>
          <w:u w:val="single"/>
        </w:rPr>
        <w:t xml:space="preserve">  （项目名称）  </w:t>
      </w:r>
      <w:r>
        <w:rPr>
          <w:color w:val="000000"/>
        </w:rPr>
        <w:t>工程竞争性磋商文件，遵照《中华人民共和国政府采购法》、《中华人民共和国政府采购法实施条例》、《政府采购竞争性磋商采购方式管理暂行办法》等有关规定，经踏勘项目现场和研究上述竞争性磋商文件的磋商须知、合同条款、图纸、工程建设标准和工程量清单及其他有关文件后，我方愿以人民币（大写）</w:t>
      </w:r>
      <w:r>
        <w:rPr>
          <w:color w:val="000000"/>
          <w:u w:val="single"/>
        </w:rPr>
        <w:t xml:space="preserve">      </w:t>
      </w:r>
      <w:r>
        <w:rPr>
          <w:color w:val="000000"/>
        </w:rPr>
        <w:t>元（小写）</w:t>
      </w:r>
      <w:r>
        <w:rPr>
          <w:color w:val="000000"/>
          <w:u w:val="single"/>
        </w:rPr>
        <w:t xml:space="preserve">￥      </w:t>
      </w:r>
      <w:r>
        <w:rPr>
          <w:color w:val="000000"/>
        </w:rPr>
        <w:t>元，的磋商报价并按上述图纸、合同条款、工程建设标准和工程量清单（如有时）的条件要求承包上述工程的施工、竣工，并承担任何质量缺陷保修责任。我方保证工程质量达到</w:t>
      </w:r>
      <w:r>
        <w:rPr>
          <w:color w:val="000000"/>
          <w:u w:val="single"/>
        </w:rPr>
        <w:t xml:space="preserve">       </w:t>
      </w:r>
      <w:r>
        <w:rPr>
          <w:color w:val="000000"/>
        </w:rPr>
        <w:t>等级。</w:t>
      </w:r>
    </w:p>
    <w:p w14:paraId="0C693CA5">
      <w:pPr>
        <w:pStyle w:val="11"/>
        <w:numPr>
          <w:ilvl w:val="0"/>
          <w:numId w:val="59"/>
        </w:numPr>
        <w:topLinePunct w:val="0"/>
        <w:ind w:left="0" w:leftChars="0" w:firstLine="480" w:firstLineChars="0"/>
        <w:rPr>
          <w:b w:val="0"/>
          <w:color w:val="000000"/>
        </w:rPr>
      </w:pPr>
      <w:r>
        <w:rPr>
          <w:color w:val="000000"/>
        </w:rPr>
        <w:t>我方已详细审核全部竞争性磋商文件，包括修改文件（如有时）及有关附件。</w:t>
      </w:r>
    </w:p>
    <w:p w14:paraId="78886314">
      <w:pPr>
        <w:pStyle w:val="11"/>
        <w:numPr>
          <w:ilvl w:val="0"/>
          <w:numId w:val="59"/>
        </w:numPr>
        <w:topLinePunct w:val="0"/>
        <w:ind w:left="0" w:leftChars="0" w:firstLine="480" w:firstLineChars="0"/>
        <w:rPr>
          <w:b w:val="0"/>
          <w:color w:val="000000"/>
        </w:rPr>
      </w:pPr>
      <w:r>
        <w:rPr>
          <w:color w:val="000000"/>
        </w:rPr>
        <w:t>我方承认磋商函附录是我方磋商函的组成部分。</w:t>
      </w:r>
    </w:p>
    <w:p w14:paraId="5060644D">
      <w:pPr>
        <w:pStyle w:val="11"/>
        <w:numPr>
          <w:ilvl w:val="0"/>
          <w:numId w:val="59"/>
        </w:numPr>
        <w:topLinePunct w:val="0"/>
        <w:ind w:left="0" w:leftChars="0" w:firstLine="480" w:firstLineChars="0"/>
        <w:rPr>
          <w:b w:val="0"/>
          <w:color w:val="000000"/>
        </w:rPr>
      </w:pPr>
      <w:r>
        <w:rPr>
          <w:color w:val="000000"/>
        </w:rPr>
        <w:t>一旦我方成交，我方保证按合同书中规定的工期</w:t>
      </w:r>
      <w:r>
        <w:rPr>
          <w:color w:val="000000"/>
          <w:u w:val="single"/>
        </w:rPr>
        <w:t xml:space="preserve">        </w:t>
      </w:r>
      <w:r>
        <w:rPr>
          <w:color w:val="000000"/>
        </w:rPr>
        <w:t>日历天内完成并移交全部工程。</w:t>
      </w:r>
    </w:p>
    <w:p w14:paraId="6DE77A8A">
      <w:pPr>
        <w:pStyle w:val="11"/>
        <w:numPr>
          <w:ilvl w:val="0"/>
          <w:numId w:val="59"/>
        </w:numPr>
        <w:topLinePunct w:val="0"/>
        <w:ind w:left="0" w:leftChars="0" w:firstLine="480" w:firstLineChars="0"/>
        <w:rPr>
          <w:b w:val="0"/>
          <w:color w:val="000000"/>
        </w:rPr>
      </w:pPr>
      <w:r>
        <w:rPr>
          <w:color w:val="000000"/>
        </w:rPr>
        <w:t>如果我方成交，我方将按照文件规定提交履约保证金作为履约担保。</w:t>
      </w:r>
    </w:p>
    <w:p w14:paraId="23D9EE20">
      <w:pPr>
        <w:pStyle w:val="11"/>
        <w:numPr>
          <w:ilvl w:val="0"/>
          <w:numId w:val="59"/>
        </w:numPr>
        <w:topLinePunct w:val="0"/>
        <w:ind w:left="0" w:leftChars="0" w:firstLine="480" w:firstLineChars="0"/>
        <w:rPr>
          <w:b w:val="0"/>
          <w:color w:val="000000"/>
        </w:rPr>
      </w:pPr>
      <w:r>
        <w:rPr>
          <w:color w:val="000000"/>
        </w:rPr>
        <w:t>我方同意所提交的响应文件在竞争性磋商文件的“磋商须知”中第11条规定的响应文件有效期内有效，在此期间内如果成交，我方将受此约束。</w:t>
      </w:r>
    </w:p>
    <w:p w14:paraId="67983986">
      <w:pPr>
        <w:pStyle w:val="11"/>
        <w:numPr>
          <w:ilvl w:val="0"/>
          <w:numId w:val="59"/>
        </w:numPr>
        <w:topLinePunct w:val="0"/>
        <w:ind w:left="0" w:leftChars="0" w:firstLine="480" w:firstLineChars="0"/>
        <w:rPr>
          <w:b w:val="0"/>
          <w:color w:val="000000"/>
        </w:rPr>
      </w:pPr>
      <w:r>
        <w:rPr>
          <w:color w:val="000000"/>
        </w:rPr>
        <w:t>除非另外达成协议并生效，你方的成交通知书和本响应文件将成为约束双方的合同文件的组成部分。</w:t>
      </w:r>
    </w:p>
    <w:p w14:paraId="2092DF27">
      <w:pPr>
        <w:spacing w:line="360" w:lineRule="auto"/>
        <w:rPr>
          <w:rFonts w:ascii="宋体" w:hAnsi="宋体"/>
          <w:color w:val="000000"/>
        </w:rPr>
      </w:pPr>
    </w:p>
    <w:p w14:paraId="6807F4A7">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供</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应</w:t>
      </w:r>
      <w:r>
        <w:rPr>
          <w:rFonts w:hint="eastAsia" w:ascii="Times New Roman" w:hAnsi="Times New Roman" w:eastAsia="宋体" w:cs="Times New Roman"/>
          <w:color w:val="000000"/>
          <w:sz w:val="24"/>
        </w:rPr>
        <w:t xml:space="preserve"> </w:t>
      </w:r>
      <w:r>
        <w:rPr>
          <w:rFonts w:ascii="Times New Roman" w:hAnsi="Times New Roman" w:eastAsia="宋体" w:cs="Times New Roman"/>
          <w:color w:val="000000"/>
          <w:sz w:val="24"/>
        </w:rPr>
        <w:t>商：</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（盖</w:t>
      </w:r>
      <w:r>
        <w:rPr>
          <w:rFonts w:hint="eastAsia" w:ascii="Times New Roman" w:hAnsi="Times New Roman" w:eastAsia="宋体" w:cs="Times New Roman"/>
          <w:color w:val="000000"/>
          <w:sz w:val="24"/>
          <w:u w:val="single"/>
        </w:rPr>
        <w:t>单位</w:t>
      </w:r>
      <w:r>
        <w:rPr>
          <w:rFonts w:ascii="Times New Roman" w:hAnsi="Times New Roman" w:eastAsia="宋体" w:cs="Times New Roman"/>
          <w:color w:val="000000"/>
          <w:sz w:val="24"/>
          <w:u w:val="single"/>
        </w:rPr>
        <w:t>章）</w:t>
      </w:r>
    </w:p>
    <w:p w14:paraId="26DC7DEA">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单位地址：</w:t>
      </w:r>
      <w:r>
        <w:rPr>
          <w:rFonts w:ascii="Times New Roman" w:hAnsi="Times New Roman" w:eastAsia="宋体" w:cs="Times New Roman"/>
          <w:color w:val="000000"/>
          <w:sz w:val="24"/>
          <w:u w:val="single"/>
        </w:rPr>
        <w:t xml:space="preserve">                       </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p>
    <w:p w14:paraId="645C9590">
      <w:pPr>
        <w:spacing w:line="360" w:lineRule="auto"/>
        <w:ind w:left="1000"/>
        <w:rPr>
          <w:rFonts w:ascii="Times New Roman" w:hAnsi="Times New Roman" w:eastAsia="宋体" w:cs="Times New Roman"/>
          <w:color w:val="000000"/>
          <w:sz w:val="24"/>
          <w:u w:val="single"/>
        </w:rPr>
      </w:pP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w:t>
      </w:r>
      <w:r>
        <w:rPr>
          <w:rFonts w:ascii="Times New Roman" w:hAnsi="Times New Roman" w:eastAsia="宋体" w:cs="Times New Roman"/>
          <w:color w:val="000000"/>
          <w:sz w:val="24"/>
          <w:u w:val="single"/>
        </w:rPr>
        <w:t xml:space="preserve">      （签字或盖章）</w:t>
      </w:r>
    </w:p>
    <w:p w14:paraId="4D289FB2">
      <w:pPr>
        <w:spacing w:line="360" w:lineRule="auto"/>
        <w:ind w:left="1000" w:leftChars="476" w:firstLine="1080" w:firstLineChars="450"/>
        <w:rPr>
          <w:rFonts w:ascii="Times New Roman" w:hAnsi="Times New Roman" w:eastAsia="宋体" w:cs="Times New Roman"/>
          <w:color w:val="000000"/>
          <w:sz w:val="24"/>
        </w:rPr>
      </w:pPr>
      <w:r>
        <w:rPr>
          <w:rFonts w:ascii="Times New Roman" w:hAnsi="Times New Roman" w:eastAsia="宋体" w:cs="Times New Roman"/>
          <w:color w:val="000000"/>
          <w:sz w:val="24"/>
        </w:rPr>
        <w:t>邮政编码：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电话：</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传真：</w:t>
      </w:r>
      <w:r>
        <w:rPr>
          <w:rFonts w:hint="eastAsia" w:ascii="Times New Roman" w:hAnsi="Times New Roman" w:eastAsia="宋体" w:cs="Times New Roman"/>
          <w:color w:val="000000"/>
          <w:sz w:val="24"/>
          <w:u w:val="single"/>
        </w:rPr>
        <w:t xml:space="preserve">          </w:t>
      </w:r>
    </w:p>
    <w:p w14:paraId="2AE9744C">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开户银行名称：</w:t>
      </w:r>
      <w:r>
        <w:rPr>
          <w:rFonts w:hint="eastAsia" w:ascii="Times New Roman" w:hAnsi="Times New Roman" w:eastAsia="宋体" w:cs="Times New Roman"/>
          <w:color w:val="000000"/>
          <w:sz w:val="24"/>
          <w:u w:val="single"/>
        </w:rPr>
        <w:t xml:space="preserve">                                    </w:t>
      </w:r>
    </w:p>
    <w:p w14:paraId="5D1251FA">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开户银行账号：</w:t>
      </w:r>
      <w:r>
        <w:rPr>
          <w:rFonts w:hint="eastAsia" w:ascii="Times New Roman" w:hAnsi="Times New Roman" w:eastAsia="宋体" w:cs="Times New Roman"/>
          <w:color w:val="000000"/>
          <w:sz w:val="24"/>
          <w:u w:val="single"/>
        </w:rPr>
        <w:t xml:space="preserve">                                    </w:t>
      </w:r>
    </w:p>
    <w:p w14:paraId="37ED773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开户银行地址：</w:t>
      </w:r>
      <w:r>
        <w:rPr>
          <w:rFonts w:hint="eastAsia" w:ascii="Times New Roman" w:hAnsi="Times New Roman" w:eastAsia="宋体" w:cs="Times New Roman"/>
          <w:color w:val="000000"/>
          <w:sz w:val="24"/>
          <w:u w:val="single"/>
        </w:rPr>
        <w:t xml:space="preserve">                                    </w:t>
      </w:r>
    </w:p>
    <w:p w14:paraId="48BE8EC9">
      <w:pPr>
        <w:spacing w:line="360" w:lineRule="auto"/>
        <w:ind w:left="1000"/>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开户银行电话：</w:t>
      </w:r>
      <w:r>
        <w:rPr>
          <w:rFonts w:hint="eastAsia" w:ascii="Times New Roman" w:hAnsi="Times New Roman" w:eastAsia="宋体" w:cs="Times New Roman"/>
          <w:color w:val="000000"/>
          <w:sz w:val="24"/>
          <w:u w:val="single"/>
        </w:rPr>
        <w:t xml:space="preserve">                                    </w:t>
      </w:r>
    </w:p>
    <w:p w14:paraId="42BFBC0F">
      <w:pPr>
        <w:spacing w:line="360" w:lineRule="auto"/>
        <w:ind w:left="420" w:leftChars="200" w:firstLine="1800" w:firstLineChars="750"/>
        <w:rPr>
          <w:rFonts w:hint="eastAsia" w:ascii="Times New Roman" w:hAnsi="Times New Roman" w:eastAsia="宋体" w:cs="Times New Roman"/>
          <w:color w:val="000000"/>
          <w:sz w:val="24"/>
          <w:szCs w:val="21"/>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A45F2CD">
      <w:pPr>
        <w:spacing w:line="360" w:lineRule="auto"/>
        <w:ind w:left="420" w:leftChars="200" w:firstLine="1575" w:firstLineChars="750"/>
        <w:rPr>
          <w:rFonts w:hint="eastAsia" w:ascii="宋体" w:hAnsi="宋体"/>
          <w:color w:val="000000"/>
          <w:szCs w:val="21"/>
        </w:rPr>
      </w:pPr>
    </w:p>
    <w:p w14:paraId="737ACAD0">
      <w:pPr>
        <w:spacing w:line="360" w:lineRule="auto"/>
        <w:ind w:left="420" w:leftChars="200" w:firstLine="1807" w:firstLineChars="750"/>
        <w:rPr>
          <w:rFonts w:hint="eastAsia" w:ascii="宋体" w:hAnsi="宋体"/>
          <w:b/>
          <w:color w:val="000000"/>
          <w:sz w:val="24"/>
        </w:rPr>
        <w:sectPr>
          <w:pgSz w:w="11907" w:h="16840"/>
          <w:pgMar w:top="1134" w:right="1134" w:bottom="1134" w:left="1134" w:header="851" w:footer="851" w:gutter="0"/>
          <w:cols w:space="720" w:num="1"/>
          <w:titlePg/>
          <w:docGrid w:linePitch="312" w:charSpace="0"/>
        </w:sectPr>
      </w:pPr>
    </w:p>
    <w:p w14:paraId="5DCEE534">
      <w:pPr>
        <w:pStyle w:val="2"/>
        <w:numPr>
          <w:ilvl w:val="0"/>
          <w:numId w:val="58"/>
        </w:numPr>
        <w:tabs>
          <w:tab w:val="clear" w:pos="482"/>
        </w:tabs>
        <w:ind w:left="0" w:leftChars="0" w:firstLine="482" w:firstLineChars="0"/>
      </w:pPr>
      <w:r>
        <w:t>磋商函附录（格式）</w:t>
      </w:r>
    </w:p>
    <w:p w14:paraId="1E2E8453">
      <w:pPr>
        <w:pStyle w:val="40"/>
        <w:outlineLvl w:val="1"/>
      </w:pPr>
      <w:bookmarkStart w:id="59" w:name="_Toc13925"/>
      <w:bookmarkStart w:id="60" w:name="_Toc6413135"/>
      <w:r>
        <w:t>磋商函附录</w:t>
      </w:r>
      <w:bookmarkEnd w:id="59"/>
      <w:bookmarkEnd w:id="60"/>
    </w:p>
    <w:p w14:paraId="32DD4E80">
      <w:pPr>
        <w:pStyle w:val="33"/>
        <w:spacing w:line="360" w:lineRule="auto"/>
        <w:jc w:val="center"/>
        <w:rPr>
          <w:rFonts w:ascii="宋体" w:hAnsi="宋体"/>
          <w:color w:val="000000"/>
          <w:sz w:val="28"/>
          <w:szCs w:val="28"/>
        </w:rPr>
      </w:pPr>
    </w:p>
    <w:tbl>
      <w:tblPr>
        <w:tblStyle w:val="2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8AC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E407EFA">
            <w:pPr>
              <w:spacing w:line="360" w:lineRule="auto"/>
              <w:jc w:val="center"/>
              <w:rPr>
                <w:rFonts w:ascii="宋体" w:hAnsi="宋体"/>
                <w:color w:val="000000"/>
                <w:szCs w:val="21"/>
              </w:rPr>
            </w:pPr>
            <w:r>
              <w:rPr>
                <w:rFonts w:ascii="宋体" w:hAnsi="宋体"/>
                <w:color w:val="000000"/>
                <w:szCs w:val="21"/>
              </w:rPr>
              <w:t>序 号</w:t>
            </w:r>
          </w:p>
        </w:tc>
        <w:tc>
          <w:tcPr>
            <w:tcW w:w="1985" w:type="dxa"/>
            <w:noWrap w:val="0"/>
            <w:vAlign w:val="center"/>
          </w:tcPr>
          <w:p w14:paraId="459D8BD4">
            <w:pPr>
              <w:spacing w:line="360" w:lineRule="auto"/>
              <w:jc w:val="center"/>
              <w:rPr>
                <w:rFonts w:ascii="宋体" w:hAnsi="宋体"/>
                <w:color w:val="000000"/>
                <w:szCs w:val="21"/>
              </w:rPr>
            </w:pPr>
            <w:r>
              <w:rPr>
                <w:rFonts w:ascii="宋体" w:hAnsi="宋体"/>
                <w:color w:val="000000"/>
                <w:szCs w:val="21"/>
              </w:rPr>
              <w:t>条款内容</w:t>
            </w:r>
          </w:p>
        </w:tc>
        <w:tc>
          <w:tcPr>
            <w:tcW w:w="2126" w:type="dxa"/>
            <w:noWrap w:val="0"/>
            <w:vAlign w:val="center"/>
          </w:tcPr>
          <w:p w14:paraId="73AC8480">
            <w:pPr>
              <w:spacing w:line="360" w:lineRule="auto"/>
              <w:jc w:val="center"/>
              <w:rPr>
                <w:rFonts w:ascii="宋体" w:hAnsi="宋体"/>
                <w:color w:val="000000"/>
                <w:szCs w:val="21"/>
              </w:rPr>
            </w:pPr>
            <w:r>
              <w:rPr>
                <w:rFonts w:ascii="宋体" w:hAnsi="宋体"/>
                <w:color w:val="000000"/>
                <w:szCs w:val="21"/>
              </w:rPr>
              <w:t>合同条款号</w:t>
            </w:r>
          </w:p>
        </w:tc>
        <w:tc>
          <w:tcPr>
            <w:tcW w:w="1984" w:type="dxa"/>
            <w:noWrap w:val="0"/>
            <w:vAlign w:val="center"/>
          </w:tcPr>
          <w:p w14:paraId="1D1B930C">
            <w:pPr>
              <w:spacing w:line="360" w:lineRule="auto"/>
              <w:jc w:val="center"/>
              <w:rPr>
                <w:rFonts w:ascii="宋体" w:hAnsi="宋体"/>
                <w:color w:val="000000"/>
                <w:szCs w:val="21"/>
              </w:rPr>
            </w:pPr>
            <w:r>
              <w:rPr>
                <w:rFonts w:ascii="宋体" w:hAnsi="宋体"/>
                <w:color w:val="000000"/>
                <w:szCs w:val="21"/>
              </w:rPr>
              <w:t>约定内容</w:t>
            </w:r>
          </w:p>
        </w:tc>
        <w:tc>
          <w:tcPr>
            <w:tcW w:w="1843" w:type="dxa"/>
            <w:noWrap w:val="0"/>
            <w:vAlign w:val="center"/>
          </w:tcPr>
          <w:p w14:paraId="1A32E24A">
            <w:pPr>
              <w:spacing w:line="360" w:lineRule="auto"/>
              <w:jc w:val="center"/>
              <w:rPr>
                <w:rFonts w:ascii="宋体" w:hAnsi="宋体"/>
                <w:color w:val="000000"/>
                <w:szCs w:val="21"/>
              </w:rPr>
            </w:pPr>
            <w:r>
              <w:rPr>
                <w:rFonts w:ascii="宋体" w:hAnsi="宋体"/>
                <w:color w:val="000000"/>
                <w:szCs w:val="21"/>
              </w:rPr>
              <w:t>备注</w:t>
            </w:r>
          </w:p>
        </w:tc>
      </w:tr>
      <w:tr w14:paraId="20E9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0024F80">
            <w:pPr>
              <w:spacing w:line="360" w:lineRule="auto"/>
              <w:jc w:val="center"/>
              <w:rPr>
                <w:rFonts w:ascii="宋体" w:hAnsi="宋体"/>
                <w:color w:val="000000"/>
                <w:szCs w:val="21"/>
              </w:rPr>
            </w:pPr>
            <w:r>
              <w:rPr>
                <w:rFonts w:ascii="宋体" w:hAnsi="宋体"/>
                <w:color w:val="000000"/>
                <w:szCs w:val="21"/>
              </w:rPr>
              <w:t>1</w:t>
            </w:r>
          </w:p>
        </w:tc>
        <w:tc>
          <w:tcPr>
            <w:tcW w:w="1985" w:type="dxa"/>
            <w:noWrap w:val="0"/>
            <w:vAlign w:val="center"/>
          </w:tcPr>
          <w:p w14:paraId="5FC69956">
            <w:pPr>
              <w:spacing w:line="360" w:lineRule="auto"/>
              <w:rPr>
                <w:rFonts w:ascii="宋体" w:hAnsi="宋体"/>
                <w:color w:val="000000"/>
                <w:szCs w:val="21"/>
              </w:rPr>
            </w:pPr>
            <w:r>
              <w:rPr>
                <w:rFonts w:ascii="宋体" w:hAnsi="宋体"/>
                <w:color w:val="000000"/>
                <w:szCs w:val="21"/>
              </w:rPr>
              <w:t>项目经理</w:t>
            </w:r>
          </w:p>
        </w:tc>
        <w:tc>
          <w:tcPr>
            <w:tcW w:w="2126" w:type="dxa"/>
            <w:noWrap w:val="0"/>
            <w:tcMar>
              <w:left w:w="170" w:type="dxa"/>
            </w:tcMar>
            <w:vAlign w:val="center"/>
          </w:tcPr>
          <w:p w14:paraId="00939A68">
            <w:pPr>
              <w:spacing w:line="360" w:lineRule="auto"/>
              <w:jc w:val="center"/>
              <w:rPr>
                <w:rFonts w:ascii="宋体" w:hAnsi="宋体"/>
                <w:color w:val="000000"/>
                <w:szCs w:val="21"/>
              </w:rPr>
            </w:pPr>
          </w:p>
        </w:tc>
        <w:tc>
          <w:tcPr>
            <w:tcW w:w="1984" w:type="dxa"/>
            <w:noWrap w:val="0"/>
            <w:vAlign w:val="center"/>
          </w:tcPr>
          <w:p w14:paraId="5970E792">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p>
        </w:tc>
        <w:tc>
          <w:tcPr>
            <w:tcW w:w="1843" w:type="dxa"/>
            <w:noWrap w:val="0"/>
            <w:vAlign w:val="center"/>
          </w:tcPr>
          <w:p w14:paraId="4CF9A238">
            <w:pPr>
              <w:spacing w:line="360" w:lineRule="auto"/>
              <w:jc w:val="center"/>
              <w:rPr>
                <w:rFonts w:ascii="宋体" w:hAnsi="宋体"/>
                <w:color w:val="000000"/>
                <w:szCs w:val="21"/>
              </w:rPr>
            </w:pPr>
          </w:p>
        </w:tc>
      </w:tr>
      <w:tr w14:paraId="203E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A523701">
            <w:pPr>
              <w:spacing w:line="360" w:lineRule="auto"/>
              <w:jc w:val="center"/>
              <w:rPr>
                <w:rFonts w:ascii="宋体" w:hAnsi="宋体"/>
                <w:color w:val="000000"/>
                <w:szCs w:val="21"/>
              </w:rPr>
            </w:pPr>
            <w:r>
              <w:rPr>
                <w:rFonts w:hint="eastAsia" w:ascii="宋体" w:hAnsi="宋体"/>
                <w:color w:val="000000"/>
                <w:szCs w:val="21"/>
              </w:rPr>
              <w:t>2</w:t>
            </w:r>
          </w:p>
        </w:tc>
        <w:tc>
          <w:tcPr>
            <w:tcW w:w="1985" w:type="dxa"/>
            <w:noWrap w:val="0"/>
            <w:vAlign w:val="center"/>
          </w:tcPr>
          <w:p w14:paraId="0CE86D58">
            <w:pPr>
              <w:spacing w:line="360" w:lineRule="auto"/>
              <w:rPr>
                <w:rFonts w:ascii="宋体" w:hAnsi="宋体"/>
                <w:color w:val="000000"/>
                <w:szCs w:val="21"/>
              </w:rPr>
            </w:pPr>
            <w:r>
              <w:rPr>
                <w:rFonts w:hint="eastAsia" w:ascii="宋体" w:hAnsi="宋体"/>
                <w:color w:val="000000"/>
                <w:szCs w:val="21"/>
              </w:rPr>
              <w:t>响应文件有效期</w:t>
            </w:r>
          </w:p>
        </w:tc>
        <w:tc>
          <w:tcPr>
            <w:tcW w:w="2126" w:type="dxa"/>
            <w:noWrap w:val="0"/>
            <w:tcMar>
              <w:left w:w="170" w:type="dxa"/>
            </w:tcMar>
            <w:vAlign w:val="center"/>
          </w:tcPr>
          <w:p w14:paraId="084BB42A">
            <w:pPr>
              <w:spacing w:line="360" w:lineRule="auto"/>
              <w:rPr>
                <w:rFonts w:ascii="宋体" w:hAnsi="宋体"/>
                <w:color w:val="000000"/>
                <w:szCs w:val="21"/>
              </w:rPr>
            </w:pPr>
          </w:p>
        </w:tc>
        <w:tc>
          <w:tcPr>
            <w:tcW w:w="1984" w:type="dxa"/>
            <w:noWrap w:val="0"/>
            <w:vAlign w:val="center"/>
          </w:tcPr>
          <w:p w14:paraId="061E62E6">
            <w:pPr>
              <w:spacing w:line="360" w:lineRule="auto"/>
              <w:jc w:val="center"/>
              <w:rPr>
                <w:rFonts w:ascii="宋体" w:hAnsi="宋体"/>
                <w:color w:val="000000"/>
                <w:szCs w:val="21"/>
                <w:u w:val="single"/>
              </w:rPr>
            </w:pPr>
          </w:p>
        </w:tc>
        <w:tc>
          <w:tcPr>
            <w:tcW w:w="1843" w:type="dxa"/>
            <w:noWrap w:val="0"/>
            <w:vAlign w:val="center"/>
          </w:tcPr>
          <w:p w14:paraId="65624AF1">
            <w:pPr>
              <w:spacing w:line="360" w:lineRule="auto"/>
              <w:jc w:val="center"/>
              <w:rPr>
                <w:rFonts w:ascii="宋体" w:hAnsi="宋体"/>
                <w:color w:val="000000"/>
                <w:szCs w:val="21"/>
              </w:rPr>
            </w:pPr>
          </w:p>
        </w:tc>
      </w:tr>
      <w:tr w14:paraId="7283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2E6E77">
            <w:pPr>
              <w:spacing w:line="360" w:lineRule="auto"/>
              <w:jc w:val="center"/>
              <w:rPr>
                <w:rFonts w:ascii="宋体" w:hAnsi="宋体"/>
                <w:color w:val="000000"/>
                <w:szCs w:val="21"/>
              </w:rPr>
            </w:pPr>
            <w:r>
              <w:rPr>
                <w:rFonts w:ascii="宋体" w:hAnsi="宋体"/>
                <w:color w:val="000000"/>
                <w:szCs w:val="21"/>
              </w:rPr>
              <w:t>3</w:t>
            </w:r>
          </w:p>
        </w:tc>
        <w:tc>
          <w:tcPr>
            <w:tcW w:w="1985" w:type="dxa"/>
            <w:noWrap w:val="0"/>
            <w:vAlign w:val="center"/>
          </w:tcPr>
          <w:p w14:paraId="7D824889">
            <w:pPr>
              <w:spacing w:line="360" w:lineRule="auto"/>
              <w:rPr>
                <w:rFonts w:ascii="宋体" w:hAnsi="宋体"/>
                <w:color w:val="000000"/>
                <w:szCs w:val="21"/>
              </w:rPr>
            </w:pPr>
            <w:r>
              <w:rPr>
                <w:rFonts w:ascii="宋体" w:hAnsi="宋体"/>
                <w:color w:val="000000"/>
                <w:szCs w:val="21"/>
              </w:rPr>
              <w:t>工期</w:t>
            </w:r>
          </w:p>
        </w:tc>
        <w:tc>
          <w:tcPr>
            <w:tcW w:w="2126" w:type="dxa"/>
            <w:noWrap w:val="0"/>
            <w:tcMar>
              <w:left w:w="170" w:type="dxa"/>
            </w:tcMar>
            <w:vAlign w:val="center"/>
          </w:tcPr>
          <w:p w14:paraId="23291C69">
            <w:pPr>
              <w:spacing w:line="360" w:lineRule="auto"/>
              <w:jc w:val="center"/>
              <w:rPr>
                <w:rFonts w:ascii="宋体" w:hAnsi="宋体"/>
                <w:color w:val="000000"/>
              </w:rPr>
            </w:pPr>
          </w:p>
        </w:tc>
        <w:tc>
          <w:tcPr>
            <w:tcW w:w="1984" w:type="dxa"/>
            <w:noWrap w:val="0"/>
            <w:vAlign w:val="center"/>
          </w:tcPr>
          <w:p w14:paraId="7F4031BF">
            <w:pPr>
              <w:spacing w:line="360" w:lineRule="auto"/>
              <w:jc w:val="center"/>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日历天</w:t>
            </w:r>
          </w:p>
        </w:tc>
        <w:tc>
          <w:tcPr>
            <w:tcW w:w="1843" w:type="dxa"/>
            <w:noWrap w:val="0"/>
            <w:vAlign w:val="center"/>
          </w:tcPr>
          <w:p w14:paraId="3F9D1A1E">
            <w:pPr>
              <w:spacing w:line="360" w:lineRule="auto"/>
              <w:jc w:val="center"/>
              <w:rPr>
                <w:rFonts w:ascii="宋体" w:hAnsi="宋体"/>
                <w:color w:val="000000"/>
                <w:szCs w:val="21"/>
              </w:rPr>
            </w:pPr>
          </w:p>
        </w:tc>
      </w:tr>
      <w:tr w14:paraId="65A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31680E1">
            <w:pPr>
              <w:spacing w:line="360" w:lineRule="auto"/>
              <w:jc w:val="center"/>
              <w:rPr>
                <w:rFonts w:ascii="宋体" w:hAnsi="宋体"/>
                <w:color w:val="000000"/>
                <w:szCs w:val="21"/>
              </w:rPr>
            </w:pPr>
            <w:r>
              <w:rPr>
                <w:rFonts w:hint="eastAsia" w:ascii="宋体" w:hAnsi="宋体"/>
                <w:color w:val="000000"/>
                <w:szCs w:val="21"/>
              </w:rPr>
              <w:t>4</w:t>
            </w:r>
          </w:p>
        </w:tc>
        <w:tc>
          <w:tcPr>
            <w:tcW w:w="1985" w:type="dxa"/>
            <w:noWrap w:val="0"/>
            <w:vAlign w:val="center"/>
          </w:tcPr>
          <w:p w14:paraId="2E2D059C">
            <w:pPr>
              <w:spacing w:line="360" w:lineRule="auto"/>
              <w:rPr>
                <w:rFonts w:ascii="宋体" w:hAnsi="宋体"/>
                <w:color w:val="000000"/>
                <w:szCs w:val="21"/>
              </w:rPr>
            </w:pPr>
            <w:r>
              <w:rPr>
                <w:rFonts w:ascii="宋体" w:hAnsi="宋体"/>
                <w:color w:val="000000"/>
                <w:szCs w:val="21"/>
              </w:rPr>
              <w:t>履约保证金</w:t>
            </w:r>
          </w:p>
        </w:tc>
        <w:tc>
          <w:tcPr>
            <w:tcW w:w="2126" w:type="dxa"/>
            <w:noWrap w:val="0"/>
            <w:tcMar>
              <w:left w:w="170" w:type="dxa"/>
            </w:tcMar>
            <w:vAlign w:val="center"/>
          </w:tcPr>
          <w:p w14:paraId="66B1A8BA">
            <w:pPr>
              <w:spacing w:line="360" w:lineRule="auto"/>
              <w:jc w:val="center"/>
              <w:rPr>
                <w:rFonts w:ascii="宋体" w:hAnsi="宋体"/>
                <w:color w:val="000000"/>
              </w:rPr>
            </w:pPr>
          </w:p>
        </w:tc>
        <w:tc>
          <w:tcPr>
            <w:tcW w:w="1984" w:type="dxa"/>
            <w:noWrap w:val="0"/>
            <w:vAlign w:val="center"/>
          </w:tcPr>
          <w:p w14:paraId="7C7291BB">
            <w:pPr>
              <w:spacing w:line="360" w:lineRule="auto"/>
              <w:jc w:val="center"/>
              <w:rPr>
                <w:rFonts w:ascii="宋体" w:hAnsi="宋体"/>
                <w:color w:val="000000"/>
                <w:szCs w:val="21"/>
              </w:rPr>
            </w:pPr>
          </w:p>
        </w:tc>
        <w:tc>
          <w:tcPr>
            <w:tcW w:w="1843" w:type="dxa"/>
            <w:noWrap w:val="0"/>
            <w:vAlign w:val="center"/>
          </w:tcPr>
          <w:p w14:paraId="49948484">
            <w:pPr>
              <w:spacing w:line="360" w:lineRule="auto"/>
              <w:jc w:val="center"/>
              <w:rPr>
                <w:rFonts w:ascii="宋体" w:hAnsi="宋体"/>
                <w:color w:val="000000"/>
                <w:szCs w:val="21"/>
              </w:rPr>
            </w:pPr>
          </w:p>
        </w:tc>
      </w:tr>
      <w:tr w14:paraId="400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8D143A">
            <w:pPr>
              <w:spacing w:line="360" w:lineRule="auto"/>
              <w:jc w:val="center"/>
              <w:rPr>
                <w:rFonts w:ascii="宋体" w:hAnsi="宋体"/>
                <w:color w:val="000000"/>
                <w:szCs w:val="21"/>
              </w:rPr>
            </w:pPr>
            <w:r>
              <w:rPr>
                <w:rFonts w:hint="eastAsia" w:ascii="宋体" w:hAnsi="宋体"/>
                <w:color w:val="000000"/>
                <w:szCs w:val="21"/>
              </w:rPr>
              <w:t>5</w:t>
            </w:r>
          </w:p>
        </w:tc>
        <w:tc>
          <w:tcPr>
            <w:tcW w:w="1985" w:type="dxa"/>
            <w:noWrap w:val="0"/>
            <w:vAlign w:val="center"/>
          </w:tcPr>
          <w:p w14:paraId="48FE3446">
            <w:pPr>
              <w:spacing w:line="360" w:lineRule="auto"/>
              <w:rPr>
                <w:rFonts w:ascii="宋体" w:hAnsi="宋体"/>
                <w:color w:val="000000"/>
                <w:szCs w:val="21"/>
              </w:rPr>
            </w:pPr>
            <w:r>
              <w:rPr>
                <w:rFonts w:ascii="宋体" w:hAnsi="宋体"/>
                <w:color w:val="000000"/>
                <w:szCs w:val="21"/>
              </w:rPr>
              <w:t>质量标准</w:t>
            </w:r>
          </w:p>
        </w:tc>
        <w:tc>
          <w:tcPr>
            <w:tcW w:w="2126" w:type="dxa"/>
            <w:noWrap w:val="0"/>
            <w:tcMar>
              <w:left w:w="170" w:type="dxa"/>
            </w:tcMar>
            <w:vAlign w:val="center"/>
          </w:tcPr>
          <w:p w14:paraId="1D4E0686">
            <w:pPr>
              <w:spacing w:line="360" w:lineRule="auto"/>
              <w:jc w:val="center"/>
              <w:rPr>
                <w:rFonts w:ascii="宋体" w:hAnsi="宋体"/>
                <w:color w:val="000000"/>
              </w:rPr>
            </w:pPr>
          </w:p>
        </w:tc>
        <w:tc>
          <w:tcPr>
            <w:tcW w:w="1984" w:type="dxa"/>
            <w:noWrap w:val="0"/>
            <w:vAlign w:val="center"/>
          </w:tcPr>
          <w:p w14:paraId="210737E8">
            <w:pPr>
              <w:spacing w:line="360" w:lineRule="auto"/>
              <w:jc w:val="center"/>
              <w:rPr>
                <w:rFonts w:ascii="宋体" w:hAnsi="宋体"/>
                <w:color w:val="000000"/>
                <w:szCs w:val="21"/>
              </w:rPr>
            </w:pPr>
            <w:r>
              <w:rPr>
                <w:rFonts w:hint="eastAsia" w:ascii="宋体" w:hAnsi="宋体"/>
                <w:color w:val="000000"/>
                <w:szCs w:val="21"/>
                <w:u w:val="single"/>
              </w:rPr>
              <w:t xml:space="preserve">       </w:t>
            </w:r>
          </w:p>
        </w:tc>
        <w:tc>
          <w:tcPr>
            <w:tcW w:w="1843" w:type="dxa"/>
            <w:noWrap w:val="0"/>
            <w:vAlign w:val="center"/>
          </w:tcPr>
          <w:p w14:paraId="4B873EC2">
            <w:pPr>
              <w:spacing w:line="360" w:lineRule="auto"/>
              <w:jc w:val="center"/>
              <w:rPr>
                <w:rFonts w:ascii="宋体" w:hAnsi="宋体"/>
                <w:color w:val="000000"/>
                <w:szCs w:val="21"/>
              </w:rPr>
            </w:pPr>
          </w:p>
        </w:tc>
      </w:tr>
      <w:tr w14:paraId="387E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8949E13">
            <w:pPr>
              <w:spacing w:line="360" w:lineRule="auto"/>
              <w:jc w:val="center"/>
              <w:rPr>
                <w:rFonts w:ascii="宋体" w:hAnsi="宋体"/>
                <w:color w:val="000000"/>
                <w:szCs w:val="21"/>
              </w:rPr>
            </w:pPr>
            <w:r>
              <w:rPr>
                <w:rFonts w:ascii="宋体" w:hAnsi="宋体"/>
                <w:color w:val="000000"/>
                <w:szCs w:val="21"/>
              </w:rPr>
              <w:t>……</w:t>
            </w:r>
          </w:p>
        </w:tc>
        <w:tc>
          <w:tcPr>
            <w:tcW w:w="1985" w:type="dxa"/>
            <w:noWrap w:val="0"/>
            <w:vAlign w:val="center"/>
          </w:tcPr>
          <w:p w14:paraId="30844195">
            <w:pPr>
              <w:spacing w:line="360" w:lineRule="auto"/>
              <w:jc w:val="center"/>
              <w:rPr>
                <w:rFonts w:ascii="宋体" w:hAnsi="宋体"/>
                <w:color w:val="000000"/>
                <w:szCs w:val="21"/>
              </w:rPr>
            </w:pPr>
            <w:r>
              <w:rPr>
                <w:rFonts w:ascii="宋体" w:hAnsi="宋体"/>
                <w:color w:val="000000"/>
                <w:szCs w:val="21"/>
              </w:rPr>
              <w:t>……</w:t>
            </w:r>
          </w:p>
        </w:tc>
        <w:tc>
          <w:tcPr>
            <w:tcW w:w="2126" w:type="dxa"/>
            <w:noWrap w:val="0"/>
            <w:tcMar>
              <w:left w:w="170" w:type="dxa"/>
            </w:tcMar>
            <w:vAlign w:val="center"/>
          </w:tcPr>
          <w:p w14:paraId="090D4B3D">
            <w:pPr>
              <w:spacing w:line="360" w:lineRule="auto"/>
              <w:rPr>
                <w:rFonts w:ascii="宋体" w:hAnsi="宋体"/>
                <w:color w:val="000000"/>
                <w:szCs w:val="21"/>
              </w:rPr>
            </w:pPr>
          </w:p>
        </w:tc>
        <w:tc>
          <w:tcPr>
            <w:tcW w:w="1984" w:type="dxa"/>
            <w:noWrap w:val="0"/>
            <w:vAlign w:val="center"/>
          </w:tcPr>
          <w:p w14:paraId="2B3DB547">
            <w:pPr>
              <w:spacing w:line="360" w:lineRule="auto"/>
              <w:jc w:val="center"/>
              <w:rPr>
                <w:rFonts w:ascii="宋体" w:hAnsi="宋体"/>
                <w:color w:val="000000"/>
                <w:szCs w:val="21"/>
              </w:rPr>
            </w:pPr>
          </w:p>
        </w:tc>
        <w:tc>
          <w:tcPr>
            <w:tcW w:w="1843" w:type="dxa"/>
            <w:noWrap w:val="0"/>
            <w:vAlign w:val="center"/>
          </w:tcPr>
          <w:p w14:paraId="0D191B18">
            <w:pPr>
              <w:spacing w:line="360" w:lineRule="auto"/>
              <w:jc w:val="center"/>
              <w:rPr>
                <w:rFonts w:ascii="宋体" w:hAnsi="宋体"/>
                <w:color w:val="000000"/>
                <w:szCs w:val="21"/>
              </w:rPr>
            </w:pPr>
          </w:p>
        </w:tc>
      </w:tr>
      <w:tr w14:paraId="1756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0347F037">
            <w:pPr>
              <w:spacing w:line="360" w:lineRule="auto"/>
              <w:rPr>
                <w:rFonts w:ascii="宋体" w:hAnsi="宋体"/>
                <w:color w:val="000000"/>
                <w:szCs w:val="21"/>
              </w:rPr>
            </w:pPr>
            <w:r>
              <w:rPr>
                <w:rFonts w:ascii="宋体" w:hAnsi="宋体"/>
                <w:color w:val="000000"/>
                <w:szCs w:val="21"/>
              </w:rPr>
              <w:t>备注：供应商在响应竞争性磋商文件中规定的实质性要求和条件的基础上，可做出其他有利于采购单位的承诺。此类承诺可在本表中予以补充填写。</w:t>
            </w:r>
          </w:p>
        </w:tc>
      </w:tr>
    </w:tbl>
    <w:p w14:paraId="7FBAA73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供应商（盖</w:t>
      </w:r>
      <w:r>
        <w:rPr>
          <w:rFonts w:hint="eastAsia" w:ascii="Times New Roman" w:hAnsi="Times New Roman" w:eastAsia="宋体" w:cs="Times New Roman"/>
          <w:color w:val="000000"/>
          <w:sz w:val="24"/>
          <w:szCs w:val="21"/>
        </w:rPr>
        <w:t>单位</w:t>
      </w:r>
      <w:r>
        <w:rPr>
          <w:rFonts w:ascii="Times New Roman" w:hAnsi="Times New Roman" w:eastAsia="宋体" w:cs="Times New Roman"/>
          <w:color w:val="000000"/>
          <w:sz w:val="24"/>
          <w:szCs w:val="21"/>
        </w:rPr>
        <w:t>章）：</w:t>
      </w:r>
    </w:p>
    <w:p w14:paraId="4B7D8849">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法人代表或委托代理人（签字或盖章）：</w:t>
      </w:r>
    </w:p>
    <w:p w14:paraId="697EF25D">
      <w:pPr>
        <w:spacing w:line="360" w:lineRule="auto"/>
        <w:ind w:firstLine="480" w:firstLineChars="200"/>
        <w:rPr>
          <w:rFonts w:ascii="Times New Roman" w:hAnsi="Times New Roman" w:eastAsia="宋体" w:cs="Times New Roman"/>
          <w:color w:val="000000"/>
          <w:sz w:val="24"/>
          <w:szCs w:val="21"/>
        </w:rPr>
      </w:pPr>
      <w:r>
        <w:rPr>
          <w:rFonts w:ascii="Times New Roman" w:hAnsi="Times New Roman" w:eastAsia="宋体" w:cs="Times New Roman"/>
          <w:color w:val="000000"/>
          <w:sz w:val="24"/>
          <w:szCs w:val="21"/>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1EA29EB1">
      <w:pPr>
        <w:spacing w:line="360" w:lineRule="auto"/>
        <w:ind w:firstLine="525" w:firstLineChars="250"/>
        <w:rPr>
          <w:rFonts w:ascii="宋体" w:hAnsi="宋体"/>
          <w:color w:val="000000"/>
          <w:szCs w:val="21"/>
        </w:rPr>
      </w:pPr>
    </w:p>
    <w:p w14:paraId="1F658AF0">
      <w:pPr>
        <w:spacing w:line="360" w:lineRule="auto"/>
        <w:rPr>
          <w:rFonts w:ascii="宋体" w:hAnsi="宋体"/>
          <w:color w:val="000000"/>
          <w:sz w:val="24"/>
        </w:rPr>
        <w:sectPr>
          <w:pgSz w:w="11907" w:h="16840"/>
          <w:pgMar w:top="1134" w:right="1134" w:bottom="1134" w:left="1134" w:header="1139" w:footer="851" w:gutter="0"/>
          <w:cols w:space="720" w:num="1"/>
          <w:titlePg/>
          <w:docGrid w:linePitch="312" w:charSpace="0"/>
        </w:sectPr>
      </w:pPr>
    </w:p>
    <w:p w14:paraId="3369C441">
      <w:pPr>
        <w:pStyle w:val="2"/>
        <w:numPr>
          <w:ilvl w:val="0"/>
          <w:numId w:val="58"/>
        </w:numPr>
        <w:tabs>
          <w:tab w:val="clear" w:pos="482"/>
        </w:tabs>
        <w:ind w:left="0" w:leftChars="0" w:firstLine="482" w:firstLineChars="0"/>
      </w:pPr>
      <w:r>
        <w:t>磋商报价表（格式）</w:t>
      </w:r>
    </w:p>
    <w:p w14:paraId="29B4CBB6">
      <w:pPr>
        <w:pStyle w:val="43"/>
        <w:outlineLvl w:val="9"/>
      </w:pPr>
      <w:bookmarkStart w:id="61" w:name="_Toc8370"/>
      <w:bookmarkStart w:id="62" w:name="_Toc6413136"/>
      <w:r>
        <w:t>磋商报价表</w:t>
      </w:r>
      <w:bookmarkEnd w:id="61"/>
      <w:bookmarkEnd w:id="62"/>
    </w:p>
    <w:p w14:paraId="39AB9B0C">
      <w:pPr>
        <w:pStyle w:val="33"/>
        <w:spacing w:line="360" w:lineRule="auto"/>
        <w:jc w:val="center"/>
        <w:outlineLvl w:val="9"/>
        <w:rPr>
          <w:rFonts w:ascii="宋体" w:hAnsi="宋体"/>
          <w:b/>
          <w:color w:val="000000"/>
          <w:sz w:val="24"/>
        </w:rPr>
      </w:pPr>
    </w:p>
    <w:p w14:paraId="764F1A76">
      <w:pPr>
        <w:spacing w:line="360" w:lineRule="auto"/>
        <w:ind w:left="-178" w:leftChars="-85" w:right="-512" w:rightChars="-244" w:firstLine="840" w:firstLineChars="400"/>
        <w:jc w:val="left"/>
        <w:rPr>
          <w:rFonts w:ascii="宋体" w:hAnsi="宋体"/>
          <w:color w:val="000000"/>
        </w:rPr>
      </w:pPr>
      <w:r>
        <w:rPr>
          <w:rFonts w:ascii="宋体" w:hAnsi="宋体"/>
          <w:color w:val="000000"/>
        </w:rPr>
        <w:t xml:space="preserve">                                               币种：人民币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3153"/>
        <w:gridCol w:w="2005"/>
        <w:gridCol w:w="1722"/>
      </w:tblGrid>
      <w:tr w14:paraId="7CA4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901" w:type="pct"/>
            <w:gridSpan w:val="2"/>
            <w:noWrap w:val="0"/>
            <w:vAlign w:val="center"/>
          </w:tcPr>
          <w:p w14:paraId="56661DF0">
            <w:pPr>
              <w:widowControl/>
              <w:spacing w:line="360" w:lineRule="auto"/>
              <w:jc w:val="center"/>
              <w:rPr>
                <w:rFonts w:ascii="宋体" w:hAnsi="宋体"/>
                <w:color w:val="000000"/>
              </w:rPr>
            </w:pPr>
            <w:r>
              <w:rPr>
                <w:rFonts w:hint="eastAsia" w:ascii="宋体" w:hAnsi="宋体"/>
                <w:color w:val="000000"/>
              </w:rPr>
              <w:t>磋商</w:t>
            </w:r>
            <w:r>
              <w:rPr>
                <w:rFonts w:ascii="宋体" w:hAnsi="宋体"/>
                <w:color w:val="000000"/>
              </w:rPr>
              <w:t>报价</w:t>
            </w:r>
          </w:p>
        </w:tc>
        <w:tc>
          <w:tcPr>
            <w:tcW w:w="1128" w:type="pct"/>
            <w:noWrap w:val="0"/>
            <w:vAlign w:val="center"/>
          </w:tcPr>
          <w:p w14:paraId="1D6BA275">
            <w:pPr>
              <w:widowControl/>
              <w:spacing w:line="360" w:lineRule="auto"/>
              <w:jc w:val="right"/>
              <w:rPr>
                <w:rFonts w:ascii="宋体" w:hAnsi="宋体"/>
                <w:color w:val="000000"/>
              </w:rPr>
            </w:pPr>
            <w:r>
              <w:rPr>
                <w:rFonts w:ascii="宋体" w:hAnsi="宋体"/>
                <w:color w:val="000000"/>
              </w:rPr>
              <w:t>元</w:t>
            </w:r>
          </w:p>
        </w:tc>
        <w:tc>
          <w:tcPr>
            <w:tcW w:w="969" w:type="pct"/>
            <w:noWrap w:val="0"/>
            <w:vAlign w:val="center"/>
          </w:tcPr>
          <w:p w14:paraId="04A50E68">
            <w:pPr>
              <w:widowControl/>
              <w:spacing w:line="360" w:lineRule="auto"/>
              <w:jc w:val="center"/>
              <w:rPr>
                <w:rFonts w:ascii="宋体" w:hAnsi="宋体"/>
                <w:color w:val="000000"/>
              </w:rPr>
            </w:pPr>
            <w:r>
              <w:rPr>
                <w:rFonts w:ascii="宋体" w:hAnsi="宋体"/>
                <w:color w:val="000000"/>
              </w:rPr>
              <w:t>备注</w:t>
            </w:r>
          </w:p>
        </w:tc>
      </w:tr>
      <w:tr w14:paraId="3068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27" w:type="pct"/>
            <w:vMerge w:val="restart"/>
            <w:noWrap w:val="0"/>
            <w:vAlign w:val="center"/>
          </w:tcPr>
          <w:p w14:paraId="65627FB4">
            <w:pPr>
              <w:spacing w:line="360" w:lineRule="auto"/>
              <w:jc w:val="center"/>
              <w:rPr>
                <w:rFonts w:ascii="宋体" w:hAnsi="宋体"/>
                <w:color w:val="000000"/>
              </w:rPr>
            </w:pPr>
            <w:r>
              <w:rPr>
                <w:rFonts w:ascii="宋体" w:hAnsi="宋体"/>
                <w:color w:val="000000"/>
              </w:rPr>
              <w:t>其中</w:t>
            </w:r>
          </w:p>
        </w:tc>
        <w:tc>
          <w:tcPr>
            <w:tcW w:w="1773" w:type="pct"/>
            <w:noWrap w:val="0"/>
            <w:vAlign w:val="center"/>
          </w:tcPr>
          <w:p w14:paraId="2FC5AB45">
            <w:pPr>
              <w:widowControl/>
              <w:spacing w:line="360" w:lineRule="auto"/>
              <w:jc w:val="center"/>
              <w:rPr>
                <w:rFonts w:ascii="宋体" w:hAnsi="宋体"/>
                <w:color w:val="000000"/>
              </w:rPr>
            </w:pPr>
            <w:r>
              <w:rPr>
                <w:rFonts w:ascii="宋体" w:hAnsi="宋体"/>
                <w:color w:val="000000"/>
              </w:rPr>
              <w:t>安全文明施工费</w:t>
            </w:r>
          </w:p>
        </w:tc>
        <w:tc>
          <w:tcPr>
            <w:tcW w:w="1128" w:type="pct"/>
            <w:noWrap w:val="0"/>
            <w:vAlign w:val="center"/>
          </w:tcPr>
          <w:p w14:paraId="0F584747">
            <w:pPr>
              <w:spacing w:line="360" w:lineRule="auto"/>
              <w:jc w:val="right"/>
              <w:rPr>
                <w:rFonts w:ascii="宋体" w:hAnsi="宋体"/>
                <w:color w:val="000000"/>
              </w:rPr>
            </w:pPr>
            <w:r>
              <w:rPr>
                <w:rFonts w:ascii="宋体" w:hAnsi="宋体"/>
                <w:color w:val="000000"/>
              </w:rPr>
              <w:t>元</w:t>
            </w:r>
          </w:p>
        </w:tc>
        <w:tc>
          <w:tcPr>
            <w:tcW w:w="969" w:type="pct"/>
            <w:noWrap w:val="0"/>
            <w:vAlign w:val="center"/>
          </w:tcPr>
          <w:p w14:paraId="2879110D">
            <w:pPr>
              <w:spacing w:line="360" w:lineRule="auto"/>
              <w:jc w:val="center"/>
              <w:rPr>
                <w:rFonts w:ascii="宋体" w:hAnsi="宋体"/>
                <w:color w:val="000000"/>
              </w:rPr>
            </w:pPr>
          </w:p>
        </w:tc>
      </w:tr>
      <w:tr w14:paraId="667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0D3CE84D">
            <w:pPr>
              <w:widowControl/>
              <w:spacing w:line="360" w:lineRule="auto"/>
              <w:jc w:val="center"/>
              <w:rPr>
                <w:rFonts w:ascii="宋体" w:hAnsi="宋体"/>
                <w:color w:val="000000"/>
              </w:rPr>
            </w:pPr>
          </w:p>
        </w:tc>
        <w:tc>
          <w:tcPr>
            <w:tcW w:w="1773" w:type="pct"/>
            <w:noWrap w:val="0"/>
            <w:vAlign w:val="center"/>
          </w:tcPr>
          <w:p w14:paraId="1955ECA1">
            <w:pPr>
              <w:spacing w:line="360" w:lineRule="auto"/>
              <w:jc w:val="center"/>
              <w:rPr>
                <w:rFonts w:ascii="宋体" w:hAnsi="宋体"/>
                <w:color w:val="000000"/>
              </w:rPr>
            </w:pPr>
            <w:r>
              <w:rPr>
                <w:rFonts w:hint="eastAsia" w:ascii="宋体" w:hAnsi="宋体"/>
                <w:color w:val="000000"/>
              </w:rPr>
              <w:t>发包人提供材料（如有）</w:t>
            </w:r>
          </w:p>
        </w:tc>
        <w:tc>
          <w:tcPr>
            <w:tcW w:w="1128" w:type="pct"/>
            <w:noWrap w:val="0"/>
            <w:vAlign w:val="center"/>
          </w:tcPr>
          <w:p w14:paraId="0D355B18">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4E21F4E3">
            <w:pPr>
              <w:widowControl/>
              <w:spacing w:line="360" w:lineRule="auto"/>
              <w:ind w:right="480"/>
              <w:rPr>
                <w:rFonts w:ascii="宋体" w:hAnsi="宋体"/>
                <w:color w:val="000000"/>
              </w:rPr>
            </w:pPr>
          </w:p>
        </w:tc>
      </w:tr>
      <w:tr w14:paraId="1CA6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1E02564">
            <w:pPr>
              <w:widowControl/>
              <w:spacing w:line="360" w:lineRule="auto"/>
              <w:jc w:val="center"/>
              <w:rPr>
                <w:rFonts w:ascii="宋体" w:hAnsi="宋体"/>
                <w:color w:val="000000"/>
              </w:rPr>
            </w:pPr>
          </w:p>
        </w:tc>
        <w:tc>
          <w:tcPr>
            <w:tcW w:w="1773" w:type="pct"/>
            <w:noWrap w:val="0"/>
            <w:vAlign w:val="center"/>
          </w:tcPr>
          <w:p w14:paraId="2FF58CFC">
            <w:pPr>
              <w:spacing w:line="360" w:lineRule="auto"/>
              <w:jc w:val="center"/>
              <w:rPr>
                <w:rFonts w:ascii="宋体" w:hAnsi="宋体"/>
                <w:color w:val="000000"/>
              </w:rPr>
            </w:pPr>
            <w:r>
              <w:rPr>
                <w:rFonts w:hint="eastAsia" w:ascii="宋体" w:hAnsi="宋体"/>
                <w:color w:val="000000"/>
              </w:rPr>
              <w:t>承包人提供材料（设备）暂估价（如有）</w:t>
            </w:r>
          </w:p>
        </w:tc>
        <w:tc>
          <w:tcPr>
            <w:tcW w:w="1128" w:type="pct"/>
            <w:noWrap w:val="0"/>
            <w:vAlign w:val="center"/>
          </w:tcPr>
          <w:p w14:paraId="482B580A">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1F536A78">
            <w:pPr>
              <w:widowControl/>
              <w:spacing w:line="360" w:lineRule="auto"/>
              <w:ind w:right="480"/>
              <w:rPr>
                <w:rFonts w:ascii="宋体" w:hAnsi="宋体"/>
                <w:color w:val="000000"/>
              </w:rPr>
            </w:pPr>
          </w:p>
        </w:tc>
      </w:tr>
      <w:tr w14:paraId="4079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71D94A91">
            <w:pPr>
              <w:widowControl/>
              <w:spacing w:line="360" w:lineRule="auto"/>
              <w:jc w:val="center"/>
              <w:rPr>
                <w:rFonts w:ascii="宋体" w:hAnsi="宋体"/>
                <w:color w:val="000000"/>
              </w:rPr>
            </w:pPr>
          </w:p>
        </w:tc>
        <w:tc>
          <w:tcPr>
            <w:tcW w:w="1773" w:type="pct"/>
            <w:noWrap w:val="0"/>
            <w:vAlign w:val="center"/>
          </w:tcPr>
          <w:p w14:paraId="62CAF642">
            <w:pPr>
              <w:widowControl/>
              <w:spacing w:line="360" w:lineRule="auto"/>
              <w:jc w:val="center"/>
              <w:rPr>
                <w:rFonts w:ascii="宋体" w:hAnsi="宋体"/>
                <w:color w:val="000000"/>
              </w:rPr>
            </w:pPr>
            <w:r>
              <w:rPr>
                <w:rFonts w:hint="eastAsia" w:ascii="宋体" w:hAnsi="宋体"/>
                <w:color w:val="000000"/>
              </w:rPr>
              <w:t>暂估专业工程（如有）</w:t>
            </w:r>
          </w:p>
        </w:tc>
        <w:tc>
          <w:tcPr>
            <w:tcW w:w="1128" w:type="pct"/>
            <w:noWrap w:val="0"/>
            <w:vAlign w:val="center"/>
          </w:tcPr>
          <w:p w14:paraId="2568889C">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2948A8">
            <w:pPr>
              <w:widowControl/>
              <w:spacing w:line="360" w:lineRule="auto"/>
              <w:ind w:right="480"/>
              <w:rPr>
                <w:rFonts w:ascii="宋体" w:hAnsi="宋体"/>
                <w:color w:val="000000"/>
              </w:rPr>
            </w:pPr>
          </w:p>
        </w:tc>
      </w:tr>
      <w:tr w14:paraId="6CDD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7" w:type="pct"/>
            <w:vMerge w:val="continue"/>
            <w:noWrap w:val="0"/>
            <w:vAlign w:val="center"/>
          </w:tcPr>
          <w:p w14:paraId="14B7CBDF">
            <w:pPr>
              <w:widowControl/>
              <w:spacing w:line="360" w:lineRule="auto"/>
              <w:jc w:val="center"/>
              <w:rPr>
                <w:rFonts w:ascii="宋体" w:hAnsi="宋体"/>
                <w:color w:val="000000"/>
              </w:rPr>
            </w:pPr>
          </w:p>
        </w:tc>
        <w:tc>
          <w:tcPr>
            <w:tcW w:w="1773" w:type="pct"/>
            <w:noWrap w:val="0"/>
            <w:vAlign w:val="center"/>
          </w:tcPr>
          <w:p w14:paraId="2A29D304">
            <w:pPr>
              <w:widowControl/>
              <w:spacing w:line="360" w:lineRule="auto"/>
              <w:jc w:val="center"/>
              <w:rPr>
                <w:rFonts w:ascii="宋体" w:hAnsi="宋体"/>
                <w:color w:val="000000"/>
              </w:rPr>
            </w:pPr>
            <w:r>
              <w:rPr>
                <w:rFonts w:hint="eastAsia" w:ascii="宋体" w:hAnsi="宋体"/>
                <w:color w:val="000000"/>
              </w:rPr>
              <w:t>暂列金额（如有）</w:t>
            </w:r>
          </w:p>
        </w:tc>
        <w:tc>
          <w:tcPr>
            <w:tcW w:w="1128" w:type="pct"/>
            <w:noWrap w:val="0"/>
            <w:vAlign w:val="center"/>
          </w:tcPr>
          <w:p w14:paraId="2AF83464">
            <w:pPr>
              <w:widowControl/>
              <w:spacing w:line="360" w:lineRule="auto"/>
              <w:jc w:val="right"/>
              <w:rPr>
                <w:rFonts w:ascii="宋体" w:hAnsi="宋体"/>
                <w:color w:val="000000"/>
              </w:rPr>
            </w:pPr>
            <w:r>
              <w:rPr>
                <w:rFonts w:ascii="宋体" w:hAnsi="宋体"/>
                <w:color w:val="000000"/>
              </w:rPr>
              <w:t>元</w:t>
            </w:r>
          </w:p>
        </w:tc>
        <w:tc>
          <w:tcPr>
            <w:tcW w:w="969" w:type="pct"/>
            <w:noWrap w:val="0"/>
            <w:vAlign w:val="top"/>
          </w:tcPr>
          <w:p w14:paraId="63AD09AA">
            <w:pPr>
              <w:widowControl/>
              <w:spacing w:line="360" w:lineRule="auto"/>
              <w:ind w:right="480"/>
              <w:rPr>
                <w:rFonts w:ascii="宋体" w:hAnsi="宋体"/>
                <w:color w:val="000000"/>
              </w:rPr>
            </w:pPr>
          </w:p>
        </w:tc>
      </w:tr>
    </w:tbl>
    <w:p w14:paraId="721E4C17">
      <w:pPr>
        <w:spacing w:line="360" w:lineRule="auto"/>
        <w:ind w:left="-178" w:leftChars="-85" w:firstLine="177" w:firstLineChars="74"/>
        <w:rPr>
          <w:rFonts w:ascii="宋体" w:hAnsi="宋体"/>
          <w:color w:val="000000"/>
          <w:sz w:val="24"/>
        </w:rPr>
      </w:pPr>
    </w:p>
    <w:p w14:paraId="0B1E3ED2">
      <w:pPr>
        <w:spacing w:line="360" w:lineRule="auto"/>
        <w:rPr>
          <w:rFonts w:ascii="宋体" w:hAnsi="宋体"/>
          <w:color w:val="000000"/>
        </w:rPr>
      </w:pPr>
    </w:p>
    <w:p w14:paraId="6E62EBB7">
      <w:pPr>
        <w:spacing w:line="360" w:lineRule="auto"/>
        <w:rPr>
          <w:rFonts w:ascii="宋体" w:hAnsi="宋体"/>
          <w:color w:val="000000"/>
        </w:rPr>
      </w:pPr>
    </w:p>
    <w:p w14:paraId="551CD40C">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（盖</w:t>
      </w:r>
      <w:r>
        <w:rPr>
          <w:rFonts w:hint="eastAsia" w:ascii="Times New Roman" w:hAnsi="Times New Roman" w:eastAsia="宋体" w:cs="Times New Roman"/>
          <w:color w:val="000000"/>
          <w:sz w:val="24"/>
        </w:rPr>
        <w:t>单位</w:t>
      </w:r>
      <w:r>
        <w:rPr>
          <w:rFonts w:ascii="Times New Roman" w:hAnsi="Times New Roman" w:eastAsia="宋体" w:cs="Times New Roman"/>
          <w:color w:val="000000"/>
          <w:sz w:val="24"/>
        </w:rPr>
        <w:t>章）：</w:t>
      </w:r>
    </w:p>
    <w:p w14:paraId="0A072AEA">
      <w:pPr>
        <w:spacing w:line="360" w:lineRule="auto"/>
        <w:ind w:firstLine="240" w:firstLineChars="100"/>
        <w:rPr>
          <w:rFonts w:ascii="Times New Roman" w:hAnsi="Times New Roman" w:eastAsia="宋体" w:cs="Times New Roman"/>
          <w:color w:val="000000"/>
          <w:sz w:val="24"/>
        </w:rPr>
      </w:pPr>
      <w:r>
        <w:rPr>
          <w:rFonts w:hint="eastAsia" w:ascii="Times New Roman" w:hAnsi="Times New Roman" w:eastAsia="宋体" w:cs="Times New Roman"/>
          <w:color w:val="000000"/>
          <w:sz w:val="24"/>
        </w:rPr>
        <w:t>法定代表人</w:t>
      </w:r>
      <w:r>
        <w:rPr>
          <w:rFonts w:ascii="Times New Roman" w:hAnsi="Times New Roman" w:eastAsia="宋体" w:cs="Times New Roman"/>
          <w:color w:val="000000"/>
          <w:sz w:val="24"/>
        </w:rPr>
        <w:t>或其委托代理人（签字或盖章）：</w:t>
      </w:r>
    </w:p>
    <w:p w14:paraId="0111C414">
      <w:pPr>
        <w:spacing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日期：</w:t>
      </w:r>
      <w:r>
        <w:rPr>
          <w:rFonts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年</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月</w:t>
      </w:r>
      <w:r>
        <w:rPr>
          <w:rFonts w:ascii="Times New Roman" w:hAnsi="Times New Roman" w:eastAsia="宋体" w:cs="Times New Roman"/>
          <w:color w:val="000000"/>
          <w:sz w:val="24"/>
          <w:szCs w:val="21"/>
          <w:u w:val="single"/>
        </w:rPr>
        <w:t xml:space="preserve">      </w:t>
      </w:r>
      <w:r>
        <w:rPr>
          <w:rFonts w:ascii="Times New Roman" w:hAnsi="Times New Roman" w:eastAsia="宋体" w:cs="Times New Roman"/>
          <w:color w:val="000000"/>
          <w:sz w:val="24"/>
          <w:szCs w:val="21"/>
        </w:rPr>
        <w:t>日</w:t>
      </w:r>
    </w:p>
    <w:p w14:paraId="73B90FD4">
      <w:pPr>
        <w:spacing w:line="360" w:lineRule="auto"/>
        <w:ind w:firstLine="210" w:firstLineChars="100"/>
        <w:rPr>
          <w:rFonts w:ascii="宋体" w:hAnsi="宋体"/>
          <w:color w:val="000000"/>
        </w:rPr>
      </w:pPr>
    </w:p>
    <w:p w14:paraId="6869A31F">
      <w:pPr>
        <w:spacing w:line="360" w:lineRule="auto"/>
        <w:ind w:left="420"/>
        <w:rPr>
          <w:rFonts w:hint="eastAsia" w:ascii="宋体" w:hAnsi="宋体"/>
          <w:b/>
          <w:color w:val="000000"/>
          <w:sz w:val="24"/>
        </w:rPr>
      </w:pPr>
    </w:p>
    <w:p w14:paraId="7F676143">
      <w:pPr>
        <w:spacing w:line="360" w:lineRule="auto"/>
        <w:ind w:left="420"/>
        <w:rPr>
          <w:rFonts w:hint="eastAsia" w:ascii="宋体" w:hAnsi="宋体"/>
          <w:b/>
          <w:color w:val="000000"/>
          <w:sz w:val="24"/>
        </w:rPr>
      </w:pPr>
    </w:p>
    <w:p w14:paraId="1F5A39B8">
      <w:pPr>
        <w:spacing w:line="360" w:lineRule="auto"/>
        <w:ind w:left="420"/>
        <w:rPr>
          <w:rFonts w:hint="eastAsia" w:ascii="宋体" w:hAnsi="宋体"/>
          <w:b/>
          <w:color w:val="000000"/>
          <w:sz w:val="24"/>
        </w:rPr>
      </w:pPr>
    </w:p>
    <w:p w14:paraId="5C3B21EA">
      <w:pPr>
        <w:spacing w:line="360" w:lineRule="auto"/>
        <w:ind w:left="420"/>
        <w:rPr>
          <w:rFonts w:hint="eastAsia" w:ascii="宋体" w:hAnsi="宋体"/>
          <w:b/>
          <w:color w:val="000000"/>
          <w:sz w:val="24"/>
        </w:rPr>
      </w:pPr>
    </w:p>
    <w:p w14:paraId="7C2B2894">
      <w:pPr>
        <w:spacing w:line="360" w:lineRule="auto"/>
        <w:ind w:left="420"/>
        <w:rPr>
          <w:rFonts w:hint="eastAsia" w:ascii="宋体" w:hAnsi="宋体"/>
          <w:b/>
          <w:color w:val="000000"/>
          <w:sz w:val="24"/>
        </w:rPr>
      </w:pPr>
    </w:p>
    <w:p w14:paraId="50A74963">
      <w:pPr>
        <w:spacing w:line="360" w:lineRule="auto"/>
        <w:ind w:left="420"/>
        <w:rPr>
          <w:rFonts w:hint="eastAsia" w:ascii="宋体" w:hAnsi="宋体"/>
          <w:b/>
          <w:color w:val="000000"/>
          <w:sz w:val="24"/>
        </w:rPr>
      </w:pPr>
    </w:p>
    <w:p w14:paraId="335206B6">
      <w:pPr>
        <w:spacing w:line="360" w:lineRule="auto"/>
        <w:ind w:left="420"/>
        <w:rPr>
          <w:rFonts w:hint="eastAsia" w:ascii="宋体" w:hAnsi="宋体"/>
          <w:b/>
          <w:color w:val="000000"/>
          <w:sz w:val="24"/>
        </w:rPr>
        <w:sectPr>
          <w:pgSz w:w="11907" w:h="16840"/>
          <w:pgMar w:top="1440" w:right="1440" w:bottom="1440" w:left="1797" w:header="851" w:footer="851" w:gutter="0"/>
          <w:cols w:space="720" w:num="1"/>
          <w:docGrid w:linePitch="312" w:charSpace="0"/>
        </w:sectPr>
      </w:pPr>
    </w:p>
    <w:p w14:paraId="5E9D7820">
      <w:pPr>
        <w:pStyle w:val="2"/>
        <w:numPr>
          <w:ilvl w:val="0"/>
          <w:numId w:val="58"/>
        </w:numPr>
        <w:tabs>
          <w:tab w:val="clear" w:pos="482"/>
        </w:tabs>
        <w:ind w:left="0" w:leftChars="0" w:firstLine="482" w:firstLineChars="0"/>
      </w:pPr>
      <w:r>
        <w:t>已标价工程量清单</w:t>
      </w:r>
    </w:p>
    <w:p w14:paraId="561E5D91">
      <w:pPr>
        <w:pStyle w:val="11"/>
        <w:numPr>
          <w:ilvl w:val="0"/>
          <w:numId w:val="60"/>
        </w:numPr>
        <w:topLinePunct w:val="0"/>
        <w:ind w:left="0" w:leftChars="0" w:firstLine="480" w:firstLineChars="0"/>
        <w:rPr>
          <w:b w:val="0"/>
          <w:color w:val="000000"/>
        </w:rPr>
      </w:pPr>
      <w:r>
        <w:rPr>
          <w:color w:val="000000"/>
        </w:rPr>
        <w:t>说明：已标价工程量清单按规范中的“工程量清单”中的相关清单表格式填写。构成合同文件的已标价工程量清单包括规范中的“工程量清单”有关工程量清单、磋商报价以及其他说明的内容。</w:t>
      </w:r>
    </w:p>
    <w:p w14:paraId="34727FD1">
      <w:pPr>
        <w:pStyle w:val="11"/>
        <w:numPr>
          <w:ilvl w:val="0"/>
          <w:numId w:val="60"/>
        </w:numPr>
        <w:topLinePunct w:val="0"/>
        <w:ind w:left="0" w:leftChars="0" w:firstLine="480" w:firstLineChars="0"/>
        <w:rPr>
          <w:b w:val="0"/>
          <w:color w:val="000000"/>
        </w:rPr>
      </w:pPr>
      <w:r>
        <w:rPr>
          <w:color w:val="000000"/>
        </w:rPr>
        <w:t>表格：可按《建设工程工程量计算规范（GB50854～50862—2013）广西壮族自治区实施细则》工程量清单计价表格提供。</w:t>
      </w:r>
    </w:p>
    <w:p w14:paraId="1B514B4D">
      <w:pPr>
        <w:spacing w:line="360" w:lineRule="auto"/>
        <w:rPr>
          <w:rFonts w:hint="eastAsia" w:ascii="宋体" w:hAnsi="宋体"/>
          <w:b/>
          <w:color w:val="000000"/>
          <w:sz w:val="32"/>
          <w:szCs w:val="32"/>
        </w:rPr>
      </w:pPr>
      <w:r>
        <w:rPr>
          <w:rFonts w:ascii="宋体" w:hAnsi="宋体"/>
          <w:color w:val="000000"/>
          <w:szCs w:val="21"/>
        </w:rPr>
        <w:br w:type="page"/>
      </w:r>
    </w:p>
    <w:p w14:paraId="26618748">
      <w:pPr>
        <w:spacing w:line="360" w:lineRule="auto"/>
        <w:jc w:val="center"/>
        <w:rPr>
          <w:rFonts w:hint="eastAsia" w:ascii="宋体" w:hAnsi="宋体"/>
          <w:b/>
          <w:color w:val="000000"/>
          <w:sz w:val="44"/>
          <w:szCs w:val="44"/>
        </w:rPr>
      </w:pPr>
    </w:p>
    <w:p w14:paraId="74A56375">
      <w:pPr>
        <w:spacing w:line="360" w:lineRule="auto"/>
        <w:jc w:val="center"/>
        <w:rPr>
          <w:rFonts w:hint="eastAsia" w:ascii="宋体" w:hAnsi="宋体"/>
          <w:b/>
          <w:color w:val="000000"/>
          <w:sz w:val="44"/>
          <w:szCs w:val="44"/>
        </w:rPr>
      </w:pPr>
    </w:p>
    <w:p w14:paraId="44BA06A5">
      <w:pPr>
        <w:spacing w:line="360" w:lineRule="auto"/>
        <w:jc w:val="center"/>
        <w:rPr>
          <w:rFonts w:hint="eastAsia" w:ascii="宋体" w:hAnsi="宋体"/>
          <w:b/>
          <w:color w:val="000000"/>
          <w:sz w:val="44"/>
          <w:szCs w:val="44"/>
        </w:rPr>
      </w:pPr>
    </w:p>
    <w:p w14:paraId="0BA60183">
      <w:pPr>
        <w:spacing w:line="360" w:lineRule="auto"/>
        <w:jc w:val="center"/>
        <w:rPr>
          <w:rFonts w:hint="eastAsia" w:ascii="宋体" w:hAnsi="宋体"/>
          <w:b/>
          <w:color w:val="000000"/>
          <w:sz w:val="44"/>
          <w:szCs w:val="44"/>
        </w:rPr>
      </w:pPr>
    </w:p>
    <w:p w14:paraId="634DCE7C">
      <w:pPr>
        <w:spacing w:line="360" w:lineRule="auto"/>
        <w:jc w:val="center"/>
        <w:rPr>
          <w:rFonts w:hint="eastAsia" w:ascii="宋体" w:hAnsi="宋体"/>
          <w:b/>
          <w:color w:val="000000"/>
          <w:sz w:val="44"/>
          <w:szCs w:val="44"/>
        </w:rPr>
      </w:pPr>
    </w:p>
    <w:p w14:paraId="02254337">
      <w:pPr>
        <w:spacing w:line="360" w:lineRule="auto"/>
        <w:jc w:val="center"/>
        <w:rPr>
          <w:rFonts w:hint="eastAsia" w:ascii="宋体" w:hAnsi="宋体"/>
          <w:b/>
          <w:color w:val="000000"/>
          <w:sz w:val="44"/>
          <w:szCs w:val="44"/>
        </w:rPr>
      </w:pPr>
    </w:p>
    <w:p w14:paraId="67D0E666">
      <w:pPr>
        <w:spacing w:line="360" w:lineRule="auto"/>
        <w:jc w:val="center"/>
        <w:rPr>
          <w:rFonts w:hint="eastAsia" w:ascii="宋体" w:hAnsi="宋体"/>
          <w:b/>
          <w:color w:val="000000"/>
          <w:sz w:val="32"/>
          <w:szCs w:val="32"/>
        </w:rPr>
      </w:pPr>
      <w:r>
        <w:rPr>
          <w:rFonts w:hint="eastAsia" w:ascii="宋体" w:hAnsi="宋体"/>
          <w:b/>
          <w:color w:val="000000"/>
          <w:sz w:val="44"/>
          <w:szCs w:val="44"/>
        </w:rPr>
        <w:t>技术文件</w:t>
      </w:r>
    </w:p>
    <w:p w14:paraId="59E0CDA7">
      <w:pPr>
        <w:spacing w:line="360" w:lineRule="auto"/>
        <w:jc w:val="center"/>
        <w:rPr>
          <w:rFonts w:hint="eastAsia" w:ascii="宋体" w:hAnsi="宋体"/>
          <w:color w:val="000000"/>
          <w:szCs w:val="21"/>
        </w:rPr>
      </w:pPr>
    </w:p>
    <w:p w14:paraId="02F7CB89">
      <w:pPr>
        <w:spacing w:line="360" w:lineRule="auto"/>
        <w:jc w:val="center"/>
        <w:rPr>
          <w:rFonts w:hint="eastAsia" w:ascii="宋体" w:hAnsi="宋体"/>
          <w:color w:val="000000"/>
          <w:szCs w:val="21"/>
        </w:rPr>
      </w:pPr>
    </w:p>
    <w:p w14:paraId="032BA9E9">
      <w:pPr>
        <w:spacing w:line="360" w:lineRule="auto"/>
        <w:jc w:val="center"/>
        <w:rPr>
          <w:rFonts w:hint="eastAsia" w:ascii="宋体" w:hAnsi="宋体"/>
          <w:color w:val="000000"/>
          <w:szCs w:val="21"/>
        </w:rPr>
      </w:pPr>
    </w:p>
    <w:p w14:paraId="33E00972">
      <w:pPr>
        <w:spacing w:line="360" w:lineRule="auto"/>
        <w:jc w:val="center"/>
        <w:rPr>
          <w:rFonts w:hint="eastAsia" w:ascii="宋体" w:hAnsi="宋体"/>
          <w:color w:val="000000"/>
          <w:szCs w:val="21"/>
        </w:rPr>
      </w:pPr>
    </w:p>
    <w:p w14:paraId="7EED91C4">
      <w:pPr>
        <w:spacing w:line="360" w:lineRule="auto"/>
        <w:jc w:val="center"/>
        <w:rPr>
          <w:rFonts w:hint="eastAsia" w:ascii="宋体" w:hAnsi="宋体"/>
          <w:color w:val="000000"/>
          <w:szCs w:val="21"/>
        </w:rPr>
      </w:pPr>
    </w:p>
    <w:p w14:paraId="34337A0E">
      <w:pPr>
        <w:spacing w:line="360" w:lineRule="auto"/>
        <w:rPr>
          <w:rFonts w:hint="eastAsia" w:ascii="宋体" w:hAnsi="宋体"/>
          <w:color w:val="000000"/>
          <w:szCs w:val="21"/>
        </w:rPr>
      </w:pPr>
      <w:r>
        <w:rPr>
          <w:rFonts w:ascii="宋体" w:hAnsi="宋体"/>
          <w:color w:val="000000"/>
          <w:szCs w:val="21"/>
        </w:rPr>
        <w:br w:type="page"/>
      </w:r>
    </w:p>
    <w:p w14:paraId="64A5A880">
      <w:pPr>
        <w:pStyle w:val="41"/>
      </w:pPr>
      <w:r>
        <w:t>技术文件目录</w:t>
      </w:r>
    </w:p>
    <w:p w14:paraId="0CB6A442">
      <w:pPr>
        <w:pStyle w:val="41"/>
      </w:pPr>
      <w:r>
        <w:t>（应附有页码）</w:t>
      </w:r>
    </w:p>
    <w:p w14:paraId="5C82F284">
      <w:pPr>
        <w:spacing w:line="360" w:lineRule="auto"/>
        <w:jc w:val="center"/>
        <w:rPr>
          <w:rFonts w:hint="eastAsia" w:ascii="宋体" w:hAnsi="宋体"/>
          <w:b/>
          <w:color w:val="000000"/>
          <w:sz w:val="24"/>
        </w:rPr>
      </w:pPr>
    </w:p>
    <w:p w14:paraId="6E797409">
      <w:pPr>
        <w:pStyle w:val="11"/>
        <w:numPr>
          <w:ilvl w:val="0"/>
          <w:numId w:val="61"/>
        </w:numPr>
        <w:topLinePunct w:val="0"/>
        <w:ind w:left="0" w:leftChars="0" w:firstLine="480" w:firstLineChars="0"/>
        <w:rPr>
          <w:b w:val="0"/>
          <w:color w:val="000000"/>
        </w:rPr>
      </w:pPr>
      <w:r>
        <w:rPr>
          <w:color w:val="000000"/>
        </w:rPr>
        <w:t>施工组织设计</w:t>
      </w:r>
    </w:p>
    <w:p w14:paraId="74C829A6">
      <w:pPr>
        <w:pStyle w:val="11"/>
        <w:numPr>
          <w:ilvl w:val="0"/>
          <w:numId w:val="61"/>
        </w:numPr>
        <w:topLinePunct w:val="0"/>
        <w:ind w:left="0" w:leftChars="0" w:firstLine="480" w:firstLineChars="0"/>
        <w:rPr>
          <w:b w:val="0"/>
          <w:color w:val="000000"/>
        </w:rPr>
      </w:pPr>
      <w:r>
        <w:rPr>
          <w:color w:val="000000"/>
        </w:rPr>
        <w:t>项目管理机构配备情况表</w:t>
      </w:r>
    </w:p>
    <w:p w14:paraId="489B256E">
      <w:pPr>
        <w:pStyle w:val="11"/>
        <w:numPr>
          <w:ilvl w:val="0"/>
          <w:numId w:val="61"/>
        </w:numPr>
        <w:topLinePunct w:val="0"/>
        <w:ind w:left="0" w:leftChars="0" w:firstLine="480" w:firstLineChars="0"/>
        <w:rPr>
          <w:b w:val="0"/>
          <w:color w:val="000000"/>
        </w:rPr>
      </w:pPr>
      <w:r>
        <w:rPr>
          <w:color w:val="000000"/>
        </w:rPr>
        <w:t>按本竞争性磋商文件规定提交的其它资料</w:t>
      </w:r>
    </w:p>
    <w:p w14:paraId="7F4A34F6">
      <w:pPr>
        <w:keepNext/>
        <w:keepLines/>
        <w:widowControl w:val="0"/>
        <w:spacing w:before="280" w:after="290" w:line="376" w:lineRule="auto"/>
        <w:jc w:val="both"/>
        <w:outlineLvl w:val="9"/>
        <w:rPr>
          <w:rFonts w:hint="eastAsia" w:ascii="Arial" w:hAnsi="Arial" w:eastAsia="黑体" w:cs="Times New Roman"/>
          <w:b/>
          <w:bCs/>
          <w:color w:val="000000"/>
          <w:kern w:val="2"/>
          <w:sz w:val="28"/>
          <w:szCs w:val="28"/>
          <w:lang w:val="en-US" w:eastAsia="zh-CN" w:bidi="ar-SA"/>
        </w:rPr>
      </w:pPr>
    </w:p>
    <w:p w14:paraId="15099CDF">
      <w:pPr>
        <w:spacing w:line="360" w:lineRule="auto"/>
        <w:rPr>
          <w:rFonts w:ascii="宋体" w:hAnsi="宋体"/>
          <w:color w:val="000000"/>
          <w:szCs w:val="21"/>
        </w:rPr>
      </w:pPr>
    </w:p>
    <w:p w14:paraId="75A7034B">
      <w:pPr>
        <w:pStyle w:val="2"/>
        <w:numPr>
          <w:ilvl w:val="0"/>
          <w:numId w:val="62"/>
        </w:numPr>
        <w:ind w:left="0" w:leftChars="0" w:firstLine="480" w:firstLineChars="0"/>
        <w:rPr>
          <w:b/>
        </w:rPr>
      </w:pPr>
      <w:r>
        <w:br w:type="page"/>
      </w:r>
      <w:r>
        <w:t>施工组织设计</w:t>
      </w:r>
    </w:p>
    <w:p w14:paraId="008AAAF8">
      <w:pPr>
        <w:pStyle w:val="11"/>
        <w:numPr>
          <w:ilvl w:val="0"/>
          <w:numId w:val="63"/>
        </w:numPr>
        <w:topLinePunct w:val="0"/>
        <w:ind w:left="0" w:leftChars="0" w:firstLine="480" w:firstLineChars="0"/>
        <w:rPr>
          <w:b w:val="0"/>
          <w:color w:val="000000"/>
        </w:rPr>
      </w:pPr>
      <w:r>
        <w:rPr>
          <w:color w:val="000000"/>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42D211C">
      <w:pPr>
        <w:pStyle w:val="11"/>
        <w:numPr>
          <w:ilvl w:val="0"/>
          <w:numId w:val="63"/>
        </w:numPr>
        <w:topLinePunct w:val="0"/>
        <w:ind w:left="0" w:leftChars="0" w:firstLine="480" w:firstLineChars="0"/>
        <w:rPr>
          <w:b w:val="0"/>
          <w:color w:val="000000"/>
        </w:rPr>
      </w:pPr>
      <w:r>
        <w:rPr>
          <w:color w:val="000000"/>
        </w:rPr>
        <w:t>施工组织设计除采用文字表述外可附下列图表，图表及格式要求附后。</w:t>
      </w:r>
    </w:p>
    <w:p w14:paraId="3893E7B3">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附表一  拟投入本工程的主要施工设备表</w:t>
      </w:r>
    </w:p>
    <w:p w14:paraId="36E53A0B">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附表二  拟配备本工程的试验和检测仪器设备表</w:t>
      </w:r>
    </w:p>
    <w:p w14:paraId="6C1A3A0E">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附表三  劳动力计划表</w:t>
      </w:r>
    </w:p>
    <w:p w14:paraId="275260C2">
      <w:pPr>
        <w:pStyle w:val="11"/>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color w:val="000000"/>
        </w:rPr>
        <w:t>附表四  计划开、竣工日期和施工进度网络图</w:t>
      </w:r>
    </w:p>
    <w:p w14:paraId="06AAD7D6">
      <w:pPr>
        <w:pStyle w:val="11"/>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Cs w:val="21"/>
        </w:rPr>
      </w:pPr>
      <w:r>
        <w:rPr>
          <w:color w:val="000000"/>
        </w:rPr>
        <w:t>附表五  临时用地表</w:t>
      </w:r>
    </w:p>
    <w:p w14:paraId="36E8AD8A">
      <w:pPr>
        <w:pStyle w:val="40"/>
        <w:outlineLvl w:val="0"/>
      </w:pPr>
      <w:r>
        <w:t>附表一：拟投入本工程的主要施工设备表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5"/>
        <w:gridCol w:w="807"/>
        <w:gridCol w:w="672"/>
        <w:gridCol w:w="672"/>
        <w:gridCol w:w="807"/>
        <w:gridCol w:w="1077"/>
        <w:gridCol w:w="942"/>
        <w:gridCol w:w="1078"/>
        <w:gridCol w:w="943"/>
      </w:tblGrid>
      <w:tr w14:paraId="5C36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04" w:type="pct"/>
            <w:noWrap w:val="0"/>
            <w:vAlign w:val="center"/>
          </w:tcPr>
          <w:p w14:paraId="4EA6A9E8">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4B132F1B">
            <w:pPr>
              <w:spacing w:line="360" w:lineRule="auto"/>
              <w:jc w:val="center"/>
              <w:rPr>
                <w:rFonts w:ascii="宋体" w:hAnsi="宋体"/>
                <w:color w:val="000000"/>
                <w:szCs w:val="21"/>
              </w:rPr>
            </w:pPr>
            <w:r>
              <w:rPr>
                <w:rFonts w:ascii="宋体" w:hAnsi="宋体"/>
                <w:color w:val="000000"/>
                <w:szCs w:val="21"/>
              </w:rPr>
              <w:t>设备名称</w:t>
            </w:r>
          </w:p>
        </w:tc>
        <w:tc>
          <w:tcPr>
            <w:tcW w:w="454" w:type="pct"/>
            <w:noWrap w:val="0"/>
            <w:vAlign w:val="center"/>
          </w:tcPr>
          <w:p w14:paraId="693A721A">
            <w:pPr>
              <w:spacing w:line="360" w:lineRule="auto"/>
              <w:jc w:val="center"/>
              <w:rPr>
                <w:rFonts w:ascii="宋体" w:hAnsi="宋体"/>
                <w:color w:val="000000"/>
                <w:szCs w:val="21"/>
              </w:rPr>
            </w:pPr>
            <w:r>
              <w:rPr>
                <w:rFonts w:ascii="宋体" w:hAnsi="宋体"/>
                <w:color w:val="000000"/>
                <w:szCs w:val="21"/>
              </w:rPr>
              <w:t>型号</w:t>
            </w:r>
          </w:p>
          <w:p w14:paraId="7B798CB6">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571B19F0">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1ED56A3">
            <w:pPr>
              <w:spacing w:line="360" w:lineRule="auto"/>
              <w:jc w:val="center"/>
              <w:rPr>
                <w:rFonts w:ascii="宋体" w:hAnsi="宋体"/>
                <w:color w:val="000000"/>
                <w:szCs w:val="21"/>
              </w:rPr>
            </w:pPr>
            <w:r>
              <w:rPr>
                <w:rFonts w:ascii="宋体" w:hAnsi="宋体"/>
                <w:color w:val="000000"/>
                <w:szCs w:val="21"/>
              </w:rPr>
              <w:t>国别</w:t>
            </w:r>
          </w:p>
          <w:p w14:paraId="3CC88932">
            <w:pPr>
              <w:spacing w:line="360" w:lineRule="auto"/>
              <w:jc w:val="center"/>
              <w:rPr>
                <w:rFonts w:ascii="宋体" w:hAnsi="宋体"/>
                <w:color w:val="000000"/>
                <w:szCs w:val="21"/>
              </w:rPr>
            </w:pPr>
            <w:r>
              <w:rPr>
                <w:rFonts w:ascii="宋体" w:hAnsi="宋体"/>
                <w:color w:val="000000"/>
                <w:szCs w:val="21"/>
              </w:rPr>
              <w:t>产地</w:t>
            </w:r>
          </w:p>
        </w:tc>
        <w:tc>
          <w:tcPr>
            <w:tcW w:w="454" w:type="pct"/>
            <w:noWrap w:val="0"/>
            <w:vAlign w:val="center"/>
          </w:tcPr>
          <w:p w14:paraId="17B6CD13">
            <w:pPr>
              <w:spacing w:line="360" w:lineRule="auto"/>
              <w:jc w:val="center"/>
              <w:rPr>
                <w:rFonts w:ascii="宋体" w:hAnsi="宋体"/>
                <w:color w:val="000000"/>
                <w:szCs w:val="21"/>
              </w:rPr>
            </w:pPr>
            <w:r>
              <w:rPr>
                <w:rFonts w:ascii="宋体" w:hAnsi="宋体"/>
                <w:color w:val="000000"/>
                <w:szCs w:val="21"/>
              </w:rPr>
              <w:t>制造</w:t>
            </w:r>
          </w:p>
          <w:p w14:paraId="3A306613">
            <w:pPr>
              <w:spacing w:line="360" w:lineRule="auto"/>
              <w:jc w:val="center"/>
              <w:rPr>
                <w:rFonts w:ascii="宋体" w:hAnsi="宋体"/>
                <w:color w:val="000000"/>
                <w:szCs w:val="21"/>
              </w:rPr>
            </w:pPr>
            <w:r>
              <w:rPr>
                <w:rFonts w:ascii="宋体" w:hAnsi="宋体"/>
                <w:color w:val="000000"/>
                <w:szCs w:val="21"/>
              </w:rPr>
              <w:t>年份</w:t>
            </w:r>
          </w:p>
        </w:tc>
        <w:tc>
          <w:tcPr>
            <w:tcW w:w="606" w:type="pct"/>
            <w:noWrap w:val="0"/>
            <w:vAlign w:val="center"/>
          </w:tcPr>
          <w:p w14:paraId="340F54D7">
            <w:pPr>
              <w:spacing w:line="360" w:lineRule="auto"/>
              <w:jc w:val="center"/>
              <w:rPr>
                <w:rFonts w:ascii="宋体" w:hAnsi="宋体"/>
                <w:color w:val="000000"/>
                <w:szCs w:val="21"/>
              </w:rPr>
            </w:pPr>
            <w:r>
              <w:rPr>
                <w:rFonts w:ascii="宋体" w:hAnsi="宋体"/>
                <w:color w:val="000000"/>
                <w:szCs w:val="21"/>
              </w:rPr>
              <w:t>额定功率</w:t>
            </w:r>
          </w:p>
          <w:p w14:paraId="1D82BD0C">
            <w:pPr>
              <w:spacing w:line="360" w:lineRule="auto"/>
              <w:jc w:val="center"/>
              <w:rPr>
                <w:rFonts w:ascii="宋体" w:hAnsi="宋体"/>
                <w:color w:val="000000"/>
                <w:szCs w:val="21"/>
              </w:rPr>
            </w:pPr>
            <w:r>
              <w:rPr>
                <w:rFonts w:ascii="宋体" w:hAnsi="宋体"/>
                <w:color w:val="000000"/>
                <w:szCs w:val="21"/>
              </w:rPr>
              <w:t>（KW）</w:t>
            </w:r>
          </w:p>
        </w:tc>
        <w:tc>
          <w:tcPr>
            <w:tcW w:w="530" w:type="pct"/>
            <w:noWrap w:val="0"/>
            <w:vAlign w:val="center"/>
          </w:tcPr>
          <w:p w14:paraId="5AEFFA34">
            <w:pPr>
              <w:spacing w:line="360" w:lineRule="auto"/>
              <w:jc w:val="center"/>
              <w:rPr>
                <w:rFonts w:ascii="宋体" w:hAnsi="宋体"/>
                <w:color w:val="000000"/>
                <w:szCs w:val="21"/>
              </w:rPr>
            </w:pPr>
            <w:r>
              <w:rPr>
                <w:rFonts w:ascii="宋体" w:hAnsi="宋体"/>
                <w:color w:val="000000"/>
                <w:szCs w:val="21"/>
              </w:rPr>
              <w:t>生产</w:t>
            </w:r>
          </w:p>
          <w:p w14:paraId="7FC6AB05">
            <w:pPr>
              <w:spacing w:line="360" w:lineRule="auto"/>
              <w:jc w:val="center"/>
              <w:rPr>
                <w:rFonts w:ascii="宋体" w:hAnsi="宋体"/>
                <w:color w:val="000000"/>
                <w:szCs w:val="21"/>
              </w:rPr>
            </w:pPr>
            <w:r>
              <w:rPr>
                <w:rFonts w:ascii="宋体" w:hAnsi="宋体"/>
                <w:color w:val="000000"/>
                <w:szCs w:val="21"/>
              </w:rPr>
              <w:t>能力</w:t>
            </w:r>
          </w:p>
        </w:tc>
        <w:tc>
          <w:tcPr>
            <w:tcW w:w="606" w:type="pct"/>
            <w:noWrap w:val="0"/>
            <w:vAlign w:val="center"/>
          </w:tcPr>
          <w:p w14:paraId="18AC45C2">
            <w:pPr>
              <w:spacing w:line="360" w:lineRule="auto"/>
              <w:jc w:val="center"/>
              <w:rPr>
                <w:rFonts w:ascii="宋体" w:hAnsi="宋体"/>
                <w:color w:val="000000"/>
                <w:szCs w:val="21"/>
              </w:rPr>
            </w:pPr>
            <w:r>
              <w:rPr>
                <w:rFonts w:ascii="宋体" w:hAnsi="宋体"/>
                <w:color w:val="000000"/>
                <w:szCs w:val="21"/>
              </w:rPr>
              <w:t>用于施</w:t>
            </w:r>
          </w:p>
          <w:p w14:paraId="2EB9890A">
            <w:pPr>
              <w:spacing w:line="360" w:lineRule="auto"/>
              <w:jc w:val="center"/>
              <w:rPr>
                <w:rFonts w:ascii="宋体" w:hAnsi="宋体"/>
                <w:color w:val="000000"/>
                <w:szCs w:val="21"/>
              </w:rPr>
            </w:pPr>
            <w:r>
              <w:rPr>
                <w:rFonts w:ascii="宋体" w:hAnsi="宋体"/>
                <w:color w:val="000000"/>
                <w:szCs w:val="21"/>
              </w:rPr>
              <w:t>工部位</w:t>
            </w:r>
          </w:p>
        </w:tc>
        <w:tc>
          <w:tcPr>
            <w:tcW w:w="530" w:type="pct"/>
            <w:noWrap w:val="0"/>
            <w:vAlign w:val="center"/>
          </w:tcPr>
          <w:p w14:paraId="77FCCF12">
            <w:pPr>
              <w:spacing w:line="360" w:lineRule="auto"/>
              <w:jc w:val="center"/>
              <w:rPr>
                <w:rFonts w:ascii="宋体" w:hAnsi="宋体"/>
                <w:color w:val="000000"/>
                <w:szCs w:val="21"/>
              </w:rPr>
            </w:pPr>
            <w:r>
              <w:rPr>
                <w:rFonts w:ascii="宋体" w:hAnsi="宋体"/>
                <w:color w:val="000000"/>
                <w:szCs w:val="21"/>
              </w:rPr>
              <w:t>备注</w:t>
            </w:r>
          </w:p>
        </w:tc>
      </w:tr>
      <w:tr w14:paraId="727D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2EEB7E2F">
            <w:pPr>
              <w:spacing w:line="360" w:lineRule="auto"/>
              <w:rPr>
                <w:rFonts w:ascii="宋体" w:hAnsi="宋体"/>
                <w:color w:val="000000"/>
                <w:szCs w:val="21"/>
              </w:rPr>
            </w:pPr>
          </w:p>
        </w:tc>
        <w:tc>
          <w:tcPr>
            <w:tcW w:w="655" w:type="pct"/>
            <w:noWrap w:val="0"/>
            <w:vAlign w:val="top"/>
          </w:tcPr>
          <w:p w14:paraId="6FAF569F">
            <w:pPr>
              <w:spacing w:line="360" w:lineRule="auto"/>
              <w:ind w:firstLine="420" w:firstLineChars="200"/>
              <w:rPr>
                <w:rFonts w:ascii="宋体" w:hAnsi="宋体"/>
                <w:color w:val="000000"/>
                <w:szCs w:val="21"/>
              </w:rPr>
            </w:pPr>
          </w:p>
        </w:tc>
        <w:tc>
          <w:tcPr>
            <w:tcW w:w="454" w:type="pct"/>
            <w:noWrap w:val="0"/>
            <w:vAlign w:val="top"/>
          </w:tcPr>
          <w:p w14:paraId="13D7B33F">
            <w:pPr>
              <w:spacing w:line="360" w:lineRule="auto"/>
              <w:rPr>
                <w:rFonts w:ascii="宋体" w:hAnsi="宋体"/>
                <w:color w:val="000000"/>
                <w:szCs w:val="21"/>
              </w:rPr>
            </w:pPr>
          </w:p>
        </w:tc>
        <w:tc>
          <w:tcPr>
            <w:tcW w:w="378" w:type="pct"/>
            <w:noWrap w:val="0"/>
            <w:vAlign w:val="top"/>
          </w:tcPr>
          <w:p w14:paraId="338FD442">
            <w:pPr>
              <w:spacing w:line="360" w:lineRule="auto"/>
              <w:rPr>
                <w:rFonts w:ascii="宋体" w:hAnsi="宋体"/>
                <w:color w:val="000000"/>
                <w:szCs w:val="21"/>
              </w:rPr>
            </w:pPr>
          </w:p>
        </w:tc>
        <w:tc>
          <w:tcPr>
            <w:tcW w:w="378" w:type="pct"/>
            <w:noWrap w:val="0"/>
            <w:vAlign w:val="top"/>
          </w:tcPr>
          <w:p w14:paraId="319BB4AA">
            <w:pPr>
              <w:spacing w:line="360" w:lineRule="auto"/>
              <w:rPr>
                <w:rFonts w:ascii="宋体" w:hAnsi="宋体"/>
                <w:color w:val="000000"/>
                <w:szCs w:val="21"/>
              </w:rPr>
            </w:pPr>
          </w:p>
        </w:tc>
        <w:tc>
          <w:tcPr>
            <w:tcW w:w="454" w:type="pct"/>
            <w:noWrap w:val="0"/>
            <w:vAlign w:val="top"/>
          </w:tcPr>
          <w:p w14:paraId="67C51D34">
            <w:pPr>
              <w:spacing w:line="360" w:lineRule="auto"/>
              <w:rPr>
                <w:rFonts w:ascii="宋体" w:hAnsi="宋体"/>
                <w:color w:val="000000"/>
                <w:szCs w:val="21"/>
              </w:rPr>
            </w:pPr>
          </w:p>
        </w:tc>
        <w:tc>
          <w:tcPr>
            <w:tcW w:w="606" w:type="pct"/>
            <w:noWrap w:val="0"/>
            <w:vAlign w:val="top"/>
          </w:tcPr>
          <w:p w14:paraId="3D1DC047">
            <w:pPr>
              <w:spacing w:line="360" w:lineRule="auto"/>
              <w:rPr>
                <w:rFonts w:ascii="宋体" w:hAnsi="宋体"/>
                <w:color w:val="000000"/>
                <w:szCs w:val="21"/>
              </w:rPr>
            </w:pPr>
          </w:p>
        </w:tc>
        <w:tc>
          <w:tcPr>
            <w:tcW w:w="530" w:type="pct"/>
            <w:noWrap w:val="0"/>
            <w:vAlign w:val="top"/>
          </w:tcPr>
          <w:p w14:paraId="32F22FB3">
            <w:pPr>
              <w:spacing w:line="360" w:lineRule="auto"/>
              <w:rPr>
                <w:rFonts w:ascii="宋体" w:hAnsi="宋体"/>
                <w:color w:val="000000"/>
                <w:szCs w:val="21"/>
              </w:rPr>
            </w:pPr>
          </w:p>
        </w:tc>
        <w:tc>
          <w:tcPr>
            <w:tcW w:w="606" w:type="pct"/>
            <w:noWrap w:val="0"/>
            <w:vAlign w:val="top"/>
          </w:tcPr>
          <w:p w14:paraId="3684839D">
            <w:pPr>
              <w:spacing w:line="360" w:lineRule="auto"/>
              <w:rPr>
                <w:rFonts w:ascii="宋体" w:hAnsi="宋体"/>
                <w:color w:val="000000"/>
                <w:szCs w:val="21"/>
              </w:rPr>
            </w:pPr>
          </w:p>
        </w:tc>
        <w:tc>
          <w:tcPr>
            <w:tcW w:w="530" w:type="pct"/>
            <w:noWrap w:val="0"/>
            <w:vAlign w:val="top"/>
          </w:tcPr>
          <w:p w14:paraId="0C3840CD">
            <w:pPr>
              <w:spacing w:line="360" w:lineRule="auto"/>
              <w:rPr>
                <w:rFonts w:ascii="宋体" w:hAnsi="宋体"/>
                <w:color w:val="000000"/>
                <w:szCs w:val="21"/>
              </w:rPr>
            </w:pPr>
          </w:p>
        </w:tc>
      </w:tr>
      <w:tr w14:paraId="03B9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EB79408">
            <w:pPr>
              <w:spacing w:line="360" w:lineRule="auto"/>
              <w:rPr>
                <w:rFonts w:ascii="宋体" w:hAnsi="宋体"/>
                <w:color w:val="000000"/>
                <w:szCs w:val="21"/>
              </w:rPr>
            </w:pPr>
          </w:p>
        </w:tc>
        <w:tc>
          <w:tcPr>
            <w:tcW w:w="655" w:type="pct"/>
            <w:noWrap w:val="0"/>
            <w:vAlign w:val="top"/>
          </w:tcPr>
          <w:p w14:paraId="663169DD">
            <w:pPr>
              <w:spacing w:line="360" w:lineRule="auto"/>
              <w:rPr>
                <w:rFonts w:ascii="宋体" w:hAnsi="宋体"/>
                <w:color w:val="000000"/>
                <w:szCs w:val="21"/>
              </w:rPr>
            </w:pPr>
          </w:p>
        </w:tc>
        <w:tc>
          <w:tcPr>
            <w:tcW w:w="454" w:type="pct"/>
            <w:noWrap w:val="0"/>
            <w:vAlign w:val="top"/>
          </w:tcPr>
          <w:p w14:paraId="2F4F784C">
            <w:pPr>
              <w:spacing w:line="360" w:lineRule="auto"/>
              <w:rPr>
                <w:rFonts w:ascii="宋体" w:hAnsi="宋体"/>
                <w:color w:val="000000"/>
                <w:szCs w:val="21"/>
              </w:rPr>
            </w:pPr>
          </w:p>
        </w:tc>
        <w:tc>
          <w:tcPr>
            <w:tcW w:w="378" w:type="pct"/>
            <w:noWrap w:val="0"/>
            <w:vAlign w:val="top"/>
          </w:tcPr>
          <w:p w14:paraId="1D832459">
            <w:pPr>
              <w:spacing w:line="360" w:lineRule="auto"/>
              <w:rPr>
                <w:rFonts w:ascii="宋体" w:hAnsi="宋体"/>
                <w:color w:val="000000"/>
                <w:szCs w:val="21"/>
              </w:rPr>
            </w:pPr>
          </w:p>
        </w:tc>
        <w:tc>
          <w:tcPr>
            <w:tcW w:w="378" w:type="pct"/>
            <w:noWrap w:val="0"/>
            <w:vAlign w:val="top"/>
          </w:tcPr>
          <w:p w14:paraId="0073E153">
            <w:pPr>
              <w:spacing w:line="360" w:lineRule="auto"/>
              <w:rPr>
                <w:rFonts w:ascii="宋体" w:hAnsi="宋体"/>
                <w:color w:val="000000"/>
                <w:szCs w:val="21"/>
              </w:rPr>
            </w:pPr>
          </w:p>
        </w:tc>
        <w:tc>
          <w:tcPr>
            <w:tcW w:w="454" w:type="pct"/>
            <w:noWrap w:val="0"/>
            <w:vAlign w:val="top"/>
          </w:tcPr>
          <w:p w14:paraId="1A8A9B6B">
            <w:pPr>
              <w:spacing w:line="360" w:lineRule="auto"/>
              <w:rPr>
                <w:rFonts w:ascii="宋体" w:hAnsi="宋体"/>
                <w:color w:val="000000"/>
                <w:szCs w:val="21"/>
              </w:rPr>
            </w:pPr>
          </w:p>
        </w:tc>
        <w:tc>
          <w:tcPr>
            <w:tcW w:w="606" w:type="pct"/>
            <w:noWrap w:val="0"/>
            <w:vAlign w:val="top"/>
          </w:tcPr>
          <w:p w14:paraId="7CAB8D84">
            <w:pPr>
              <w:spacing w:line="360" w:lineRule="auto"/>
              <w:rPr>
                <w:rFonts w:ascii="宋体" w:hAnsi="宋体"/>
                <w:color w:val="000000"/>
                <w:szCs w:val="21"/>
              </w:rPr>
            </w:pPr>
          </w:p>
        </w:tc>
        <w:tc>
          <w:tcPr>
            <w:tcW w:w="530" w:type="pct"/>
            <w:noWrap w:val="0"/>
            <w:vAlign w:val="top"/>
          </w:tcPr>
          <w:p w14:paraId="4677C2D8">
            <w:pPr>
              <w:spacing w:line="360" w:lineRule="auto"/>
              <w:rPr>
                <w:rFonts w:ascii="宋体" w:hAnsi="宋体"/>
                <w:color w:val="000000"/>
                <w:szCs w:val="21"/>
              </w:rPr>
            </w:pPr>
          </w:p>
        </w:tc>
        <w:tc>
          <w:tcPr>
            <w:tcW w:w="606" w:type="pct"/>
            <w:noWrap w:val="0"/>
            <w:vAlign w:val="top"/>
          </w:tcPr>
          <w:p w14:paraId="39146878">
            <w:pPr>
              <w:spacing w:line="360" w:lineRule="auto"/>
              <w:rPr>
                <w:rFonts w:ascii="宋体" w:hAnsi="宋体"/>
                <w:color w:val="000000"/>
                <w:szCs w:val="21"/>
              </w:rPr>
            </w:pPr>
          </w:p>
        </w:tc>
        <w:tc>
          <w:tcPr>
            <w:tcW w:w="530" w:type="pct"/>
            <w:noWrap w:val="0"/>
            <w:vAlign w:val="top"/>
          </w:tcPr>
          <w:p w14:paraId="4464997D">
            <w:pPr>
              <w:spacing w:line="360" w:lineRule="auto"/>
              <w:rPr>
                <w:rFonts w:ascii="宋体" w:hAnsi="宋体"/>
                <w:color w:val="000000"/>
                <w:szCs w:val="21"/>
              </w:rPr>
            </w:pPr>
          </w:p>
        </w:tc>
      </w:tr>
      <w:tr w14:paraId="6E44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6BE0094">
            <w:pPr>
              <w:spacing w:line="360" w:lineRule="auto"/>
              <w:rPr>
                <w:rFonts w:ascii="宋体" w:hAnsi="宋体"/>
                <w:color w:val="000000"/>
                <w:szCs w:val="21"/>
              </w:rPr>
            </w:pPr>
          </w:p>
        </w:tc>
        <w:tc>
          <w:tcPr>
            <w:tcW w:w="655" w:type="pct"/>
            <w:noWrap w:val="0"/>
            <w:vAlign w:val="top"/>
          </w:tcPr>
          <w:p w14:paraId="0A444C9B">
            <w:pPr>
              <w:spacing w:line="360" w:lineRule="auto"/>
              <w:rPr>
                <w:rFonts w:ascii="宋体" w:hAnsi="宋体"/>
                <w:color w:val="000000"/>
                <w:szCs w:val="21"/>
              </w:rPr>
            </w:pPr>
          </w:p>
        </w:tc>
        <w:tc>
          <w:tcPr>
            <w:tcW w:w="454" w:type="pct"/>
            <w:noWrap w:val="0"/>
            <w:vAlign w:val="top"/>
          </w:tcPr>
          <w:p w14:paraId="2FD42CDF">
            <w:pPr>
              <w:spacing w:line="360" w:lineRule="auto"/>
              <w:rPr>
                <w:rFonts w:ascii="宋体" w:hAnsi="宋体"/>
                <w:color w:val="000000"/>
                <w:szCs w:val="21"/>
              </w:rPr>
            </w:pPr>
          </w:p>
        </w:tc>
        <w:tc>
          <w:tcPr>
            <w:tcW w:w="378" w:type="pct"/>
            <w:noWrap w:val="0"/>
            <w:vAlign w:val="top"/>
          </w:tcPr>
          <w:p w14:paraId="11518358">
            <w:pPr>
              <w:spacing w:line="360" w:lineRule="auto"/>
              <w:rPr>
                <w:rFonts w:ascii="宋体" w:hAnsi="宋体"/>
                <w:color w:val="000000"/>
                <w:szCs w:val="21"/>
              </w:rPr>
            </w:pPr>
          </w:p>
        </w:tc>
        <w:tc>
          <w:tcPr>
            <w:tcW w:w="378" w:type="pct"/>
            <w:noWrap w:val="0"/>
            <w:vAlign w:val="top"/>
          </w:tcPr>
          <w:p w14:paraId="42DB4B01">
            <w:pPr>
              <w:spacing w:line="360" w:lineRule="auto"/>
              <w:rPr>
                <w:rFonts w:ascii="宋体" w:hAnsi="宋体"/>
                <w:color w:val="000000"/>
                <w:szCs w:val="21"/>
              </w:rPr>
            </w:pPr>
          </w:p>
        </w:tc>
        <w:tc>
          <w:tcPr>
            <w:tcW w:w="454" w:type="pct"/>
            <w:noWrap w:val="0"/>
            <w:vAlign w:val="top"/>
          </w:tcPr>
          <w:p w14:paraId="76C36FE6">
            <w:pPr>
              <w:spacing w:line="360" w:lineRule="auto"/>
              <w:rPr>
                <w:rFonts w:ascii="宋体" w:hAnsi="宋体"/>
                <w:color w:val="000000"/>
                <w:szCs w:val="21"/>
              </w:rPr>
            </w:pPr>
          </w:p>
        </w:tc>
        <w:tc>
          <w:tcPr>
            <w:tcW w:w="606" w:type="pct"/>
            <w:noWrap w:val="0"/>
            <w:vAlign w:val="top"/>
          </w:tcPr>
          <w:p w14:paraId="72235936">
            <w:pPr>
              <w:spacing w:line="360" w:lineRule="auto"/>
              <w:rPr>
                <w:rFonts w:ascii="宋体" w:hAnsi="宋体"/>
                <w:color w:val="000000"/>
                <w:szCs w:val="21"/>
              </w:rPr>
            </w:pPr>
          </w:p>
        </w:tc>
        <w:tc>
          <w:tcPr>
            <w:tcW w:w="530" w:type="pct"/>
            <w:noWrap w:val="0"/>
            <w:vAlign w:val="top"/>
          </w:tcPr>
          <w:p w14:paraId="6543A0AC">
            <w:pPr>
              <w:spacing w:line="360" w:lineRule="auto"/>
              <w:rPr>
                <w:rFonts w:ascii="宋体" w:hAnsi="宋体"/>
                <w:color w:val="000000"/>
                <w:szCs w:val="21"/>
              </w:rPr>
            </w:pPr>
          </w:p>
        </w:tc>
        <w:tc>
          <w:tcPr>
            <w:tcW w:w="606" w:type="pct"/>
            <w:noWrap w:val="0"/>
            <w:vAlign w:val="top"/>
          </w:tcPr>
          <w:p w14:paraId="489FB7DC">
            <w:pPr>
              <w:spacing w:line="360" w:lineRule="auto"/>
              <w:rPr>
                <w:rFonts w:ascii="宋体" w:hAnsi="宋体"/>
                <w:color w:val="000000"/>
                <w:szCs w:val="21"/>
              </w:rPr>
            </w:pPr>
          </w:p>
        </w:tc>
        <w:tc>
          <w:tcPr>
            <w:tcW w:w="530" w:type="pct"/>
            <w:noWrap w:val="0"/>
            <w:vAlign w:val="top"/>
          </w:tcPr>
          <w:p w14:paraId="5ED20606">
            <w:pPr>
              <w:spacing w:line="360" w:lineRule="auto"/>
              <w:rPr>
                <w:rFonts w:ascii="宋体" w:hAnsi="宋体"/>
                <w:color w:val="000000"/>
                <w:szCs w:val="21"/>
              </w:rPr>
            </w:pPr>
          </w:p>
        </w:tc>
      </w:tr>
      <w:tr w14:paraId="41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30EF524D">
            <w:pPr>
              <w:spacing w:line="360" w:lineRule="auto"/>
              <w:rPr>
                <w:rFonts w:ascii="宋体" w:hAnsi="宋体"/>
                <w:color w:val="000000"/>
                <w:szCs w:val="21"/>
              </w:rPr>
            </w:pPr>
          </w:p>
        </w:tc>
        <w:tc>
          <w:tcPr>
            <w:tcW w:w="655" w:type="pct"/>
            <w:noWrap w:val="0"/>
            <w:vAlign w:val="top"/>
          </w:tcPr>
          <w:p w14:paraId="7A5FFDF7">
            <w:pPr>
              <w:spacing w:line="360" w:lineRule="auto"/>
              <w:rPr>
                <w:rFonts w:ascii="宋体" w:hAnsi="宋体"/>
                <w:color w:val="000000"/>
                <w:szCs w:val="21"/>
              </w:rPr>
            </w:pPr>
          </w:p>
        </w:tc>
        <w:tc>
          <w:tcPr>
            <w:tcW w:w="454" w:type="pct"/>
            <w:noWrap w:val="0"/>
            <w:vAlign w:val="top"/>
          </w:tcPr>
          <w:p w14:paraId="0120EA22">
            <w:pPr>
              <w:spacing w:line="360" w:lineRule="auto"/>
              <w:rPr>
                <w:rFonts w:ascii="宋体" w:hAnsi="宋体"/>
                <w:color w:val="000000"/>
                <w:szCs w:val="21"/>
              </w:rPr>
            </w:pPr>
          </w:p>
        </w:tc>
        <w:tc>
          <w:tcPr>
            <w:tcW w:w="378" w:type="pct"/>
            <w:noWrap w:val="0"/>
            <w:vAlign w:val="top"/>
          </w:tcPr>
          <w:p w14:paraId="5B745305">
            <w:pPr>
              <w:spacing w:line="360" w:lineRule="auto"/>
              <w:rPr>
                <w:rFonts w:ascii="宋体" w:hAnsi="宋体"/>
                <w:color w:val="000000"/>
                <w:szCs w:val="21"/>
              </w:rPr>
            </w:pPr>
          </w:p>
        </w:tc>
        <w:tc>
          <w:tcPr>
            <w:tcW w:w="378" w:type="pct"/>
            <w:noWrap w:val="0"/>
            <w:vAlign w:val="top"/>
          </w:tcPr>
          <w:p w14:paraId="28494321">
            <w:pPr>
              <w:spacing w:line="360" w:lineRule="auto"/>
              <w:rPr>
                <w:rFonts w:ascii="宋体" w:hAnsi="宋体"/>
                <w:color w:val="000000"/>
                <w:szCs w:val="21"/>
              </w:rPr>
            </w:pPr>
          </w:p>
        </w:tc>
        <w:tc>
          <w:tcPr>
            <w:tcW w:w="454" w:type="pct"/>
            <w:noWrap w:val="0"/>
            <w:vAlign w:val="top"/>
          </w:tcPr>
          <w:p w14:paraId="27BEC911">
            <w:pPr>
              <w:spacing w:line="360" w:lineRule="auto"/>
              <w:rPr>
                <w:rFonts w:ascii="宋体" w:hAnsi="宋体"/>
                <w:color w:val="000000"/>
                <w:szCs w:val="21"/>
              </w:rPr>
            </w:pPr>
          </w:p>
        </w:tc>
        <w:tc>
          <w:tcPr>
            <w:tcW w:w="606" w:type="pct"/>
            <w:noWrap w:val="0"/>
            <w:vAlign w:val="top"/>
          </w:tcPr>
          <w:p w14:paraId="67EC5BD3">
            <w:pPr>
              <w:spacing w:line="360" w:lineRule="auto"/>
              <w:rPr>
                <w:rFonts w:ascii="宋体" w:hAnsi="宋体"/>
                <w:color w:val="000000"/>
                <w:szCs w:val="21"/>
              </w:rPr>
            </w:pPr>
          </w:p>
        </w:tc>
        <w:tc>
          <w:tcPr>
            <w:tcW w:w="530" w:type="pct"/>
            <w:noWrap w:val="0"/>
            <w:vAlign w:val="top"/>
          </w:tcPr>
          <w:p w14:paraId="4CFBD8E3">
            <w:pPr>
              <w:spacing w:line="360" w:lineRule="auto"/>
              <w:rPr>
                <w:rFonts w:ascii="宋体" w:hAnsi="宋体"/>
                <w:color w:val="000000"/>
                <w:szCs w:val="21"/>
              </w:rPr>
            </w:pPr>
          </w:p>
        </w:tc>
        <w:tc>
          <w:tcPr>
            <w:tcW w:w="606" w:type="pct"/>
            <w:noWrap w:val="0"/>
            <w:vAlign w:val="top"/>
          </w:tcPr>
          <w:p w14:paraId="27C12233">
            <w:pPr>
              <w:spacing w:line="360" w:lineRule="auto"/>
              <w:rPr>
                <w:rFonts w:ascii="宋体" w:hAnsi="宋体"/>
                <w:color w:val="000000"/>
                <w:szCs w:val="21"/>
              </w:rPr>
            </w:pPr>
          </w:p>
        </w:tc>
        <w:tc>
          <w:tcPr>
            <w:tcW w:w="530" w:type="pct"/>
            <w:noWrap w:val="0"/>
            <w:vAlign w:val="top"/>
          </w:tcPr>
          <w:p w14:paraId="1A0A495F">
            <w:pPr>
              <w:spacing w:line="360" w:lineRule="auto"/>
              <w:rPr>
                <w:rFonts w:ascii="宋体" w:hAnsi="宋体"/>
                <w:color w:val="000000"/>
                <w:szCs w:val="21"/>
              </w:rPr>
            </w:pPr>
          </w:p>
        </w:tc>
      </w:tr>
      <w:tr w14:paraId="0C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noWrap w:val="0"/>
            <w:vAlign w:val="top"/>
          </w:tcPr>
          <w:p w14:paraId="130AC916">
            <w:pPr>
              <w:spacing w:line="360" w:lineRule="auto"/>
              <w:rPr>
                <w:rFonts w:ascii="宋体" w:hAnsi="宋体"/>
                <w:color w:val="000000"/>
                <w:szCs w:val="21"/>
              </w:rPr>
            </w:pPr>
          </w:p>
        </w:tc>
        <w:tc>
          <w:tcPr>
            <w:tcW w:w="655" w:type="pct"/>
            <w:noWrap w:val="0"/>
            <w:vAlign w:val="top"/>
          </w:tcPr>
          <w:p w14:paraId="094BEA20">
            <w:pPr>
              <w:spacing w:line="360" w:lineRule="auto"/>
              <w:rPr>
                <w:rFonts w:ascii="宋体" w:hAnsi="宋体"/>
                <w:color w:val="000000"/>
                <w:szCs w:val="21"/>
              </w:rPr>
            </w:pPr>
          </w:p>
        </w:tc>
        <w:tc>
          <w:tcPr>
            <w:tcW w:w="454" w:type="pct"/>
            <w:noWrap w:val="0"/>
            <w:vAlign w:val="top"/>
          </w:tcPr>
          <w:p w14:paraId="52B59EF9">
            <w:pPr>
              <w:spacing w:line="360" w:lineRule="auto"/>
              <w:rPr>
                <w:rFonts w:ascii="宋体" w:hAnsi="宋体"/>
                <w:color w:val="000000"/>
                <w:szCs w:val="21"/>
              </w:rPr>
            </w:pPr>
          </w:p>
        </w:tc>
        <w:tc>
          <w:tcPr>
            <w:tcW w:w="378" w:type="pct"/>
            <w:noWrap w:val="0"/>
            <w:vAlign w:val="top"/>
          </w:tcPr>
          <w:p w14:paraId="6A850BF2">
            <w:pPr>
              <w:spacing w:line="360" w:lineRule="auto"/>
              <w:rPr>
                <w:rFonts w:ascii="宋体" w:hAnsi="宋体"/>
                <w:color w:val="000000"/>
                <w:szCs w:val="21"/>
              </w:rPr>
            </w:pPr>
          </w:p>
        </w:tc>
        <w:tc>
          <w:tcPr>
            <w:tcW w:w="378" w:type="pct"/>
            <w:noWrap w:val="0"/>
            <w:vAlign w:val="top"/>
          </w:tcPr>
          <w:p w14:paraId="3F0AE17E">
            <w:pPr>
              <w:spacing w:line="360" w:lineRule="auto"/>
              <w:rPr>
                <w:rFonts w:ascii="宋体" w:hAnsi="宋体"/>
                <w:color w:val="000000"/>
                <w:szCs w:val="21"/>
              </w:rPr>
            </w:pPr>
          </w:p>
        </w:tc>
        <w:tc>
          <w:tcPr>
            <w:tcW w:w="454" w:type="pct"/>
            <w:noWrap w:val="0"/>
            <w:vAlign w:val="top"/>
          </w:tcPr>
          <w:p w14:paraId="55EA0708">
            <w:pPr>
              <w:spacing w:line="360" w:lineRule="auto"/>
              <w:rPr>
                <w:rFonts w:ascii="宋体" w:hAnsi="宋体"/>
                <w:color w:val="000000"/>
                <w:szCs w:val="21"/>
              </w:rPr>
            </w:pPr>
          </w:p>
        </w:tc>
        <w:tc>
          <w:tcPr>
            <w:tcW w:w="606" w:type="pct"/>
            <w:noWrap w:val="0"/>
            <w:vAlign w:val="top"/>
          </w:tcPr>
          <w:p w14:paraId="25AC284A">
            <w:pPr>
              <w:spacing w:line="360" w:lineRule="auto"/>
              <w:rPr>
                <w:rFonts w:ascii="宋体" w:hAnsi="宋体"/>
                <w:color w:val="000000"/>
                <w:szCs w:val="21"/>
              </w:rPr>
            </w:pPr>
          </w:p>
        </w:tc>
        <w:tc>
          <w:tcPr>
            <w:tcW w:w="530" w:type="pct"/>
            <w:noWrap w:val="0"/>
            <w:vAlign w:val="top"/>
          </w:tcPr>
          <w:p w14:paraId="322360FE">
            <w:pPr>
              <w:spacing w:line="360" w:lineRule="auto"/>
              <w:rPr>
                <w:rFonts w:ascii="宋体" w:hAnsi="宋体"/>
                <w:color w:val="000000"/>
                <w:szCs w:val="21"/>
              </w:rPr>
            </w:pPr>
          </w:p>
        </w:tc>
        <w:tc>
          <w:tcPr>
            <w:tcW w:w="606" w:type="pct"/>
            <w:noWrap w:val="0"/>
            <w:vAlign w:val="top"/>
          </w:tcPr>
          <w:p w14:paraId="0FBD6AF6">
            <w:pPr>
              <w:spacing w:line="360" w:lineRule="auto"/>
              <w:rPr>
                <w:rFonts w:ascii="宋体" w:hAnsi="宋体"/>
                <w:color w:val="000000"/>
                <w:szCs w:val="21"/>
              </w:rPr>
            </w:pPr>
          </w:p>
        </w:tc>
        <w:tc>
          <w:tcPr>
            <w:tcW w:w="530" w:type="pct"/>
            <w:noWrap w:val="0"/>
            <w:vAlign w:val="top"/>
          </w:tcPr>
          <w:p w14:paraId="0A47D828">
            <w:pPr>
              <w:spacing w:line="360" w:lineRule="auto"/>
              <w:rPr>
                <w:rFonts w:ascii="宋体" w:hAnsi="宋体"/>
                <w:color w:val="000000"/>
                <w:szCs w:val="21"/>
              </w:rPr>
            </w:pPr>
          </w:p>
        </w:tc>
      </w:tr>
    </w:tbl>
    <w:p w14:paraId="0E8961F9">
      <w:pPr>
        <w:pStyle w:val="40"/>
        <w:outlineLvl w:val="0"/>
      </w:pPr>
      <w:r>
        <w:t>附表二：拟配备本工程的试验和检测仪器设备表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64"/>
        <w:gridCol w:w="807"/>
        <w:gridCol w:w="672"/>
        <w:gridCol w:w="672"/>
        <w:gridCol w:w="1077"/>
        <w:gridCol w:w="1212"/>
        <w:gridCol w:w="1077"/>
        <w:gridCol w:w="1482"/>
      </w:tblGrid>
      <w:tr w14:paraId="1A1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5B0D959E">
            <w:pPr>
              <w:spacing w:line="360" w:lineRule="auto"/>
              <w:jc w:val="center"/>
              <w:rPr>
                <w:rFonts w:ascii="宋体" w:hAnsi="宋体"/>
                <w:color w:val="000000"/>
                <w:szCs w:val="21"/>
              </w:rPr>
            </w:pPr>
            <w:r>
              <w:rPr>
                <w:rFonts w:ascii="宋体" w:hAnsi="宋体"/>
                <w:color w:val="000000"/>
                <w:szCs w:val="21"/>
              </w:rPr>
              <w:t>序号</w:t>
            </w:r>
          </w:p>
        </w:tc>
        <w:tc>
          <w:tcPr>
            <w:tcW w:w="655" w:type="pct"/>
            <w:noWrap w:val="0"/>
            <w:vAlign w:val="center"/>
          </w:tcPr>
          <w:p w14:paraId="77B7A888">
            <w:pPr>
              <w:spacing w:line="360" w:lineRule="auto"/>
              <w:jc w:val="center"/>
              <w:rPr>
                <w:rFonts w:ascii="宋体" w:hAnsi="宋体"/>
                <w:color w:val="000000"/>
                <w:szCs w:val="21"/>
              </w:rPr>
            </w:pPr>
            <w:r>
              <w:rPr>
                <w:rFonts w:ascii="宋体" w:hAnsi="宋体"/>
                <w:color w:val="000000"/>
                <w:szCs w:val="21"/>
              </w:rPr>
              <w:t>仪器设备名称</w:t>
            </w:r>
          </w:p>
        </w:tc>
        <w:tc>
          <w:tcPr>
            <w:tcW w:w="454" w:type="pct"/>
            <w:noWrap w:val="0"/>
            <w:vAlign w:val="center"/>
          </w:tcPr>
          <w:p w14:paraId="72DA05F9">
            <w:pPr>
              <w:spacing w:line="360" w:lineRule="auto"/>
              <w:jc w:val="center"/>
              <w:rPr>
                <w:rFonts w:ascii="宋体" w:hAnsi="宋体"/>
                <w:color w:val="000000"/>
                <w:szCs w:val="21"/>
              </w:rPr>
            </w:pPr>
            <w:r>
              <w:rPr>
                <w:rFonts w:ascii="宋体" w:hAnsi="宋体"/>
                <w:color w:val="000000"/>
                <w:szCs w:val="21"/>
              </w:rPr>
              <w:t>型号</w:t>
            </w:r>
          </w:p>
          <w:p w14:paraId="5ECFB7C8">
            <w:pPr>
              <w:spacing w:line="360" w:lineRule="auto"/>
              <w:jc w:val="center"/>
              <w:rPr>
                <w:rFonts w:ascii="宋体" w:hAnsi="宋体"/>
                <w:color w:val="000000"/>
                <w:szCs w:val="21"/>
              </w:rPr>
            </w:pPr>
            <w:r>
              <w:rPr>
                <w:rFonts w:ascii="宋体" w:hAnsi="宋体"/>
                <w:color w:val="000000"/>
                <w:szCs w:val="21"/>
              </w:rPr>
              <w:t>规格</w:t>
            </w:r>
          </w:p>
        </w:tc>
        <w:tc>
          <w:tcPr>
            <w:tcW w:w="378" w:type="pct"/>
            <w:noWrap w:val="0"/>
            <w:vAlign w:val="center"/>
          </w:tcPr>
          <w:p w14:paraId="019F9C33">
            <w:pPr>
              <w:spacing w:line="360" w:lineRule="auto"/>
              <w:jc w:val="center"/>
              <w:rPr>
                <w:rFonts w:ascii="宋体" w:hAnsi="宋体"/>
                <w:color w:val="000000"/>
                <w:szCs w:val="21"/>
              </w:rPr>
            </w:pPr>
            <w:r>
              <w:rPr>
                <w:rFonts w:ascii="宋体" w:hAnsi="宋体"/>
                <w:color w:val="000000"/>
                <w:szCs w:val="21"/>
              </w:rPr>
              <w:t>数量</w:t>
            </w:r>
          </w:p>
        </w:tc>
        <w:tc>
          <w:tcPr>
            <w:tcW w:w="378" w:type="pct"/>
            <w:noWrap w:val="0"/>
            <w:vAlign w:val="center"/>
          </w:tcPr>
          <w:p w14:paraId="170DA676">
            <w:pPr>
              <w:spacing w:line="360" w:lineRule="auto"/>
              <w:jc w:val="center"/>
              <w:rPr>
                <w:rFonts w:ascii="宋体" w:hAnsi="宋体"/>
                <w:color w:val="000000"/>
                <w:szCs w:val="21"/>
              </w:rPr>
            </w:pPr>
            <w:r>
              <w:rPr>
                <w:rFonts w:ascii="宋体" w:hAnsi="宋体"/>
                <w:color w:val="000000"/>
                <w:szCs w:val="21"/>
              </w:rPr>
              <w:t>国别</w:t>
            </w:r>
          </w:p>
          <w:p w14:paraId="307633B3">
            <w:pPr>
              <w:spacing w:line="360" w:lineRule="auto"/>
              <w:jc w:val="center"/>
              <w:rPr>
                <w:rFonts w:ascii="宋体" w:hAnsi="宋体"/>
                <w:color w:val="000000"/>
                <w:szCs w:val="21"/>
              </w:rPr>
            </w:pPr>
            <w:r>
              <w:rPr>
                <w:rFonts w:ascii="宋体" w:hAnsi="宋体"/>
                <w:color w:val="000000"/>
                <w:szCs w:val="21"/>
              </w:rPr>
              <w:t>产地</w:t>
            </w:r>
          </w:p>
        </w:tc>
        <w:tc>
          <w:tcPr>
            <w:tcW w:w="606" w:type="pct"/>
            <w:noWrap w:val="0"/>
            <w:vAlign w:val="center"/>
          </w:tcPr>
          <w:p w14:paraId="44894E85">
            <w:pPr>
              <w:spacing w:line="360" w:lineRule="auto"/>
              <w:jc w:val="center"/>
              <w:rPr>
                <w:rFonts w:ascii="宋体" w:hAnsi="宋体"/>
                <w:color w:val="000000"/>
                <w:szCs w:val="21"/>
              </w:rPr>
            </w:pPr>
            <w:r>
              <w:rPr>
                <w:rFonts w:ascii="宋体" w:hAnsi="宋体"/>
                <w:color w:val="000000"/>
                <w:szCs w:val="21"/>
              </w:rPr>
              <w:t>制造年份</w:t>
            </w:r>
          </w:p>
        </w:tc>
        <w:tc>
          <w:tcPr>
            <w:tcW w:w="682" w:type="pct"/>
            <w:noWrap w:val="0"/>
            <w:vAlign w:val="center"/>
          </w:tcPr>
          <w:p w14:paraId="7F668592">
            <w:pPr>
              <w:spacing w:line="360" w:lineRule="auto"/>
              <w:jc w:val="center"/>
              <w:rPr>
                <w:rFonts w:ascii="宋体" w:hAnsi="宋体"/>
                <w:color w:val="000000"/>
                <w:szCs w:val="21"/>
              </w:rPr>
            </w:pPr>
            <w:r>
              <w:rPr>
                <w:rFonts w:ascii="宋体" w:hAnsi="宋体"/>
                <w:color w:val="000000"/>
                <w:szCs w:val="21"/>
              </w:rPr>
              <w:t>已使用</w:t>
            </w:r>
          </w:p>
          <w:p w14:paraId="038B3203">
            <w:pPr>
              <w:spacing w:line="360" w:lineRule="auto"/>
              <w:jc w:val="center"/>
              <w:rPr>
                <w:rFonts w:ascii="宋体" w:hAnsi="宋体"/>
                <w:color w:val="000000"/>
                <w:szCs w:val="21"/>
              </w:rPr>
            </w:pPr>
            <w:r>
              <w:rPr>
                <w:rFonts w:ascii="宋体" w:hAnsi="宋体"/>
                <w:color w:val="000000"/>
                <w:szCs w:val="21"/>
              </w:rPr>
              <w:t>台时数</w:t>
            </w:r>
          </w:p>
        </w:tc>
        <w:tc>
          <w:tcPr>
            <w:tcW w:w="606" w:type="pct"/>
            <w:noWrap w:val="0"/>
            <w:vAlign w:val="center"/>
          </w:tcPr>
          <w:p w14:paraId="7CF22FF9">
            <w:pPr>
              <w:spacing w:line="360" w:lineRule="auto"/>
              <w:jc w:val="center"/>
              <w:rPr>
                <w:rFonts w:ascii="宋体" w:hAnsi="宋体"/>
                <w:color w:val="000000"/>
                <w:szCs w:val="21"/>
              </w:rPr>
            </w:pPr>
            <w:r>
              <w:rPr>
                <w:rFonts w:ascii="宋体" w:hAnsi="宋体"/>
                <w:color w:val="000000"/>
                <w:szCs w:val="21"/>
              </w:rPr>
              <w:t>用途</w:t>
            </w:r>
          </w:p>
        </w:tc>
        <w:tc>
          <w:tcPr>
            <w:tcW w:w="833" w:type="pct"/>
            <w:noWrap w:val="0"/>
            <w:vAlign w:val="center"/>
          </w:tcPr>
          <w:p w14:paraId="2F8E1D4B">
            <w:pPr>
              <w:spacing w:line="360" w:lineRule="auto"/>
              <w:jc w:val="center"/>
              <w:rPr>
                <w:rFonts w:ascii="宋体" w:hAnsi="宋体"/>
                <w:color w:val="000000"/>
                <w:szCs w:val="21"/>
              </w:rPr>
            </w:pPr>
            <w:r>
              <w:rPr>
                <w:rFonts w:ascii="宋体" w:hAnsi="宋体"/>
                <w:color w:val="000000"/>
                <w:szCs w:val="21"/>
              </w:rPr>
              <w:t>备注</w:t>
            </w:r>
          </w:p>
        </w:tc>
      </w:tr>
      <w:tr w14:paraId="587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42CA75AC">
            <w:pPr>
              <w:spacing w:line="360" w:lineRule="auto"/>
              <w:ind w:firstLine="420" w:firstLineChars="200"/>
              <w:rPr>
                <w:rFonts w:ascii="宋体" w:hAnsi="宋体"/>
                <w:color w:val="000000"/>
                <w:szCs w:val="21"/>
              </w:rPr>
            </w:pPr>
          </w:p>
        </w:tc>
        <w:tc>
          <w:tcPr>
            <w:tcW w:w="655" w:type="pct"/>
            <w:noWrap w:val="0"/>
            <w:vAlign w:val="center"/>
          </w:tcPr>
          <w:p w14:paraId="2F5887F4">
            <w:pPr>
              <w:spacing w:line="360" w:lineRule="auto"/>
              <w:ind w:firstLine="420" w:firstLineChars="200"/>
              <w:rPr>
                <w:rFonts w:ascii="宋体" w:hAnsi="宋体"/>
                <w:color w:val="000000"/>
                <w:szCs w:val="21"/>
              </w:rPr>
            </w:pPr>
          </w:p>
        </w:tc>
        <w:tc>
          <w:tcPr>
            <w:tcW w:w="454" w:type="pct"/>
            <w:noWrap w:val="0"/>
            <w:vAlign w:val="center"/>
          </w:tcPr>
          <w:p w14:paraId="3165BEDB">
            <w:pPr>
              <w:spacing w:line="360" w:lineRule="auto"/>
              <w:ind w:firstLine="420" w:firstLineChars="200"/>
              <w:rPr>
                <w:rFonts w:ascii="宋体" w:hAnsi="宋体"/>
                <w:color w:val="000000"/>
                <w:szCs w:val="21"/>
              </w:rPr>
            </w:pPr>
          </w:p>
        </w:tc>
        <w:tc>
          <w:tcPr>
            <w:tcW w:w="378" w:type="pct"/>
            <w:noWrap w:val="0"/>
            <w:vAlign w:val="center"/>
          </w:tcPr>
          <w:p w14:paraId="367AC21F">
            <w:pPr>
              <w:spacing w:line="360" w:lineRule="auto"/>
              <w:ind w:firstLine="420" w:firstLineChars="200"/>
              <w:rPr>
                <w:rFonts w:ascii="宋体" w:hAnsi="宋体"/>
                <w:color w:val="000000"/>
                <w:szCs w:val="21"/>
              </w:rPr>
            </w:pPr>
          </w:p>
        </w:tc>
        <w:tc>
          <w:tcPr>
            <w:tcW w:w="378" w:type="pct"/>
            <w:noWrap w:val="0"/>
            <w:vAlign w:val="center"/>
          </w:tcPr>
          <w:p w14:paraId="175B75CA">
            <w:pPr>
              <w:spacing w:line="360" w:lineRule="auto"/>
              <w:ind w:firstLine="420" w:firstLineChars="200"/>
              <w:rPr>
                <w:rFonts w:ascii="宋体" w:hAnsi="宋体"/>
                <w:color w:val="000000"/>
                <w:szCs w:val="21"/>
              </w:rPr>
            </w:pPr>
          </w:p>
        </w:tc>
        <w:tc>
          <w:tcPr>
            <w:tcW w:w="606" w:type="pct"/>
            <w:noWrap w:val="0"/>
            <w:vAlign w:val="center"/>
          </w:tcPr>
          <w:p w14:paraId="5D9D7477">
            <w:pPr>
              <w:spacing w:line="360" w:lineRule="auto"/>
              <w:ind w:firstLine="420" w:firstLineChars="200"/>
              <w:rPr>
                <w:rFonts w:ascii="宋体" w:hAnsi="宋体"/>
                <w:color w:val="000000"/>
                <w:szCs w:val="21"/>
              </w:rPr>
            </w:pPr>
          </w:p>
        </w:tc>
        <w:tc>
          <w:tcPr>
            <w:tcW w:w="682" w:type="pct"/>
            <w:noWrap w:val="0"/>
            <w:vAlign w:val="center"/>
          </w:tcPr>
          <w:p w14:paraId="23AC01FF">
            <w:pPr>
              <w:spacing w:line="360" w:lineRule="auto"/>
              <w:ind w:firstLine="420" w:firstLineChars="200"/>
              <w:rPr>
                <w:rFonts w:ascii="宋体" w:hAnsi="宋体"/>
                <w:color w:val="000000"/>
                <w:szCs w:val="21"/>
              </w:rPr>
            </w:pPr>
          </w:p>
        </w:tc>
        <w:tc>
          <w:tcPr>
            <w:tcW w:w="606" w:type="pct"/>
            <w:noWrap w:val="0"/>
            <w:vAlign w:val="center"/>
          </w:tcPr>
          <w:p w14:paraId="6B995124">
            <w:pPr>
              <w:spacing w:line="360" w:lineRule="auto"/>
              <w:ind w:firstLine="420" w:firstLineChars="200"/>
              <w:rPr>
                <w:rFonts w:ascii="宋体" w:hAnsi="宋体"/>
                <w:color w:val="000000"/>
                <w:szCs w:val="21"/>
              </w:rPr>
            </w:pPr>
          </w:p>
        </w:tc>
        <w:tc>
          <w:tcPr>
            <w:tcW w:w="833" w:type="pct"/>
            <w:noWrap w:val="0"/>
            <w:vAlign w:val="center"/>
          </w:tcPr>
          <w:p w14:paraId="5D57EBF3">
            <w:pPr>
              <w:spacing w:line="360" w:lineRule="auto"/>
              <w:ind w:firstLine="420" w:firstLineChars="200"/>
              <w:rPr>
                <w:rFonts w:ascii="宋体" w:hAnsi="宋体"/>
                <w:color w:val="000000"/>
                <w:szCs w:val="21"/>
              </w:rPr>
            </w:pPr>
          </w:p>
        </w:tc>
      </w:tr>
      <w:tr w14:paraId="7D6C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79E59AB">
            <w:pPr>
              <w:spacing w:line="360" w:lineRule="auto"/>
              <w:ind w:firstLine="420" w:firstLineChars="200"/>
              <w:rPr>
                <w:rFonts w:ascii="宋体" w:hAnsi="宋体"/>
                <w:color w:val="000000"/>
                <w:szCs w:val="21"/>
              </w:rPr>
            </w:pPr>
          </w:p>
        </w:tc>
        <w:tc>
          <w:tcPr>
            <w:tcW w:w="655" w:type="pct"/>
            <w:noWrap w:val="0"/>
            <w:vAlign w:val="center"/>
          </w:tcPr>
          <w:p w14:paraId="12AC2831">
            <w:pPr>
              <w:spacing w:line="360" w:lineRule="auto"/>
              <w:ind w:firstLine="420" w:firstLineChars="200"/>
              <w:rPr>
                <w:rFonts w:ascii="宋体" w:hAnsi="宋体"/>
                <w:color w:val="000000"/>
                <w:szCs w:val="21"/>
              </w:rPr>
            </w:pPr>
          </w:p>
        </w:tc>
        <w:tc>
          <w:tcPr>
            <w:tcW w:w="454" w:type="pct"/>
            <w:noWrap w:val="0"/>
            <w:vAlign w:val="center"/>
          </w:tcPr>
          <w:p w14:paraId="4196D825">
            <w:pPr>
              <w:spacing w:line="360" w:lineRule="auto"/>
              <w:ind w:firstLine="420" w:firstLineChars="200"/>
              <w:rPr>
                <w:rFonts w:ascii="宋体" w:hAnsi="宋体"/>
                <w:color w:val="000000"/>
                <w:szCs w:val="21"/>
              </w:rPr>
            </w:pPr>
          </w:p>
        </w:tc>
        <w:tc>
          <w:tcPr>
            <w:tcW w:w="378" w:type="pct"/>
            <w:noWrap w:val="0"/>
            <w:vAlign w:val="center"/>
          </w:tcPr>
          <w:p w14:paraId="2D8AC24B">
            <w:pPr>
              <w:spacing w:line="360" w:lineRule="auto"/>
              <w:ind w:firstLine="420" w:firstLineChars="200"/>
              <w:rPr>
                <w:rFonts w:ascii="宋体" w:hAnsi="宋体"/>
                <w:color w:val="000000"/>
                <w:szCs w:val="21"/>
              </w:rPr>
            </w:pPr>
          </w:p>
        </w:tc>
        <w:tc>
          <w:tcPr>
            <w:tcW w:w="378" w:type="pct"/>
            <w:noWrap w:val="0"/>
            <w:vAlign w:val="center"/>
          </w:tcPr>
          <w:p w14:paraId="02BA373A">
            <w:pPr>
              <w:spacing w:line="360" w:lineRule="auto"/>
              <w:ind w:firstLine="420" w:firstLineChars="200"/>
              <w:rPr>
                <w:rFonts w:ascii="宋体" w:hAnsi="宋体"/>
                <w:color w:val="000000"/>
                <w:szCs w:val="21"/>
              </w:rPr>
            </w:pPr>
          </w:p>
        </w:tc>
        <w:tc>
          <w:tcPr>
            <w:tcW w:w="606" w:type="pct"/>
            <w:noWrap w:val="0"/>
            <w:vAlign w:val="center"/>
          </w:tcPr>
          <w:p w14:paraId="44B2B8B2">
            <w:pPr>
              <w:spacing w:line="360" w:lineRule="auto"/>
              <w:ind w:firstLine="420" w:firstLineChars="200"/>
              <w:rPr>
                <w:rFonts w:ascii="宋体" w:hAnsi="宋体"/>
                <w:color w:val="000000"/>
                <w:szCs w:val="21"/>
              </w:rPr>
            </w:pPr>
          </w:p>
        </w:tc>
        <w:tc>
          <w:tcPr>
            <w:tcW w:w="682" w:type="pct"/>
            <w:noWrap w:val="0"/>
            <w:vAlign w:val="center"/>
          </w:tcPr>
          <w:p w14:paraId="21C7D701">
            <w:pPr>
              <w:spacing w:line="360" w:lineRule="auto"/>
              <w:ind w:firstLine="420" w:firstLineChars="200"/>
              <w:rPr>
                <w:rFonts w:ascii="宋体" w:hAnsi="宋体"/>
                <w:color w:val="000000"/>
                <w:szCs w:val="21"/>
              </w:rPr>
            </w:pPr>
          </w:p>
        </w:tc>
        <w:tc>
          <w:tcPr>
            <w:tcW w:w="606" w:type="pct"/>
            <w:noWrap w:val="0"/>
            <w:vAlign w:val="center"/>
          </w:tcPr>
          <w:p w14:paraId="37B97DF3">
            <w:pPr>
              <w:spacing w:line="360" w:lineRule="auto"/>
              <w:ind w:firstLine="420" w:firstLineChars="200"/>
              <w:rPr>
                <w:rFonts w:ascii="宋体" w:hAnsi="宋体"/>
                <w:color w:val="000000"/>
                <w:szCs w:val="21"/>
              </w:rPr>
            </w:pPr>
          </w:p>
        </w:tc>
        <w:tc>
          <w:tcPr>
            <w:tcW w:w="833" w:type="pct"/>
            <w:noWrap w:val="0"/>
            <w:vAlign w:val="center"/>
          </w:tcPr>
          <w:p w14:paraId="568042AB">
            <w:pPr>
              <w:spacing w:line="360" w:lineRule="auto"/>
              <w:ind w:firstLine="420" w:firstLineChars="200"/>
              <w:rPr>
                <w:rFonts w:ascii="宋体" w:hAnsi="宋体"/>
                <w:color w:val="000000"/>
                <w:szCs w:val="21"/>
              </w:rPr>
            </w:pPr>
          </w:p>
        </w:tc>
      </w:tr>
      <w:tr w14:paraId="31E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0935F19D">
            <w:pPr>
              <w:spacing w:line="360" w:lineRule="auto"/>
              <w:ind w:firstLine="420" w:firstLineChars="200"/>
              <w:rPr>
                <w:rFonts w:ascii="宋体" w:hAnsi="宋体"/>
                <w:color w:val="000000"/>
                <w:szCs w:val="21"/>
              </w:rPr>
            </w:pPr>
          </w:p>
        </w:tc>
        <w:tc>
          <w:tcPr>
            <w:tcW w:w="655" w:type="pct"/>
            <w:noWrap w:val="0"/>
            <w:vAlign w:val="center"/>
          </w:tcPr>
          <w:p w14:paraId="35C9BA7A">
            <w:pPr>
              <w:spacing w:line="360" w:lineRule="auto"/>
              <w:ind w:firstLine="420" w:firstLineChars="200"/>
              <w:rPr>
                <w:rFonts w:ascii="宋体" w:hAnsi="宋体"/>
                <w:color w:val="000000"/>
                <w:szCs w:val="21"/>
              </w:rPr>
            </w:pPr>
          </w:p>
        </w:tc>
        <w:tc>
          <w:tcPr>
            <w:tcW w:w="454" w:type="pct"/>
            <w:noWrap w:val="0"/>
            <w:vAlign w:val="center"/>
          </w:tcPr>
          <w:p w14:paraId="09ECB190">
            <w:pPr>
              <w:spacing w:line="360" w:lineRule="auto"/>
              <w:ind w:firstLine="420" w:firstLineChars="200"/>
              <w:rPr>
                <w:rFonts w:ascii="宋体" w:hAnsi="宋体"/>
                <w:color w:val="000000"/>
                <w:szCs w:val="21"/>
              </w:rPr>
            </w:pPr>
          </w:p>
        </w:tc>
        <w:tc>
          <w:tcPr>
            <w:tcW w:w="378" w:type="pct"/>
            <w:noWrap w:val="0"/>
            <w:vAlign w:val="center"/>
          </w:tcPr>
          <w:p w14:paraId="0E0BC840">
            <w:pPr>
              <w:spacing w:line="360" w:lineRule="auto"/>
              <w:ind w:firstLine="420" w:firstLineChars="200"/>
              <w:rPr>
                <w:rFonts w:ascii="宋体" w:hAnsi="宋体"/>
                <w:color w:val="000000"/>
                <w:szCs w:val="21"/>
              </w:rPr>
            </w:pPr>
          </w:p>
        </w:tc>
        <w:tc>
          <w:tcPr>
            <w:tcW w:w="378" w:type="pct"/>
            <w:noWrap w:val="0"/>
            <w:vAlign w:val="center"/>
          </w:tcPr>
          <w:p w14:paraId="1109DF9B">
            <w:pPr>
              <w:spacing w:line="360" w:lineRule="auto"/>
              <w:ind w:firstLine="420" w:firstLineChars="200"/>
              <w:rPr>
                <w:rFonts w:ascii="宋体" w:hAnsi="宋体"/>
                <w:color w:val="000000"/>
                <w:szCs w:val="21"/>
              </w:rPr>
            </w:pPr>
          </w:p>
        </w:tc>
        <w:tc>
          <w:tcPr>
            <w:tcW w:w="606" w:type="pct"/>
            <w:noWrap w:val="0"/>
            <w:vAlign w:val="center"/>
          </w:tcPr>
          <w:p w14:paraId="34737946">
            <w:pPr>
              <w:spacing w:line="360" w:lineRule="auto"/>
              <w:ind w:firstLine="420" w:firstLineChars="200"/>
              <w:rPr>
                <w:rFonts w:ascii="宋体" w:hAnsi="宋体"/>
                <w:color w:val="000000"/>
                <w:szCs w:val="21"/>
              </w:rPr>
            </w:pPr>
          </w:p>
        </w:tc>
        <w:tc>
          <w:tcPr>
            <w:tcW w:w="682" w:type="pct"/>
            <w:noWrap w:val="0"/>
            <w:vAlign w:val="center"/>
          </w:tcPr>
          <w:p w14:paraId="36AB1844">
            <w:pPr>
              <w:spacing w:line="360" w:lineRule="auto"/>
              <w:ind w:firstLine="420" w:firstLineChars="200"/>
              <w:rPr>
                <w:rFonts w:ascii="宋体" w:hAnsi="宋体"/>
                <w:color w:val="000000"/>
                <w:szCs w:val="21"/>
              </w:rPr>
            </w:pPr>
          </w:p>
        </w:tc>
        <w:tc>
          <w:tcPr>
            <w:tcW w:w="606" w:type="pct"/>
            <w:noWrap w:val="0"/>
            <w:vAlign w:val="center"/>
          </w:tcPr>
          <w:p w14:paraId="0FD34E36">
            <w:pPr>
              <w:spacing w:line="360" w:lineRule="auto"/>
              <w:ind w:firstLine="420" w:firstLineChars="200"/>
              <w:rPr>
                <w:rFonts w:ascii="宋体" w:hAnsi="宋体"/>
                <w:color w:val="000000"/>
                <w:szCs w:val="21"/>
              </w:rPr>
            </w:pPr>
          </w:p>
        </w:tc>
        <w:tc>
          <w:tcPr>
            <w:tcW w:w="833" w:type="pct"/>
            <w:noWrap w:val="0"/>
            <w:vAlign w:val="center"/>
          </w:tcPr>
          <w:p w14:paraId="238D23FF">
            <w:pPr>
              <w:spacing w:line="360" w:lineRule="auto"/>
              <w:ind w:firstLine="420" w:firstLineChars="200"/>
              <w:rPr>
                <w:rFonts w:ascii="宋体" w:hAnsi="宋体"/>
                <w:color w:val="000000"/>
                <w:szCs w:val="21"/>
              </w:rPr>
            </w:pPr>
          </w:p>
        </w:tc>
      </w:tr>
      <w:tr w14:paraId="7A05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7CD44236">
            <w:pPr>
              <w:spacing w:line="360" w:lineRule="auto"/>
              <w:ind w:firstLine="420" w:firstLineChars="200"/>
              <w:rPr>
                <w:rFonts w:ascii="宋体" w:hAnsi="宋体"/>
                <w:color w:val="000000"/>
                <w:szCs w:val="21"/>
              </w:rPr>
            </w:pPr>
          </w:p>
        </w:tc>
        <w:tc>
          <w:tcPr>
            <w:tcW w:w="655" w:type="pct"/>
            <w:noWrap w:val="0"/>
            <w:vAlign w:val="center"/>
          </w:tcPr>
          <w:p w14:paraId="450A8155">
            <w:pPr>
              <w:spacing w:line="360" w:lineRule="auto"/>
              <w:ind w:firstLine="420" w:firstLineChars="200"/>
              <w:rPr>
                <w:rFonts w:ascii="宋体" w:hAnsi="宋体"/>
                <w:color w:val="000000"/>
                <w:szCs w:val="21"/>
              </w:rPr>
            </w:pPr>
          </w:p>
        </w:tc>
        <w:tc>
          <w:tcPr>
            <w:tcW w:w="454" w:type="pct"/>
            <w:noWrap w:val="0"/>
            <w:vAlign w:val="center"/>
          </w:tcPr>
          <w:p w14:paraId="5B95C1F1">
            <w:pPr>
              <w:spacing w:line="360" w:lineRule="auto"/>
              <w:ind w:firstLine="420" w:firstLineChars="200"/>
              <w:rPr>
                <w:rFonts w:ascii="宋体" w:hAnsi="宋体"/>
                <w:color w:val="000000"/>
                <w:szCs w:val="21"/>
              </w:rPr>
            </w:pPr>
          </w:p>
        </w:tc>
        <w:tc>
          <w:tcPr>
            <w:tcW w:w="378" w:type="pct"/>
            <w:noWrap w:val="0"/>
            <w:vAlign w:val="center"/>
          </w:tcPr>
          <w:p w14:paraId="2DBE004F">
            <w:pPr>
              <w:spacing w:line="360" w:lineRule="auto"/>
              <w:ind w:firstLine="420" w:firstLineChars="200"/>
              <w:rPr>
                <w:rFonts w:ascii="宋体" w:hAnsi="宋体"/>
                <w:color w:val="000000"/>
                <w:szCs w:val="21"/>
              </w:rPr>
            </w:pPr>
          </w:p>
        </w:tc>
        <w:tc>
          <w:tcPr>
            <w:tcW w:w="378" w:type="pct"/>
            <w:noWrap w:val="0"/>
            <w:vAlign w:val="center"/>
          </w:tcPr>
          <w:p w14:paraId="723122C4">
            <w:pPr>
              <w:spacing w:line="360" w:lineRule="auto"/>
              <w:ind w:firstLine="420" w:firstLineChars="200"/>
              <w:rPr>
                <w:rFonts w:ascii="宋体" w:hAnsi="宋体"/>
                <w:color w:val="000000"/>
                <w:szCs w:val="21"/>
              </w:rPr>
            </w:pPr>
          </w:p>
        </w:tc>
        <w:tc>
          <w:tcPr>
            <w:tcW w:w="606" w:type="pct"/>
            <w:noWrap w:val="0"/>
            <w:vAlign w:val="center"/>
          </w:tcPr>
          <w:p w14:paraId="3ED96A47">
            <w:pPr>
              <w:spacing w:line="360" w:lineRule="auto"/>
              <w:ind w:firstLine="420" w:firstLineChars="200"/>
              <w:rPr>
                <w:rFonts w:ascii="宋体" w:hAnsi="宋体"/>
                <w:color w:val="000000"/>
                <w:szCs w:val="21"/>
              </w:rPr>
            </w:pPr>
          </w:p>
        </w:tc>
        <w:tc>
          <w:tcPr>
            <w:tcW w:w="682" w:type="pct"/>
            <w:noWrap w:val="0"/>
            <w:vAlign w:val="center"/>
          </w:tcPr>
          <w:p w14:paraId="2E760E11">
            <w:pPr>
              <w:spacing w:line="360" w:lineRule="auto"/>
              <w:ind w:firstLine="420" w:firstLineChars="200"/>
              <w:rPr>
                <w:rFonts w:ascii="宋体" w:hAnsi="宋体"/>
                <w:color w:val="000000"/>
                <w:szCs w:val="21"/>
              </w:rPr>
            </w:pPr>
          </w:p>
        </w:tc>
        <w:tc>
          <w:tcPr>
            <w:tcW w:w="606" w:type="pct"/>
            <w:noWrap w:val="0"/>
            <w:vAlign w:val="center"/>
          </w:tcPr>
          <w:p w14:paraId="1584CD6F">
            <w:pPr>
              <w:spacing w:line="360" w:lineRule="auto"/>
              <w:ind w:firstLine="420" w:firstLineChars="200"/>
              <w:rPr>
                <w:rFonts w:ascii="宋体" w:hAnsi="宋体"/>
                <w:color w:val="000000"/>
                <w:szCs w:val="21"/>
              </w:rPr>
            </w:pPr>
          </w:p>
        </w:tc>
        <w:tc>
          <w:tcPr>
            <w:tcW w:w="833" w:type="pct"/>
            <w:noWrap w:val="0"/>
            <w:vAlign w:val="center"/>
          </w:tcPr>
          <w:p w14:paraId="6750771C">
            <w:pPr>
              <w:spacing w:line="360" w:lineRule="auto"/>
              <w:ind w:firstLine="420" w:firstLineChars="200"/>
              <w:rPr>
                <w:rFonts w:ascii="宋体" w:hAnsi="宋体"/>
                <w:color w:val="000000"/>
                <w:szCs w:val="21"/>
              </w:rPr>
            </w:pPr>
          </w:p>
        </w:tc>
      </w:tr>
      <w:tr w14:paraId="5555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noWrap w:val="0"/>
            <w:vAlign w:val="center"/>
          </w:tcPr>
          <w:p w14:paraId="3534936E">
            <w:pPr>
              <w:spacing w:line="360" w:lineRule="auto"/>
              <w:ind w:firstLine="420" w:firstLineChars="200"/>
              <w:rPr>
                <w:rFonts w:ascii="宋体" w:hAnsi="宋体"/>
                <w:color w:val="000000"/>
                <w:szCs w:val="21"/>
              </w:rPr>
            </w:pPr>
          </w:p>
        </w:tc>
        <w:tc>
          <w:tcPr>
            <w:tcW w:w="655" w:type="pct"/>
            <w:noWrap w:val="0"/>
            <w:vAlign w:val="center"/>
          </w:tcPr>
          <w:p w14:paraId="65397BBB">
            <w:pPr>
              <w:spacing w:line="360" w:lineRule="auto"/>
              <w:ind w:firstLine="420" w:firstLineChars="200"/>
              <w:rPr>
                <w:rFonts w:ascii="宋体" w:hAnsi="宋体"/>
                <w:color w:val="000000"/>
                <w:szCs w:val="21"/>
              </w:rPr>
            </w:pPr>
          </w:p>
        </w:tc>
        <w:tc>
          <w:tcPr>
            <w:tcW w:w="454" w:type="pct"/>
            <w:noWrap w:val="0"/>
            <w:vAlign w:val="center"/>
          </w:tcPr>
          <w:p w14:paraId="314F2AD2">
            <w:pPr>
              <w:spacing w:line="360" w:lineRule="auto"/>
              <w:ind w:firstLine="420" w:firstLineChars="200"/>
              <w:rPr>
                <w:rFonts w:ascii="宋体" w:hAnsi="宋体"/>
                <w:color w:val="000000"/>
                <w:szCs w:val="21"/>
              </w:rPr>
            </w:pPr>
          </w:p>
        </w:tc>
        <w:tc>
          <w:tcPr>
            <w:tcW w:w="378" w:type="pct"/>
            <w:noWrap w:val="0"/>
            <w:vAlign w:val="center"/>
          </w:tcPr>
          <w:p w14:paraId="110AF309">
            <w:pPr>
              <w:spacing w:line="360" w:lineRule="auto"/>
              <w:ind w:firstLine="420" w:firstLineChars="200"/>
              <w:rPr>
                <w:rFonts w:ascii="宋体" w:hAnsi="宋体"/>
                <w:color w:val="000000"/>
                <w:szCs w:val="21"/>
              </w:rPr>
            </w:pPr>
          </w:p>
        </w:tc>
        <w:tc>
          <w:tcPr>
            <w:tcW w:w="378" w:type="pct"/>
            <w:noWrap w:val="0"/>
            <w:vAlign w:val="center"/>
          </w:tcPr>
          <w:p w14:paraId="11F67B55">
            <w:pPr>
              <w:spacing w:line="360" w:lineRule="auto"/>
              <w:ind w:firstLine="420" w:firstLineChars="200"/>
              <w:rPr>
                <w:rFonts w:ascii="宋体" w:hAnsi="宋体"/>
                <w:color w:val="000000"/>
                <w:szCs w:val="21"/>
              </w:rPr>
            </w:pPr>
          </w:p>
        </w:tc>
        <w:tc>
          <w:tcPr>
            <w:tcW w:w="606" w:type="pct"/>
            <w:noWrap w:val="0"/>
            <w:vAlign w:val="center"/>
          </w:tcPr>
          <w:p w14:paraId="0E7BCC89">
            <w:pPr>
              <w:spacing w:line="360" w:lineRule="auto"/>
              <w:ind w:firstLine="420" w:firstLineChars="200"/>
              <w:rPr>
                <w:rFonts w:ascii="宋体" w:hAnsi="宋体"/>
                <w:color w:val="000000"/>
                <w:szCs w:val="21"/>
              </w:rPr>
            </w:pPr>
          </w:p>
        </w:tc>
        <w:tc>
          <w:tcPr>
            <w:tcW w:w="682" w:type="pct"/>
            <w:noWrap w:val="0"/>
            <w:vAlign w:val="center"/>
          </w:tcPr>
          <w:p w14:paraId="6EE2FD68">
            <w:pPr>
              <w:spacing w:line="360" w:lineRule="auto"/>
              <w:ind w:firstLine="420" w:firstLineChars="200"/>
              <w:rPr>
                <w:rFonts w:ascii="宋体" w:hAnsi="宋体"/>
                <w:color w:val="000000"/>
                <w:szCs w:val="21"/>
              </w:rPr>
            </w:pPr>
          </w:p>
        </w:tc>
        <w:tc>
          <w:tcPr>
            <w:tcW w:w="606" w:type="pct"/>
            <w:noWrap w:val="0"/>
            <w:vAlign w:val="center"/>
          </w:tcPr>
          <w:p w14:paraId="4ADD25F0">
            <w:pPr>
              <w:spacing w:line="360" w:lineRule="auto"/>
              <w:ind w:firstLine="420" w:firstLineChars="200"/>
              <w:rPr>
                <w:rFonts w:ascii="宋体" w:hAnsi="宋体"/>
                <w:color w:val="000000"/>
                <w:szCs w:val="21"/>
              </w:rPr>
            </w:pPr>
          </w:p>
        </w:tc>
        <w:tc>
          <w:tcPr>
            <w:tcW w:w="833" w:type="pct"/>
            <w:noWrap w:val="0"/>
            <w:vAlign w:val="center"/>
          </w:tcPr>
          <w:p w14:paraId="02C42BB0">
            <w:pPr>
              <w:spacing w:line="360" w:lineRule="auto"/>
              <w:ind w:firstLine="420" w:firstLineChars="200"/>
              <w:rPr>
                <w:rFonts w:ascii="宋体" w:hAnsi="宋体"/>
                <w:color w:val="000000"/>
                <w:szCs w:val="21"/>
              </w:rPr>
            </w:pPr>
          </w:p>
        </w:tc>
      </w:tr>
    </w:tbl>
    <w:p w14:paraId="50F2C946">
      <w:r>
        <w:br w:type="page"/>
      </w:r>
    </w:p>
    <w:p w14:paraId="0686FC30">
      <w:pPr>
        <w:pStyle w:val="40"/>
        <w:outlineLvl w:val="0"/>
      </w:pPr>
      <w:r>
        <w:t>附表三：劳动力计划表</w:t>
      </w:r>
    </w:p>
    <w:p w14:paraId="19427535">
      <w:pPr>
        <w:spacing w:line="360" w:lineRule="auto"/>
        <w:ind w:firstLine="7245" w:firstLineChars="3450"/>
        <w:rPr>
          <w:rFonts w:ascii="宋体" w:hAnsi="宋体"/>
          <w:color w:val="000000"/>
          <w:szCs w:val="21"/>
        </w:rPr>
      </w:pPr>
      <w:r>
        <w:rPr>
          <w:rFonts w:ascii="宋体" w:hAnsi="宋体"/>
          <w:color w:val="000000"/>
          <w:szCs w:val="21"/>
        </w:rPr>
        <w:t xml:space="preserve">    单位：人</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11"/>
        <w:gridCol w:w="1192"/>
        <w:gridCol w:w="1193"/>
        <w:gridCol w:w="1193"/>
        <w:gridCol w:w="1193"/>
        <w:gridCol w:w="1193"/>
        <w:gridCol w:w="1201"/>
      </w:tblGrid>
      <w:tr w14:paraId="7552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23278F3">
            <w:pPr>
              <w:spacing w:line="360" w:lineRule="auto"/>
              <w:jc w:val="center"/>
              <w:rPr>
                <w:rFonts w:ascii="宋体" w:hAnsi="宋体"/>
                <w:color w:val="000000"/>
                <w:szCs w:val="21"/>
              </w:rPr>
            </w:pPr>
            <w:r>
              <w:rPr>
                <w:rFonts w:ascii="宋体" w:hAnsi="宋体"/>
                <w:color w:val="000000"/>
                <w:szCs w:val="21"/>
              </w:rPr>
              <w:t>工种</w:t>
            </w:r>
          </w:p>
        </w:tc>
        <w:tc>
          <w:tcPr>
            <w:tcW w:w="4544" w:type="pct"/>
            <w:gridSpan w:val="7"/>
            <w:noWrap w:val="0"/>
            <w:vAlign w:val="center"/>
          </w:tcPr>
          <w:p w14:paraId="2EB89580">
            <w:pPr>
              <w:spacing w:line="360" w:lineRule="auto"/>
              <w:jc w:val="center"/>
              <w:rPr>
                <w:rFonts w:ascii="宋体" w:hAnsi="宋体"/>
                <w:color w:val="000000"/>
                <w:szCs w:val="21"/>
              </w:rPr>
            </w:pPr>
            <w:r>
              <w:rPr>
                <w:rFonts w:ascii="宋体" w:hAnsi="宋体"/>
                <w:color w:val="000000"/>
                <w:szCs w:val="21"/>
              </w:rPr>
              <w:t>按工程施工阶段投入劳动力情况</w:t>
            </w:r>
          </w:p>
        </w:tc>
      </w:tr>
      <w:tr w14:paraId="654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589BFF2C">
            <w:pPr>
              <w:spacing w:line="360" w:lineRule="auto"/>
              <w:jc w:val="center"/>
              <w:rPr>
                <w:rFonts w:ascii="宋体" w:hAnsi="宋体"/>
                <w:color w:val="000000"/>
                <w:szCs w:val="21"/>
              </w:rPr>
            </w:pPr>
          </w:p>
        </w:tc>
        <w:tc>
          <w:tcPr>
            <w:tcW w:w="513" w:type="pct"/>
            <w:noWrap w:val="0"/>
            <w:vAlign w:val="center"/>
          </w:tcPr>
          <w:p w14:paraId="0FBBEF18">
            <w:pPr>
              <w:spacing w:line="360" w:lineRule="auto"/>
              <w:jc w:val="center"/>
              <w:rPr>
                <w:rFonts w:ascii="宋体" w:hAnsi="宋体"/>
                <w:color w:val="000000"/>
                <w:szCs w:val="21"/>
              </w:rPr>
            </w:pPr>
          </w:p>
        </w:tc>
        <w:tc>
          <w:tcPr>
            <w:tcW w:w="671" w:type="pct"/>
            <w:noWrap w:val="0"/>
            <w:vAlign w:val="center"/>
          </w:tcPr>
          <w:p w14:paraId="59CDE3D2">
            <w:pPr>
              <w:spacing w:line="360" w:lineRule="auto"/>
              <w:jc w:val="center"/>
              <w:rPr>
                <w:rFonts w:ascii="宋体" w:hAnsi="宋体"/>
                <w:color w:val="000000"/>
                <w:szCs w:val="21"/>
              </w:rPr>
            </w:pPr>
          </w:p>
        </w:tc>
        <w:tc>
          <w:tcPr>
            <w:tcW w:w="671" w:type="pct"/>
            <w:noWrap w:val="0"/>
            <w:vAlign w:val="center"/>
          </w:tcPr>
          <w:p w14:paraId="0D752535">
            <w:pPr>
              <w:spacing w:line="360" w:lineRule="auto"/>
              <w:jc w:val="center"/>
              <w:rPr>
                <w:rFonts w:ascii="宋体" w:hAnsi="宋体"/>
                <w:color w:val="000000"/>
                <w:szCs w:val="21"/>
              </w:rPr>
            </w:pPr>
          </w:p>
        </w:tc>
        <w:tc>
          <w:tcPr>
            <w:tcW w:w="671" w:type="pct"/>
            <w:noWrap w:val="0"/>
            <w:vAlign w:val="center"/>
          </w:tcPr>
          <w:p w14:paraId="01D7888C">
            <w:pPr>
              <w:spacing w:line="360" w:lineRule="auto"/>
              <w:jc w:val="center"/>
              <w:rPr>
                <w:rFonts w:ascii="宋体" w:hAnsi="宋体"/>
                <w:color w:val="000000"/>
                <w:szCs w:val="21"/>
              </w:rPr>
            </w:pPr>
          </w:p>
        </w:tc>
        <w:tc>
          <w:tcPr>
            <w:tcW w:w="671" w:type="pct"/>
            <w:noWrap w:val="0"/>
            <w:vAlign w:val="center"/>
          </w:tcPr>
          <w:p w14:paraId="18796548">
            <w:pPr>
              <w:spacing w:line="360" w:lineRule="auto"/>
              <w:jc w:val="center"/>
              <w:rPr>
                <w:rFonts w:ascii="宋体" w:hAnsi="宋体"/>
                <w:color w:val="000000"/>
                <w:szCs w:val="21"/>
              </w:rPr>
            </w:pPr>
          </w:p>
        </w:tc>
        <w:tc>
          <w:tcPr>
            <w:tcW w:w="671" w:type="pct"/>
            <w:noWrap w:val="0"/>
            <w:vAlign w:val="center"/>
          </w:tcPr>
          <w:p w14:paraId="6148DAF7">
            <w:pPr>
              <w:spacing w:line="360" w:lineRule="auto"/>
              <w:jc w:val="center"/>
              <w:rPr>
                <w:rFonts w:ascii="宋体" w:hAnsi="宋体"/>
                <w:color w:val="000000"/>
                <w:szCs w:val="21"/>
              </w:rPr>
            </w:pPr>
          </w:p>
        </w:tc>
        <w:tc>
          <w:tcPr>
            <w:tcW w:w="673" w:type="pct"/>
            <w:noWrap w:val="0"/>
            <w:vAlign w:val="center"/>
          </w:tcPr>
          <w:p w14:paraId="59FA4112">
            <w:pPr>
              <w:spacing w:line="360" w:lineRule="auto"/>
              <w:jc w:val="center"/>
              <w:rPr>
                <w:rFonts w:ascii="宋体" w:hAnsi="宋体"/>
                <w:color w:val="000000"/>
                <w:szCs w:val="21"/>
              </w:rPr>
            </w:pPr>
          </w:p>
        </w:tc>
      </w:tr>
      <w:tr w14:paraId="56B1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2CCF5915">
            <w:pPr>
              <w:spacing w:line="360" w:lineRule="auto"/>
              <w:jc w:val="center"/>
              <w:rPr>
                <w:rFonts w:ascii="宋体" w:hAnsi="宋体"/>
                <w:color w:val="000000"/>
                <w:szCs w:val="21"/>
              </w:rPr>
            </w:pPr>
          </w:p>
        </w:tc>
        <w:tc>
          <w:tcPr>
            <w:tcW w:w="513" w:type="pct"/>
            <w:noWrap w:val="0"/>
            <w:vAlign w:val="center"/>
          </w:tcPr>
          <w:p w14:paraId="2D99E92B">
            <w:pPr>
              <w:spacing w:line="360" w:lineRule="auto"/>
              <w:jc w:val="center"/>
              <w:rPr>
                <w:rFonts w:ascii="宋体" w:hAnsi="宋体"/>
                <w:color w:val="000000"/>
                <w:szCs w:val="21"/>
              </w:rPr>
            </w:pPr>
          </w:p>
        </w:tc>
        <w:tc>
          <w:tcPr>
            <w:tcW w:w="671" w:type="pct"/>
            <w:noWrap w:val="0"/>
            <w:vAlign w:val="center"/>
          </w:tcPr>
          <w:p w14:paraId="7BDBC289">
            <w:pPr>
              <w:spacing w:line="360" w:lineRule="auto"/>
              <w:jc w:val="center"/>
              <w:rPr>
                <w:rFonts w:ascii="宋体" w:hAnsi="宋体"/>
                <w:color w:val="000000"/>
                <w:szCs w:val="21"/>
              </w:rPr>
            </w:pPr>
          </w:p>
        </w:tc>
        <w:tc>
          <w:tcPr>
            <w:tcW w:w="671" w:type="pct"/>
            <w:noWrap w:val="0"/>
            <w:vAlign w:val="center"/>
          </w:tcPr>
          <w:p w14:paraId="1302BAB2">
            <w:pPr>
              <w:spacing w:line="360" w:lineRule="auto"/>
              <w:jc w:val="center"/>
              <w:rPr>
                <w:rFonts w:ascii="宋体" w:hAnsi="宋体"/>
                <w:color w:val="000000"/>
                <w:szCs w:val="21"/>
              </w:rPr>
            </w:pPr>
          </w:p>
        </w:tc>
        <w:tc>
          <w:tcPr>
            <w:tcW w:w="671" w:type="pct"/>
            <w:noWrap w:val="0"/>
            <w:vAlign w:val="center"/>
          </w:tcPr>
          <w:p w14:paraId="6318E38B">
            <w:pPr>
              <w:spacing w:line="360" w:lineRule="auto"/>
              <w:jc w:val="center"/>
              <w:rPr>
                <w:rFonts w:ascii="宋体" w:hAnsi="宋体"/>
                <w:color w:val="000000"/>
                <w:szCs w:val="21"/>
              </w:rPr>
            </w:pPr>
          </w:p>
        </w:tc>
        <w:tc>
          <w:tcPr>
            <w:tcW w:w="671" w:type="pct"/>
            <w:noWrap w:val="0"/>
            <w:vAlign w:val="center"/>
          </w:tcPr>
          <w:p w14:paraId="61E07D4B">
            <w:pPr>
              <w:spacing w:line="360" w:lineRule="auto"/>
              <w:jc w:val="center"/>
              <w:rPr>
                <w:rFonts w:ascii="宋体" w:hAnsi="宋体"/>
                <w:color w:val="000000"/>
                <w:szCs w:val="21"/>
              </w:rPr>
            </w:pPr>
          </w:p>
        </w:tc>
        <w:tc>
          <w:tcPr>
            <w:tcW w:w="671" w:type="pct"/>
            <w:noWrap w:val="0"/>
            <w:vAlign w:val="center"/>
          </w:tcPr>
          <w:p w14:paraId="5B983184">
            <w:pPr>
              <w:spacing w:line="360" w:lineRule="auto"/>
              <w:jc w:val="center"/>
              <w:rPr>
                <w:rFonts w:ascii="宋体" w:hAnsi="宋体"/>
                <w:color w:val="000000"/>
                <w:szCs w:val="21"/>
              </w:rPr>
            </w:pPr>
          </w:p>
        </w:tc>
        <w:tc>
          <w:tcPr>
            <w:tcW w:w="673" w:type="pct"/>
            <w:noWrap w:val="0"/>
            <w:vAlign w:val="center"/>
          </w:tcPr>
          <w:p w14:paraId="63FB4A64">
            <w:pPr>
              <w:spacing w:line="360" w:lineRule="auto"/>
              <w:jc w:val="center"/>
              <w:rPr>
                <w:rFonts w:ascii="宋体" w:hAnsi="宋体"/>
                <w:color w:val="000000"/>
                <w:szCs w:val="21"/>
              </w:rPr>
            </w:pPr>
          </w:p>
        </w:tc>
      </w:tr>
      <w:tr w14:paraId="2756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6C7B15EA">
            <w:pPr>
              <w:spacing w:line="360" w:lineRule="auto"/>
              <w:jc w:val="center"/>
              <w:rPr>
                <w:rFonts w:ascii="宋体" w:hAnsi="宋体"/>
                <w:color w:val="000000"/>
                <w:szCs w:val="21"/>
              </w:rPr>
            </w:pPr>
          </w:p>
        </w:tc>
        <w:tc>
          <w:tcPr>
            <w:tcW w:w="513" w:type="pct"/>
            <w:noWrap w:val="0"/>
            <w:vAlign w:val="center"/>
          </w:tcPr>
          <w:p w14:paraId="0F6235D6">
            <w:pPr>
              <w:spacing w:line="360" w:lineRule="auto"/>
              <w:jc w:val="center"/>
              <w:rPr>
                <w:rFonts w:ascii="宋体" w:hAnsi="宋体"/>
                <w:color w:val="000000"/>
                <w:szCs w:val="21"/>
              </w:rPr>
            </w:pPr>
          </w:p>
        </w:tc>
        <w:tc>
          <w:tcPr>
            <w:tcW w:w="671" w:type="pct"/>
            <w:noWrap w:val="0"/>
            <w:vAlign w:val="center"/>
          </w:tcPr>
          <w:p w14:paraId="2D0808E0">
            <w:pPr>
              <w:spacing w:line="360" w:lineRule="auto"/>
              <w:jc w:val="center"/>
              <w:rPr>
                <w:rFonts w:ascii="宋体" w:hAnsi="宋体"/>
                <w:color w:val="000000"/>
                <w:szCs w:val="21"/>
              </w:rPr>
            </w:pPr>
          </w:p>
        </w:tc>
        <w:tc>
          <w:tcPr>
            <w:tcW w:w="671" w:type="pct"/>
            <w:noWrap w:val="0"/>
            <w:vAlign w:val="center"/>
          </w:tcPr>
          <w:p w14:paraId="59C16A78">
            <w:pPr>
              <w:spacing w:line="360" w:lineRule="auto"/>
              <w:jc w:val="center"/>
              <w:rPr>
                <w:rFonts w:ascii="宋体" w:hAnsi="宋体"/>
                <w:color w:val="000000"/>
                <w:szCs w:val="21"/>
              </w:rPr>
            </w:pPr>
          </w:p>
        </w:tc>
        <w:tc>
          <w:tcPr>
            <w:tcW w:w="671" w:type="pct"/>
            <w:noWrap w:val="0"/>
            <w:vAlign w:val="center"/>
          </w:tcPr>
          <w:p w14:paraId="0A98F961">
            <w:pPr>
              <w:spacing w:line="360" w:lineRule="auto"/>
              <w:jc w:val="center"/>
              <w:rPr>
                <w:rFonts w:ascii="宋体" w:hAnsi="宋体"/>
                <w:color w:val="000000"/>
                <w:szCs w:val="21"/>
              </w:rPr>
            </w:pPr>
          </w:p>
        </w:tc>
        <w:tc>
          <w:tcPr>
            <w:tcW w:w="671" w:type="pct"/>
            <w:noWrap w:val="0"/>
            <w:vAlign w:val="center"/>
          </w:tcPr>
          <w:p w14:paraId="5495361A">
            <w:pPr>
              <w:spacing w:line="360" w:lineRule="auto"/>
              <w:jc w:val="center"/>
              <w:rPr>
                <w:rFonts w:ascii="宋体" w:hAnsi="宋体"/>
                <w:color w:val="000000"/>
                <w:szCs w:val="21"/>
              </w:rPr>
            </w:pPr>
          </w:p>
        </w:tc>
        <w:tc>
          <w:tcPr>
            <w:tcW w:w="671" w:type="pct"/>
            <w:noWrap w:val="0"/>
            <w:vAlign w:val="center"/>
          </w:tcPr>
          <w:p w14:paraId="6C93BB49">
            <w:pPr>
              <w:spacing w:line="360" w:lineRule="auto"/>
              <w:jc w:val="center"/>
              <w:rPr>
                <w:rFonts w:ascii="宋体" w:hAnsi="宋体"/>
                <w:color w:val="000000"/>
                <w:szCs w:val="21"/>
              </w:rPr>
            </w:pPr>
          </w:p>
        </w:tc>
        <w:tc>
          <w:tcPr>
            <w:tcW w:w="673" w:type="pct"/>
            <w:noWrap w:val="0"/>
            <w:vAlign w:val="center"/>
          </w:tcPr>
          <w:p w14:paraId="7C50078B">
            <w:pPr>
              <w:spacing w:line="360" w:lineRule="auto"/>
              <w:jc w:val="center"/>
              <w:rPr>
                <w:rFonts w:ascii="宋体" w:hAnsi="宋体"/>
                <w:color w:val="000000"/>
                <w:szCs w:val="21"/>
              </w:rPr>
            </w:pPr>
          </w:p>
        </w:tc>
      </w:tr>
      <w:tr w14:paraId="19A2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E3828A4">
            <w:pPr>
              <w:spacing w:line="360" w:lineRule="auto"/>
              <w:jc w:val="center"/>
              <w:rPr>
                <w:rFonts w:ascii="宋体" w:hAnsi="宋体"/>
                <w:color w:val="000000"/>
                <w:szCs w:val="21"/>
              </w:rPr>
            </w:pPr>
          </w:p>
        </w:tc>
        <w:tc>
          <w:tcPr>
            <w:tcW w:w="513" w:type="pct"/>
            <w:noWrap w:val="0"/>
            <w:vAlign w:val="center"/>
          </w:tcPr>
          <w:p w14:paraId="5D536FA9">
            <w:pPr>
              <w:spacing w:line="360" w:lineRule="auto"/>
              <w:jc w:val="center"/>
              <w:rPr>
                <w:rFonts w:ascii="宋体" w:hAnsi="宋体"/>
                <w:color w:val="000000"/>
                <w:szCs w:val="21"/>
              </w:rPr>
            </w:pPr>
          </w:p>
        </w:tc>
        <w:tc>
          <w:tcPr>
            <w:tcW w:w="671" w:type="pct"/>
            <w:noWrap w:val="0"/>
            <w:vAlign w:val="center"/>
          </w:tcPr>
          <w:p w14:paraId="2561BAC2">
            <w:pPr>
              <w:spacing w:line="360" w:lineRule="auto"/>
              <w:jc w:val="center"/>
              <w:rPr>
                <w:rFonts w:ascii="宋体" w:hAnsi="宋体"/>
                <w:color w:val="000000"/>
                <w:szCs w:val="21"/>
              </w:rPr>
            </w:pPr>
          </w:p>
        </w:tc>
        <w:tc>
          <w:tcPr>
            <w:tcW w:w="671" w:type="pct"/>
            <w:noWrap w:val="0"/>
            <w:vAlign w:val="center"/>
          </w:tcPr>
          <w:p w14:paraId="705102A4">
            <w:pPr>
              <w:spacing w:line="360" w:lineRule="auto"/>
              <w:jc w:val="center"/>
              <w:rPr>
                <w:rFonts w:ascii="宋体" w:hAnsi="宋体"/>
                <w:color w:val="000000"/>
                <w:szCs w:val="21"/>
              </w:rPr>
            </w:pPr>
          </w:p>
        </w:tc>
        <w:tc>
          <w:tcPr>
            <w:tcW w:w="671" w:type="pct"/>
            <w:noWrap w:val="0"/>
            <w:vAlign w:val="center"/>
          </w:tcPr>
          <w:p w14:paraId="2B2318A6">
            <w:pPr>
              <w:spacing w:line="360" w:lineRule="auto"/>
              <w:jc w:val="center"/>
              <w:rPr>
                <w:rFonts w:ascii="宋体" w:hAnsi="宋体"/>
                <w:color w:val="000000"/>
                <w:szCs w:val="21"/>
              </w:rPr>
            </w:pPr>
          </w:p>
        </w:tc>
        <w:tc>
          <w:tcPr>
            <w:tcW w:w="671" w:type="pct"/>
            <w:noWrap w:val="0"/>
            <w:vAlign w:val="center"/>
          </w:tcPr>
          <w:p w14:paraId="4E3E6F4A">
            <w:pPr>
              <w:spacing w:line="360" w:lineRule="auto"/>
              <w:jc w:val="center"/>
              <w:rPr>
                <w:rFonts w:ascii="宋体" w:hAnsi="宋体"/>
                <w:color w:val="000000"/>
                <w:szCs w:val="21"/>
              </w:rPr>
            </w:pPr>
          </w:p>
        </w:tc>
        <w:tc>
          <w:tcPr>
            <w:tcW w:w="671" w:type="pct"/>
            <w:noWrap w:val="0"/>
            <w:vAlign w:val="center"/>
          </w:tcPr>
          <w:p w14:paraId="7A5F607F">
            <w:pPr>
              <w:spacing w:line="360" w:lineRule="auto"/>
              <w:jc w:val="center"/>
              <w:rPr>
                <w:rFonts w:ascii="宋体" w:hAnsi="宋体"/>
                <w:color w:val="000000"/>
                <w:szCs w:val="21"/>
              </w:rPr>
            </w:pPr>
          </w:p>
        </w:tc>
        <w:tc>
          <w:tcPr>
            <w:tcW w:w="673" w:type="pct"/>
            <w:noWrap w:val="0"/>
            <w:vAlign w:val="center"/>
          </w:tcPr>
          <w:p w14:paraId="4005FBF6">
            <w:pPr>
              <w:spacing w:line="360" w:lineRule="auto"/>
              <w:jc w:val="center"/>
              <w:rPr>
                <w:rFonts w:ascii="宋体" w:hAnsi="宋体"/>
                <w:color w:val="000000"/>
                <w:szCs w:val="21"/>
              </w:rPr>
            </w:pPr>
          </w:p>
        </w:tc>
      </w:tr>
      <w:tr w14:paraId="301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9E70BCF">
            <w:pPr>
              <w:spacing w:line="360" w:lineRule="auto"/>
              <w:jc w:val="center"/>
              <w:rPr>
                <w:rFonts w:ascii="宋体" w:hAnsi="宋体"/>
                <w:color w:val="000000"/>
                <w:szCs w:val="21"/>
              </w:rPr>
            </w:pPr>
          </w:p>
        </w:tc>
        <w:tc>
          <w:tcPr>
            <w:tcW w:w="513" w:type="pct"/>
            <w:noWrap w:val="0"/>
            <w:vAlign w:val="center"/>
          </w:tcPr>
          <w:p w14:paraId="1743BA3E">
            <w:pPr>
              <w:spacing w:line="360" w:lineRule="auto"/>
              <w:jc w:val="center"/>
              <w:rPr>
                <w:rFonts w:ascii="宋体" w:hAnsi="宋体"/>
                <w:color w:val="000000"/>
                <w:szCs w:val="21"/>
              </w:rPr>
            </w:pPr>
          </w:p>
        </w:tc>
        <w:tc>
          <w:tcPr>
            <w:tcW w:w="671" w:type="pct"/>
            <w:noWrap w:val="0"/>
            <w:vAlign w:val="center"/>
          </w:tcPr>
          <w:p w14:paraId="186607DF">
            <w:pPr>
              <w:spacing w:line="360" w:lineRule="auto"/>
              <w:jc w:val="center"/>
              <w:rPr>
                <w:rFonts w:ascii="宋体" w:hAnsi="宋体"/>
                <w:color w:val="000000"/>
                <w:szCs w:val="21"/>
              </w:rPr>
            </w:pPr>
          </w:p>
        </w:tc>
        <w:tc>
          <w:tcPr>
            <w:tcW w:w="671" w:type="pct"/>
            <w:noWrap w:val="0"/>
            <w:vAlign w:val="center"/>
          </w:tcPr>
          <w:p w14:paraId="37671198">
            <w:pPr>
              <w:spacing w:line="360" w:lineRule="auto"/>
              <w:jc w:val="center"/>
              <w:rPr>
                <w:rFonts w:ascii="宋体" w:hAnsi="宋体"/>
                <w:color w:val="000000"/>
                <w:szCs w:val="21"/>
              </w:rPr>
            </w:pPr>
          </w:p>
        </w:tc>
        <w:tc>
          <w:tcPr>
            <w:tcW w:w="671" w:type="pct"/>
            <w:noWrap w:val="0"/>
            <w:vAlign w:val="center"/>
          </w:tcPr>
          <w:p w14:paraId="797898CF">
            <w:pPr>
              <w:spacing w:line="360" w:lineRule="auto"/>
              <w:jc w:val="center"/>
              <w:rPr>
                <w:rFonts w:ascii="宋体" w:hAnsi="宋体"/>
                <w:color w:val="000000"/>
                <w:szCs w:val="21"/>
              </w:rPr>
            </w:pPr>
          </w:p>
        </w:tc>
        <w:tc>
          <w:tcPr>
            <w:tcW w:w="671" w:type="pct"/>
            <w:noWrap w:val="0"/>
            <w:vAlign w:val="center"/>
          </w:tcPr>
          <w:p w14:paraId="42B9066D">
            <w:pPr>
              <w:spacing w:line="360" w:lineRule="auto"/>
              <w:jc w:val="center"/>
              <w:rPr>
                <w:rFonts w:ascii="宋体" w:hAnsi="宋体"/>
                <w:color w:val="000000"/>
                <w:szCs w:val="21"/>
              </w:rPr>
            </w:pPr>
          </w:p>
        </w:tc>
        <w:tc>
          <w:tcPr>
            <w:tcW w:w="671" w:type="pct"/>
            <w:noWrap w:val="0"/>
            <w:vAlign w:val="center"/>
          </w:tcPr>
          <w:p w14:paraId="75719EF5">
            <w:pPr>
              <w:spacing w:line="360" w:lineRule="auto"/>
              <w:jc w:val="center"/>
              <w:rPr>
                <w:rFonts w:ascii="宋体" w:hAnsi="宋体"/>
                <w:color w:val="000000"/>
                <w:szCs w:val="21"/>
              </w:rPr>
            </w:pPr>
          </w:p>
        </w:tc>
        <w:tc>
          <w:tcPr>
            <w:tcW w:w="673" w:type="pct"/>
            <w:noWrap w:val="0"/>
            <w:vAlign w:val="center"/>
          </w:tcPr>
          <w:p w14:paraId="12E901C0">
            <w:pPr>
              <w:spacing w:line="360" w:lineRule="auto"/>
              <w:jc w:val="center"/>
              <w:rPr>
                <w:rFonts w:ascii="宋体" w:hAnsi="宋体"/>
                <w:color w:val="000000"/>
                <w:szCs w:val="21"/>
              </w:rPr>
            </w:pPr>
          </w:p>
        </w:tc>
      </w:tr>
      <w:tr w14:paraId="3628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4DF5D01B">
            <w:pPr>
              <w:spacing w:line="360" w:lineRule="auto"/>
              <w:jc w:val="center"/>
              <w:rPr>
                <w:rFonts w:ascii="宋体" w:hAnsi="宋体"/>
                <w:color w:val="000000"/>
                <w:szCs w:val="21"/>
              </w:rPr>
            </w:pPr>
          </w:p>
        </w:tc>
        <w:tc>
          <w:tcPr>
            <w:tcW w:w="513" w:type="pct"/>
            <w:noWrap w:val="0"/>
            <w:vAlign w:val="center"/>
          </w:tcPr>
          <w:p w14:paraId="755CA7A2">
            <w:pPr>
              <w:spacing w:line="360" w:lineRule="auto"/>
              <w:jc w:val="center"/>
              <w:rPr>
                <w:rFonts w:ascii="宋体" w:hAnsi="宋体"/>
                <w:color w:val="000000"/>
                <w:szCs w:val="21"/>
              </w:rPr>
            </w:pPr>
          </w:p>
        </w:tc>
        <w:tc>
          <w:tcPr>
            <w:tcW w:w="671" w:type="pct"/>
            <w:noWrap w:val="0"/>
            <w:vAlign w:val="center"/>
          </w:tcPr>
          <w:p w14:paraId="0B652256">
            <w:pPr>
              <w:spacing w:line="360" w:lineRule="auto"/>
              <w:jc w:val="center"/>
              <w:rPr>
                <w:rFonts w:ascii="宋体" w:hAnsi="宋体"/>
                <w:color w:val="000000"/>
                <w:szCs w:val="21"/>
              </w:rPr>
            </w:pPr>
          </w:p>
        </w:tc>
        <w:tc>
          <w:tcPr>
            <w:tcW w:w="671" w:type="pct"/>
            <w:noWrap w:val="0"/>
            <w:vAlign w:val="center"/>
          </w:tcPr>
          <w:p w14:paraId="71EA063E">
            <w:pPr>
              <w:spacing w:line="360" w:lineRule="auto"/>
              <w:jc w:val="center"/>
              <w:rPr>
                <w:rFonts w:ascii="宋体" w:hAnsi="宋体"/>
                <w:color w:val="000000"/>
                <w:szCs w:val="21"/>
              </w:rPr>
            </w:pPr>
          </w:p>
        </w:tc>
        <w:tc>
          <w:tcPr>
            <w:tcW w:w="671" w:type="pct"/>
            <w:noWrap w:val="0"/>
            <w:vAlign w:val="center"/>
          </w:tcPr>
          <w:p w14:paraId="7E15B3A3">
            <w:pPr>
              <w:spacing w:line="360" w:lineRule="auto"/>
              <w:jc w:val="center"/>
              <w:rPr>
                <w:rFonts w:ascii="宋体" w:hAnsi="宋体"/>
                <w:color w:val="000000"/>
                <w:szCs w:val="21"/>
              </w:rPr>
            </w:pPr>
          </w:p>
        </w:tc>
        <w:tc>
          <w:tcPr>
            <w:tcW w:w="671" w:type="pct"/>
            <w:noWrap w:val="0"/>
            <w:vAlign w:val="center"/>
          </w:tcPr>
          <w:p w14:paraId="3A7571B3">
            <w:pPr>
              <w:spacing w:line="360" w:lineRule="auto"/>
              <w:jc w:val="center"/>
              <w:rPr>
                <w:rFonts w:ascii="宋体" w:hAnsi="宋体"/>
                <w:color w:val="000000"/>
                <w:szCs w:val="21"/>
              </w:rPr>
            </w:pPr>
          </w:p>
        </w:tc>
        <w:tc>
          <w:tcPr>
            <w:tcW w:w="671" w:type="pct"/>
            <w:noWrap w:val="0"/>
            <w:vAlign w:val="center"/>
          </w:tcPr>
          <w:p w14:paraId="4186FE5B">
            <w:pPr>
              <w:spacing w:line="360" w:lineRule="auto"/>
              <w:jc w:val="center"/>
              <w:rPr>
                <w:rFonts w:ascii="宋体" w:hAnsi="宋体"/>
                <w:color w:val="000000"/>
                <w:szCs w:val="21"/>
              </w:rPr>
            </w:pPr>
          </w:p>
        </w:tc>
        <w:tc>
          <w:tcPr>
            <w:tcW w:w="673" w:type="pct"/>
            <w:noWrap w:val="0"/>
            <w:vAlign w:val="center"/>
          </w:tcPr>
          <w:p w14:paraId="0FF0A524">
            <w:pPr>
              <w:spacing w:line="360" w:lineRule="auto"/>
              <w:jc w:val="center"/>
              <w:rPr>
                <w:rFonts w:ascii="宋体" w:hAnsi="宋体"/>
                <w:color w:val="000000"/>
                <w:szCs w:val="21"/>
              </w:rPr>
            </w:pPr>
          </w:p>
        </w:tc>
      </w:tr>
      <w:tr w14:paraId="4D24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noWrap w:val="0"/>
            <w:vAlign w:val="center"/>
          </w:tcPr>
          <w:p w14:paraId="3B97D191">
            <w:pPr>
              <w:spacing w:line="360" w:lineRule="auto"/>
              <w:jc w:val="center"/>
              <w:rPr>
                <w:rFonts w:ascii="宋体" w:hAnsi="宋体"/>
                <w:color w:val="000000"/>
                <w:szCs w:val="21"/>
              </w:rPr>
            </w:pPr>
          </w:p>
        </w:tc>
        <w:tc>
          <w:tcPr>
            <w:tcW w:w="513" w:type="pct"/>
            <w:noWrap w:val="0"/>
            <w:vAlign w:val="center"/>
          </w:tcPr>
          <w:p w14:paraId="3C957A8F">
            <w:pPr>
              <w:spacing w:line="360" w:lineRule="auto"/>
              <w:jc w:val="center"/>
              <w:rPr>
                <w:rFonts w:ascii="宋体" w:hAnsi="宋体"/>
                <w:color w:val="000000"/>
                <w:szCs w:val="21"/>
              </w:rPr>
            </w:pPr>
          </w:p>
        </w:tc>
        <w:tc>
          <w:tcPr>
            <w:tcW w:w="671" w:type="pct"/>
            <w:noWrap w:val="0"/>
            <w:vAlign w:val="center"/>
          </w:tcPr>
          <w:p w14:paraId="6488326D">
            <w:pPr>
              <w:spacing w:line="360" w:lineRule="auto"/>
              <w:jc w:val="center"/>
              <w:rPr>
                <w:rFonts w:ascii="宋体" w:hAnsi="宋体"/>
                <w:color w:val="000000"/>
                <w:szCs w:val="21"/>
              </w:rPr>
            </w:pPr>
          </w:p>
        </w:tc>
        <w:tc>
          <w:tcPr>
            <w:tcW w:w="671" w:type="pct"/>
            <w:noWrap w:val="0"/>
            <w:vAlign w:val="center"/>
          </w:tcPr>
          <w:p w14:paraId="6D982DAC">
            <w:pPr>
              <w:spacing w:line="360" w:lineRule="auto"/>
              <w:jc w:val="center"/>
              <w:rPr>
                <w:rFonts w:ascii="宋体" w:hAnsi="宋体"/>
                <w:color w:val="000000"/>
                <w:szCs w:val="21"/>
              </w:rPr>
            </w:pPr>
          </w:p>
        </w:tc>
        <w:tc>
          <w:tcPr>
            <w:tcW w:w="671" w:type="pct"/>
            <w:noWrap w:val="0"/>
            <w:vAlign w:val="center"/>
          </w:tcPr>
          <w:p w14:paraId="41084F2F">
            <w:pPr>
              <w:spacing w:line="360" w:lineRule="auto"/>
              <w:jc w:val="center"/>
              <w:rPr>
                <w:rFonts w:ascii="宋体" w:hAnsi="宋体"/>
                <w:color w:val="000000"/>
                <w:szCs w:val="21"/>
              </w:rPr>
            </w:pPr>
          </w:p>
        </w:tc>
        <w:tc>
          <w:tcPr>
            <w:tcW w:w="671" w:type="pct"/>
            <w:noWrap w:val="0"/>
            <w:vAlign w:val="center"/>
          </w:tcPr>
          <w:p w14:paraId="729242BC">
            <w:pPr>
              <w:spacing w:line="360" w:lineRule="auto"/>
              <w:jc w:val="center"/>
              <w:rPr>
                <w:rFonts w:ascii="宋体" w:hAnsi="宋体"/>
                <w:color w:val="000000"/>
                <w:szCs w:val="21"/>
              </w:rPr>
            </w:pPr>
          </w:p>
        </w:tc>
        <w:tc>
          <w:tcPr>
            <w:tcW w:w="671" w:type="pct"/>
            <w:noWrap w:val="0"/>
            <w:vAlign w:val="center"/>
          </w:tcPr>
          <w:p w14:paraId="43765B23">
            <w:pPr>
              <w:spacing w:line="360" w:lineRule="auto"/>
              <w:jc w:val="center"/>
              <w:rPr>
                <w:rFonts w:ascii="宋体" w:hAnsi="宋体"/>
                <w:color w:val="000000"/>
                <w:szCs w:val="21"/>
              </w:rPr>
            </w:pPr>
          </w:p>
        </w:tc>
        <w:tc>
          <w:tcPr>
            <w:tcW w:w="673" w:type="pct"/>
            <w:noWrap w:val="0"/>
            <w:vAlign w:val="center"/>
          </w:tcPr>
          <w:p w14:paraId="47E7B8A5">
            <w:pPr>
              <w:spacing w:line="360" w:lineRule="auto"/>
              <w:jc w:val="center"/>
              <w:rPr>
                <w:rFonts w:ascii="宋体" w:hAnsi="宋体"/>
                <w:color w:val="000000"/>
                <w:szCs w:val="21"/>
              </w:rPr>
            </w:pPr>
          </w:p>
        </w:tc>
      </w:tr>
    </w:tbl>
    <w:p w14:paraId="41131B7F">
      <w:pPr>
        <w:spacing w:line="360" w:lineRule="auto"/>
        <w:rPr>
          <w:rFonts w:ascii="宋体" w:hAnsi="宋体"/>
          <w:color w:val="000000"/>
        </w:rPr>
      </w:pPr>
    </w:p>
    <w:p w14:paraId="685F3C50">
      <w:pPr>
        <w:spacing w:line="360" w:lineRule="auto"/>
        <w:rPr>
          <w:rFonts w:ascii="宋体" w:hAnsi="宋体"/>
          <w:b/>
          <w:color w:val="000000"/>
        </w:rPr>
      </w:pPr>
    </w:p>
    <w:p w14:paraId="4681018A">
      <w:pPr>
        <w:pStyle w:val="40"/>
        <w:outlineLvl w:val="0"/>
      </w:pPr>
      <w:r>
        <w:t>附表四：计划开、竣工日期和施工进度计划（网络图或横道图）</w:t>
      </w:r>
    </w:p>
    <w:p w14:paraId="5CE47DD0">
      <w:pPr>
        <w:pStyle w:val="11"/>
        <w:rPr>
          <w:color w:val="000000"/>
        </w:rPr>
      </w:pPr>
      <w:r>
        <w:rPr>
          <w:color w:val="000000"/>
        </w:rPr>
        <w:t>1. 供应商应提交施工进度计划，说明按竞争性磋商文件要求的工期进行施工的各个关键日期。中标的供应商还应按合同条件有关条款的要求提交详细的施工进度计划。</w:t>
      </w:r>
    </w:p>
    <w:p w14:paraId="4088EABE">
      <w:pPr>
        <w:pStyle w:val="11"/>
        <w:rPr>
          <w:color w:val="000000"/>
        </w:rPr>
      </w:pPr>
      <w:r>
        <w:rPr>
          <w:color w:val="000000"/>
        </w:rPr>
        <w:t>2. 施工进度计划可采用网络图（或横道图）表示，说明计划开工日期和各分项工程各阶段的完工日期和分包合同签订的日期。</w:t>
      </w:r>
    </w:p>
    <w:p w14:paraId="1E358D9C">
      <w:pPr>
        <w:pStyle w:val="11"/>
        <w:rPr>
          <w:color w:val="000000"/>
        </w:rPr>
      </w:pPr>
      <w:r>
        <w:rPr>
          <w:color w:val="000000"/>
        </w:rPr>
        <w:t>3. 施工进度计划应与施工组织设计相适应。</w:t>
      </w:r>
    </w:p>
    <w:p w14:paraId="537D338F">
      <w:pPr>
        <w:spacing w:line="360" w:lineRule="auto"/>
        <w:rPr>
          <w:rFonts w:ascii="宋体" w:hAnsi="宋体"/>
          <w:color w:val="000000"/>
        </w:rPr>
      </w:pPr>
    </w:p>
    <w:p w14:paraId="71D28803">
      <w:pPr>
        <w:pStyle w:val="40"/>
        <w:outlineLvl w:val="1"/>
      </w:pPr>
      <w:r>
        <w:t>附表五：临时用地表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20"/>
        <w:gridCol w:w="2221"/>
        <w:gridCol w:w="2221"/>
      </w:tblGrid>
      <w:tr w14:paraId="3504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0" w:type="pct"/>
            <w:noWrap w:val="0"/>
            <w:vAlign w:val="center"/>
          </w:tcPr>
          <w:p w14:paraId="6AF7CC21">
            <w:pPr>
              <w:spacing w:line="360" w:lineRule="auto"/>
              <w:jc w:val="center"/>
              <w:rPr>
                <w:rFonts w:ascii="宋体" w:hAnsi="宋体"/>
                <w:color w:val="000000"/>
              </w:rPr>
            </w:pPr>
            <w:r>
              <w:rPr>
                <w:rFonts w:ascii="宋体" w:hAnsi="宋体"/>
                <w:color w:val="000000"/>
                <w:szCs w:val="21"/>
              </w:rPr>
              <w:t>用途</w:t>
            </w:r>
          </w:p>
        </w:tc>
        <w:tc>
          <w:tcPr>
            <w:tcW w:w="1250" w:type="pct"/>
            <w:noWrap w:val="0"/>
            <w:vAlign w:val="center"/>
          </w:tcPr>
          <w:p w14:paraId="5F23741E">
            <w:pPr>
              <w:spacing w:line="360" w:lineRule="auto"/>
              <w:jc w:val="center"/>
              <w:rPr>
                <w:rFonts w:ascii="宋体" w:hAnsi="宋体"/>
                <w:color w:val="000000"/>
              </w:rPr>
            </w:pPr>
            <w:r>
              <w:rPr>
                <w:rFonts w:ascii="宋体" w:hAnsi="宋体"/>
                <w:color w:val="000000"/>
                <w:szCs w:val="21"/>
              </w:rPr>
              <w:t>面积（平方米）</w:t>
            </w:r>
          </w:p>
        </w:tc>
        <w:tc>
          <w:tcPr>
            <w:tcW w:w="1250" w:type="pct"/>
            <w:noWrap w:val="0"/>
            <w:vAlign w:val="center"/>
          </w:tcPr>
          <w:p w14:paraId="15E042AA">
            <w:pPr>
              <w:spacing w:line="360" w:lineRule="auto"/>
              <w:jc w:val="center"/>
              <w:rPr>
                <w:rFonts w:ascii="宋体" w:hAnsi="宋体"/>
                <w:color w:val="000000"/>
              </w:rPr>
            </w:pPr>
            <w:r>
              <w:rPr>
                <w:rFonts w:ascii="宋体" w:hAnsi="宋体"/>
                <w:color w:val="000000"/>
                <w:szCs w:val="21"/>
              </w:rPr>
              <w:t>位置</w:t>
            </w:r>
          </w:p>
        </w:tc>
        <w:tc>
          <w:tcPr>
            <w:tcW w:w="1250" w:type="pct"/>
            <w:noWrap w:val="0"/>
            <w:vAlign w:val="center"/>
          </w:tcPr>
          <w:p w14:paraId="6F81E8DB">
            <w:pPr>
              <w:spacing w:line="360" w:lineRule="auto"/>
              <w:jc w:val="center"/>
              <w:rPr>
                <w:rFonts w:ascii="宋体" w:hAnsi="宋体"/>
                <w:color w:val="000000"/>
              </w:rPr>
            </w:pPr>
            <w:r>
              <w:rPr>
                <w:rFonts w:ascii="宋体" w:hAnsi="宋体"/>
                <w:color w:val="000000"/>
                <w:szCs w:val="21"/>
              </w:rPr>
              <w:t>需用时间</w:t>
            </w:r>
          </w:p>
        </w:tc>
      </w:tr>
      <w:tr w14:paraId="4A7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31F88FFE">
            <w:pPr>
              <w:spacing w:line="360" w:lineRule="auto"/>
              <w:rPr>
                <w:rFonts w:ascii="宋体" w:hAnsi="宋体"/>
                <w:color w:val="000000"/>
              </w:rPr>
            </w:pPr>
          </w:p>
        </w:tc>
        <w:tc>
          <w:tcPr>
            <w:tcW w:w="1250" w:type="pct"/>
            <w:noWrap w:val="0"/>
            <w:vAlign w:val="top"/>
          </w:tcPr>
          <w:p w14:paraId="063F3C7A">
            <w:pPr>
              <w:spacing w:line="360" w:lineRule="auto"/>
              <w:rPr>
                <w:rFonts w:ascii="宋体" w:hAnsi="宋体"/>
                <w:color w:val="000000"/>
              </w:rPr>
            </w:pPr>
          </w:p>
        </w:tc>
        <w:tc>
          <w:tcPr>
            <w:tcW w:w="1250" w:type="pct"/>
            <w:noWrap w:val="0"/>
            <w:vAlign w:val="top"/>
          </w:tcPr>
          <w:p w14:paraId="7A04E8D4">
            <w:pPr>
              <w:spacing w:line="360" w:lineRule="auto"/>
              <w:rPr>
                <w:rFonts w:ascii="宋体" w:hAnsi="宋体"/>
                <w:color w:val="000000"/>
              </w:rPr>
            </w:pPr>
          </w:p>
        </w:tc>
        <w:tc>
          <w:tcPr>
            <w:tcW w:w="1250" w:type="pct"/>
            <w:noWrap w:val="0"/>
            <w:vAlign w:val="top"/>
          </w:tcPr>
          <w:p w14:paraId="39F984F0">
            <w:pPr>
              <w:spacing w:line="360" w:lineRule="auto"/>
              <w:rPr>
                <w:rFonts w:ascii="宋体" w:hAnsi="宋体"/>
                <w:color w:val="000000"/>
              </w:rPr>
            </w:pPr>
          </w:p>
        </w:tc>
      </w:tr>
      <w:tr w14:paraId="5ED6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0B8ADD6F">
            <w:pPr>
              <w:spacing w:line="360" w:lineRule="auto"/>
              <w:rPr>
                <w:rFonts w:ascii="宋体" w:hAnsi="宋体"/>
                <w:color w:val="000000"/>
              </w:rPr>
            </w:pPr>
          </w:p>
        </w:tc>
        <w:tc>
          <w:tcPr>
            <w:tcW w:w="1250" w:type="pct"/>
            <w:noWrap w:val="0"/>
            <w:vAlign w:val="top"/>
          </w:tcPr>
          <w:p w14:paraId="283A653C">
            <w:pPr>
              <w:spacing w:line="360" w:lineRule="auto"/>
              <w:rPr>
                <w:rFonts w:ascii="宋体" w:hAnsi="宋体"/>
                <w:color w:val="000000"/>
              </w:rPr>
            </w:pPr>
          </w:p>
        </w:tc>
        <w:tc>
          <w:tcPr>
            <w:tcW w:w="1250" w:type="pct"/>
            <w:noWrap w:val="0"/>
            <w:vAlign w:val="top"/>
          </w:tcPr>
          <w:p w14:paraId="294BD223">
            <w:pPr>
              <w:spacing w:line="360" w:lineRule="auto"/>
              <w:rPr>
                <w:rFonts w:ascii="宋体" w:hAnsi="宋体"/>
                <w:color w:val="000000"/>
              </w:rPr>
            </w:pPr>
          </w:p>
        </w:tc>
        <w:tc>
          <w:tcPr>
            <w:tcW w:w="1250" w:type="pct"/>
            <w:noWrap w:val="0"/>
            <w:vAlign w:val="top"/>
          </w:tcPr>
          <w:p w14:paraId="33ED2681">
            <w:pPr>
              <w:spacing w:line="360" w:lineRule="auto"/>
              <w:rPr>
                <w:rFonts w:ascii="宋体" w:hAnsi="宋体"/>
                <w:color w:val="000000"/>
              </w:rPr>
            </w:pPr>
          </w:p>
        </w:tc>
      </w:tr>
      <w:tr w14:paraId="690D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50" w:type="pct"/>
            <w:noWrap w:val="0"/>
            <w:vAlign w:val="top"/>
          </w:tcPr>
          <w:p w14:paraId="7DF6EE99">
            <w:pPr>
              <w:spacing w:line="360" w:lineRule="auto"/>
              <w:rPr>
                <w:rFonts w:ascii="宋体" w:hAnsi="宋体"/>
                <w:color w:val="000000"/>
              </w:rPr>
            </w:pPr>
          </w:p>
        </w:tc>
        <w:tc>
          <w:tcPr>
            <w:tcW w:w="1250" w:type="pct"/>
            <w:noWrap w:val="0"/>
            <w:vAlign w:val="top"/>
          </w:tcPr>
          <w:p w14:paraId="7E8C7AA8">
            <w:pPr>
              <w:spacing w:line="360" w:lineRule="auto"/>
              <w:rPr>
                <w:rFonts w:ascii="宋体" w:hAnsi="宋体"/>
                <w:color w:val="000000"/>
              </w:rPr>
            </w:pPr>
          </w:p>
        </w:tc>
        <w:tc>
          <w:tcPr>
            <w:tcW w:w="1250" w:type="pct"/>
            <w:noWrap w:val="0"/>
            <w:vAlign w:val="top"/>
          </w:tcPr>
          <w:p w14:paraId="55232EB6">
            <w:pPr>
              <w:spacing w:line="360" w:lineRule="auto"/>
              <w:rPr>
                <w:rFonts w:ascii="宋体" w:hAnsi="宋体"/>
                <w:color w:val="000000"/>
              </w:rPr>
            </w:pPr>
          </w:p>
        </w:tc>
        <w:tc>
          <w:tcPr>
            <w:tcW w:w="1250" w:type="pct"/>
            <w:noWrap w:val="0"/>
            <w:vAlign w:val="top"/>
          </w:tcPr>
          <w:p w14:paraId="60E965DD">
            <w:pPr>
              <w:spacing w:line="360" w:lineRule="auto"/>
              <w:rPr>
                <w:rFonts w:ascii="宋体" w:hAnsi="宋体"/>
                <w:color w:val="000000"/>
              </w:rPr>
            </w:pPr>
          </w:p>
        </w:tc>
      </w:tr>
      <w:tr w14:paraId="740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50" w:type="pct"/>
            <w:noWrap w:val="0"/>
            <w:vAlign w:val="top"/>
          </w:tcPr>
          <w:p w14:paraId="5662AF5A">
            <w:pPr>
              <w:spacing w:line="360" w:lineRule="auto"/>
              <w:rPr>
                <w:rFonts w:ascii="宋体" w:hAnsi="宋体"/>
                <w:color w:val="000000"/>
              </w:rPr>
            </w:pPr>
          </w:p>
        </w:tc>
        <w:tc>
          <w:tcPr>
            <w:tcW w:w="1250" w:type="pct"/>
            <w:noWrap w:val="0"/>
            <w:vAlign w:val="top"/>
          </w:tcPr>
          <w:p w14:paraId="6EACDAB0">
            <w:pPr>
              <w:spacing w:line="360" w:lineRule="auto"/>
              <w:rPr>
                <w:rFonts w:ascii="宋体" w:hAnsi="宋体"/>
                <w:color w:val="000000"/>
              </w:rPr>
            </w:pPr>
          </w:p>
        </w:tc>
        <w:tc>
          <w:tcPr>
            <w:tcW w:w="1250" w:type="pct"/>
            <w:noWrap w:val="0"/>
            <w:vAlign w:val="top"/>
          </w:tcPr>
          <w:p w14:paraId="3E3F817D">
            <w:pPr>
              <w:spacing w:line="360" w:lineRule="auto"/>
              <w:rPr>
                <w:rFonts w:ascii="宋体" w:hAnsi="宋体"/>
                <w:color w:val="000000"/>
              </w:rPr>
            </w:pPr>
          </w:p>
        </w:tc>
        <w:tc>
          <w:tcPr>
            <w:tcW w:w="1250" w:type="pct"/>
            <w:noWrap w:val="0"/>
            <w:vAlign w:val="top"/>
          </w:tcPr>
          <w:p w14:paraId="0F7D3103">
            <w:pPr>
              <w:spacing w:line="360" w:lineRule="auto"/>
              <w:rPr>
                <w:rFonts w:ascii="宋体" w:hAnsi="宋体"/>
                <w:color w:val="000000"/>
              </w:rPr>
            </w:pPr>
          </w:p>
        </w:tc>
      </w:tr>
    </w:tbl>
    <w:p w14:paraId="12BC753B">
      <w:pPr>
        <w:spacing w:line="360" w:lineRule="auto"/>
        <w:rPr>
          <w:rFonts w:ascii="宋体" w:hAnsi="宋体"/>
          <w:color w:val="000000"/>
        </w:rPr>
      </w:pPr>
    </w:p>
    <w:p w14:paraId="1252DFE2">
      <w:pPr>
        <w:spacing w:line="360" w:lineRule="auto"/>
        <w:rPr>
          <w:rFonts w:hint="eastAsia" w:ascii="宋体" w:hAnsi="宋体"/>
          <w:b/>
          <w:color w:val="000000"/>
          <w:sz w:val="24"/>
        </w:rPr>
      </w:pPr>
      <w:r>
        <w:rPr>
          <w:rFonts w:ascii="宋体" w:hAnsi="宋体"/>
          <w:b/>
          <w:color w:val="000000"/>
          <w:sz w:val="24"/>
        </w:rPr>
        <w:br w:type="page"/>
      </w:r>
    </w:p>
    <w:p w14:paraId="0F3AF3DF">
      <w:pPr>
        <w:pStyle w:val="2"/>
        <w:numPr>
          <w:ilvl w:val="0"/>
          <w:numId w:val="62"/>
        </w:numPr>
        <w:tabs>
          <w:tab w:val="clear" w:pos="482"/>
        </w:tabs>
        <w:ind w:left="0" w:leftChars="0" w:firstLine="480" w:firstLineChars="0"/>
      </w:pPr>
      <w:r>
        <w:t>项目管理机构配备情况表</w:t>
      </w:r>
    </w:p>
    <w:p w14:paraId="48F2E836">
      <w:pPr>
        <w:pStyle w:val="3"/>
        <w:numPr>
          <w:ilvl w:val="0"/>
          <w:numId w:val="64"/>
        </w:numPr>
        <w:topLinePunct w:val="0"/>
        <w:ind w:left="0" w:leftChars="0" w:firstLine="482" w:firstLineChars="0"/>
        <w:rPr>
          <w:b/>
        </w:rPr>
      </w:pPr>
      <w:r>
        <w:t>项目管理机构配备情况表</w:t>
      </w:r>
    </w:p>
    <w:p w14:paraId="373575AF">
      <w:pPr>
        <w:pStyle w:val="33"/>
        <w:spacing w:line="360" w:lineRule="auto"/>
        <w:rPr>
          <w:rFonts w:ascii="宋体" w:hAnsi="宋体"/>
          <w:color w:val="000000"/>
          <w:u w:val="singl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785"/>
        <w:gridCol w:w="775"/>
        <w:gridCol w:w="1089"/>
        <w:gridCol w:w="1089"/>
        <w:gridCol w:w="1089"/>
        <w:gridCol w:w="1093"/>
        <w:gridCol w:w="807"/>
        <w:gridCol w:w="1215"/>
      </w:tblGrid>
      <w:tr w14:paraId="5A01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30" w:type="pct"/>
            <w:vMerge w:val="restart"/>
            <w:noWrap w:val="0"/>
            <w:vAlign w:val="center"/>
          </w:tcPr>
          <w:p w14:paraId="6AB045C9">
            <w:pPr>
              <w:spacing w:line="360" w:lineRule="auto"/>
              <w:ind w:left="223" w:hanging="222" w:hangingChars="106"/>
              <w:jc w:val="center"/>
              <w:rPr>
                <w:rFonts w:ascii="宋体" w:hAnsi="宋体"/>
                <w:color w:val="000000"/>
              </w:rPr>
            </w:pPr>
            <w:r>
              <w:rPr>
                <w:rFonts w:ascii="宋体" w:hAnsi="宋体"/>
                <w:color w:val="000000"/>
              </w:rPr>
              <w:t>岗位</w:t>
            </w:r>
          </w:p>
        </w:tc>
        <w:tc>
          <w:tcPr>
            <w:tcW w:w="442" w:type="pct"/>
            <w:vMerge w:val="restart"/>
            <w:noWrap w:val="0"/>
            <w:vAlign w:val="center"/>
          </w:tcPr>
          <w:p w14:paraId="3B45301A">
            <w:pPr>
              <w:spacing w:line="360" w:lineRule="auto"/>
              <w:ind w:left="223" w:hanging="222" w:hangingChars="106"/>
              <w:jc w:val="center"/>
              <w:rPr>
                <w:rFonts w:ascii="宋体" w:hAnsi="宋体"/>
                <w:color w:val="000000"/>
              </w:rPr>
            </w:pPr>
            <w:bookmarkStart w:id="63" w:name="_Toc251052187"/>
            <w:r>
              <w:rPr>
                <w:rFonts w:ascii="宋体" w:hAnsi="宋体"/>
                <w:color w:val="000000"/>
              </w:rPr>
              <w:t>姓名</w:t>
            </w:r>
            <w:bookmarkEnd w:id="63"/>
          </w:p>
        </w:tc>
        <w:tc>
          <w:tcPr>
            <w:tcW w:w="436" w:type="pct"/>
            <w:vMerge w:val="restart"/>
            <w:noWrap w:val="0"/>
            <w:vAlign w:val="center"/>
          </w:tcPr>
          <w:p w14:paraId="162D6062">
            <w:pPr>
              <w:spacing w:line="360" w:lineRule="auto"/>
              <w:ind w:left="223" w:hanging="222" w:hangingChars="106"/>
              <w:jc w:val="center"/>
              <w:rPr>
                <w:rFonts w:ascii="宋体" w:hAnsi="宋体"/>
                <w:color w:val="000000"/>
              </w:rPr>
            </w:pPr>
            <w:bookmarkStart w:id="64" w:name="_Toc251052188"/>
            <w:r>
              <w:rPr>
                <w:rFonts w:ascii="宋体" w:hAnsi="宋体"/>
                <w:color w:val="000000"/>
              </w:rPr>
              <w:t>职称</w:t>
            </w:r>
            <w:bookmarkEnd w:id="64"/>
          </w:p>
        </w:tc>
        <w:tc>
          <w:tcPr>
            <w:tcW w:w="2454" w:type="pct"/>
            <w:gridSpan w:val="4"/>
            <w:noWrap w:val="0"/>
            <w:vAlign w:val="center"/>
          </w:tcPr>
          <w:p w14:paraId="43626930">
            <w:pPr>
              <w:spacing w:line="360" w:lineRule="auto"/>
              <w:ind w:left="223" w:hanging="222" w:hangingChars="106"/>
              <w:jc w:val="center"/>
              <w:rPr>
                <w:rFonts w:ascii="宋体" w:hAnsi="宋体"/>
                <w:color w:val="000000"/>
              </w:rPr>
            </w:pPr>
            <w:bookmarkStart w:id="65" w:name="_Toc251052189"/>
            <w:r>
              <w:rPr>
                <w:rFonts w:ascii="宋体" w:hAnsi="宋体"/>
                <w:color w:val="000000"/>
              </w:rPr>
              <w:t>执业或职业资格证明</w:t>
            </w:r>
            <w:bookmarkEnd w:id="65"/>
          </w:p>
        </w:tc>
        <w:tc>
          <w:tcPr>
            <w:tcW w:w="1136" w:type="pct"/>
            <w:gridSpan w:val="2"/>
            <w:noWrap w:val="0"/>
            <w:vAlign w:val="center"/>
          </w:tcPr>
          <w:p w14:paraId="294D6876">
            <w:pPr>
              <w:spacing w:line="360" w:lineRule="auto"/>
              <w:ind w:left="223" w:hanging="222" w:hangingChars="106"/>
              <w:jc w:val="center"/>
              <w:rPr>
                <w:rFonts w:ascii="宋体" w:hAnsi="宋体"/>
                <w:color w:val="000000"/>
              </w:rPr>
            </w:pPr>
            <w:bookmarkStart w:id="66" w:name="_Toc251052190"/>
            <w:r>
              <w:rPr>
                <w:rFonts w:ascii="宋体" w:hAnsi="宋体"/>
                <w:color w:val="000000"/>
              </w:rPr>
              <w:t>承担完工</w:t>
            </w:r>
            <w:bookmarkEnd w:id="66"/>
            <w:bookmarkStart w:id="67" w:name="_Toc251052191"/>
            <w:r>
              <w:rPr>
                <w:rFonts w:ascii="宋体" w:hAnsi="宋体"/>
                <w:color w:val="000000"/>
              </w:rPr>
              <w:t>工程情况</w:t>
            </w:r>
            <w:bookmarkEnd w:id="67"/>
          </w:p>
        </w:tc>
      </w:tr>
      <w:tr w14:paraId="0E5C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30" w:type="pct"/>
            <w:vMerge w:val="continue"/>
            <w:noWrap w:val="0"/>
            <w:vAlign w:val="center"/>
          </w:tcPr>
          <w:p w14:paraId="7C5858F0">
            <w:pPr>
              <w:spacing w:line="360" w:lineRule="auto"/>
              <w:ind w:left="223" w:hanging="222" w:hangingChars="106"/>
              <w:jc w:val="center"/>
              <w:rPr>
                <w:rFonts w:ascii="宋体" w:hAnsi="宋体"/>
                <w:color w:val="000000"/>
              </w:rPr>
            </w:pPr>
          </w:p>
        </w:tc>
        <w:tc>
          <w:tcPr>
            <w:tcW w:w="442" w:type="pct"/>
            <w:vMerge w:val="continue"/>
            <w:noWrap w:val="0"/>
            <w:vAlign w:val="center"/>
          </w:tcPr>
          <w:p w14:paraId="028791E1">
            <w:pPr>
              <w:spacing w:line="360" w:lineRule="auto"/>
              <w:ind w:left="223" w:hanging="222" w:hangingChars="106"/>
              <w:jc w:val="center"/>
              <w:rPr>
                <w:rFonts w:ascii="宋体" w:hAnsi="宋体"/>
                <w:color w:val="000000"/>
              </w:rPr>
            </w:pPr>
          </w:p>
        </w:tc>
        <w:tc>
          <w:tcPr>
            <w:tcW w:w="436" w:type="pct"/>
            <w:vMerge w:val="continue"/>
            <w:noWrap w:val="0"/>
            <w:vAlign w:val="center"/>
          </w:tcPr>
          <w:p w14:paraId="0DC8E1EB">
            <w:pPr>
              <w:spacing w:line="360" w:lineRule="auto"/>
              <w:ind w:left="223" w:hanging="222" w:hangingChars="106"/>
              <w:jc w:val="center"/>
              <w:rPr>
                <w:rFonts w:ascii="宋体" w:hAnsi="宋体"/>
                <w:color w:val="000000"/>
              </w:rPr>
            </w:pPr>
          </w:p>
        </w:tc>
        <w:tc>
          <w:tcPr>
            <w:tcW w:w="613" w:type="pct"/>
            <w:noWrap w:val="0"/>
            <w:vAlign w:val="center"/>
          </w:tcPr>
          <w:p w14:paraId="3A3C0EF4">
            <w:pPr>
              <w:spacing w:line="360" w:lineRule="auto"/>
              <w:ind w:left="223" w:hanging="222" w:hangingChars="106"/>
              <w:jc w:val="center"/>
              <w:rPr>
                <w:rFonts w:ascii="宋体" w:hAnsi="宋体"/>
                <w:color w:val="000000"/>
              </w:rPr>
            </w:pPr>
            <w:bookmarkStart w:id="68" w:name="_Toc251052192"/>
            <w:r>
              <w:rPr>
                <w:rFonts w:ascii="宋体" w:hAnsi="宋体"/>
                <w:color w:val="000000"/>
              </w:rPr>
              <w:t>证书名称</w:t>
            </w:r>
            <w:bookmarkEnd w:id="68"/>
          </w:p>
        </w:tc>
        <w:tc>
          <w:tcPr>
            <w:tcW w:w="613" w:type="pct"/>
            <w:noWrap w:val="0"/>
            <w:vAlign w:val="center"/>
          </w:tcPr>
          <w:p w14:paraId="785A610E">
            <w:pPr>
              <w:spacing w:line="360" w:lineRule="auto"/>
              <w:ind w:left="223" w:hanging="222" w:hangingChars="106"/>
              <w:jc w:val="center"/>
              <w:rPr>
                <w:rFonts w:ascii="宋体" w:hAnsi="宋体"/>
                <w:color w:val="000000"/>
              </w:rPr>
            </w:pPr>
            <w:bookmarkStart w:id="69" w:name="_Toc251052193"/>
            <w:r>
              <w:rPr>
                <w:rFonts w:ascii="宋体" w:hAnsi="宋体"/>
                <w:color w:val="000000"/>
              </w:rPr>
              <w:t>级别</w:t>
            </w:r>
            <w:bookmarkEnd w:id="69"/>
          </w:p>
        </w:tc>
        <w:tc>
          <w:tcPr>
            <w:tcW w:w="613" w:type="pct"/>
            <w:noWrap w:val="0"/>
            <w:vAlign w:val="center"/>
          </w:tcPr>
          <w:p w14:paraId="1D195C47">
            <w:pPr>
              <w:spacing w:line="360" w:lineRule="auto"/>
              <w:ind w:left="223" w:hanging="222" w:hangingChars="106"/>
              <w:jc w:val="center"/>
              <w:rPr>
                <w:rFonts w:ascii="宋体" w:hAnsi="宋体"/>
                <w:color w:val="000000"/>
              </w:rPr>
            </w:pPr>
            <w:bookmarkStart w:id="70" w:name="_Toc251052194"/>
            <w:r>
              <w:rPr>
                <w:rFonts w:ascii="宋体" w:hAnsi="宋体"/>
                <w:color w:val="000000"/>
              </w:rPr>
              <w:t>证号</w:t>
            </w:r>
            <w:bookmarkEnd w:id="70"/>
          </w:p>
        </w:tc>
        <w:tc>
          <w:tcPr>
            <w:tcW w:w="613" w:type="pct"/>
            <w:noWrap w:val="0"/>
            <w:vAlign w:val="center"/>
          </w:tcPr>
          <w:p w14:paraId="7F0C5488">
            <w:pPr>
              <w:spacing w:line="360" w:lineRule="auto"/>
              <w:ind w:left="223" w:hanging="222" w:hangingChars="106"/>
              <w:jc w:val="center"/>
              <w:rPr>
                <w:rFonts w:ascii="宋体" w:hAnsi="宋体"/>
                <w:color w:val="000000"/>
              </w:rPr>
            </w:pPr>
            <w:bookmarkStart w:id="71" w:name="_Toc251052195"/>
            <w:r>
              <w:rPr>
                <w:rFonts w:ascii="宋体" w:hAnsi="宋体"/>
                <w:color w:val="000000"/>
              </w:rPr>
              <w:t>专业</w:t>
            </w:r>
            <w:bookmarkEnd w:id="71"/>
          </w:p>
        </w:tc>
        <w:tc>
          <w:tcPr>
            <w:tcW w:w="454" w:type="pct"/>
            <w:noWrap w:val="0"/>
            <w:vAlign w:val="center"/>
          </w:tcPr>
          <w:p w14:paraId="1BC30808">
            <w:pPr>
              <w:spacing w:line="360" w:lineRule="auto"/>
              <w:ind w:left="223" w:hanging="222" w:hangingChars="106"/>
              <w:jc w:val="center"/>
              <w:rPr>
                <w:rFonts w:ascii="宋体" w:hAnsi="宋体"/>
                <w:color w:val="000000"/>
              </w:rPr>
            </w:pPr>
            <w:bookmarkStart w:id="72" w:name="_Toc251052197"/>
            <w:r>
              <w:rPr>
                <w:rFonts w:ascii="宋体" w:hAnsi="宋体"/>
                <w:color w:val="000000"/>
              </w:rPr>
              <w:t>项目数</w:t>
            </w:r>
            <w:bookmarkEnd w:id="72"/>
          </w:p>
        </w:tc>
        <w:tc>
          <w:tcPr>
            <w:tcW w:w="682" w:type="pct"/>
            <w:noWrap w:val="0"/>
            <w:vAlign w:val="center"/>
          </w:tcPr>
          <w:p w14:paraId="7883A139">
            <w:pPr>
              <w:spacing w:line="360" w:lineRule="auto"/>
              <w:ind w:left="223" w:hanging="222" w:hangingChars="106"/>
              <w:jc w:val="center"/>
              <w:rPr>
                <w:rFonts w:ascii="宋体" w:hAnsi="宋体"/>
                <w:color w:val="000000"/>
              </w:rPr>
            </w:pPr>
            <w:bookmarkStart w:id="73" w:name="_Toc251052198"/>
            <w:r>
              <w:rPr>
                <w:rFonts w:ascii="宋体" w:hAnsi="宋体"/>
                <w:color w:val="000000"/>
              </w:rPr>
              <w:t>主要项目</w:t>
            </w:r>
          </w:p>
          <w:p w14:paraId="0DE50C0C">
            <w:pPr>
              <w:spacing w:line="360" w:lineRule="auto"/>
              <w:ind w:left="223" w:hanging="222" w:hangingChars="106"/>
              <w:jc w:val="center"/>
              <w:rPr>
                <w:rFonts w:ascii="宋体" w:hAnsi="宋体"/>
                <w:color w:val="000000"/>
              </w:rPr>
            </w:pPr>
            <w:r>
              <w:rPr>
                <w:rFonts w:ascii="宋体" w:hAnsi="宋体"/>
                <w:color w:val="000000"/>
              </w:rPr>
              <w:t>名称</w:t>
            </w:r>
            <w:bookmarkEnd w:id="73"/>
          </w:p>
        </w:tc>
      </w:tr>
      <w:tr w14:paraId="141D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5C6410BB">
            <w:pPr>
              <w:spacing w:line="360" w:lineRule="auto"/>
              <w:ind w:left="223" w:hanging="222" w:hangingChars="106"/>
              <w:jc w:val="center"/>
              <w:rPr>
                <w:rFonts w:ascii="宋体" w:hAnsi="宋体"/>
                <w:color w:val="000000"/>
                <w:szCs w:val="21"/>
              </w:rPr>
            </w:pPr>
            <w:r>
              <w:rPr>
                <w:rFonts w:ascii="宋体" w:hAnsi="宋体"/>
                <w:color w:val="000000"/>
                <w:szCs w:val="21"/>
              </w:rPr>
              <w:t>施工员</w:t>
            </w:r>
          </w:p>
        </w:tc>
        <w:tc>
          <w:tcPr>
            <w:tcW w:w="442" w:type="pct"/>
            <w:noWrap w:val="0"/>
            <w:vAlign w:val="center"/>
          </w:tcPr>
          <w:p w14:paraId="438AF20D">
            <w:pPr>
              <w:spacing w:line="360" w:lineRule="auto"/>
              <w:ind w:left="223" w:hanging="222" w:hangingChars="106"/>
              <w:jc w:val="center"/>
              <w:rPr>
                <w:rFonts w:ascii="宋体" w:hAnsi="宋体"/>
                <w:color w:val="000000"/>
              </w:rPr>
            </w:pPr>
          </w:p>
        </w:tc>
        <w:tc>
          <w:tcPr>
            <w:tcW w:w="436" w:type="pct"/>
            <w:noWrap w:val="0"/>
            <w:vAlign w:val="center"/>
          </w:tcPr>
          <w:p w14:paraId="1EE7B02F">
            <w:pPr>
              <w:spacing w:line="360" w:lineRule="auto"/>
              <w:ind w:left="223" w:hanging="222" w:hangingChars="106"/>
              <w:jc w:val="center"/>
              <w:rPr>
                <w:rFonts w:ascii="宋体" w:hAnsi="宋体"/>
                <w:color w:val="000000"/>
              </w:rPr>
            </w:pPr>
          </w:p>
        </w:tc>
        <w:tc>
          <w:tcPr>
            <w:tcW w:w="613" w:type="pct"/>
            <w:noWrap w:val="0"/>
            <w:vAlign w:val="center"/>
          </w:tcPr>
          <w:p w14:paraId="7618EB22">
            <w:pPr>
              <w:spacing w:line="360" w:lineRule="auto"/>
              <w:ind w:left="223" w:hanging="222" w:hangingChars="106"/>
              <w:jc w:val="center"/>
              <w:rPr>
                <w:rFonts w:ascii="宋体" w:hAnsi="宋体"/>
                <w:color w:val="000000"/>
              </w:rPr>
            </w:pPr>
          </w:p>
        </w:tc>
        <w:tc>
          <w:tcPr>
            <w:tcW w:w="613" w:type="pct"/>
            <w:noWrap w:val="0"/>
            <w:vAlign w:val="center"/>
          </w:tcPr>
          <w:p w14:paraId="4716060C">
            <w:pPr>
              <w:spacing w:line="360" w:lineRule="auto"/>
              <w:ind w:left="223" w:hanging="222" w:hangingChars="106"/>
              <w:jc w:val="center"/>
              <w:rPr>
                <w:rFonts w:ascii="宋体" w:hAnsi="宋体"/>
                <w:color w:val="000000"/>
              </w:rPr>
            </w:pPr>
          </w:p>
        </w:tc>
        <w:tc>
          <w:tcPr>
            <w:tcW w:w="613" w:type="pct"/>
            <w:noWrap w:val="0"/>
            <w:vAlign w:val="center"/>
          </w:tcPr>
          <w:p w14:paraId="4D7C2743">
            <w:pPr>
              <w:spacing w:line="360" w:lineRule="auto"/>
              <w:ind w:left="223" w:hanging="222" w:hangingChars="106"/>
              <w:jc w:val="center"/>
              <w:rPr>
                <w:rFonts w:ascii="宋体" w:hAnsi="宋体"/>
                <w:color w:val="000000"/>
              </w:rPr>
            </w:pPr>
          </w:p>
        </w:tc>
        <w:tc>
          <w:tcPr>
            <w:tcW w:w="613" w:type="pct"/>
            <w:noWrap w:val="0"/>
            <w:vAlign w:val="center"/>
          </w:tcPr>
          <w:p w14:paraId="666972B6">
            <w:pPr>
              <w:spacing w:line="360" w:lineRule="auto"/>
              <w:ind w:left="223" w:hanging="222" w:hangingChars="106"/>
              <w:jc w:val="center"/>
              <w:rPr>
                <w:rFonts w:ascii="宋体" w:hAnsi="宋体"/>
                <w:color w:val="000000"/>
              </w:rPr>
            </w:pPr>
          </w:p>
        </w:tc>
        <w:tc>
          <w:tcPr>
            <w:tcW w:w="454" w:type="pct"/>
            <w:noWrap w:val="0"/>
            <w:vAlign w:val="center"/>
          </w:tcPr>
          <w:p w14:paraId="087BABFC">
            <w:pPr>
              <w:spacing w:line="360" w:lineRule="auto"/>
              <w:ind w:left="223" w:hanging="222" w:hangingChars="106"/>
              <w:jc w:val="center"/>
              <w:rPr>
                <w:rFonts w:ascii="宋体" w:hAnsi="宋体"/>
                <w:color w:val="000000"/>
              </w:rPr>
            </w:pPr>
          </w:p>
        </w:tc>
        <w:tc>
          <w:tcPr>
            <w:tcW w:w="682" w:type="pct"/>
            <w:noWrap w:val="0"/>
            <w:vAlign w:val="center"/>
          </w:tcPr>
          <w:p w14:paraId="52BDAE0C">
            <w:pPr>
              <w:spacing w:line="360" w:lineRule="auto"/>
              <w:ind w:left="223" w:hanging="222" w:hangingChars="106"/>
              <w:jc w:val="center"/>
              <w:rPr>
                <w:rFonts w:ascii="宋体" w:hAnsi="宋体"/>
                <w:color w:val="000000"/>
              </w:rPr>
            </w:pPr>
          </w:p>
        </w:tc>
      </w:tr>
      <w:tr w14:paraId="165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3855C18E">
            <w:pPr>
              <w:spacing w:line="360" w:lineRule="auto"/>
              <w:ind w:left="223" w:hanging="222" w:hangingChars="106"/>
              <w:jc w:val="center"/>
              <w:rPr>
                <w:rFonts w:ascii="宋体" w:hAnsi="宋体"/>
                <w:color w:val="000000"/>
                <w:szCs w:val="21"/>
              </w:rPr>
            </w:pPr>
            <w:r>
              <w:rPr>
                <w:rFonts w:ascii="宋体" w:hAnsi="宋体"/>
                <w:color w:val="000000"/>
                <w:szCs w:val="21"/>
              </w:rPr>
              <w:t>质量员</w:t>
            </w:r>
          </w:p>
        </w:tc>
        <w:tc>
          <w:tcPr>
            <w:tcW w:w="442" w:type="pct"/>
            <w:noWrap w:val="0"/>
            <w:vAlign w:val="center"/>
          </w:tcPr>
          <w:p w14:paraId="74A98F7D">
            <w:pPr>
              <w:spacing w:line="360" w:lineRule="auto"/>
              <w:ind w:left="223" w:hanging="222" w:hangingChars="106"/>
              <w:jc w:val="center"/>
              <w:rPr>
                <w:rFonts w:ascii="宋体" w:hAnsi="宋体"/>
                <w:color w:val="000000"/>
              </w:rPr>
            </w:pPr>
          </w:p>
        </w:tc>
        <w:tc>
          <w:tcPr>
            <w:tcW w:w="436" w:type="pct"/>
            <w:noWrap w:val="0"/>
            <w:vAlign w:val="center"/>
          </w:tcPr>
          <w:p w14:paraId="2628E84C">
            <w:pPr>
              <w:spacing w:line="360" w:lineRule="auto"/>
              <w:ind w:left="223" w:hanging="222" w:hangingChars="106"/>
              <w:jc w:val="center"/>
              <w:rPr>
                <w:rFonts w:ascii="宋体" w:hAnsi="宋体"/>
                <w:color w:val="000000"/>
              </w:rPr>
            </w:pPr>
          </w:p>
        </w:tc>
        <w:tc>
          <w:tcPr>
            <w:tcW w:w="613" w:type="pct"/>
            <w:noWrap w:val="0"/>
            <w:vAlign w:val="center"/>
          </w:tcPr>
          <w:p w14:paraId="0692353B">
            <w:pPr>
              <w:spacing w:line="360" w:lineRule="auto"/>
              <w:ind w:left="223" w:hanging="222" w:hangingChars="106"/>
              <w:jc w:val="center"/>
              <w:rPr>
                <w:rFonts w:ascii="宋体" w:hAnsi="宋体"/>
                <w:color w:val="000000"/>
              </w:rPr>
            </w:pPr>
          </w:p>
        </w:tc>
        <w:tc>
          <w:tcPr>
            <w:tcW w:w="613" w:type="pct"/>
            <w:noWrap w:val="0"/>
            <w:vAlign w:val="center"/>
          </w:tcPr>
          <w:p w14:paraId="3355473B">
            <w:pPr>
              <w:spacing w:line="360" w:lineRule="auto"/>
              <w:ind w:left="223" w:hanging="222" w:hangingChars="106"/>
              <w:jc w:val="center"/>
              <w:rPr>
                <w:rFonts w:ascii="宋体" w:hAnsi="宋体"/>
                <w:color w:val="000000"/>
              </w:rPr>
            </w:pPr>
          </w:p>
        </w:tc>
        <w:tc>
          <w:tcPr>
            <w:tcW w:w="613" w:type="pct"/>
            <w:noWrap w:val="0"/>
            <w:vAlign w:val="center"/>
          </w:tcPr>
          <w:p w14:paraId="7B43A63F">
            <w:pPr>
              <w:spacing w:line="360" w:lineRule="auto"/>
              <w:ind w:left="223" w:hanging="222" w:hangingChars="106"/>
              <w:jc w:val="center"/>
              <w:rPr>
                <w:rFonts w:ascii="宋体" w:hAnsi="宋体"/>
                <w:color w:val="000000"/>
              </w:rPr>
            </w:pPr>
          </w:p>
        </w:tc>
        <w:tc>
          <w:tcPr>
            <w:tcW w:w="613" w:type="pct"/>
            <w:noWrap w:val="0"/>
            <w:vAlign w:val="center"/>
          </w:tcPr>
          <w:p w14:paraId="1291D614">
            <w:pPr>
              <w:spacing w:line="360" w:lineRule="auto"/>
              <w:ind w:left="223" w:hanging="222" w:hangingChars="106"/>
              <w:jc w:val="center"/>
              <w:rPr>
                <w:rFonts w:ascii="宋体" w:hAnsi="宋体"/>
                <w:color w:val="000000"/>
              </w:rPr>
            </w:pPr>
          </w:p>
        </w:tc>
        <w:tc>
          <w:tcPr>
            <w:tcW w:w="454" w:type="pct"/>
            <w:noWrap w:val="0"/>
            <w:vAlign w:val="center"/>
          </w:tcPr>
          <w:p w14:paraId="574B1890">
            <w:pPr>
              <w:spacing w:line="360" w:lineRule="auto"/>
              <w:ind w:left="223" w:hanging="222" w:hangingChars="106"/>
              <w:jc w:val="center"/>
              <w:rPr>
                <w:rFonts w:ascii="宋体" w:hAnsi="宋体"/>
                <w:color w:val="000000"/>
              </w:rPr>
            </w:pPr>
          </w:p>
        </w:tc>
        <w:tc>
          <w:tcPr>
            <w:tcW w:w="682" w:type="pct"/>
            <w:noWrap w:val="0"/>
            <w:vAlign w:val="center"/>
          </w:tcPr>
          <w:p w14:paraId="6D407F1F">
            <w:pPr>
              <w:spacing w:line="360" w:lineRule="auto"/>
              <w:ind w:left="223" w:hanging="222" w:hangingChars="106"/>
              <w:jc w:val="center"/>
              <w:rPr>
                <w:rFonts w:ascii="宋体" w:hAnsi="宋体"/>
                <w:color w:val="000000"/>
              </w:rPr>
            </w:pPr>
          </w:p>
        </w:tc>
      </w:tr>
      <w:tr w14:paraId="2157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restart"/>
            <w:noWrap w:val="0"/>
            <w:vAlign w:val="center"/>
          </w:tcPr>
          <w:p w14:paraId="3E4307FF">
            <w:pPr>
              <w:spacing w:line="360" w:lineRule="auto"/>
              <w:ind w:left="223" w:hanging="222" w:hangingChars="106"/>
              <w:jc w:val="center"/>
              <w:rPr>
                <w:rFonts w:ascii="宋体" w:hAnsi="宋体"/>
                <w:color w:val="000000"/>
                <w:szCs w:val="21"/>
              </w:rPr>
            </w:pPr>
            <w:r>
              <w:rPr>
                <w:rFonts w:ascii="宋体" w:hAnsi="宋体"/>
                <w:color w:val="000000"/>
                <w:szCs w:val="21"/>
              </w:rPr>
              <w:t>安全员</w:t>
            </w:r>
          </w:p>
        </w:tc>
        <w:tc>
          <w:tcPr>
            <w:tcW w:w="442" w:type="pct"/>
            <w:noWrap w:val="0"/>
            <w:vAlign w:val="center"/>
          </w:tcPr>
          <w:p w14:paraId="77B1C58B">
            <w:pPr>
              <w:spacing w:line="360" w:lineRule="auto"/>
              <w:ind w:left="223" w:hanging="222" w:hangingChars="106"/>
              <w:jc w:val="center"/>
              <w:rPr>
                <w:rFonts w:ascii="宋体" w:hAnsi="宋体"/>
                <w:color w:val="000000"/>
              </w:rPr>
            </w:pPr>
          </w:p>
        </w:tc>
        <w:tc>
          <w:tcPr>
            <w:tcW w:w="436" w:type="pct"/>
            <w:noWrap w:val="0"/>
            <w:vAlign w:val="center"/>
          </w:tcPr>
          <w:p w14:paraId="1935E5A3">
            <w:pPr>
              <w:spacing w:line="360" w:lineRule="auto"/>
              <w:ind w:left="223" w:hanging="222" w:hangingChars="106"/>
              <w:jc w:val="center"/>
              <w:rPr>
                <w:rFonts w:ascii="宋体" w:hAnsi="宋体"/>
                <w:color w:val="000000"/>
              </w:rPr>
            </w:pPr>
          </w:p>
        </w:tc>
        <w:tc>
          <w:tcPr>
            <w:tcW w:w="613" w:type="pct"/>
            <w:noWrap w:val="0"/>
            <w:vAlign w:val="center"/>
          </w:tcPr>
          <w:p w14:paraId="668F69D7">
            <w:pPr>
              <w:spacing w:line="360" w:lineRule="auto"/>
              <w:ind w:left="223" w:hanging="222" w:hangingChars="106"/>
              <w:jc w:val="center"/>
              <w:rPr>
                <w:rFonts w:ascii="宋体" w:hAnsi="宋体"/>
                <w:color w:val="000000"/>
              </w:rPr>
            </w:pPr>
          </w:p>
        </w:tc>
        <w:tc>
          <w:tcPr>
            <w:tcW w:w="613" w:type="pct"/>
            <w:noWrap w:val="0"/>
            <w:vAlign w:val="center"/>
          </w:tcPr>
          <w:p w14:paraId="3CD0CD00">
            <w:pPr>
              <w:spacing w:line="360" w:lineRule="auto"/>
              <w:ind w:left="223" w:hanging="222" w:hangingChars="106"/>
              <w:jc w:val="center"/>
              <w:rPr>
                <w:rFonts w:ascii="宋体" w:hAnsi="宋体"/>
                <w:color w:val="000000"/>
              </w:rPr>
            </w:pPr>
          </w:p>
        </w:tc>
        <w:tc>
          <w:tcPr>
            <w:tcW w:w="613" w:type="pct"/>
            <w:noWrap w:val="0"/>
            <w:vAlign w:val="center"/>
          </w:tcPr>
          <w:p w14:paraId="2720ECE2">
            <w:pPr>
              <w:spacing w:line="360" w:lineRule="auto"/>
              <w:ind w:left="223" w:hanging="222" w:hangingChars="106"/>
              <w:jc w:val="center"/>
              <w:rPr>
                <w:rFonts w:ascii="宋体" w:hAnsi="宋体"/>
                <w:color w:val="000000"/>
              </w:rPr>
            </w:pPr>
          </w:p>
        </w:tc>
        <w:tc>
          <w:tcPr>
            <w:tcW w:w="613" w:type="pct"/>
            <w:noWrap w:val="0"/>
            <w:vAlign w:val="center"/>
          </w:tcPr>
          <w:p w14:paraId="6CDB0C91">
            <w:pPr>
              <w:spacing w:line="360" w:lineRule="auto"/>
              <w:ind w:left="223" w:hanging="222" w:hangingChars="106"/>
              <w:jc w:val="center"/>
              <w:rPr>
                <w:rFonts w:ascii="宋体" w:hAnsi="宋体"/>
                <w:color w:val="000000"/>
              </w:rPr>
            </w:pPr>
          </w:p>
        </w:tc>
        <w:tc>
          <w:tcPr>
            <w:tcW w:w="454" w:type="pct"/>
            <w:noWrap w:val="0"/>
            <w:vAlign w:val="center"/>
          </w:tcPr>
          <w:p w14:paraId="7D13D200">
            <w:pPr>
              <w:spacing w:line="360" w:lineRule="auto"/>
              <w:ind w:left="223" w:hanging="222" w:hangingChars="106"/>
              <w:jc w:val="center"/>
              <w:rPr>
                <w:rFonts w:ascii="宋体" w:hAnsi="宋体"/>
                <w:color w:val="000000"/>
              </w:rPr>
            </w:pPr>
          </w:p>
        </w:tc>
        <w:tc>
          <w:tcPr>
            <w:tcW w:w="682" w:type="pct"/>
            <w:noWrap w:val="0"/>
            <w:vAlign w:val="center"/>
          </w:tcPr>
          <w:p w14:paraId="0E949CE0">
            <w:pPr>
              <w:spacing w:line="360" w:lineRule="auto"/>
              <w:ind w:left="223" w:hanging="222" w:hangingChars="106"/>
              <w:jc w:val="center"/>
              <w:rPr>
                <w:rFonts w:ascii="宋体" w:hAnsi="宋体"/>
                <w:color w:val="000000"/>
              </w:rPr>
            </w:pPr>
          </w:p>
        </w:tc>
      </w:tr>
      <w:tr w14:paraId="75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73E1FA93">
            <w:pPr>
              <w:spacing w:line="360" w:lineRule="auto"/>
              <w:ind w:left="223" w:hanging="222" w:hangingChars="106"/>
              <w:jc w:val="center"/>
              <w:rPr>
                <w:rFonts w:ascii="宋体" w:hAnsi="宋体"/>
                <w:color w:val="000000"/>
                <w:szCs w:val="21"/>
              </w:rPr>
            </w:pPr>
          </w:p>
        </w:tc>
        <w:tc>
          <w:tcPr>
            <w:tcW w:w="442" w:type="pct"/>
            <w:noWrap w:val="0"/>
            <w:vAlign w:val="center"/>
          </w:tcPr>
          <w:p w14:paraId="52A4FC65">
            <w:pPr>
              <w:spacing w:line="360" w:lineRule="auto"/>
              <w:ind w:left="223" w:hanging="222" w:hangingChars="106"/>
              <w:jc w:val="center"/>
              <w:rPr>
                <w:rFonts w:ascii="宋体" w:hAnsi="宋体"/>
                <w:color w:val="000000"/>
              </w:rPr>
            </w:pPr>
          </w:p>
        </w:tc>
        <w:tc>
          <w:tcPr>
            <w:tcW w:w="436" w:type="pct"/>
            <w:noWrap w:val="0"/>
            <w:vAlign w:val="center"/>
          </w:tcPr>
          <w:p w14:paraId="047B1F5A">
            <w:pPr>
              <w:spacing w:line="360" w:lineRule="auto"/>
              <w:ind w:left="223" w:hanging="222" w:hangingChars="106"/>
              <w:jc w:val="center"/>
              <w:rPr>
                <w:rFonts w:ascii="宋体" w:hAnsi="宋体"/>
                <w:color w:val="000000"/>
              </w:rPr>
            </w:pPr>
          </w:p>
        </w:tc>
        <w:tc>
          <w:tcPr>
            <w:tcW w:w="613" w:type="pct"/>
            <w:noWrap w:val="0"/>
            <w:vAlign w:val="center"/>
          </w:tcPr>
          <w:p w14:paraId="451B6C03">
            <w:pPr>
              <w:spacing w:line="360" w:lineRule="auto"/>
              <w:ind w:left="223" w:hanging="222" w:hangingChars="106"/>
              <w:jc w:val="center"/>
              <w:rPr>
                <w:rFonts w:ascii="宋体" w:hAnsi="宋体"/>
                <w:color w:val="000000"/>
              </w:rPr>
            </w:pPr>
          </w:p>
        </w:tc>
        <w:tc>
          <w:tcPr>
            <w:tcW w:w="613" w:type="pct"/>
            <w:noWrap w:val="0"/>
            <w:vAlign w:val="center"/>
          </w:tcPr>
          <w:p w14:paraId="0A68D039">
            <w:pPr>
              <w:spacing w:line="360" w:lineRule="auto"/>
              <w:ind w:left="223" w:hanging="222" w:hangingChars="106"/>
              <w:jc w:val="center"/>
              <w:rPr>
                <w:rFonts w:ascii="宋体" w:hAnsi="宋体"/>
                <w:color w:val="000000"/>
              </w:rPr>
            </w:pPr>
          </w:p>
        </w:tc>
        <w:tc>
          <w:tcPr>
            <w:tcW w:w="613" w:type="pct"/>
            <w:noWrap w:val="0"/>
            <w:vAlign w:val="center"/>
          </w:tcPr>
          <w:p w14:paraId="02FEE238">
            <w:pPr>
              <w:spacing w:line="360" w:lineRule="auto"/>
              <w:ind w:left="223" w:hanging="222" w:hangingChars="106"/>
              <w:jc w:val="center"/>
              <w:rPr>
                <w:rFonts w:ascii="宋体" w:hAnsi="宋体"/>
                <w:color w:val="000000"/>
              </w:rPr>
            </w:pPr>
          </w:p>
        </w:tc>
        <w:tc>
          <w:tcPr>
            <w:tcW w:w="613" w:type="pct"/>
            <w:noWrap w:val="0"/>
            <w:vAlign w:val="center"/>
          </w:tcPr>
          <w:p w14:paraId="23BD30EA">
            <w:pPr>
              <w:spacing w:line="360" w:lineRule="auto"/>
              <w:ind w:left="223" w:hanging="222" w:hangingChars="106"/>
              <w:jc w:val="center"/>
              <w:rPr>
                <w:rFonts w:ascii="宋体" w:hAnsi="宋体"/>
                <w:color w:val="000000"/>
              </w:rPr>
            </w:pPr>
          </w:p>
        </w:tc>
        <w:tc>
          <w:tcPr>
            <w:tcW w:w="454" w:type="pct"/>
            <w:noWrap w:val="0"/>
            <w:vAlign w:val="center"/>
          </w:tcPr>
          <w:p w14:paraId="5924D5C8">
            <w:pPr>
              <w:spacing w:line="360" w:lineRule="auto"/>
              <w:ind w:left="223" w:hanging="222" w:hangingChars="106"/>
              <w:jc w:val="center"/>
              <w:rPr>
                <w:rFonts w:ascii="宋体" w:hAnsi="宋体"/>
                <w:color w:val="000000"/>
              </w:rPr>
            </w:pPr>
          </w:p>
        </w:tc>
        <w:tc>
          <w:tcPr>
            <w:tcW w:w="682" w:type="pct"/>
            <w:noWrap w:val="0"/>
            <w:vAlign w:val="center"/>
          </w:tcPr>
          <w:p w14:paraId="33D30A76">
            <w:pPr>
              <w:spacing w:line="360" w:lineRule="auto"/>
              <w:ind w:left="223" w:hanging="222" w:hangingChars="106"/>
              <w:jc w:val="center"/>
              <w:rPr>
                <w:rFonts w:ascii="宋体" w:hAnsi="宋体"/>
                <w:color w:val="000000"/>
              </w:rPr>
            </w:pPr>
          </w:p>
        </w:tc>
      </w:tr>
      <w:tr w14:paraId="098A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vMerge w:val="continue"/>
            <w:noWrap w:val="0"/>
            <w:vAlign w:val="center"/>
          </w:tcPr>
          <w:p w14:paraId="5BD42F08">
            <w:pPr>
              <w:spacing w:line="360" w:lineRule="auto"/>
              <w:ind w:left="223" w:hanging="222" w:hangingChars="106"/>
              <w:jc w:val="center"/>
              <w:rPr>
                <w:rFonts w:ascii="宋体" w:hAnsi="宋体"/>
                <w:color w:val="000000"/>
                <w:szCs w:val="21"/>
              </w:rPr>
            </w:pPr>
          </w:p>
        </w:tc>
        <w:tc>
          <w:tcPr>
            <w:tcW w:w="442" w:type="pct"/>
            <w:noWrap w:val="0"/>
            <w:vAlign w:val="center"/>
          </w:tcPr>
          <w:p w14:paraId="4BC01100">
            <w:pPr>
              <w:spacing w:line="360" w:lineRule="auto"/>
              <w:ind w:left="223" w:hanging="222" w:hangingChars="106"/>
              <w:jc w:val="center"/>
              <w:rPr>
                <w:rFonts w:ascii="宋体" w:hAnsi="宋体"/>
                <w:color w:val="000000"/>
              </w:rPr>
            </w:pPr>
          </w:p>
        </w:tc>
        <w:tc>
          <w:tcPr>
            <w:tcW w:w="436" w:type="pct"/>
            <w:noWrap w:val="0"/>
            <w:vAlign w:val="center"/>
          </w:tcPr>
          <w:p w14:paraId="6CA353A4">
            <w:pPr>
              <w:spacing w:line="360" w:lineRule="auto"/>
              <w:ind w:left="223" w:hanging="222" w:hangingChars="106"/>
              <w:jc w:val="center"/>
              <w:rPr>
                <w:rFonts w:ascii="宋体" w:hAnsi="宋体"/>
                <w:color w:val="000000"/>
              </w:rPr>
            </w:pPr>
          </w:p>
        </w:tc>
        <w:tc>
          <w:tcPr>
            <w:tcW w:w="613" w:type="pct"/>
            <w:noWrap w:val="0"/>
            <w:vAlign w:val="center"/>
          </w:tcPr>
          <w:p w14:paraId="7F0EF7EA">
            <w:pPr>
              <w:spacing w:line="360" w:lineRule="auto"/>
              <w:ind w:left="223" w:hanging="222" w:hangingChars="106"/>
              <w:jc w:val="center"/>
              <w:rPr>
                <w:rFonts w:ascii="宋体" w:hAnsi="宋体"/>
                <w:color w:val="000000"/>
              </w:rPr>
            </w:pPr>
          </w:p>
        </w:tc>
        <w:tc>
          <w:tcPr>
            <w:tcW w:w="613" w:type="pct"/>
            <w:noWrap w:val="0"/>
            <w:vAlign w:val="center"/>
          </w:tcPr>
          <w:p w14:paraId="5562FD3E">
            <w:pPr>
              <w:spacing w:line="360" w:lineRule="auto"/>
              <w:ind w:left="223" w:hanging="222" w:hangingChars="106"/>
              <w:jc w:val="center"/>
              <w:rPr>
                <w:rFonts w:ascii="宋体" w:hAnsi="宋体"/>
                <w:color w:val="000000"/>
              </w:rPr>
            </w:pPr>
          </w:p>
        </w:tc>
        <w:tc>
          <w:tcPr>
            <w:tcW w:w="613" w:type="pct"/>
            <w:noWrap w:val="0"/>
            <w:vAlign w:val="center"/>
          </w:tcPr>
          <w:p w14:paraId="7215EEFF">
            <w:pPr>
              <w:spacing w:line="360" w:lineRule="auto"/>
              <w:ind w:left="223" w:hanging="222" w:hangingChars="106"/>
              <w:jc w:val="center"/>
              <w:rPr>
                <w:rFonts w:ascii="宋体" w:hAnsi="宋体"/>
                <w:color w:val="000000"/>
              </w:rPr>
            </w:pPr>
          </w:p>
        </w:tc>
        <w:tc>
          <w:tcPr>
            <w:tcW w:w="613" w:type="pct"/>
            <w:noWrap w:val="0"/>
            <w:vAlign w:val="center"/>
          </w:tcPr>
          <w:p w14:paraId="041F5B48">
            <w:pPr>
              <w:spacing w:line="360" w:lineRule="auto"/>
              <w:ind w:left="223" w:hanging="222" w:hangingChars="106"/>
              <w:jc w:val="center"/>
              <w:rPr>
                <w:rFonts w:ascii="宋体" w:hAnsi="宋体"/>
                <w:color w:val="000000"/>
              </w:rPr>
            </w:pPr>
          </w:p>
        </w:tc>
        <w:tc>
          <w:tcPr>
            <w:tcW w:w="454" w:type="pct"/>
            <w:noWrap w:val="0"/>
            <w:vAlign w:val="center"/>
          </w:tcPr>
          <w:p w14:paraId="0E42F325">
            <w:pPr>
              <w:spacing w:line="360" w:lineRule="auto"/>
              <w:ind w:left="223" w:hanging="222" w:hangingChars="106"/>
              <w:jc w:val="center"/>
              <w:rPr>
                <w:rFonts w:ascii="宋体" w:hAnsi="宋体"/>
                <w:color w:val="000000"/>
              </w:rPr>
            </w:pPr>
          </w:p>
        </w:tc>
        <w:tc>
          <w:tcPr>
            <w:tcW w:w="682" w:type="pct"/>
            <w:noWrap w:val="0"/>
            <w:vAlign w:val="center"/>
          </w:tcPr>
          <w:p w14:paraId="2193BA0C">
            <w:pPr>
              <w:spacing w:line="360" w:lineRule="auto"/>
              <w:ind w:left="223" w:hanging="222" w:hangingChars="106"/>
              <w:jc w:val="center"/>
              <w:rPr>
                <w:rFonts w:ascii="宋体" w:hAnsi="宋体"/>
                <w:color w:val="000000"/>
              </w:rPr>
            </w:pPr>
          </w:p>
        </w:tc>
      </w:tr>
      <w:tr w14:paraId="2F59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2CBD75BF">
            <w:pPr>
              <w:spacing w:line="360" w:lineRule="auto"/>
              <w:ind w:left="223" w:hanging="222" w:hangingChars="106"/>
              <w:jc w:val="center"/>
              <w:rPr>
                <w:rFonts w:ascii="宋体" w:hAnsi="宋体"/>
                <w:color w:val="000000"/>
                <w:szCs w:val="21"/>
              </w:rPr>
            </w:pPr>
            <w:r>
              <w:rPr>
                <w:rFonts w:ascii="宋体" w:hAnsi="宋体"/>
                <w:color w:val="000000"/>
                <w:szCs w:val="21"/>
              </w:rPr>
              <w:t>材料员</w:t>
            </w:r>
          </w:p>
        </w:tc>
        <w:tc>
          <w:tcPr>
            <w:tcW w:w="442" w:type="pct"/>
            <w:noWrap w:val="0"/>
            <w:vAlign w:val="center"/>
          </w:tcPr>
          <w:p w14:paraId="4C21B2CA">
            <w:pPr>
              <w:spacing w:line="360" w:lineRule="auto"/>
              <w:ind w:left="223" w:hanging="222" w:hangingChars="106"/>
              <w:jc w:val="center"/>
              <w:rPr>
                <w:rFonts w:ascii="宋体" w:hAnsi="宋体"/>
                <w:color w:val="000000"/>
              </w:rPr>
            </w:pPr>
          </w:p>
        </w:tc>
        <w:tc>
          <w:tcPr>
            <w:tcW w:w="436" w:type="pct"/>
            <w:noWrap w:val="0"/>
            <w:vAlign w:val="center"/>
          </w:tcPr>
          <w:p w14:paraId="0F73B1F9">
            <w:pPr>
              <w:spacing w:line="360" w:lineRule="auto"/>
              <w:ind w:left="223" w:hanging="222" w:hangingChars="106"/>
              <w:jc w:val="center"/>
              <w:rPr>
                <w:rFonts w:ascii="宋体" w:hAnsi="宋体"/>
                <w:color w:val="000000"/>
              </w:rPr>
            </w:pPr>
          </w:p>
        </w:tc>
        <w:tc>
          <w:tcPr>
            <w:tcW w:w="613" w:type="pct"/>
            <w:noWrap w:val="0"/>
            <w:vAlign w:val="center"/>
          </w:tcPr>
          <w:p w14:paraId="014949EF">
            <w:pPr>
              <w:spacing w:line="360" w:lineRule="auto"/>
              <w:ind w:left="223" w:hanging="222" w:hangingChars="106"/>
              <w:jc w:val="center"/>
              <w:rPr>
                <w:rFonts w:ascii="宋体" w:hAnsi="宋体"/>
                <w:color w:val="000000"/>
              </w:rPr>
            </w:pPr>
          </w:p>
        </w:tc>
        <w:tc>
          <w:tcPr>
            <w:tcW w:w="613" w:type="pct"/>
            <w:noWrap w:val="0"/>
            <w:vAlign w:val="center"/>
          </w:tcPr>
          <w:p w14:paraId="72C1E5B7">
            <w:pPr>
              <w:spacing w:line="360" w:lineRule="auto"/>
              <w:ind w:left="223" w:hanging="222" w:hangingChars="106"/>
              <w:jc w:val="center"/>
              <w:rPr>
                <w:rFonts w:ascii="宋体" w:hAnsi="宋体"/>
                <w:color w:val="000000"/>
              </w:rPr>
            </w:pPr>
          </w:p>
        </w:tc>
        <w:tc>
          <w:tcPr>
            <w:tcW w:w="613" w:type="pct"/>
            <w:noWrap w:val="0"/>
            <w:vAlign w:val="center"/>
          </w:tcPr>
          <w:p w14:paraId="447D92BC">
            <w:pPr>
              <w:spacing w:line="360" w:lineRule="auto"/>
              <w:ind w:left="223" w:hanging="222" w:hangingChars="106"/>
              <w:jc w:val="center"/>
              <w:rPr>
                <w:rFonts w:ascii="宋体" w:hAnsi="宋体"/>
                <w:color w:val="000000"/>
              </w:rPr>
            </w:pPr>
          </w:p>
        </w:tc>
        <w:tc>
          <w:tcPr>
            <w:tcW w:w="613" w:type="pct"/>
            <w:noWrap w:val="0"/>
            <w:vAlign w:val="center"/>
          </w:tcPr>
          <w:p w14:paraId="5BC8DBA6">
            <w:pPr>
              <w:spacing w:line="360" w:lineRule="auto"/>
              <w:ind w:left="223" w:hanging="222" w:hangingChars="106"/>
              <w:jc w:val="center"/>
              <w:rPr>
                <w:rFonts w:ascii="宋体" w:hAnsi="宋体"/>
                <w:color w:val="000000"/>
              </w:rPr>
            </w:pPr>
          </w:p>
        </w:tc>
        <w:tc>
          <w:tcPr>
            <w:tcW w:w="454" w:type="pct"/>
            <w:noWrap w:val="0"/>
            <w:vAlign w:val="center"/>
          </w:tcPr>
          <w:p w14:paraId="25F85C17">
            <w:pPr>
              <w:spacing w:line="360" w:lineRule="auto"/>
              <w:ind w:left="223" w:hanging="222" w:hangingChars="106"/>
              <w:jc w:val="center"/>
              <w:rPr>
                <w:rFonts w:ascii="宋体" w:hAnsi="宋体"/>
                <w:color w:val="000000"/>
              </w:rPr>
            </w:pPr>
          </w:p>
        </w:tc>
        <w:tc>
          <w:tcPr>
            <w:tcW w:w="682" w:type="pct"/>
            <w:noWrap w:val="0"/>
            <w:vAlign w:val="center"/>
          </w:tcPr>
          <w:p w14:paraId="27F6C878">
            <w:pPr>
              <w:spacing w:line="360" w:lineRule="auto"/>
              <w:ind w:left="223" w:hanging="222" w:hangingChars="106"/>
              <w:jc w:val="center"/>
              <w:rPr>
                <w:rFonts w:ascii="宋体" w:hAnsi="宋体"/>
                <w:color w:val="000000"/>
              </w:rPr>
            </w:pPr>
          </w:p>
        </w:tc>
      </w:tr>
      <w:tr w14:paraId="35A4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604FA870">
            <w:pPr>
              <w:spacing w:line="360" w:lineRule="auto"/>
              <w:ind w:left="223" w:hanging="222" w:hangingChars="106"/>
              <w:jc w:val="center"/>
              <w:rPr>
                <w:rFonts w:hint="eastAsia" w:ascii="宋体" w:hAnsi="宋体"/>
                <w:color w:val="000000"/>
                <w:szCs w:val="21"/>
              </w:rPr>
            </w:pPr>
            <w:r>
              <w:rPr>
                <w:rFonts w:hint="eastAsia" w:ascii="宋体" w:hAnsi="宋体"/>
                <w:color w:val="000000"/>
                <w:szCs w:val="21"/>
              </w:rPr>
              <w:t>预算员</w:t>
            </w:r>
          </w:p>
        </w:tc>
        <w:tc>
          <w:tcPr>
            <w:tcW w:w="442" w:type="pct"/>
            <w:noWrap w:val="0"/>
            <w:vAlign w:val="center"/>
          </w:tcPr>
          <w:p w14:paraId="05FFC930">
            <w:pPr>
              <w:spacing w:line="360" w:lineRule="auto"/>
              <w:ind w:left="223" w:hanging="222" w:hangingChars="106"/>
              <w:jc w:val="center"/>
              <w:rPr>
                <w:rFonts w:ascii="宋体" w:hAnsi="宋体"/>
                <w:color w:val="000000"/>
              </w:rPr>
            </w:pPr>
          </w:p>
        </w:tc>
        <w:tc>
          <w:tcPr>
            <w:tcW w:w="436" w:type="pct"/>
            <w:noWrap w:val="0"/>
            <w:vAlign w:val="center"/>
          </w:tcPr>
          <w:p w14:paraId="2B1D3323">
            <w:pPr>
              <w:spacing w:line="360" w:lineRule="auto"/>
              <w:ind w:left="223" w:hanging="222" w:hangingChars="106"/>
              <w:jc w:val="center"/>
              <w:rPr>
                <w:rFonts w:ascii="宋体" w:hAnsi="宋体"/>
                <w:color w:val="000000"/>
              </w:rPr>
            </w:pPr>
          </w:p>
        </w:tc>
        <w:tc>
          <w:tcPr>
            <w:tcW w:w="613" w:type="pct"/>
            <w:noWrap w:val="0"/>
            <w:vAlign w:val="center"/>
          </w:tcPr>
          <w:p w14:paraId="1911912E">
            <w:pPr>
              <w:spacing w:line="360" w:lineRule="auto"/>
              <w:ind w:left="223" w:hanging="222" w:hangingChars="106"/>
              <w:jc w:val="center"/>
              <w:rPr>
                <w:rFonts w:ascii="宋体" w:hAnsi="宋体"/>
                <w:color w:val="000000"/>
              </w:rPr>
            </w:pPr>
          </w:p>
        </w:tc>
        <w:tc>
          <w:tcPr>
            <w:tcW w:w="613" w:type="pct"/>
            <w:noWrap w:val="0"/>
            <w:vAlign w:val="center"/>
          </w:tcPr>
          <w:p w14:paraId="20FF3FE3">
            <w:pPr>
              <w:spacing w:line="360" w:lineRule="auto"/>
              <w:ind w:left="223" w:hanging="222" w:hangingChars="106"/>
              <w:jc w:val="center"/>
              <w:rPr>
                <w:rFonts w:ascii="宋体" w:hAnsi="宋体"/>
                <w:color w:val="000000"/>
              </w:rPr>
            </w:pPr>
          </w:p>
        </w:tc>
        <w:tc>
          <w:tcPr>
            <w:tcW w:w="613" w:type="pct"/>
            <w:noWrap w:val="0"/>
            <w:vAlign w:val="center"/>
          </w:tcPr>
          <w:p w14:paraId="3148A3FA">
            <w:pPr>
              <w:spacing w:line="360" w:lineRule="auto"/>
              <w:ind w:left="223" w:hanging="222" w:hangingChars="106"/>
              <w:jc w:val="center"/>
              <w:rPr>
                <w:rFonts w:ascii="宋体" w:hAnsi="宋体"/>
                <w:color w:val="000000"/>
              </w:rPr>
            </w:pPr>
          </w:p>
        </w:tc>
        <w:tc>
          <w:tcPr>
            <w:tcW w:w="613" w:type="pct"/>
            <w:noWrap w:val="0"/>
            <w:vAlign w:val="center"/>
          </w:tcPr>
          <w:p w14:paraId="41F2E947">
            <w:pPr>
              <w:spacing w:line="360" w:lineRule="auto"/>
              <w:ind w:left="223" w:hanging="222" w:hangingChars="106"/>
              <w:jc w:val="center"/>
              <w:rPr>
                <w:rFonts w:ascii="宋体" w:hAnsi="宋体"/>
                <w:color w:val="000000"/>
              </w:rPr>
            </w:pPr>
          </w:p>
        </w:tc>
        <w:tc>
          <w:tcPr>
            <w:tcW w:w="454" w:type="pct"/>
            <w:noWrap w:val="0"/>
            <w:vAlign w:val="center"/>
          </w:tcPr>
          <w:p w14:paraId="0AC4783E">
            <w:pPr>
              <w:spacing w:line="360" w:lineRule="auto"/>
              <w:ind w:left="223" w:hanging="222" w:hangingChars="106"/>
              <w:jc w:val="center"/>
              <w:rPr>
                <w:rFonts w:ascii="宋体" w:hAnsi="宋体"/>
                <w:color w:val="000000"/>
              </w:rPr>
            </w:pPr>
          </w:p>
        </w:tc>
        <w:tc>
          <w:tcPr>
            <w:tcW w:w="682" w:type="pct"/>
            <w:noWrap w:val="0"/>
            <w:vAlign w:val="center"/>
          </w:tcPr>
          <w:p w14:paraId="6891EC6B">
            <w:pPr>
              <w:spacing w:line="360" w:lineRule="auto"/>
              <w:ind w:left="223" w:hanging="222" w:hangingChars="106"/>
              <w:jc w:val="center"/>
              <w:rPr>
                <w:rFonts w:ascii="宋体" w:hAnsi="宋体"/>
                <w:color w:val="000000"/>
              </w:rPr>
            </w:pPr>
          </w:p>
        </w:tc>
      </w:tr>
      <w:tr w14:paraId="1350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0" w:type="pct"/>
            <w:noWrap w:val="0"/>
            <w:vAlign w:val="center"/>
          </w:tcPr>
          <w:p w14:paraId="0E883238">
            <w:pPr>
              <w:spacing w:line="360" w:lineRule="auto"/>
              <w:ind w:left="223" w:hanging="222" w:hangingChars="106"/>
              <w:jc w:val="center"/>
              <w:rPr>
                <w:rFonts w:ascii="宋体" w:hAnsi="宋体"/>
                <w:color w:val="000000"/>
              </w:rPr>
            </w:pPr>
            <w:r>
              <w:rPr>
                <w:rFonts w:ascii="宋体" w:hAnsi="宋体"/>
                <w:color w:val="000000"/>
              </w:rPr>
              <w:t>……</w:t>
            </w:r>
          </w:p>
        </w:tc>
        <w:tc>
          <w:tcPr>
            <w:tcW w:w="442" w:type="pct"/>
            <w:noWrap w:val="0"/>
            <w:vAlign w:val="center"/>
          </w:tcPr>
          <w:p w14:paraId="0238E3E1">
            <w:pPr>
              <w:spacing w:line="360" w:lineRule="auto"/>
              <w:ind w:left="223" w:hanging="222" w:hangingChars="106"/>
              <w:jc w:val="center"/>
              <w:rPr>
                <w:rFonts w:ascii="宋体" w:hAnsi="宋体"/>
                <w:color w:val="000000"/>
              </w:rPr>
            </w:pPr>
          </w:p>
        </w:tc>
        <w:tc>
          <w:tcPr>
            <w:tcW w:w="436" w:type="pct"/>
            <w:noWrap w:val="0"/>
            <w:vAlign w:val="center"/>
          </w:tcPr>
          <w:p w14:paraId="45550CF5">
            <w:pPr>
              <w:spacing w:line="360" w:lineRule="auto"/>
              <w:ind w:left="223" w:hanging="222" w:hangingChars="106"/>
              <w:jc w:val="center"/>
              <w:rPr>
                <w:rFonts w:ascii="宋体" w:hAnsi="宋体"/>
                <w:color w:val="000000"/>
              </w:rPr>
            </w:pPr>
          </w:p>
        </w:tc>
        <w:tc>
          <w:tcPr>
            <w:tcW w:w="613" w:type="pct"/>
            <w:noWrap w:val="0"/>
            <w:vAlign w:val="center"/>
          </w:tcPr>
          <w:p w14:paraId="4B041359">
            <w:pPr>
              <w:spacing w:line="360" w:lineRule="auto"/>
              <w:ind w:left="223" w:hanging="222" w:hangingChars="106"/>
              <w:jc w:val="center"/>
              <w:rPr>
                <w:rFonts w:ascii="宋体" w:hAnsi="宋体"/>
                <w:color w:val="000000"/>
              </w:rPr>
            </w:pPr>
          </w:p>
        </w:tc>
        <w:tc>
          <w:tcPr>
            <w:tcW w:w="613" w:type="pct"/>
            <w:noWrap w:val="0"/>
            <w:vAlign w:val="center"/>
          </w:tcPr>
          <w:p w14:paraId="50C7A382">
            <w:pPr>
              <w:spacing w:line="360" w:lineRule="auto"/>
              <w:ind w:left="223" w:hanging="222" w:hangingChars="106"/>
              <w:jc w:val="center"/>
              <w:rPr>
                <w:rFonts w:ascii="宋体" w:hAnsi="宋体"/>
                <w:color w:val="000000"/>
              </w:rPr>
            </w:pPr>
          </w:p>
        </w:tc>
        <w:tc>
          <w:tcPr>
            <w:tcW w:w="613" w:type="pct"/>
            <w:noWrap w:val="0"/>
            <w:vAlign w:val="center"/>
          </w:tcPr>
          <w:p w14:paraId="3E0DCDDF">
            <w:pPr>
              <w:spacing w:line="360" w:lineRule="auto"/>
              <w:ind w:left="223" w:hanging="222" w:hangingChars="106"/>
              <w:jc w:val="center"/>
              <w:rPr>
                <w:rFonts w:ascii="宋体" w:hAnsi="宋体"/>
                <w:color w:val="000000"/>
              </w:rPr>
            </w:pPr>
          </w:p>
        </w:tc>
        <w:tc>
          <w:tcPr>
            <w:tcW w:w="613" w:type="pct"/>
            <w:noWrap w:val="0"/>
            <w:vAlign w:val="center"/>
          </w:tcPr>
          <w:p w14:paraId="03AFC2B2">
            <w:pPr>
              <w:spacing w:line="360" w:lineRule="auto"/>
              <w:ind w:left="223" w:hanging="222" w:hangingChars="106"/>
              <w:jc w:val="center"/>
              <w:rPr>
                <w:rFonts w:ascii="宋体" w:hAnsi="宋体"/>
                <w:color w:val="000000"/>
              </w:rPr>
            </w:pPr>
          </w:p>
        </w:tc>
        <w:tc>
          <w:tcPr>
            <w:tcW w:w="454" w:type="pct"/>
            <w:noWrap w:val="0"/>
            <w:vAlign w:val="center"/>
          </w:tcPr>
          <w:p w14:paraId="5A9914C3">
            <w:pPr>
              <w:spacing w:line="360" w:lineRule="auto"/>
              <w:ind w:left="223" w:hanging="222" w:hangingChars="106"/>
              <w:jc w:val="center"/>
              <w:rPr>
                <w:rFonts w:ascii="宋体" w:hAnsi="宋体"/>
                <w:color w:val="000000"/>
              </w:rPr>
            </w:pPr>
          </w:p>
        </w:tc>
        <w:tc>
          <w:tcPr>
            <w:tcW w:w="682" w:type="pct"/>
            <w:noWrap w:val="0"/>
            <w:vAlign w:val="center"/>
          </w:tcPr>
          <w:p w14:paraId="426DB576">
            <w:pPr>
              <w:spacing w:line="360" w:lineRule="auto"/>
              <w:ind w:left="223" w:hanging="222" w:hangingChars="106"/>
              <w:jc w:val="center"/>
              <w:rPr>
                <w:rFonts w:ascii="宋体" w:hAnsi="宋体"/>
                <w:color w:val="000000"/>
              </w:rPr>
            </w:pPr>
          </w:p>
        </w:tc>
      </w:tr>
      <w:tr w14:paraId="37CB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000" w:type="pct"/>
            <w:gridSpan w:val="9"/>
            <w:noWrap w:val="0"/>
            <w:vAlign w:val="center"/>
          </w:tcPr>
          <w:p w14:paraId="3AF2AEB9">
            <w:pPr>
              <w:spacing w:line="360" w:lineRule="auto"/>
              <w:rPr>
                <w:rFonts w:ascii="宋体" w:hAnsi="宋体"/>
                <w:color w:val="000000"/>
                <w:szCs w:val="21"/>
              </w:rPr>
            </w:pPr>
            <w:bookmarkStart w:id="74" w:name="_Toc251052199"/>
            <w:r>
              <w:rPr>
                <w:rFonts w:ascii="宋体" w:hAnsi="宋体"/>
                <w:color w:val="000000"/>
                <w:szCs w:val="21"/>
              </w:rPr>
              <w:t>一旦我单位成交，将实行项目经理负责制，我方保证并配备上述项目管理机构。上述填报内容真实，若不真实，愿按有关规定接受处理。项目管理班子机构设置、职责分工等情况另附资料说明。</w:t>
            </w:r>
            <w:bookmarkEnd w:id="74"/>
          </w:p>
        </w:tc>
      </w:tr>
    </w:tbl>
    <w:p w14:paraId="6A2F1075">
      <w:pPr>
        <w:tabs>
          <w:tab w:val="left" w:pos="0"/>
        </w:tabs>
        <w:spacing w:line="360" w:lineRule="auto"/>
        <w:ind w:right="-210"/>
        <w:rPr>
          <w:rFonts w:ascii="宋体" w:hAnsi="宋体"/>
          <w:color w:val="000000"/>
        </w:rPr>
      </w:pPr>
    </w:p>
    <w:p w14:paraId="14B8B51C">
      <w:pPr>
        <w:pStyle w:val="11"/>
        <w:rPr>
          <w:color w:val="000000"/>
        </w:rPr>
      </w:pPr>
      <w:r>
        <w:rPr>
          <w:color w:val="000000"/>
        </w:rPr>
        <w:t>【备注：附以上各岗位人员资格证件等相关证明材料复印件，以及供应商认为需要增加的其他证明材料复印件，以上复印件均须加盖供应商单位公章。】</w:t>
      </w:r>
    </w:p>
    <w:p w14:paraId="3D780757">
      <w:pPr>
        <w:spacing w:line="360" w:lineRule="auto"/>
        <w:rPr>
          <w:rFonts w:ascii="宋体" w:hAnsi="宋体" w:eastAsia="楷体_GB2312"/>
          <w:color w:val="000000"/>
        </w:rPr>
      </w:pPr>
    </w:p>
    <w:p w14:paraId="62A7889B">
      <w:pPr>
        <w:tabs>
          <w:tab w:val="left" w:pos="0"/>
        </w:tabs>
        <w:spacing w:line="360" w:lineRule="auto"/>
        <w:ind w:right="-210"/>
        <w:rPr>
          <w:rFonts w:ascii="宋体" w:hAnsi="宋体"/>
          <w:color w:val="000000"/>
        </w:rPr>
      </w:pPr>
    </w:p>
    <w:p w14:paraId="78DEBCCF">
      <w:pPr>
        <w:tabs>
          <w:tab w:val="left" w:pos="0"/>
        </w:tabs>
        <w:spacing w:line="360" w:lineRule="auto"/>
        <w:ind w:right="-210"/>
        <w:rPr>
          <w:rFonts w:ascii="宋体" w:hAnsi="宋体"/>
          <w:color w:val="000000"/>
        </w:rPr>
      </w:pPr>
    </w:p>
    <w:p w14:paraId="77B7D40B">
      <w:pPr>
        <w:tabs>
          <w:tab w:val="left" w:pos="0"/>
        </w:tabs>
        <w:spacing w:line="360" w:lineRule="auto"/>
        <w:ind w:right="-210"/>
        <w:rPr>
          <w:rFonts w:ascii="宋体" w:hAnsi="宋体"/>
          <w:color w:val="000000"/>
        </w:rPr>
        <w:sectPr>
          <w:pgSz w:w="11907" w:h="16840"/>
          <w:pgMar w:top="1440" w:right="1440" w:bottom="1440" w:left="1797" w:header="851" w:footer="851" w:gutter="0"/>
          <w:cols w:space="720" w:num="1"/>
          <w:docGrid w:linePitch="312" w:charSpace="0"/>
        </w:sectPr>
      </w:pPr>
    </w:p>
    <w:p w14:paraId="7A38CB53">
      <w:pPr>
        <w:pStyle w:val="3"/>
        <w:numPr>
          <w:ilvl w:val="0"/>
          <w:numId w:val="64"/>
        </w:numPr>
        <w:topLinePunct w:val="0"/>
        <w:ind w:left="0" w:leftChars="0" w:firstLine="482" w:firstLineChars="0"/>
        <w:rPr>
          <w:b/>
          <w:u w:val="single"/>
        </w:rPr>
      </w:pPr>
      <w:bookmarkStart w:id="75" w:name="_Toc251052200"/>
      <w:bookmarkStart w:id="76" w:name="_Toc389065364"/>
      <w:bookmarkStart w:id="77" w:name="_Toc172364026"/>
      <w:bookmarkStart w:id="78" w:name="_Toc173579006"/>
      <w:bookmarkStart w:id="79" w:name="_Toc6848"/>
      <w:bookmarkStart w:id="80" w:name="_Toc6413137"/>
      <w:bookmarkStart w:id="81" w:name="_Toc153274948"/>
      <w:r>
        <w:t>项目经理（注册建造师）简历表</w:t>
      </w:r>
      <w:bookmarkEnd w:id="75"/>
      <w:bookmarkEnd w:id="76"/>
      <w:bookmarkEnd w:id="77"/>
      <w:bookmarkEnd w:id="78"/>
      <w:bookmarkEnd w:id="79"/>
      <w:bookmarkEnd w:id="80"/>
      <w:bookmarkEnd w:id="81"/>
    </w:p>
    <w:p w14:paraId="0598229A">
      <w:pPr>
        <w:pStyle w:val="33"/>
        <w:spacing w:line="360" w:lineRule="auto"/>
        <w:rPr>
          <w:rFonts w:ascii="宋体" w:hAnsi="宋体"/>
          <w:color w:val="000000"/>
          <w:u w:val="single"/>
        </w:rPr>
      </w:pP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62"/>
        <w:gridCol w:w="1539"/>
        <w:gridCol w:w="327"/>
        <w:gridCol w:w="1212"/>
        <w:gridCol w:w="671"/>
        <w:gridCol w:w="868"/>
        <w:gridCol w:w="708"/>
        <w:gridCol w:w="832"/>
        <w:gridCol w:w="270"/>
        <w:gridCol w:w="1273"/>
      </w:tblGrid>
      <w:tr w14:paraId="338D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3" w:type="pct"/>
            <w:noWrap w:val="0"/>
            <w:vAlign w:val="center"/>
          </w:tcPr>
          <w:p w14:paraId="7B886801">
            <w:pPr>
              <w:spacing w:line="360" w:lineRule="auto"/>
              <w:jc w:val="center"/>
              <w:rPr>
                <w:rFonts w:ascii="宋体" w:hAnsi="宋体"/>
                <w:color w:val="000000"/>
              </w:rPr>
            </w:pPr>
            <w:r>
              <w:rPr>
                <w:rFonts w:ascii="宋体" w:hAnsi="宋体"/>
                <w:color w:val="000000"/>
              </w:rPr>
              <w:t>姓名</w:t>
            </w:r>
          </w:p>
        </w:tc>
        <w:tc>
          <w:tcPr>
            <w:tcW w:w="1260" w:type="pct"/>
            <w:gridSpan w:val="3"/>
            <w:noWrap w:val="0"/>
            <w:vAlign w:val="center"/>
          </w:tcPr>
          <w:p w14:paraId="539DF73D">
            <w:pPr>
              <w:spacing w:line="360" w:lineRule="auto"/>
              <w:jc w:val="center"/>
              <w:rPr>
                <w:rFonts w:ascii="宋体" w:hAnsi="宋体"/>
                <w:color w:val="000000"/>
              </w:rPr>
            </w:pPr>
          </w:p>
        </w:tc>
        <w:tc>
          <w:tcPr>
            <w:tcW w:w="1019" w:type="pct"/>
            <w:gridSpan w:val="2"/>
            <w:noWrap w:val="0"/>
            <w:vAlign w:val="center"/>
          </w:tcPr>
          <w:p w14:paraId="4AC6E2C5">
            <w:pPr>
              <w:spacing w:line="360" w:lineRule="auto"/>
              <w:jc w:val="center"/>
              <w:rPr>
                <w:rFonts w:ascii="宋体" w:hAnsi="宋体"/>
                <w:color w:val="000000"/>
              </w:rPr>
            </w:pPr>
            <w:r>
              <w:rPr>
                <w:rFonts w:ascii="宋体" w:hAnsi="宋体"/>
                <w:color w:val="000000"/>
              </w:rPr>
              <w:t>性别</w:t>
            </w:r>
          </w:p>
        </w:tc>
        <w:tc>
          <w:tcPr>
            <w:tcW w:w="853" w:type="pct"/>
            <w:gridSpan w:val="2"/>
            <w:noWrap w:val="0"/>
            <w:vAlign w:val="center"/>
          </w:tcPr>
          <w:p w14:paraId="2D7C95C6">
            <w:pPr>
              <w:spacing w:line="360" w:lineRule="auto"/>
              <w:jc w:val="center"/>
              <w:rPr>
                <w:rFonts w:ascii="宋体" w:hAnsi="宋体"/>
                <w:color w:val="000000"/>
              </w:rPr>
            </w:pPr>
          </w:p>
        </w:tc>
        <w:tc>
          <w:tcPr>
            <w:tcW w:w="596" w:type="pct"/>
            <w:gridSpan w:val="2"/>
            <w:noWrap w:val="0"/>
            <w:vAlign w:val="center"/>
          </w:tcPr>
          <w:p w14:paraId="1C540BF5">
            <w:pPr>
              <w:spacing w:line="360" w:lineRule="auto"/>
              <w:jc w:val="center"/>
              <w:rPr>
                <w:rFonts w:ascii="宋体" w:hAnsi="宋体"/>
                <w:color w:val="000000"/>
              </w:rPr>
            </w:pPr>
            <w:r>
              <w:rPr>
                <w:rFonts w:ascii="宋体" w:hAnsi="宋体"/>
                <w:color w:val="000000"/>
              </w:rPr>
              <w:t>年龄</w:t>
            </w:r>
          </w:p>
        </w:tc>
        <w:tc>
          <w:tcPr>
            <w:tcW w:w="687" w:type="pct"/>
            <w:noWrap w:val="0"/>
            <w:vAlign w:val="center"/>
          </w:tcPr>
          <w:p w14:paraId="1B494299">
            <w:pPr>
              <w:spacing w:line="360" w:lineRule="auto"/>
              <w:jc w:val="center"/>
              <w:rPr>
                <w:rFonts w:ascii="宋体" w:hAnsi="宋体"/>
                <w:color w:val="000000"/>
              </w:rPr>
            </w:pPr>
          </w:p>
        </w:tc>
      </w:tr>
      <w:tr w14:paraId="7156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3" w:type="pct"/>
            <w:noWrap w:val="0"/>
            <w:vAlign w:val="center"/>
          </w:tcPr>
          <w:p w14:paraId="5A766015">
            <w:pPr>
              <w:spacing w:line="360" w:lineRule="auto"/>
              <w:jc w:val="center"/>
              <w:rPr>
                <w:rFonts w:ascii="宋体" w:hAnsi="宋体"/>
                <w:color w:val="000000"/>
              </w:rPr>
            </w:pPr>
            <w:r>
              <w:rPr>
                <w:rFonts w:ascii="宋体" w:hAnsi="宋体"/>
                <w:color w:val="000000"/>
              </w:rPr>
              <w:t>职务</w:t>
            </w:r>
          </w:p>
        </w:tc>
        <w:tc>
          <w:tcPr>
            <w:tcW w:w="1260" w:type="pct"/>
            <w:gridSpan w:val="3"/>
            <w:noWrap w:val="0"/>
            <w:vAlign w:val="center"/>
          </w:tcPr>
          <w:p w14:paraId="7E051E66">
            <w:pPr>
              <w:spacing w:line="360" w:lineRule="auto"/>
              <w:jc w:val="center"/>
              <w:rPr>
                <w:rFonts w:ascii="宋体" w:hAnsi="宋体"/>
                <w:color w:val="000000"/>
              </w:rPr>
            </w:pPr>
          </w:p>
        </w:tc>
        <w:tc>
          <w:tcPr>
            <w:tcW w:w="1019" w:type="pct"/>
            <w:gridSpan w:val="2"/>
            <w:noWrap w:val="0"/>
            <w:vAlign w:val="center"/>
          </w:tcPr>
          <w:p w14:paraId="461E6F6A">
            <w:pPr>
              <w:spacing w:line="360" w:lineRule="auto"/>
              <w:jc w:val="center"/>
              <w:rPr>
                <w:rFonts w:ascii="宋体" w:hAnsi="宋体"/>
                <w:color w:val="000000"/>
              </w:rPr>
            </w:pPr>
            <w:r>
              <w:rPr>
                <w:rFonts w:ascii="宋体" w:hAnsi="宋体"/>
                <w:color w:val="000000"/>
              </w:rPr>
              <w:t>职称</w:t>
            </w:r>
          </w:p>
        </w:tc>
        <w:tc>
          <w:tcPr>
            <w:tcW w:w="853" w:type="pct"/>
            <w:gridSpan w:val="2"/>
            <w:noWrap w:val="0"/>
            <w:vAlign w:val="center"/>
          </w:tcPr>
          <w:p w14:paraId="4F4F9FD2">
            <w:pPr>
              <w:spacing w:line="360" w:lineRule="auto"/>
              <w:jc w:val="center"/>
              <w:rPr>
                <w:rFonts w:ascii="宋体" w:hAnsi="宋体"/>
                <w:color w:val="000000"/>
              </w:rPr>
            </w:pPr>
          </w:p>
        </w:tc>
        <w:tc>
          <w:tcPr>
            <w:tcW w:w="596" w:type="pct"/>
            <w:gridSpan w:val="2"/>
            <w:noWrap w:val="0"/>
            <w:vAlign w:val="center"/>
          </w:tcPr>
          <w:p w14:paraId="31A9B4F0">
            <w:pPr>
              <w:spacing w:line="360" w:lineRule="auto"/>
              <w:jc w:val="center"/>
              <w:rPr>
                <w:rFonts w:ascii="宋体" w:hAnsi="宋体"/>
                <w:color w:val="000000"/>
              </w:rPr>
            </w:pPr>
            <w:r>
              <w:rPr>
                <w:rFonts w:ascii="宋体" w:hAnsi="宋体"/>
                <w:color w:val="000000"/>
              </w:rPr>
              <w:t>学历</w:t>
            </w:r>
          </w:p>
        </w:tc>
        <w:tc>
          <w:tcPr>
            <w:tcW w:w="687" w:type="pct"/>
            <w:noWrap w:val="0"/>
            <w:vAlign w:val="center"/>
          </w:tcPr>
          <w:p w14:paraId="275510E6">
            <w:pPr>
              <w:spacing w:line="360" w:lineRule="auto"/>
              <w:jc w:val="center"/>
              <w:rPr>
                <w:rFonts w:ascii="宋体" w:hAnsi="宋体"/>
                <w:color w:val="000000"/>
              </w:rPr>
            </w:pPr>
          </w:p>
        </w:tc>
      </w:tr>
      <w:tr w14:paraId="698A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43" w:type="pct"/>
            <w:gridSpan w:val="4"/>
            <w:noWrap w:val="0"/>
            <w:vAlign w:val="center"/>
          </w:tcPr>
          <w:p w14:paraId="5AC9D9E2">
            <w:pPr>
              <w:spacing w:line="360" w:lineRule="auto"/>
              <w:jc w:val="center"/>
              <w:rPr>
                <w:rFonts w:ascii="宋体" w:hAnsi="宋体"/>
                <w:color w:val="000000"/>
              </w:rPr>
            </w:pPr>
            <w:r>
              <w:rPr>
                <w:rFonts w:ascii="宋体" w:hAnsi="宋体"/>
                <w:color w:val="000000"/>
              </w:rPr>
              <w:t>参加工作时间</w:t>
            </w:r>
          </w:p>
        </w:tc>
        <w:tc>
          <w:tcPr>
            <w:tcW w:w="1019" w:type="pct"/>
            <w:gridSpan w:val="2"/>
            <w:noWrap w:val="0"/>
            <w:vAlign w:val="center"/>
          </w:tcPr>
          <w:p w14:paraId="32705CAA">
            <w:pPr>
              <w:spacing w:line="360" w:lineRule="auto"/>
              <w:jc w:val="center"/>
              <w:rPr>
                <w:rFonts w:ascii="宋体" w:hAnsi="宋体"/>
                <w:color w:val="000000"/>
              </w:rPr>
            </w:pPr>
          </w:p>
        </w:tc>
        <w:tc>
          <w:tcPr>
            <w:tcW w:w="1449" w:type="pct"/>
            <w:gridSpan w:val="4"/>
            <w:noWrap w:val="0"/>
            <w:vAlign w:val="center"/>
          </w:tcPr>
          <w:p w14:paraId="6467D7BE">
            <w:pPr>
              <w:spacing w:line="360" w:lineRule="auto"/>
              <w:jc w:val="center"/>
              <w:rPr>
                <w:rFonts w:ascii="宋体" w:hAnsi="宋体"/>
                <w:color w:val="000000"/>
              </w:rPr>
            </w:pPr>
            <w:r>
              <w:rPr>
                <w:rFonts w:ascii="宋体" w:hAnsi="宋体"/>
                <w:color w:val="000000"/>
              </w:rPr>
              <w:t>担任项目经理年限</w:t>
            </w:r>
          </w:p>
        </w:tc>
        <w:tc>
          <w:tcPr>
            <w:tcW w:w="687" w:type="pct"/>
            <w:noWrap w:val="0"/>
            <w:vAlign w:val="center"/>
          </w:tcPr>
          <w:p w14:paraId="13C590DC">
            <w:pPr>
              <w:spacing w:line="360" w:lineRule="auto"/>
              <w:jc w:val="center"/>
              <w:rPr>
                <w:rFonts w:ascii="宋体" w:hAnsi="宋体"/>
                <w:color w:val="000000"/>
              </w:rPr>
            </w:pPr>
          </w:p>
        </w:tc>
      </w:tr>
      <w:tr w14:paraId="6C48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843" w:type="pct"/>
            <w:gridSpan w:val="4"/>
            <w:noWrap w:val="0"/>
            <w:vAlign w:val="center"/>
          </w:tcPr>
          <w:p w14:paraId="096664F8">
            <w:pPr>
              <w:spacing w:line="360" w:lineRule="auto"/>
              <w:jc w:val="center"/>
              <w:rPr>
                <w:rFonts w:ascii="宋体" w:hAnsi="宋体"/>
                <w:color w:val="000000"/>
              </w:rPr>
            </w:pPr>
            <w:r>
              <w:rPr>
                <w:rFonts w:hint="eastAsia" w:ascii="宋体" w:hAnsi="宋体"/>
                <w:color w:val="000000"/>
              </w:rPr>
              <w:t>建造师注册</w:t>
            </w:r>
            <w:r>
              <w:rPr>
                <w:rFonts w:ascii="宋体" w:hAnsi="宋体"/>
                <w:color w:val="000000"/>
              </w:rPr>
              <w:t>编号</w:t>
            </w:r>
          </w:p>
        </w:tc>
        <w:tc>
          <w:tcPr>
            <w:tcW w:w="3156" w:type="pct"/>
            <w:gridSpan w:val="7"/>
            <w:noWrap w:val="0"/>
            <w:vAlign w:val="center"/>
          </w:tcPr>
          <w:p w14:paraId="26495E9D">
            <w:pPr>
              <w:spacing w:line="360" w:lineRule="auto"/>
              <w:jc w:val="center"/>
              <w:rPr>
                <w:rFonts w:ascii="宋体" w:hAnsi="宋体"/>
                <w:color w:val="000000"/>
              </w:rPr>
            </w:pPr>
          </w:p>
        </w:tc>
      </w:tr>
      <w:tr w14:paraId="60C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1"/>
            <w:noWrap w:val="0"/>
            <w:vAlign w:val="center"/>
          </w:tcPr>
          <w:p w14:paraId="16D1FFA4">
            <w:pPr>
              <w:spacing w:line="360" w:lineRule="auto"/>
              <w:jc w:val="center"/>
              <w:rPr>
                <w:rFonts w:ascii="宋体" w:hAnsi="宋体"/>
                <w:color w:val="000000"/>
              </w:rPr>
            </w:pPr>
            <w:r>
              <w:rPr>
                <w:rFonts w:ascii="宋体" w:hAnsi="宋体"/>
                <w:color w:val="000000"/>
              </w:rPr>
              <w:t>在建和已完工程项目情况</w:t>
            </w:r>
          </w:p>
        </w:tc>
      </w:tr>
      <w:tr w14:paraId="60F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33" w:type="pct"/>
            <w:gridSpan w:val="2"/>
            <w:noWrap w:val="0"/>
            <w:vAlign w:val="center"/>
          </w:tcPr>
          <w:p w14:paraId="023CC02A">
            <w:pPr>
              <w:spacing w:line="360" w:lineRule="auto"/>
              <w:jc w:val="center"/>
              <w:rPr>
                <w:rFonts w:ascii="宋体" w:hAnsi="宋体"/>
                <w:color w:val="000000"/>
              </w:rPr>
            </w:pPr>
            <w:r>
              <w:rPr>
                <w:rFonts w:ascii="宋体" w:hAnsi="宋体"/>
                <w:color w:val="000000"/>
              </w:rPr>
              <w:t>建设单位</w:t>
            </w:r>
          </w:p>
        </w:tc>
        <w:tc>
          <w:tcPr>
            <w:tcW w:w="833" w:type="pct"/>
            <w:noWrap w:val="0"/>
            <w:vAlign w:val="center"/>
          </w:tcPr>
          <w:p w14:paraId="7EF8D3B5">
            <w:pPr>
              <w:spacing w:line="360" w:lineRule="auto"/>
              <w:jc w:val="center"/>
              <w:rPr>
                <w:rFonts w:ascii="宋体" w:hAnsi="宋体"/>
                <w:color w:val="000000"/>
              </w:rPr>
            </w:pPr>
            <w:r>
              <w:rPr>
                <w:rFonts w:ascii="宋体" w:hAnsi="宋体"/>
                <w:color w:val="000000"/>
              </w:rPr>
              <w:t>项目名称</w:t>
            </w:r>
          </w:p>
        </w:tc>
        <w:tc>
          <w:tcPr>
            <w:tcW w:w="833" w:type="pct"/>
            <w:gridSpan w:val="2"/>
            <w:noWrap w:val="0"/>
            <w:vAlign w:val="center"/>
          </w:tcPr>
          <w:p w14:paraId="2E5301E7">
            <w:pPr>
              <w:spacing w:line="360" w:lineRule="auto"/>
              <w:jc w:val="center"/>
              <w:rPr>
                <w:rFonts w:ascii="宋体" w:hAnsi="宋体"/>
                <w:color w:val="000000"/>
              </w:rPr>
            </w:pPr>
            <w:r>
              <w:rPr>
                <w:rFonts w:ascii="宋体" w:hAnsi="宋体"/>
                <w:color w:val="000000"/>
              </w:rPr>
              <w:t>建设规模</w:t>
            </w:r>
          </w:p>
        </w:tc>
        <w:tc>
          <w:tcPr>
            <w:tcW w:w="833" w:type="pct"/>
            <w:gridSpan w:val="2"/>
            <w:noWrap w:val="0"/>
            <w:vAlign w:val="center"/>
          </w:tcPr>
          <w:p w14:paraId="4735E970">
            <w:pPr>
              <w:spacing w:line="360" w:lineRule="auto"/>
              <w:jc w:val="center"/>
              <w:rPr>
                <w:rFonts w:ascii="宋体" w:hAnsi="宋体"/>
                <w:color w:val="000000"/>
              </w:rPr>
            </w:pPr>
            <w:r>
              <w:rPr>
                <w:rFonts w:ascii="宋体" w:hAnsi="宋体"/>
                <w:color w:val="000000"/>
              </w:rPr>
              <w:t>开、竣工日期</w:t>
            </w:r>
          </w:p>
        </w:tc>
        <w:tc>
          <w:tcPr>
            <w:tcW w:w="833" w:type="pct"/>
            <w:gridSpan w:val="2"/>
            <w:noWrap w:val="0"/>
            <w:vAlign w:val="center"/>
          </w:tcPr>
          <w:p w14:paraId="2C10053B">
            <w:pPr>
              <w:spacing w:line="360" w:lineRule="auto"/>
              <w:jc w:val="center"/>
              <w:rPr>
                <w:rFonts w:ascii="宋体" w:hAnsi="宋体"/>
                <w:color w:val="000000"/>
              </w:rPr>
            </w:pPr>
            <w:r>
              <w:rPr>
                <w:rFonts w:ascii="宋体" w:hAnsi="宋体"/>
                <w:color w:val="000000"/>
              </w:rPr>
              <w:t>在建或已完</w:t>
            </w:r>
          </w:p>
        </w:tc>
        <w:tc>
          <w:tcPr>
            <w:tcW w:w="833" w:type="pct"/>
            <w:gridSpan w:val="2"/>
            <w:noWrap w:val="0"/>
            <w:vAlign w:val="center"/>
          </w:tcPr>
          <w:p w14:paraId="1DDAE66B">
            <w:pPr>
              <w:spacing w:line="360" w:lineRule="auto"/>
              <w:jc w:val="center"/>
              <w:rPr>
                <w:rFonts w:ascii="宋体" w:hAnsi="宋体"/>
                <w:color w:val="000000"/>
              </w:rPr>
            </w:pPr>
            <w:r>
              <w:rPr>
                <w:rFonts w:ascii="宋体" w:hAnsi="宋体"/>
                <w:color w:val="000000"/>
              </w:rPr>
              <w:t>工程质量</w:t>
            </w:r>
          </w:p>
        </w:tc>
      </w:tr>
      <w:tr w14:paraId="0B12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1E3A6C75">
            <w:pPr>
              <w:spacing w:line="360" w:lineRule="auto"/>
              <w:jc w:val="center"/>
              <w:rPr>
                <w:rFonts w:ascii="宋体" w:hAnsi="宋体"/>
                <w:color w:val="000000"/>
              </w:rPr>
            </w:pPr>
          </w:p>
        </w:tc>
        <w:tc>
          <w:tcPr>
            <w:tcW w:w="833" w:type="pct"/>
            <w:noWrap w:val="0"/>
            <w:vAlign w:val="center"/>
          </w:tcPr>
          <w:p w14:paraId="3C3EFA64">
            <w:pPr>
              <w:spacing w:line="360" w:lineRule="auto"/>
              <w:jc w:val="center"/>
              <w:rPr>
                <w:rFonts w:ascii="宋体" w:hAnsi="宋体"/>
                <w:color w:val="000000"/>
              </w:rPr>
            </w:pPr>
          </w:p>
        </w:tc>
        <w:tc>
          <w:tcPr>
            <w:tcW w:w="833" w:type="pct"/>
            <w:gridSpan w:val="2"/>
            <w:noWrap w:val="0"/>
            <w:vAlign w:val="center"/>
          </w:tcPr>
          <w:p w14:paraId="5EB4C0D5">
            <w:pPr>
              <w:spacing w:line="360" w:lineRule="auto"/>
              <w:jc w:val="center"/>
              <w:rPr>
                <w:rFonts w:ascii="宋体" w:hAnsi="宋体"/>
                <w:color w:val="000000"/>
              </w:rPr>
            </w:pPr>
          </w:p>
        </w:tc>
        <w:tc>
          <w:tcPr>
            <w:tcW w:w="833" w:type="pct"/>
            <w:gridSpan w:val="2"/>
            <w:noWrap w:val="0"/>
            <w:vAlign w:val="center"/>
          </w:tcPr>
          <w:p w14:paraId="39A08E37">
            <w:pPr>
              <w:spacing w:line="360" w:lineRule="auto"/>
              <w:jc w:val="center"/>
              <w:rPr>
                <w:rFonts w:ascii="宋体" w:hAnsi="宋体"/>
                <w:color w:val="000000"/>
              </w:rPr>
            </w:pPr>
          </w:p>
        </w:tc>
        <w:tc>
          <w:tcPr>
            <w:tcW w:w="833" w:type="pct"/>
            <w:gridSpan w:val="2"/>
            <w:noWrap w:val="0"/>
            <w:vAlign w:val="center"/>
          </w:tcPr>
          <w:p w14:paraId="2A0002D0">
            <w:pPr>
              <w:spacing w:line="360" w:lineRule="auto"/>
              <w:jc w:val="center"/>
              <w:rPr>
                <w:rFonts w:ascii="宋体" w:hAnsi="宋体"/>
                <w:color w:val="000000"/>
              </w:rPr>
            </w:pPr>
          </w:p>
        </w:tc>
        <w:tc>
          <w:tcPr>
            <w:tcW w:w="833" w:type="pct"/>
            <w:gridSpan w:val="2"/>
            <w:noWrap w:val="0"/>
            <w:vAlign w:val="center"/>
          </w:tcPr>
          <w:p w14:paraId="29739E39">
            <w:pPr>
              <w:spacing w:line="360" w:lineRule="auto"/>
              <w:jc w:val="center"/>
              <w:rPr>
                <w:rFonts w:ascii="宋体" w:hAnsi="宋体"/>
                <w:color w:val="000000"/>
              </w:rPr>
            </w:pPr>
          </w:p>
        </w:tc>
      </w:tr>
      <w:tr w14:paraId="357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59803A48">
            <w:pPr>
              <w:spacing w:line="360" w:lineRule="auto"/>
              <w:jc w:val="center"/>
              <w:rPr>
                <w:rFonts w:ascii="宋体" w:hAnsi="宋体"/>
                <w:color w:val="000000"/>
              </w:rPr>
            </w:pPr>
          </w:p>
        </w:tc>
        <w:tc>
          <w:tcPr>
            <w:tcW w:w="833" w:type="pct"/>
            <w:noWrap w:val="0"/>
            <w:vAlign w:val="center"/>
          </w:tcPr>
          <w:p w14:paraId="4C260D1D">
            <w:pPr>
              <w:spacing w:line="360" w:lineRule="auto"/>
              <w:jc w:val="center"/>
              <w:rPr>
                <w:rFonts w:ascii="宋体" w:hAnsi="宋体"/>
                <w:color w:val="000000"/>
              </w:rPr>
            </w:pPr>
          </w:p>
        </w:tc>
        <w:tc>
          <w:tcPr>
            <w:tcW w:w="833" w:type="pct"/>
            <w:gridSpan w:val="2"/>
            <w:noWrap w:val="0"/>
            <w:vAlign w:val="center"/>
          </w:tcPr>
          <w:p w14:paraId="4653DBAA">
            <w:pPr>
              <w:spacing w:line="360" w:lineRule="auto"/>
              <w:jc w:val="center"/>
              <w:rPr>
                <w:rFonts w:ascii="宋体" w:hAnsi="宋体"/>
                <w:color w:val="000000"/>
              </w:rPr>
            </w:pPr>
          </w:p>
        </w:tc>
        <w:tc>
          <w:tcPr>
            <w:tcW w:w="833" w:type="pct"/>
            <w:gridSpan w:val="2"/>
            <w:noWrap w:val="0"/>
            <w:vAlign w:val="center"/>
          </w:tcPr>
          <w:p w14:paraId="22DD7A89">
            <w:pPr>
              <w:spacing w:line="360" w:lineRule="auto"/>
              <w:jc w:val="center"/>
              <w:rPr>
                <w:rFonts w:ascii="宋体" w:hAnsi="宋体"/>
                <w:color w:val="000000"/>
              </w:rPr>
            </w:pPr>
          </w:p>
        </w:tc>
        <w:tc>
          <w:tcPr>
            <w:tcW w:w="833" w:type="pct"/>
            <w:gridSpan w:val="2"/>
            <w:noWrap w:val="0"/>
            <w:vAlign w:val="center"/>
          </w:tcPr>
          <w:p w14:paraId="4D5EFCE5">
            <w:pPr>
              <w:spacing w:line="360" w:lineRule="auto"/>
              <w:jc w:val="center"/>
              <w:rPr>
                <w:rFonts w:ascii="宋体" w:hAnsi="宋体"/>
                <w:color w:val="000000"/>
              </w:rPr>
            </w:pPr>
          </w:p>
        </w:tc>
        <w:tc>
          <w:tcPr>
            <w:tcW w:w="833" w:type="pct"/>
            <w:gridSpan w:val="2"/>
            <w:noWrap w:val="0"/>
            <w:vAlign w:val="center"/>
          </w:tcPr>
          <w:p w14:paraId="0EB18698">
            <w:pPr>
              <w:spacing w:line="360" w:lineRule="auto"/>
              <w:jc w:val="center"/>
              <w:rPr>
                <w:rFonts w:ascii="宋体" w:hAnsi="宋体"/>
                <w:color w:val="000000"/>
              </w:rPr>
            </w:pPr>
          </w:p>
        </w:tc>
      </w:tr>
      <w:tr w14:paraId="1000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pct"/>
            <w:gridSpan w:val="2"/>
            <w:noWrap w:val="0"/>
            <w:vAlign w:val="center"/>
          </w:tcPr>
          <w:p w14:paraId="66BA3C1D">
            <w:pPr>
              <w:spacing w:line="360" w:lineRule="auto"/>
              <w:jc w:val="center"/>
              <w:rPr>
                <w:rFonts w:ascii="宋体" w:hAnsi="宋体"/>
                <w:color w:val="000000"/>
              </w:rPr>
            </w:pPr>
          </w:p>
        </w:tc>
        <w:tc>
          <w:tcPr>
            <w:tcW w:w="833" w:type="pct"/>
            <w:noWrap w:val="0"/>
            <w:vAlign w:val="center"/>
          </w:tcPr>
          <w:p w14:paraId="45E3F4D7">
            <w:pPr>
              <w:spacing w:line="360" w:lineRule="auto"/>
              <w:jc w:val="center"/>
              <w:rPr>
                <w:rFonts w:ascii="宋体" w:hAnsi="宋体"/>
                <w:color w:val="000000"/>
              </w:rPr>
            </w:pPr>
          </w:p>
        </w:tc>
        <w:tc>
          <w:tcPr>
            <w:tcW w:w="833" w:type="pct"/>
            <w:gridSpan w:val="2"/>
            <w:noWrap w:val="0"/>
            <w:vAlign w:val="center"/>
          </w:tcPr>
          <w:p w14:paraId="6237DA80">
            <w:pPr>
              <w:spacing w:line="360" w:lineRule="auto"/>
              <w:jc w:val="center"/>
              <w:rPr>
                <w:rFonts w:ascii="宋体" w:hAnsi="宋体"/>
                <w:color w:val="000000"/>
              </w:rPr>
            </w:pPr>
          </w:p>
        </w:tc>
        <w:tc>
          <w:tcPr>
            <w:tcW w:w="833" w:type="pct"/>
            <w:gridSpan w:val="2"/>
            <w:noWrap w:val="0"/>
            <w:vAlign w:val="center"/>
          </w:tcPr>
          <w:p w14:paraId="28F57F41">
            <w:pPr>
              <w:spacing w:line="360" w:lineRule="auto"/>
              <w:jc w:val="center"/>
              <w:rPr>
                <w:rFonts w:ascii="宋体" w:hAnsi="宋体"/>
                <w:color w:val="000000"/>
              </w:rPr>
            </w:pPr>
          </w:p>
        </w:tc>
        <w:tc>
          <w:tcPr>
            <w:tcW w:w="833" w:type="pct"/>
            <w:gridSpan w:val="2"/>
            <w:noWrap w:val="0"/>
            <w:vAlign w:val="center"/>
          </w:tcPr>
          <w:p w14:paraId="4104A396">
            <w:pPr>
              <w:spacing w:line="360" w:lineRule="auto"/>
              <w:jc w:val="center"/>
              <w:rPr>
                <w:rFonts w:ascii="宋体" w:hAnsi="宋体"/>
                <w:color w:val="000000"/>
              </w:rPr>
            </w:pPr>
          </w:p>
        </w:tc>
        <w:tc>
          <w:tcPr>
            <w:tcW w:w="833" w:type="pct"/>
            <w:gridSpan w:val="2"/>
            <w:noWrap w:val="0"/>
            <w:vAlign w:val="center"/>
          </w:tcPr>
          <w:p w14:paraId="51FD0D3B">
            <w:pPr>
              <w:spacing w:line="360" w:lineRule="auto"/>
              <w:jc w:val="center"/>
              <w:rPr>
                <w:rFonts w:ascii="宋体" w:hAnsi="宋体"/>
                <w:color w:val="000000"/>
              </w:rPr>
            </w:pPr>
          </w:p>
        </w:tc>
      </w:tr>
      <w:tr w14:paraId="332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pct"/>
            <w:gridSpan w:val="2"/>
            <w:noWrap w:val="0"/>
            <w:vAlign w:val="center"/>
          </w:tcPr>
          <w:p w14:paraId="315B02CD">
            <w:pPr>
              <w:spacing w:line="360" w:lineRule="auto"/>
              <w:jc w:val="center"/>
              <w:rPr>
                <w:rFonts w:ascii="宋体" w:hAnsi="宋体"/>
                <w:color w:val="000000"/>
              </w:rPr>
            </w:pPr>
          </w:p>
        </w:tc>
        <w:tc>
          <w:tcPr>
            <w:tcW w:w="833" w:type="pct"/>
            <w:noWrap w:val="0"/>
            <w:vAlign w:val="center"/>
          </w:tcPr>
          <w:p w14:paraId="71BC2DC7">
            <w:pPr>
              <w:spacing w:line="360" w:lineRule="auto"/>
              <w:jc w:val="center"/>
              <w:rPr>
                <w:rFonts w:ascii="宋体" w:hAnsi="宋体"/>
                <w:color w:val="000000"/>
              </w:rPr>
            </w:pPr>
          </w:p>
        </w:tc>
        <w:tc>
          <w:tcPr>
            <w:tcW w:w="833" w:type="pct"/>
            <w:gridSpan w:val="2"/>
            <w:noWrap w:val="0"/>
            <w:vAlign w:val="center"/>
          </w:tcPr>
          <w:p w14:paraId="2D49AC1B">
            <w:pPr>
              <w:spacing w:line="360" w:lineRule="auto"/>
              <w:jc w:val="center"/>
              <w:rPr>
                <w:rFonts w:ascii="宋体" w:hAnsi="宋体"/>
                <w:color w:val="000000"/>
              </w:rPr>
            </w:pPr>
          </w:p>
        </w:tc>
        <w:tc>
          <w:tcPr>
            <w:tcW w:w="833" w:type="pct"/>
            <w:gridSpan w:val="2"/>
            <w:noWrap w:val="0"/>
            <w:vAlign w:val="center"/>
          </w:tcPr>
          <w:p w14:paraId="07E7162A">
            <w:pPr>
              <w:spacing w:line="360" w:lineRule="auto"/>
              <w:jc w:val="center"/>
              <w:rPr>
                <w:rFonts w:ascii="宋体" w:hAnsi="宋体"/>
                <w:color w:val="000000"/>
              </w:rPr>
            </w:pPr>
          </w:p>
        </w:tc>
        <w:tc>
          <w:tcPr>
            <w:tcW w:w="833" w:type="pct"/>
            <w:gridSpan w:val="2"/>
            <w:noWrap w:val="0"/>
            <w:vAlign w:val="center"/>
          </w:tcPr>
          <w:p w14:paraId="14C3A430">
            <w:pPr>
              <w:spacing w:line="360" w:lineRule="auto"/>
              <w:jc w:val="center"/>
              <w:rPr>
                <w:rFonts w:ascii="宋体" w:hAnsi="宋体"/>
                <w:color w:val="000000"/>
              </w:rPr>
            </w:pPr>
          </w:p>
        </w:tc>
        <w:tc>
          <w:tcPr>
            <w:tcW w:w="833" w:type="pct"/>
            <w:gridSpan w:val="2"/>
            <w:noWrap w:val="0"/>
            <w:vAlign w:val="center"/>
          </w:tcPr>
          <w:p w14:paraId="5A5F666A">
            <w:pPr>
              <w:spacing w:line="360" w:lineRule="auto"/>
              <w:jc w:val="center"/>
              <w:rPr>
                <w:rFonts w:ascii="宋体" w:hAnsi="宋体"/>
                <w:color w:val="000000"/>
              </w:rPr>
            </w:pPr>
          </w:p>
        </w:tc>
      </w:tr>
    </w:tbl>
    <w:p w14:paraId="70F20FCB">
      <w:pPr>
        <w:spacing w:line="360" w:lineRule="auto"/>
        <w:rPr>
          <w:rFonts w:ascii="宋体" w:hAnsi="宋体"/>
          <w:color w:val="000000"/>
          <w:szCs w:val="21"/>
        </w:rPr>
      </w:pPr>
    </w:p>
    <w:p w14:paraId="094E45B4">
      <w:pPr>
        <w:pStyle w:val="11"/>
        <w:rPr>
          <w:color w:val="auto"/>
          <w:highlight w:val="none"/>
        </w:rPr>
      </w:pPr>
      <w:r>
        <w:rPr>
          <w:color w:val="auto"/>
          <w:highlight w:val="none"/>
        </w:rPr>
        <w:t>备注：附项目经理注册建造师注册证书、职称证书、安全生产考核合格证书（B证）、中华人民共和国注册安全工程师执业证书（如有）和已完工程中标通知书（如有）、工程合同协议书（如有）、工程竣工验收（如有）证明材料复印件，以及供应商认为需要增加的其他证明材料复印件，以上复印件均须加盖供应商单位公章。</w:t>
      </w:r>
    </w:p>
    <w:p w14:paraId="5168A046">
      <w:pPr>
        <w:spacing w:line="360" w:lineRule="auto"/>
        <w:rPr>
          <w:rFonts w:hint="eastAsia" w:ascii="宋体" w:hAnsi="宋体"/>
          <w:b/>
          <w:color w:val="auto"/>
          <w:sz w:val="24"/>
          <w:highlight w:val="none"/>
        </w:rPr>
        <w:sectPr>
          <w:footerReference r:id="rId7" w:type="default"/>
          <w:footerReference r:id="rId8" w:type="even"/>
          <w:pgSz w:w="11907" w:h="16840"/>
          <w:pgMar w:top="1797" w:right="1440" w:bottom="1440" w:left="1440" w:header="851" w:footer="851" w:gutter="0"/>
          <w:cols w:space="720" w:num="1"/>
        </w:sectPr>
      </w:pPr>
    </w:p>
    <w:p w14:paraId="616890BF">
      <w:pPr>
        <w:pStyle w:val="11"/>
        <w:kinsoku w:val="0"/>
        <w:overflowPunct w:val="0"/>
        <w:spacing w:line="360" w:lineRule="auto"/>
        <w:ind w:right="102"/>
        <w:rPr>
          <w:rFonts w:hint="eastAsia" w:ascii="宋体" w:hAnsi="宋体"/>
          <w:b/>
          <w:color w:val="000000"/>
          <w:sz w:val="24"/>
        </w:rPr>
      </w:pPr>
    </w:p>
    <w:p w14:paraId="68BAD51B">
      <w:pPr>
        <w:pStyle w:val="2"/>
        <w:numPr>
          <w:ilvl w:val="0"/>
          <w:numId w:val="62"/>
        </w:numPr>
        <w:ind w:left="0" w:leftChars="0" w:firstLine="480" w:firstLineChars="0"/>
      </w:pPr>
      <w:r>
        <w:t>按本竞争性磋商文件规定提交的其它资料</w:t>
      </w:r>
    </w:p>
    <w:p w14:paraId="166B5ABE">
      <w:pPr>
        <w:pStyle w:val="11"/>
        <w:numPr>
          <w:ilvl w:val="4"/>
          <w:numId w:val="65"/>
        </w:numPr>
        <w:ind w:left="110"/>
        <w:rPr>
          <w:color w:val="000000"/>
        </w:rPr>
      </w:pPr>
      <w:r>
        <w:rPr>
          <w:color w:val="000000"/>
        </w:rPr>
        <w:br w:type="page"/>
      </w:r>
      <w:bookmarkStart w:id="82" w:name="_Toc19527_WPSOffice_Level1"/>
      <w:r>
        <w:rPr>
          <w:b/>
          <w:bCs/>
          <w:color w:val="000000"/>
        </w:rPr>
        <w:t>（封面）</w:t>
      </w:r>
      <w:bookmarkEnd w:id="82"/>
    </w:p>
    <w:p w14:paraId="17744F5A">
      <w:pPr>
        <w:kinsoku w:val="0"/>
        <w:overflowPunct w:val="0"/>
        <w:spacing w:line="200" w:lineRule="exact"/>
        <w:rPr>
          <w:color w:val="000000"/>
          <w:sz w:val="20"/>
        </w:rPr>
      </w:pPr>
    </w:p>
    <w:p w14:paraId="171CE921">
      <w:pPr>
        <w:kinsoku w:val="0"/>
        <w:overflowPunct w:val="0"/>
        <w:spacing w:line="200" w:lineRule="exact"/>
        <w:rPr>
          <w:color w:val="000000"/>
          <w:sz w:val="20"/>
        </w:rPr>
      </w:pPr>
    </w:p>
    <w:p w14:paraId="56DFF75F">
      <w:pPr>
        <w:kinsoku w:val="0"/>
        <w:overflowPunct w:val="0"/>
        <w:spacing w:line="200" w:lineRule="exact"/>
        <w:rPr>
          <w:color w:val="000000"/>
          <w:sz w:val="20"/>
        </w:rPr>
      </w:pPr>
    </w:p>
    <w:p w14:paraId="7E35F969">
      <w:pPr>
        <w:kinsoku w:val="0"/>
        <w:overflowPunct w:val="0"/>
        <w:spacing w:line="200" w:lineRule="exact"/>
        <w:rPr>
          <w:color w:val="000000"/>
          <w:sz w:val="20"/>
        </w:rPr>
      </w:pPr>
    </w:p>
    <w:p w14:paraId="694DB21A">
      <w:pPr>
        <w:kinsoku w:val="0"/>
        <w:overflowPunct w:val="0"/>
        <w:spacing w:line="200" w:lineRule="exact"/>
        <w:rPr>
          <w:color w:val="000000"/>
          <w:sz w:val="20"/>
        </w:rPr>
      </w:pPr>
    </w:p>
    <w:p w14:paraId="3C5DD10A">
      <w:pPr>
        <w:kinsoku w:val="0"/>
        <w:overflowPunct w:val="0"/>
        <w:spacing w:line="200" w:lineRule="exact"/>
        <w:rPr>
          <w:color w:val="000000"/>
          <w:sz w:val="20"/>
        </w:rPr>
      </w:pPr>
    </w:p>
    <w:p w14:paraId="41E5B675">
      <w:pPr>
        <w:kinsoku w:val="0"/>
        <w:overflowPunct w:val="0"/>
        <w:spacing w:line="200" w:lineRule="exact"/>
        <w:rPr>
          <w:color w:val="000000"/>
          <w:sz w:val="20"/>
        </w:rPr>
      </w:pPr>
    </w:p>
    <w:p w14:paraId="1307888F">
      <w:pPr>
        <w:kinsoku w:val="0"/>
        <w:overflowPunct w:val="0"/>
        <w:spacing w:line="200" w:lineRule="exact"/>
        <w:rPr>
          <w:color w:val="000000"/>
          <w:sz w:val="20"/>
        </w:rPr>
      </w:pPr>
    </w:p>
    <w:p w14:paraId="69D28B64">
      <w:pPr>
        <w:kinsoku w:val="0"/>
        <w:overflowPunct w:val="0"/>
        <w:spacing w:before="10" w:line="280" w:lineRule="exact"/>
        <w:rPr>
          <w:color w:val="000000"/>
          <w:sz w:val="28"/>
        </w:rPr>
      </w:pPr>
    </w:p>
    <w:p w14:paraId="72E39718">
      <w:pPr>
        <w:kinsoku w:val="0"/>
        <w:overflowPunct w:val="0"/>
        <w:spacing w:line="820" w:lineRule="exact"/>
        <w:ind w:left="188"/>
        <w:jc w:val="center"/>
        <w:rPr>
          <w:rFonts w:hint="eastAsia" w:ascii="宋体" w:hAnsi="宋体"/>
          <w:color w:val="000000"/>
          <w:sz w:val="50"/>
          <w:szCs w:val="50"/>
        </w:rPr>
      </w:pPr>
      <w:bookmarkStart w:id="83" w:name="_Toc27563_WPSOffice_Level1"/>
      <w:r>
        <w:rPr>
          <w:rFonts w:hint="eastAsia" w:ascii="宋体" w:hAnsi="宋体"/>
          <w:color w:val="000000"/>
          <w:sz w:val="50"/>
          <w:szCs w:val="50"/>
        </w:rPr>
        <w:t>二</w:t>
      </w:r>
      <w:r>
        <w:rPr>
          <w:rFonts w:hint="eastAsia" w:ascii="宋体" w:hAnsi="宋体"/>
          <w:color w:val="000000"/>
          <w:spacing w:val="4"/>
          <w:sz w:val="50"/>
          <w:szCs w:val="50"/>
        </w:rPr>
        <w:t xml:space="preserve"> </w:t>
      </w:r>
      <w:r>
        <w:rPr>
          <w:rFonts w:hint="eastAsia" w:ascii="宋体" w:hAnsi="宋体"/>
          <w:color w:val="000000"/>
          <w:sz w:val="50"/>
          <w:szCs w:val="50"/>
        </w:rPr>
        <w:t>次</w:t>
      </w:r>
      <w:r>
        <w:rPr>
          <w:rFonts w:hint="eastAsia" w:ascii="宋体" w:hAnsi="宋体"/>
          <w:color w:val="000000"/>
          <w:spacing w:val="2"/>
          <w:sz w:val="50"/>
          <w:szCs w:val="50"/>
        </w:rPr>
        <w:t xml:space="preserve"> </w:t>
      </w:r>
      <w:r>
        <w:rPr>
          <w:rFonts w:hint="eastAsia" w:ascii="宋体" w:hAnsi="宋体"/>
          <w:color w:val="000000"/>
          <w:sz w:val="50"/>
          <w:szCs w:val="50"/>
        </w:rPr>
        <w:t>报</w:t>
      </w:r>
      <w:r>
        <w:rPr>
          <w:rFonts w:hint="eastAsia" w:ascii="宋体" w:hAnsi="宋体"/>
          <w:color w:val="000000"/>
          <w:spacing w:val="4"/>
          <w:sz w:val="50"/>
          <w:szCs w:val="50"/>
        </w:rPr>
        <w:t xml:space="preserve"> </w:t>
      </w:r>
      <w:r>
        <w:rPr>
          <w:rFonts w:hint="eastAsia" w:ascii="宋体" w:hAnsi="宋体"/>
          <w:color w:val="000000"/>
          <w:sz w:val="50"/>
          <w:szCs w:val="50"/>
        </w:rPr>
        <w:t>价</w:t>
      </w:r>
      <w:r>
        <w:rPr>
          <w:rFonts w:hint="eastAsia" w:ascii="宋体" w:hAnsi="宋体"/>
          <w:color w:val="000000"/>
          <w:spacing w:val="4"/>
          <w:sz w:val="50"/>
          <w:szCs w:val="50"/>
        </w:rPr>
        <w:t xml:space="preserve"> </w:t>
      </w:r>
      <w:r>
        <w:rPr>
          <w:rFonts w:hint="eastAsia" w:ascii="宋体" w:hAnsi="宋体"/>
          <w:color w:val="000000"/>
          <w:sz w:val="50"/>
          <w:szCs w:val="50"/>
        </w:rPr>
        <w:t>文</w:t>
      </w:r>
      <w:r>
        <w:rPr>
          <w:rFonts w:hint="eastAsia" w:ascii="宋体" w:hAnsi="宋体"/>
          <w:color w:val="000000"/>
          <w:spacing w:val="4"/>
          <w:sz w:val="50"/>
          <w:szCs w:val="50"/>
        </w:rPr>
        <w:t xml:space="preserve"> </w:t>
      </w:r>
      <w:r>
        <w:rPr>
          <w:rFonts w:hint="eastAsia" w:ascii="宋体" w:hAnsi="宋体"/>
          <w:color w:val="000000"/>
          <w:sz w:val="50"/>
          <w:szCs w:val="50"/>
        </w:rPr>
        <w:t>件</w:t>
      </w:r>
      <w:bookmarkEnd w:id="83"/>
    </w:p>
    <w:p w14:paraId="230E3281">
      <w:pPr>
        <w:kinsoku w:val="0"/>
        <w:overflowPunct w:val="0"/>
        <w:spacing w:before="7" w:line="140" w:lineRule="exact"/>
        <w:rPr>
          <w:color w:val="000000"/>
          <w:sz w:val="14"/>
        </w:rPr>
      </w:pPr>
    </w:p>
    <w:p w14:paraId="4FB82A9C">
      <w:pPr>
        <w:kinsoku w:val="0"/>
        <w:overflowPunct w:val="0"/>
        <w:spacing w:line="200" w:lineRule="exact"/>
        <w:rPr>
          <w:color w:val="000000"/>
          <w:sz w:val="20"/>
        </w:rPr>
      </w:pPr>
    </w:p>
    <w:p w14:paraId="5D00723E">
      <w:pPr>
        <w:kinsoku w:val="0"/>
        <w:overflowPunct w:val="0"/>
        <w:spacing w:line="200" w:lineRule="exact"/>
        <w:rPr>
          <w:color w:val="000000"/>
          <w:sz w:val="20"/>
        </w:rPr>
      </w:pPr>
    </w:p>
    <w:p w14:paraId="173B8A69">
      <w:pPr>
        <w:kinsoku w:val="0"/>
        <w:overflowPunct w:val="0"/>
        <w:spacing w:line="200" w:lineRule="exact"/>
        <w:rPr>
          <w:color w:val="000000"/>
          <w:sz w:val="20"/>
        </w:rPr>
      </w:pPr>
    </w:p>
    <w:p w14:paraId="7E87C7A7">
      <w:pPr>
        <w:kinsoku w:val="0"/>
        <w:overflowPunct w:val="0"/>
        <w:spacing w:line="200" w:lineRule="exact"/>
        <w:rPr>
          <w:color w:val="000000"/>
          <w:sz w:val="20"/>
        </w:rPr>
      </w:pPr>
    </w:p>
    <w:p w14:paraId="56F8B9A0">
      <w:pPr>
        <w:kinsoku w:val="0"/>
        <w:overflowPunct w:val="0"/>
        <w:spacing w:line="200" w:lineRule="exact"/>
        <w:rPr>
          <w:color w:val="000000"/>
          <w:sz w:val="20"/>
        </w:rPr>
      </w:pPr>
    </w:p>
    <w:p w14:paraId="0F66C32C">
      <w:pPr>
        <w:kinsoku w:val="0"/>
        <w:overflowPunct w:val="0"/>
        <w:spacing w:line="200" w:lineRule="exact"/>
        <w:rPr>
          <w:color w:val="000000"/>
          <w:sz w:val="20"/>
        </w:rPr>
      </w:pPr>
    </w:p>
    <w:p w14:paraId="449E6CBF">
      <w:pPr>
        <w:kinsoku w:val="0"/>
        <w:overflowPunct w:val="0"/>
        <w:spacing w:line="200" w:lineRule="exact"/>
        <w:rPr>
          <w:color w:val="000000"/>
          <w:sz w:val="20"/>
        </w:rPr>
      </w:pPr>
    </w:p>
    <w:p w14:paraId="772F5FAE">
      <w:pPr>
        <w:kinsoku w:val="0"/>
        <w:overflowPunct w:val="0"/>
        <w:spacing w:line="200" w:lineRule="exact"/>
        <w:rPr>
          <w:color w:val="000000"/>
          <w:sz w:val="20"/>
        </w:rPr>
      </w:pPr>
    </w:p>
    <w:p w14:paraId="125BE628">
      <w:pPr>
        <w:kinsoku w:val="0"/>
        <w:overflowPunct w:val="0"/>
        <w:spacing w:line="200" w:lineRule="exact"/>
        <w:rPr>
          <w:color w:val="000000"/>
          <w:sz w:val="20"/>
        </w:rPr>
      </w:pPr>
    </w:p>
    <w:p w14:paraId="3DF033B0">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bookmarkStart w:id="84" w:name="_Toc9810_WPSOffice_Level1"/>
      <w:r>
        <w:rPr>
          <w:rFonts w:hint="eastAsia" w:ascii="Times New Roman" w:hAnsi="Times New Roman" w:eastAsia="宋体" w:cs="Times New Roman"/>
          <w:color w:val="000000"/>
          <w:sz w:val="24"/>
        </w:rPr>
        <w:t xml:space="preserve">        </w:t>
      </w:r>
      <w:r>
        <w:rPr>
          <w:rFonts w:hint="eastAsia" w:cs="Times New Roman"/>
          <w:color w:val="000000"/>
          <w:sz w:val="24"/>
          <w:lang w:val="en-US" w:eastAsia="zh-CN"/>
        </w:rPr>
        <w:t xml:space="preserve">  </w:t>
      </w:r>
      <w:r>
        <w:rPr>
          <w:rFonts w:hint="eastAsia" w:ascii="Times New Roman" w:hAnsi="Times New Roman" w:eastAsia="宋体" w:cs="Times New Roman"/>
          <w:color w:val="000000"/>
          <w:sz w:val="24"/>
        </w:rPr>
        <w:t xml:space="preserve"> </w:t>
      </w:r>
      <w:r>
        <w:rPr>
          <w:rFonts w:hint="eastAsia" w:ascii="Times New Roman" w:hAnsi="Times New Roman" w:eastAsia="宋体" w:cs="Times New Roman"/>
          <w:b/>
          <w:bCs/>
          <w:color w:val="000000"/>
          <w:sz w:val="24"/>
        </w:rPr>
        <w:t>工</w:t>
      </w:r>
      <w:r>
        <w:rPr>
          <w:rFonts w:hint="eastAsia" w:ascii="Times New Roman" w:hAnsi="Times New Roman" w:eastAsia="宋体" w:cs="Times New Roman"/>
          <w:b/>
          <w:bCs/>
          <w:color w:val="000000"/>
          <w:spacing w:val="2"/>
          <w:sz w:val="24"/>
        </w:rPr>
        <w:t>程</w:t>
      </w:r>
      <w:r>
        <w:rPr>
          <w:rFonts w:hint="eastAsia" w:ascii="Times New Roman" w:hAnsi="Times New Roman" w:eastAsia="宋体" w:cs="Times New Roman"/>
          <w:b/>
          <w:bCs/>
          <w:color w:val="000000"/>
          <w:sz w:val="24"/>
        </w:rPr>
        <w:t>名</w:t>
      </w:r>
      <w:r>
        <w:rPr>
          <w:rFonts w:hint="eastAsia" w:ascii="Times New Roman" w:hAnsi="Times New Roman" w:eastAsia="宋体" w:cs="Times New Roman"/>
          <w:b/>
          <w:bCs/>
          <w:color w:val="000000"/>
          <w:spacing w:val="2"/>
          <w:sz w:val="24"/>
        </w:rPr>
        <w:t>称</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1038C5C6">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项</w:t>
      </w:r>
      <w:r>
        <w:rPr>
          <w:rFonts w:hint="eastAsia" w:ascii="Times New Roman" w:hAnsi="Times New Roman" w:eastAsia="宋体" w:cs="Times New Roman"/>
          <w:b/>
          <w:bCs/>
          <w:color w:val="000000"/>
          <w:spacing w:val="2"/>
          <w:sz w:val="24"/>
        </w:rPr>
        <w:t>目</w:t>
      </w:r>
      <w:r>
        <w:rPr>
          <w:rFonts w:hint="eastAsia" w:ascii="Times New Roman" w:hAnsi="Times New Roman" w:eastAsia="宋体" w:cs="Times New Roman"/>
          <w:b/>
          <w:bCs/>
          <w:color w:val="000000"/>
          <w:sz w:val="24"/>
        </w:rPr>
        <w:t>编</w:t>
      </w:r>
      <w:r>
        <w:rPr>
          <w:rFonts w:hint="eastAsia" w:ascii="Times New Roman" w:hAnsi="Times New Roman" w:eastAsia="宋体" w:cs="Times New Roman"/>
          <w:b/>
          <w:bCs/>
          <w:color w:val="000000"/>
          <w:spacing w:val="2"/>
          <w:sz w:val="24"/>
        </w:rPr>
        <w:t>号</w:t>
      </w:r>
      <w:r>
        <w:rPr>
          <w:rFonts w:hint="eastAsia" w:ascii="Times New Roman" w:hAnsi="Times New Roman" w:eastAsia="宋体" w:cs="Times New Roman"/>
          <w:b/>
          <w:bCs/>
          <w:color w:val="000000"/>
          <w:sz w:val="24"/>
        </w:rPr>
        <w:t>：</w:t>
      </w:r>
      <w:r>
        <w:rPr>
          <w:rFonts w:hint="eastAsia"/>
          <w:b/>
          <w:bCs/>
          <w:color w:val="000000"/>
          <w:sz w:val="28"/>
          <w:u w:val="single"/>
        </w:rPr>
        <w:t xml:space="preserve">                            </w:t>
      </w:r>
    </w:p>
    <w:p w14:paraId="43E4F957">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rPr>
      </w:pPr>
      <w:r>
        <w:rPr>
          <w:rFonts w:hint="eastAsia" w:ascii="Times New Roman" w:hAnsi="Times New Roman" w:eastAsia="宋体" w:cs="Times New Roman"/>
          <w:b/>
          <w:bCs/>
          <w:color w:val="000000"/>
          <w:sz w:val="24"/>
        </w:rPr>
        <w:t xml:space="preserve">         </w:t>
      </w:r>
      <w:r>
        <w:rPr>
          <w:rFonts w:hint="eastAsia" w:cs="Times New Roman"/>
          <w:b/>
          <w:bCs/>
          <w:color w:val="000000"/>
          <w:sz w:val="24"/>
          <w:lang w:val="en-US" w:eastAsia="zh-CN"/>
        </w:rPr>
        <w:t xml:space="preserve">  </w:t>
      </w:r>
      <w:r>
        <w:rPr>
          <w:rFonts w:hint="eastAsia" w:ascii="Times New Roman" w:hAnsi="Times New Roman" w:eastAsia="宋体" w:cs="Times New Roman"/>
          <w:b/>
          <w:bCs/>
          <w:color w:val="000000"/>
          <w:sz w:val="24"/>
        </w:rPr>
        <w:t>供应商</w:t>
      </w:r>
      <w:r>
        <w:rPr>
          <w:rFonts w:hint="eastAsia" w:ascii="Times New Roman" w:hAnsi="Times New Roman" w:eastAsia="宋体" w:cs="Times New Roman"/>
          <w:b/>
          <w:bCs/>
          <w:color w:val="000000"/>
          <w:spacing w:val="2"/>
          <w:sz w:val="24"/>
        </w:rPr>
        <w:t>名</w:t>
      </w:r>
      <w:r>
        <w:rPr>
          <w:rFonts w:hint="eastAsia" w:ascii="Times New Roman" w:hAnsi="Times New Roman" w:eastAsia="宋体" w:cs="Times New Roman"/>
          <w:b/>
          <w:bCs/>
          <w:color w:val="000000"/>
          <w:sz w:val="24"/>
        </w:rPr>
        <w:t>称：</w:t>
      </w:r>
      <w:bookmarkEnd w:id="84"/>
      <w:r>
        <w:rPr>
          <w:rFonts w:hint="eastAsia"/>
          <w:b/>
          <w:bCs/>
          <w:color w:val="000000"/>
          <w:sz w:val="28"/>
          <w:u w:val="single"/>
        </w:rPr>
        <w:t xml:space="preserve">                           </w:t>
      </w:r>
    </w:p>
    <w:p w14:paraId="4C2C90E1">
      <w:pPr>
        <w:keepNext w:val="0"/>
        <w:keepLines w:val="0"/>
        <w:widowControl w:val="0"/>
        <w:kinsoku w:val="0"/>
        <w:overflowPunct w:val="0"/>
        <w:spacing w:beforeLines="0" w:beforeAutospacing="0" w:after="120" w:afterLines="0" w:afterAutospacing="0" w:line="499" w:lineRule="auto"/>
        <w:ind w:right="3325"/>
        <w:jc w:val="left"/>
        <w:outlineLvl w:val="9"/>
        <w:rPr>
          <w:rFonts w:hint="eastAsia"/>
          <w:b/>
          <w:bCs/>
          <w:color w:val="000000"/>
          <w:sz w:val="28"/>
          <w:u w:val="single"/>
          <w:lang w:val="en-US" w:eastAsia="zh-CN"/>
        </w:rPr>
      </w:pPr>
      <w:r>
        <w:rPr>
          <w:rFonts w:hint="eastAsia" w:ascii="Times New Roman" w:hAnsi="Times New Roman" w:eastAsia="宋体" w:cs="Times New Roman"/>
          <w:b/>
          <w:bCs/>
          <w:color w:val="000000"/>
          <w:sz w:val="24"/>
          <w:u w:val="none"/>
          <w:lang w:val="en-US" w:eastAsia="zh-CN"/>
        </w:rPr>
        <w:t xml:space="preserve">           分    标：</w:t>
      </w:r>
      <w:r>
        <w:rPr>
          <w:rFonts w:hint="eastAsia"/>
          <w:b/>
          <w:bCs/>
          <w:color w:val="000000"/>
          <w:sz w:val="28"/>
          <w:u w:val="single"/>
          <w:lang w:val="en-US" w:eastAsia="zh-CN"/>
        </w:rPr>
        <w:t xml:space="preserve">              </w:t>
      </w:r>
    </w:p>
    <w:p w14:paraId="5F57A0AD">
      <w:pPr>
        <w:kinsoku w:val="0"/>
        <w:overflowPunct w:val="0"/>
        <w:spacing w:before="3" w:line="150" w:lineRule="exact"/>
        <w:rPr>
          <w:b/>
          <w:bCs/>
          <w:color w:val="000000"/>
          <w:sz w:val="15"/>
        </w:rPr>
      </w:pPr>
    </w:p>
    <w:p w14:paraId="6ED2C7D4">
      <w:pPr>
        <w:kinsoku w:val="0"/>
        <w:overflowPunct w:val="0"/>
        <w:spacing w:line="499" w:lineRule="auto"/>
        <w:ind w:left="1276" w:right="3325"/>
        <w:rPr>
          <w:rFonts w:hint="eastAsia" w:ascii="宋体" w:hAnsi="宋体"/>
          <w:b/>
          <w:bCs/>
          <w:color w:val="000000"/>
          <w:sz w:val="30"/>
          <w:u w:val="single"/>
        </w:rPr>
      </w:pPr>
      <w:bookmarkStart w:id="85" w:name="_Toc26327_WPSOffice_Level1"/>
      <w:r>
        <w:rPr>
          <w:rFonts w:hint="eastAsia" w:ascii="宋体" w:hAnsi="宋体"/>
          <w:b/>
          <w:bCs/>
          <w:color w:val="000000"/>
          <w:sz w:val="30"/>
        </w:rPr>
        <w:t>法</w:t>
      </w:r>
      <w:r>
        <w:rPr>
          <w:rFonts w:hint="eastAsia" w:ascii="宋体" w:hAnsi="宋体"/>
          <w:b/>
          <w:bCs/>
          <w:color w:val="000000"/>
          <w:spacing w:val="2"/>
          <w:sz w:val="30"/>
        </w:rPr>
        <w:t>定</w:t>
      </w:r>
      <w:r>
        <w:rPr>
          <w:rFonts w:hint="eastAsia" w:ascii="宋体" w:hAnsi="宋体"/>
          <w:b/>
          <w:bCs/>
          <w:color w:val="000000"/>
          <w:sz w:val="30"/>
        </w:rPr>
        <w:t>代</w:t>
      </w:r>
      <w:r>
        <w:rPr>
          <w:rFonts w:hint="eastAsia" w:ascii="宋体" w:hAnsi="宋体"/>
          <w:b/>
          <w:bCs/>
          <w:color w:val="000000"/>
          <w:spacing w:val="2"/>
          <w:sz w:val="30"/>
        </w:rPr>
        <w:t>表</w:t>
      </w:r>
      <w:r>
        <w:rPr>
          <w:rFonts w:hint="eastAsia" w:ascii="宋体" w:hAnsi="宋体"/>
          <w:b/>
          <w:bCs/>
          <w:color w:val="000000"/>
          <w:sz w:val="30"/>
        </w:rPr>
        <w:t>人</w:t>
      </w:r>
      <w:r>
        <w:rPr>
          <w:rFonts w:hint="eastAsia" w:ascii="宋体" w:hAnsi="宋体"/>
          <w:b/>
          <w:bCs/>
          <w:color w:val="000000"/>
          <w:spacing w:val="2"/>
          <w:sz w:val="30"/>
        </w:rPr>
        <w:t>或</w:t>
      </w:r>
      <w:r>
        <w:rPr>
          <w:rFonts w:hint="eastAsia" w:ascii="宋体" w:hAnsi="宋体"/>
          <w:b/>
          <w:bCs/>
          <w:color w:val="000000"/>
          <w:sz w:val="30"/>
        </w:rPr>
        <w:t>授</w:t>
      </w:r>
      <w:r>
        <w:rPr>
          <w:rFonts w:hint="eastAsia" w:ascii="宋体" w:hAnsi="宋体"/>
          <w:b/>
          <w:bCs/>
          <w:color w:val="000000"/>
          <w:spacing w:val="2"/>
          <w:sz w:val="30"/>
        </w:rPr>
        <w:t>权</w:t>
      </w:r>
      <w:r>
        <w:rPr>
          <w:rFonts w:hint="eastAsia" w:ascii="宋体" w:hAnsi="宋体"/>
          <w:b/>
          <w:bCs/>
          <w:color w:val="000000"/>
          <w:sz w:val="30"/>
        </w:rPr>
        <w:t>委</w:t>
      </w:r>
      <w:r>
        <w:rPr>
          <w:rFonts w:hint="eastAsia" w:ascii="宋体" w:hAnsi="宋体"/>
          <w:b/>
          <w:bCs/>
          <w:color w:val="000000"/>
          <w:spacing w:val="2"/>
          <w:sz w:val="30"/>
        </w:rPr>
        <w:t>托</w:t>
      </w:r>
      <w:r>
        <w:rPr>
          <w:rFonts w:hint="eastAsia" w:ascii="宋体" w:hAnsi="宋体"/>
          <w:b/>
          <w:bCs/>
          <w:color w:val="000000"/>
          <w:sz w:val="30"/>
        </w:rPr>
        <w:t>代</w:t>
      </w:r>
      <w:r>
        <w:rPr>
          <w:rFonts w:hint="eastAsia" w:ascii="宋体" w:hAnsi="宋体"/>
          <w:b/>
          <w:bCs/>
          <w:color w:val="000000"/>
          <w:spacing w:val="2"/>
          <w:sz w:val="30"/>
        </w:rPr>
        <w:t>理</w:t>
      </w:r>
      <w:r>
        <w:rPr>
          <w:rFonts w:hint="eastAsia" w:ascii="宋体" w:hAnsi="宋体"/>
          <w:b/>
          <w:bCs/>
          <w:color w:val="000000"/>
          <w:sz w:val="30"/>
        </w:rPr>
        <w:t xml:space="preserve">人： </w:t>
      </w:r>
      <w:r>
        <w:rPr>
          <w:rFonts w:hint="eastAsia"/>
          <w:b/>
          <w:bCs/>
          <w:color w:val="000000"/>
          <w:sz w:val="28"/>
          <w:u w:val="single"/>
        </w:rPr>
        <w:t xml:space="preserve">             </w:t>
      </w:r>
    </w:p>
    <w:p w14:paraId="4FFA2AC4">
      <w:pPr>
        <w:kinsoku w:val="0"/>
        <w:overflowPunct w:val="0"/>
        <w:spacing w:line="499" w:lineRule="auto"/>
        <w:ind w:left="1276" w:right="3325"/>
        <w:rPr>
          <w:rFonts w:hint="eastAsia"/>
          <w:b/>
          <w:bCs/>
          <w:color w:val="000000"/>
          <w:sz w:val="28"/>
          <w:u w:val="single"/>
        </w:rPr>
      </w:pPr>
      <w:r>
        <w:rPr>
          <w:rFonts w:hint="eastAsia"/>
          <w:b/>
          <w:bCs/>
          <w:color w:val="000000"/>
          <w:sz w:val="30"/>
        </w:rPr>
        <w:t>供应商</w:t>
      </w:r>
      <w:r>
        <w:rPr>
          <w:rFonts w:hint="eastAsia" w:ascii="宋体" w:hAnsi="宋体"/>
          <w:b/>
          <w:bCs/>
          <w:color w:val="000000"/>
          <w:spacing w:val="2"/>
          <w:sz w:val="30"/>
        </w:rPr>
        <w:t>地</w:t>
      </w:r>
      <w:r>
        <w:rPr>
          <w:rFonts w:hint="eastAsia" w:ascii="宋体" w:hAnsi="宋体"/>
          <w:b/>
          <w:bCs/>
          <w:color w:val="000000"/>
          <w:sz w:val="30"/>
        </w:rPr>
        <w:t>址：</w:t>
      </w:r>
      <w:bookmarkEnd w:id="85"/>
      <w:r>
        <w:rPr>
          <w:rFonts w:hint="eastAsia"/>
          <w:b/>
          <w:bCs/>
          <w:color w:val="000000"/>
          <w:sz w:val="28"/>
          <w:u w:val="single"/>
        </w:rPr>
        <w:t xml:space="preserve">                            </w:t>
      </w:r>
    </w:p>
    <w:p w14:paraId="08D579B0">
      <w:pPr>
        <w:kinsoku w:val="0"/>
        <w:overflowPunct w:val="0"/>
        <w:spacing w:before="16" w:line="280" w:lineRule="exact"/>
        <w:rPr>
          <w:color w:val="000000"/>
          <w:sz w:val="28"/>
        </w:rPr>
      </w:pPr>
    </w:p>
    <w:p w14:paraId="2680643E">
      <w:pPr>
        <w:tabs>
          <w:tab w:val="left" w:pos="1234"/>
          <w:tab w:val="left" w:pos="2737"/>
          <w:tab w:val="left" w:pos="3488"/>
          <w:tab w:val="left" w:pos="4239"/>
        </w:tabs>
        <w:kinsoku w:val="0"/>
        <w:overflowPunct w:val="0"/>
        <w:ind w:left="183"/>
        <w:jc w:val="center"/>
        <w:rPr>
          <w:rFonts w:hint="eastAsia" w:ascii="宋体" w:hAnsi="宋体"/>
          <w:color w:val="000000"/>
          <w:sz w:val="30"/>
        </w:rPr>
      </w:pPr>
      <w:r>
        <w:rPr>
          <w:rFonts w:hint="eastAsia" w:ascii="宋体" w:hAnsi="宋体"/>
          <w:color w:val="000000"/>
          <w:sz w:val="30"/>
        </w:rPr>
        <w:t>日</w:t>
      </w:r>
      <w:r>
        <w:rPr>
          <w:rFonts w:hint="eastAsia" w:ascii="宋体" w:hAnsi="宋体"/>
          <w:color w:val="000000"/>
          <w:sz w:val="30"/>
        </w:rPr>
        <w:tab/>
      </w:r>
      <w:r>
        <w:rPr>
          <w:rFonts w:hint="eastAsia" w:ascii="宋体" w:hAnsi="宋体"/>
          <w:color w:val="000000"/>
          <w:sz w:val="30"/>
        </w:rPr>
        <w:t>期：</w:t>
      </w:r>
      <w:r>
        <w:rPr>
          <w:rFonts w:hint="eastAsia" w:ascii="宋体" w:hAnsi="宋体"/>
          <w:color w:val="000000"/>
          <w:sz w:val="30"/>
        </w:rPr>
        <w:tab/>
      </w:r>
      <w:r>
        <w:rPr>
          <w:rFonts w:hint="eastAsia" w:ascii="宋体" w:hAnsi="宋体"/>
          <w:color w:val="000000"/>
          <w:sz w:val="30"/>
        </w:rPr>
        <w:t>年</w:t>
      </w:r>
      <w:r>
        <w:rPr>
          <w:rFonts w:hint="eastAsia" w:ascii="宋体" w:hAnsi="宋体"/>
          <w:color w:val="000000"/>
          <w:sz w:val="30"/>
        </w:rPr>
        <w:tab/>
      </w:r>
      <w:r>
        <w:rPr>
          <w:rFonts w:hint="eastAsia" w:ascii="宋体" w:hAnsi="宋体"/>
          <w:color w:val="000000"/>
          <w:sz w:val="30"/>
        </w:rPr>
        <w:t>月</w:t>
      </w:r>
      <w:r>
        <w:rPr>
          <w:rFonts w:hint="eastAsia" w:ascii="宋体" w:hAnsi="宋体"/>
          <w:color w:val="000000"/>
          <w:sz w:val="30"/>
        </w:rPr>
        <w:tab/>
      </w:r>
      <w:r>
        <w:rPr>
          <w:rFonts w:hint="eastAsia" w:ascii="宋体" w:hAnsi="宋体"/>
          <w:color w:val="000000"/>
          <w:sz w:val="30"/>
        </w:rPr>
        <w:t>日</w:t>
      </w:r>
    </w:p>
    <w:p w14:paraId="6C84E3DF">
      <w:pPr>
        <w:tabs>
          <w:tab w:val="left" w:pos="1234"/>
          <w:tab w:val="left" w:pos="2737"/>
          <w:tab w:val="left" w:pos="3488"/>
          <w:tab w:val="left" w:pos="4239"/>
        </w:tabs>
        <w:kinsoku w:val="0"/>
        <w:overflowPunct w:val="0"/>
        <w:ind w:left="183"/>
        <w:jc w:val="center"/>
        <w:rPr>
          <w:rFonts w:hint="eastAsia" w:ascii="宋体" w:hAnsi="宋体"/>
          <w:color w:val="000000"/>
          <w:sz w:val="30"/>
        </w:rPr>
        <w:sectPr>
          <w:pgSz w:w="11906" w:h="16840"/>
          <w:pgMar w:top="1040" w:right="980" w:bottom="980" w:left="1080" w:header="858" w:footer="791" w:gutter="0"/>
          <w:lnNumType w:countBy="0" w:distance="360"/>
          <w:cols w:space="720" w:num="1"/>
        </w:sectPr>
      </w:pPr>
    </w:p>
    <w:p w14:paraId="5414B183">
      <w:pPr>
        <w:pStyle w:val="41"/>
      </w:pPr>
      <w:r>
        <w:t>目</w:t>
      </w:r>
      <w:r>
        <w:tab/>
      </w:r>
      <w:r>
        <w:t>录</w:t>
      </w:r>
    </w:p>
    <w:p w14:paraId="0FDB73E7">
      <w:pPr>
        <w:kinsoku w:val="0"/>
        <w:overflowPunct w:val="0"/>
        <w:spacing w:before="4" w:line="130" w:lineRule="exact"/>
        <w:rPr>
          <w:color w:val="000000"/>
          <w:sz w:val="13"/>
        </w:rPr>
      </w:pPr>
    </w:p>
    <w:p w14:paraId="16F60738">
      <w:pPr>
        <w:kinsoku w:val="0"/>
        <w:overflowPunct w:val="0"/>
        <w:spacing w:line="200" w:lineRule="exact"/>
        <w:rPr>
          <w:color w:val="000000"/>
          <w:sz w:val="20"/>
        </w:rPr>
      </w:pPr>
    </w:p>
    <w:p w14:paraId="74369347">
      <w:pPr>
        <w:kinsoku w:val="0"/>
        <w:overflowPunct w:val="0"/>
        <w:spacing w:line="200" w:lineRule="exact"/>
        <w:rPr>
          <w:color w:val="000000"/>
          <w:sz w:val="20"/>
        </w:rPr>
      </w:pPr>
    </w:p>
    <w:p w14:paraId="42297024">
      <w:pPr>
        <w:kinsoku w:val="0"/>
        <w:overflowPunct w:val="0"/>
        <w:spacing w:line="200" w:lineRule="exact"/>
        <w:rPr>
          <w:color w:val="000000"/>
          <w:sz w:val="20"/>
        </w:rPr>
      </w:pPr>
    </w:p>
    <w:p w14:paraId="744A0266">
      <w:pPr>
        <w:pStyle w:val="11"/>
        <w:rPr>
          <w:color w:val="000000"/>
        </w:rPr>
      </w:pPr>
      <w:r>
        <w:rPr>
          <w:color w:val="000000"/>
        </w:rPr>
        <w:t>二次性报价期间递交：（以下材料，必须提供，复印件加盖公章，否则磋商无效）（如投标人在二次报价时，总报价不做改变，则无需再次提供二次报价已标价工程量清单）</w:t>
      </w:r>
    </w:p>
    <w:p w14:paraId="286F8762">
      <w:pPr>
        <w:pStyle w:val="11"/>
        <w:numPr>
          <w:ilvl w:val="0"/>
          <w:numId w:val="66"/>
        </w:numPr>
        <w:ind w:left="0" w:leftChars="0" w:firstLine="480" w:firstLineChars="0"/>
        <w:rPr>
          <w:b w:val="0"/>
          <w:color w:val="000000"/>
        </w:rPr>
      </w:pPr>
      <w:bookmarkStart w:id="86" w:name="_Toc25353_WPSOffice_Level1"/>
      <w:r>
        <w:rPr>
          <w:color w:val="000000"/>
        </w:rPr>
        <w:t>二次报价磋商报价函；</w:t>
      </w:r>
      <w:bookmarkEnd w:id="86"/>
    </w:p>
    <w:p w14:paraId="17BDD0B5">
      <w:pPr>
        <w:pStyle w:val="11"/>
        <w:numPr>
          <w:ilvl w:val="0"/>
          <w:numId w:val="66"/>
        </w:numPr>
        <w:ind w:left="0" w:leftChars="0" w:firstLine="480" w:firstLineChars="0"/>
        <w:rPr>
          <w:b w:val="0"/>
          <w:color w:val="000000"/>
        </w:rPr>
      </w:pPr>
      <w:bookmarkStart w:id="87" w:name="_Toc18335_WPSOffice_Level1"/>
      <w:r>
        <w:rPr>
          <w:color w:val="000000"/>
        </w:rPr>
        <w:t>二次报价已标价的工程量清单。</w:t>
      </w:r>
      <w:bookmarkEnd w:id="87"/>
    </w:p>
    <w:p w14:paraId="6A84459D">
      <w:pPr>
        <w:pStyle w:val="11"/>
        <w:kinsoku w:val="0"/>
        <w:overflowPunct w:val="0"/>
        <w:spacing w:line="310" w:lineRule="auto"/>
        <w:ind w:firstLine="420"/>
        <w:rPr>
          <w:color w:val="000000"/>
          <w:spacing w:val="-1"/>
          <w:szCs w:val="22"/>
        </w:rPr>
        <w:sectPr>
          <w:pgSz w:w="11906" w:h="16840"/>
          <w:pgMar w:top="1040" w:right="780" w:bottom="980" w:left="1080" w:header="858" w:footer="791" w:gutter="0"/>
          <w:lnNumType w:countBy="0" w:distance="360"/>
          <w:cols w:space="720" w:num="1"/>
        </w:sectPr>
      </w:pPr>
    </w:p>
    <w:p w14:paraId="1BA1BBAB">
      <w:pPr>
        <w:pStyle w:val="42"/>
        <w:numPr>
          <w:ilvl w:val="0"/>
          <w:numId w:val="67"/>
        </w:numPr>
        <w:topLinePunct w:val="0"/>
        <w:ind w:left="0" w:leftChars="0" w:firstLine="0" w:firstLineChars="0"/>
        <w:outlineLvl w:val="0"/>
        <w:rPr>
          <w:b w:val="0"/>
        </w:rPr>
      </w:pPr>
      <w:bookmarkStart w:id="88" w:name="_Toc1573"/>
      <w:bookmarkStart w:id="89" w:name="_Toc3397"/>
      <w:r>
        <w:t>二次报价竞争性磋商报价函</w:t>
      </w:r>
      <w:bookmarkEnd w:id="88"/>
      <w:bookmarkEnd w:id="89"/>
    </w:p>
    <w:p w14:paraId="76FBA2D6">
      <w:pPr>
        <w:kinsoku w:val="0"/>
        <w:overflowPunct w:val="0"/>
        <w:spacing w:before="8" w:line="170" w:lineRule="exact"/>
        <w:rPr>
          <w:color w:val="000000"/>
          <w:sz w:val="17"/>
        </w:rPr>
      </w:pPr>
    </w:p>
    <w:p w14:paraId="7D643A1E">
      <w:pPr>
        <w:pStyle w:val="11"/>
        <w:ind w:firstLine="0" w:firstLineChars="0"/>
        <w:rPr>
          <w:color w:val="000000"/>
        </w:rPr>
      </w:pPr>
      <w:r>
        <w:rPr>
          <w:color w:val="000000"/>
        </w:rPr>
        <w:t xml:space="preserve">致 </w:t>
      </w:r>
      <w:r>
        <w:rPr>
          <w:color w:val="000000"/>
          <w:u w:val="single"/>
        </w:rPr>
        <w:t>（采购人）</w:t>
      </w:r>
      <w:r>
        <w:rPr>
          <w:color w:val="000000"/>
          <w:u w:val="single"/>
        </w:rPr>
        <w:tab/>
      </w:r>
      <w:r>
        <w:rPr>
          <w:color w:val="000000"/>
        </w:rPr>
        <w:t>：</w:t>
      </w:r>
    </w:p>
    <w:p w14:paraId="1BF9A998">
      <w:pPr>
        <w:kinsoku w:val="0"/>
        <w:overflowPunct w:val="0"/>
        <w:spacing w:before="9" w:line="120" w:lineRule="exact"/>
        <w:rPr>
          <w:color w:val="000000"/>
          <w:sz w:val="12"/>
        </w:rPr>
      </w:pPr>
    </w:p>
    <w:p w14:paraId="0A601422">
      <w:pPr>
        <w:pStyle w:val="11"/>
        <w:numPr>
          <w:ilvl w:val="0"/>
          <w:numId w:val="68"/>
        </w:numPr>
        <w:ind w:left="0" w:leftChars="0" w:firstLine="480" w:firstLineChars="0"/>
        <w:rPr>
          <w:b w:val="0"/>
          <w:color w:val="000000"/>
        </w:rPr>
      </w:pPr>
      <w:r>
        <w:rPr>
          <w:color w:val="000000"/>
        </w:rPr>
        <w:t>我公司根据收到并研究了</w:t>
      </w:r>
      <w:r>
        <w:rPr>
          <w:color w:val="000000"/>
          <w:u w:val="single"/>
        </w:rPr>
        <w:tab/>
      </w:r>
      <w:r>
        <w:rPr>
          <w:color w:val="000000"/>
        </w:rPr>
        <w:t>工程（项目编号：</w:t>
      </w:r>
      <w:r>
        <w:rPr>
          <w:color w:val="000000"/>
          <w:u w:val="single"/>
        </w:rPr>
        <w:tab/>
      </w:r>
      <w:r>
        <w:rPr>
          <w:color w:val="000000"/>
        </w:rPr>
        <w:t>）的竞争性磋商文件，愿意按竞争性磋商文件规定的内容承担该工程的施工任务，严格执行供应商所承诺的责任和义务。</w:t>
      </w:r>
    </w:p>
    <w:p w14:paraId="61B63760">
      <w:pPr>
        <w:pStyle w:val="11"/>
        <w:numPr>
          <w:ilvl w:val="0"/>
          <w:numId w:val="68"/>
        </w:numPr>
        <w:ind w:left="0" w:leftChars="0" w:firstLine="480" w:firstLineChars="0"/>
        <w:rPr>
          <w:b w:val="0"/>
          <w:color w:val="000000"/>
        </w:rPr>
      </w:pPr>
      <w:r>
        <w:rPr>
          <w:color w:val="000000"/>
        </w:rPr>
        <w:t>我单位经考察现场和研究上述工程竞争性磋商文件的供应商须知、合同条件、工程建设标准、图纸及其他有关文件后，我方愿以人民币</w:t>
      </w:r>
      <w:r>
        <w:rPr>
          <w:color w:val="000000"/>
          <w:u w:val="single"/>
        </w:rPr>
        <w:t>（大写）</w:t>
      </w:r>
      <w:r>
        <w:rPr>
          <w:color w:val="000000"/>
          <w:u w:val="single"/>
        </w:rPr>
        <w:tab/>
      </w:r>
      <w:r>
        <w:rPr>
          <w:color w:val="000000"/>
        </w:rPr>
        <w:t>（小写）</w:t>
      </w:r>
      <w:r>
        <w:rPr>
          <w:color w:val="000000"/>
          <w:u w:val="single"/>
        </w:rPr>
        <w:t>￥</w:t>
      </w:r>
      <w:r>
        <w:rPr>
          <w:color w:val="000000"/>
          <w:u w:val="single"/>
        </w:rPr>
        <w:tab/>
      </w:r>
      <w:r>
        <w:rPr>
          <w:color w:val="000000"/>
        </w:rPr>
        <w:t>的总价作为最终报价，按施工图的设 计要求承包本招标范围内全部工程的施工、竣工和保修。</w:t>
      </w:r>
    </w:p>
    <w:p w14:paraId="264A907C">
      <w:pPr>
        <w:pStyle w:val="11"/>
        <w:numPr>
          <w:ilvl w:val="0"/>
          <w:numId w:val="68"/>
        </w:numPr>
        <w:ind w:left="0" w:leftChars="0" w:firstLine="480" w:firstLineChars="0"/>
        <w:rPr>
          <w:b w:val="0"/>
          <w:color w:val="000000"/>
        </w:rPr>
      </w:pPr>
      <w:r>
        <w:rPr>
          <w:color w:val="000000"/>
        </w:rPr>
        <w:t xml:space="preserve">一旦我方成交，我方保证按合同书中规定的工期 </w:t>
      </w:r>
      <w:r>
        <w:rPr>
          <w:color w:val="000000"/>
          <w:u w:val="single"/>
        </w:rPr>
        <w:t xml:space="preserve">    </w:t>
      </w:r>
      <w:r>
        <w:rPr>
          <w:color w:val="000000"/>
        </w:rPr>
        <w:t>日历天内完成并移交全部工程，并保证工程质量</w:t>
      </w:r>
      <w:r>
        <w:rPr>
          <w:color w:val="000000"/>
          <w:u w:val="single"/>
        </w:rPr>
        <w:tab/>
      </w:r>
      <w:r>
        <w:rPr>
          <w:color w:val="000000"/>
          <w:u w:val="single"/>
        </w:rPr>
        <w:t xml:space="preserve">       </w:t>
      </w:r>
      <w:r>
        <w:rPr>
          <w:color w:val="000000"/>
        </w:rPr>
        <w:t>。</w:t>
      </w:r>
    </w:p>
    <w:p w14:paraId="147EEE0C">
      <w:pPr>
        <w:pStyle w:val="11"/>
        <w:numPr>
          <w:ilvl w:val="0"/>
          <w:numId w:val="68"/>
        </w:numPr>
        <w:ind w:left="0" w:leftChars="0" w:firstLine="480" w:firstLineChars="0"/>
        <w:rPr>
          <w:b w:val="0"/>
          <w:color w:val="000000"/>
        </w:rPr>
      </w:pPr>
      <w:r>
        <w:rPr>
          <w:color w:val="000000"/>
        </w:rPr>
        <w:t>我方同意所递交的响应文件在“磋商供应商须知”第 13 条规定的响应有效期内有效，在此期间内我方的磋商有可能成交，我方将受此约束。</w:t>
      </w:r>
    </w:p>
    <w:p w14:paraId="60B95A3E">
      <w:pPr>
        <w:pStyle w:val="11"/>
        <w:numPr>
          <w:ilvl w:val="0"/>
          <w:numId w:val="68"/>
        </w:numPr>
        <w:ind w:left="0" w:leftChars="0" w:firstLine="480" w:firstLineChars="0"/>
        <w:rPr>
          <w:b w:val="0"/>
          <w:color w:val="000000"/>
        </w:rPr>
      </w:pPr>
      <w:r>
        <w:rPr>
          <w:color w:val="000000"/>
        </w:rPr>
        <w:t>一旦成交，我公司保证按照竞争性磋商文件的要求和与采购人签订的工程施工合同，成立本工程的 项目部，按响应文件拟订的建造师和专业技术人员进驻施工现场实施施工合同。</w:t>
      </w:r>
    </w:p>
    <w:p w14:paraId="0F7CD0E4">
      <w:pPr>
        <w:pStyle w:val="11"/>
        <w:numPr>
          <w:ilvl w:val="0"/>
          <w:numId w:val="68"/>
        </w:numPr>
        <w:ind w:left="0" w:leftChars="0" w:firstLine="480" w:firstLineChars="0"/>
        <w:rPr>
          <w:b w:val="0"/>
          <w:color w:val="000000"/>
        </w:rPr>
      </w:pPr>
      <w:r>
        <w:rPr>
          <w:color w:val="000000"/>
        </w:rPr>
        <w:t>我公司同意从响应之日起至施工合同终止之日止，遵守本响应文件，在此期间，本响应文件一直对我公司具有约束力。同时，在制定和执行正式合同之前，除非另外达成协议并生效，本响应文件连同采购代理机构发出的成交通知书，应构成我们之间有约束力的合同。</w:t>
      </w:r>
    </w:p>
    <w:p w14:paraId="73E9E062">
      <w:pPr>
        <w:kinsoku w:val="0"/>
        <w:overflowPunct w:val="0"/>
        <w:spacing w:before="2" w:line="120" w:lineRule="exact"/>
        <w:rPr>
          <w:color w:val="000000"/>
          <w:sz w:val="12"/>
        </w:rPr>
      </w:pPr>
    </w:p>
    <w:p w14:paraId="19493B92">
      <w:pPr>
        <w:kinsoku w:val="0"/>
        <w:overflowPunct w:val="0"/>
        <w:spacing w:line="200" w:lineRule="exact"/>
        <w:rPr>
          <w:color w:val="000000"/>
          <w:sz w:val="20"/>
        </w:rPr>
      </w:pPr>
    </w:p>
    <w:p w14:paraId="54D0FC65">
      <w:pPr>
        <w:kinsoku w:val="0"/>
        <w:overflowPunct w:val="0"/>
        <w:spacing w:line="200" w:lineRule="exact"/>
        <w:rPr>
          <w:color w:val="000000"/>
          <w:sz w:val="20"/>
        </w:rPr>
      </w:pPr>
    </w:p>
    <w:p w14:paraId="4FA0D02A">
      <w:pPr>
        <w:kinsoku w:val="0"/>
        <w:overflowPunct w:val="0"/>
        <w:spacing w:line="360" w:lineRule="auto"/>
        <w:rPr>
          <w:color w:val="000000"/>
          <w:sz w:val="20"/>
        </w:rPr>
      </w:pPr>
    </w:p>
    <w:p w14:paraId="310EEFCA">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供应商</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587AE24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法</w:t>
      </w:r>
      <w:r>
        <w:rPr>
          <w:rFonts w:ascii="Times New Roman" w:hAnsi="Times New Roman" w:eastAsia="宋体" w:cs="Times New Roman"/>
          <w:color w:val="000000"/>
          <w:spacing w:val="2"/>
          <w:sz w:val="24"/>
        </w:rPr>
        <w:t>定</w:t>
      </w:r>
      <w:r>
        <w:rPr>
          <w:rFonts w:ascii="Times New Roman" w:hAnsi="Times New Roman" w:eastAsia="宋体" w:cs="Times New Roman"/>
          <w:color w:val="000000"/>
          <w:spacing w:val="-1"/>
          <w:sz w:val="24"/>
        </w:rPr>
        <w:t>代</w:t>
      </w:r>
      <w:r>
        <w:rPr>
          <w:rFonts w:ascii="Times New Roman" w:hAnsi="Times New Roman" w:eastAsia="宋体" w:cs="Times New Roman"/>
          <w:color w:val="000000"/>
          <w:spacing w:val="2"/>
          <w:sz w:val="24"/>
        </w:rPr>
        <w:t>表</w:t>
      </w:r>
      <w:r>
        <w:rPr>
          <w:rFonts w:ascii="Times New Roman" w:hAnsi="Times New Roman" w:eastAsia="宋体" w:cs="Times New Roman"/>
          <w:color w:val="000000"/>
          <w:spacing w:val="-1"/>
          <w:sz w:val="24"/>
        </w:rPr>
        <w:t>人</w:t>
      </w:r>
      <w:r>
        <w:rPr>
          <w:rFonts w:ascii="Times New Roman" w:hAnsi="Times New Roman" w:eastAsia="宋体" w:cs="Times New Roman"/>
          <w:color w:val="000000"/>
          <w:spacing w:val="2"/>
          <w:sz w:val="24"/>
        </w:rPr>
        <w:t>或</w:t>
      </w:r>
      <w:r>
        <w:rPr>
          <w:rFonts w:ascii="Times New Roman" w:hAnsi="Times New Roman" w:eastAsia="宋体" w:cs="Times New Roman"/>
          <w:color w:val="000000"/>
          <w:spacing w:val="-1"/>
          <w:sz w:val="24"/>
        </w:rPr>
        <w:t>其</w:t>
      </w:r>
      <w:r>
        <w:rPr>
          <w:rFonts w:ascii="Times New Roman" w:hAnsi="Times New Roman" w:eastAsia="宋体" w:cs="Times New Roman"/>
          <w:color w:val="000000"/>
          <w:spacing w:val="2"/>
          <w:sz w:val="24"/>
        </w:rPr>
        <w:t>委</w:t>
      </w:r>
      <w:r>
        <w:rPr>
          <w:rFonts w:ascii="Times New Roman" w:hAnsi="Times New Roman" w:eastAsia="宋体" w:cs="Times New Roman"/>
          <w:color w:val="000000"/>
          <w:spacing w:val="-1"/>
          <w:sz w:val="24"/>
        </w:rPr>
        <w:t>托</w:t>
      </w:r>
      <w:r>
        <w:rPr>
          <w:rFonts w:ascii="Times New Roman" w:hAnsi="Times New Roman" w:eastAsia="宋体" w:cs="Times New Roman"/>
          <w:color w:val="000000"/>
          <w:spacing w:val="2"/>
          <w:sz w:val="24"/>
        </w:rPr>
        <w:t>代</w:t>
      </w:r>
      <w:r>
        <w:rPr>
          <w:rFonts w:ascii="Times New Roman" w:hAnsi="Times New Roman" w:eastAsia="宋体" w:cs="Times New Roman"/>
          <w:color w:val="000000"/>
          <w:spacing w:val="-1"/>
          <w:sz w:val="24"/>
        </w:rPr>
        <w:t>理</w:t>
      </w:r>
      <w:r>
        <w:rPr>
          <w:rFonts w:ascii="Times New Roman" w:hAnsi="Times New Roman" w:eastAsia="宋体" w:cs="Times New Roman"/>
          <w:color w:val="000000"/>
          <w:spacing w:val="2"/>
          <w:sz w:val="24"/>
        </w:rPr>
        <w:t>人</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w:t>
      </w:r>
      <w:r>
        <w:rPr>
          <w:rFonts w:ascii="Times New Roman" w:hAnsi="Times New Roman" w:eastAsia="宋体" w:cs="Times New Roman"/>
          <w:color w:val="000000"/>
          <w:spacing w:val="-1"/>
          <w:sz w:val="24"/>
        </w:rPr>
        <w:t>签</w:t>
      </w:r>
      <w:r>
        <w:rPr>
          <w:rFonts w:ascii="Times New Roman" w:hAnsi="Times New Roman" w:eastAsia="宋体" w:cs="Times New Roman"/>
          <w:color w:val="000000"/>
          <w:spacing w:val="2"/>
          <w:sz w:val="24"/>
        </w:rPr>
        <w:t>字</w:t>
      </w:r>
      <w:r>
        <w:rPr>
          <w:rFonts w:ascii="Times New Roman" w:hAnsi="Times New Roman" w:eastAsia="宋体" w:cs="Times New Roman"/>
          <w:color w:val="000000"/>
          <w:spacing w:val="-1"/>
          <w:sz w:val="24"/>
        </w:rPr>
        <w:t>、</w:t>
      </w:r>
      <w:r>
        <w:rPr>
          <w:rFonts w:ascii="Times New Roman" w:hAnsi="Times New Roman" w:eastAsia="宋体" w:cs="Times New Roman"/>
          <w:color w:val="000000"/>
          <w:spacing w:val="2"/>
          <w:sz w:val="24"/>
        </w:rPr>
        <w:t>盖</w:t>
      </w:r>
      <w:r>
        <w:rPr>
          <w:rFonts w:ascii="Times New Roman" w:hAnsi="Times New Roman" w:eastAsia="宋体" w:cs="Times New Roman"/>
          <w:color w:val="000000"/>
          <w:spacing w:val="-1"/>
          <w:sz w:val="24"/>
        </w:rPr>
        <w:t>章</w:t>
      </w:r>
      <w:r>
        <w:rPr>
          <w:rFonts w:ascii="Times New Roman" w:hAnsi="Times New Roman" w:eastAsia="宋体" w:cs="Times New Roman"/>
          <w:color w:val="000000"/>
          <w:sz w:val="24"/>
        </w:rPr>
        <w:t>）</w:t>
      </w:r>
    </w:p>
    <w:p w14:paraId="7D3591E1">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地</w:t>
      </w:r>
      <w:r>
        <w:rPr>
          <w:rFonts w:ascii="Times New Roman" w:hAnsi="Times New Roman" w:eastAsia="宋体" w:cs="Times New Roman"/>
          <w:color w:val="000000"/>
          <w:spacing w:val="2"/>
          <w:sz w:val="24"/>
        </w:rPr>
        <w:t>址</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5223B3E">
      <w:pPr>
        <w:pStyle w:val="11"/>
        <w:tabs>
          <w:tab w:val="left" w:pos="3470"/>
        </w:tabs>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邮</w:t>
      </w:r>
      <w:r>
        <w:rPr>
          <w:rFonts w:ascii="Times New Roman" w:hAnsi="Times New Roman" w:eastAsia="宋体" w:cs="Times New Roman"/>
          <w:color w:val="000000"/>
          <w:spacing w:val="2"/>
          <w:sz w:val="24"/>
        </w:rPr>
        <w:t>政</w:t>
      </w:r>
      <w:r>
        <w:rPr>
          <w:rFonts w:ascii="Times New Roman" w:hAnsi="Times New Roman" w:eastAsia="宋体" w:cs="Times New Roman"/>
          <w:color w:val="000000"/>
          <w:spacing w:val="-1"/>
          <w:sz w:val="24"/>
        </w:rPr>
        <w:t>编</w:t>
      </w:r>
      <w:r>
        <w:rPr>
          <w:rFonts w:ascii="Times New Roman" w:hAnsi="Times New Roman" w:eastAsia="宋体" w:cs="Times New Roman"/>
          <w:color w:val="000000"/>
          <w:spacing w:val="2"/>
          <w:sz w:val="24"/>
        </w:rPr>
        <w:t>码</w:t>
      </w:r>
      <w:r>
        <w:rPr>
          <w:rFonts w:ascii="Times New Roman" w:hAnsi="Times New Roman" w:eastAsia="宋体" w:cs="Times New Roman"/>
          <w:color w:val="000000"/>
          <w:sz w:val="24"/>
        </w:rPr>
        <w:t>：</w:t>
      </w:r>
    </w:p>
    <w:p w14:paraId="6E9C37EE">
      <w:pPr>
        <w:pStyle w:val="11"/>
        <w:kinsoku w:val="0"/>
        <w:overflowPunct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pacing w:val="-1"/>
          <w:sz w:val="24"/>
        </w:rPr>
        <w:t>电</w:t>
      </w:r>
      <w:r>
        <w:rPr>
          <w:rFonts w:ascii="Times New Roman" w:hAnsi="Times New Roman" w:eastAsia="宋体" w:cs="Times New Roman"/>
          <w:color w:val="000000"/>
          <w:spacing w:val="2"/>
          <w:sz w:val="24"/>
        </w:rPr>
        <w:t>话</w:t>
      </w:r>
      <w:r>
        <w:rPr>
          <w:rFonts w:ascii="Times New Roman" w:hAnsi="Times New Roman" w:eastAsia="宋体" w:cs="Times New Roman"/>
          <w:color w:val="000000"/>
          <w:sz w:val="24"/>
        </w:rPr>
        <w:t>：</w:t>
      </w:r>
    </w:p>
    <w:p w14:paraId="189F8C22">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银</w:t>
      </w:r>
      <w:r>
        <w:rPr>
          <w:rFonts w:ascii="Times New Roman" w:hAnsi="Times New Roman" w:eastAsia="宋体" w:cs="Times New Roman"/>
          <w:color w:val="000000"/>
          <w:spacing w:val="2"/>
          <w:sz w:val="24"/>
        </w:rPr>
        <w:t>行</w:t>
      </w:r>
      <w:r>
        <w:rPr>
          <w:rFonts w:ascii="Times New Roman" w:hAnsi="Times New Roman" w:eastAsia="宋体" w:cs="Times New Roman"/>
          <w:color w:val="000000"/>
          <w:spacing w:val="-1"/>
          <w:sz w:val="24"/>
        </w:rPr>
        <w:t>名</w:t>
      </w:r>
      <w:r>
        <w:rPr>
          <w:rFonts w:ascii="Times New Roman" w:hAnsi="Times New Roman" w:eastAsia="宋体" w:cs="Times New Roman"/>
          <w:color w:val="000000"/>
          <w:spacing w:val="2"/>
          <w:sz w:val="24"/>
        </w:rPr>
        <w:t>称</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p>
    <w:p w14:paraId="7A237D1E">
      <w:pPr>
        <w:pStyle w:val="11"/>
        <w:tabs>
          <w:tab w:val="left" w:pos="3470"/>
        </w:tabs>
        <w:kinsoku w:val="0"/>
        <w:overflowPunct w:val="0"/>
        <w:spacing w:line="360" w:lineRule="auto"/>
        <w:ind w:right="5506"/>
        <w:rPr>
          <w:rFonts w:ascii="Times New Roman" w:hAnsi="Times New Roman" w:eastAsia="宋体" w:cs="Times New Roman"/>
          <w:color w:val="000000"/>
          <w:spacing w:val="-1"/>
          <w:sz w:val="24"/>
          <w:szCs w:val="22"/>
        </w:rPr>
      </w:pPr>
      <w:r>
        <w:rPr>
          <w:rFonts w:ascii="Times New Roman" w:hAnsi="Times New Roman" w:eastAsia="宋体" w:cs="Times New Roman"/>
          <w:color w:val="000000"/>
          <w:spacing w:val="-1"/>
          <w:sz w:val="24"/>
          <w:szCs w:val="22"/>
        </w:rPr>
        <w:t>银行帐号：</w:t>
      </w:r>
    </w:p>
    <w:p w14:paraId="2A3F36D6">
      <w:pPr>
        <w:pStyle w:val="11"/>
        <w:tabs>
          <w:tab w:val="left" w:pos="3470"/>
        </w:tabs>
        <w:kinsoku w:val="0"/>
        <w:overflowPunct w:val="0"/>
        <w:spacing w:line="360" w:lineRule="auto"/>
        <w:ind w:right="5506"/>
        <w:rPr>
          <w:rFonts w:ascii="Times New Roman" w:hAnsi="Times New Roman" w:eastAsia="宋体" w:cs="Times New Roman"/>
          <w:color w:val="000000"/>
          <w:sz w:val="24"/>
        </w:rPr>
      </w:pPr>
      <w:r>
        <w:rPr>
          <w:rFonts w:ascii="Times New Roman" w:hAnsi="Times New Roman" w:eastAsia="宋体" w:cs="Times New Roman"/>
          <w:color w:val="000000"/>
          <w:spacing w:val="-1"/>
          <w:sz w:val="24"/>
        </w:rPr>
        <w:t>开</w:t>
      </w:r>
      <w:r>
        <w:rPr>
          <w:rFonts w:ascii="Times New Roman" w:hAnsi="Times New Roman" w:eastAsia="宋体" w:cs="Times New Roman"/>
          <w:color w:val="000000"/>
          <w:spacing w:val="2"/>
          <w:sz w:val="24"/>
        </w:rPr>
        <w:t>户</w:t>
      </w:r>
      <w:r>
        <w:rPr>
          <w:rFonts w:ascii="Times New Roman" w:hAnsi="Times New Roman" w:eastAsia="宋体" w:cs="Times New Roman"/>
          <w:color w:val="000000"/>
          <w:spacing w:val="-1"/>
          <w:sz w:val="24"/>
        </w:rPr>
        <w:t>行</w:t>
      </w:r>
      <w:r>
        <w:rPr>
          <w:rFonts w:ascii="Times New Roman" w:hAnsi="Times New Roman" w:eastAsia="宋体" w:cs="Times New Roman"/>
          <w:color w:val="000000"/>
          <w:spacing w:val="2"/>
          <w:sz w:val="24"/>
        </w:rPr>
        <w:t>地</w:t>
      </w:r>
      <w:r>
        <w:rPr>
          <w:rFonts w:ascii="Times New Roman" w:hAnsi="Times New Roman" w:eastAsia="宋体" w:cs="Times New Roman"/>
          <w:color w:val="000000"/>
          <w:spacing w:val="-1"/>
          <w:sz w:val="24"/>
        </w:rPr>
        <w:t>址</w:t>
      </w:r>
      <w:r>
        <w:rPr>
          <w:rFonts w:ascii="Times New Roman" w:hAnsi="Times New Roman" w:eastAsia="宋体" w:cs="Times New Roman"/>
          <w:color w:val="000000"/>
          <w:sz w:val="24"/>
        </w:rPr>
        <w:t>：</w:t>
      </w:r>
    </w:p>
    <w:p w14:paraId="64119D37">
      <w:pPr>
        <w:kinsoku w:val="0"/>
        <w:overflowPunct w:val="0"/>
        <w:spacing w:before="3" w:line="120" w:lineRule="exact"/>
        <w:rPr>
          <w:color w:val="000000"/>
          <w:sz w:val="12"/>
        </w:rPr>
      </w:pPr>
    </w:p>
    <w:p w14:paraId="4240A4C1">
      <w:pPr>
        <w:kinsoku w:val="0"/>
        <w:overflowPunct w:val="0"/>
        <w:spacing w:line="200" w:lineRule="exact"/>
        <w:rPr>
          <w:color w:val="000000"/>
          <w:sz w:val="20"/>
        </w:rPr>
      </w:pPr>
    </w:p>
    <w:p w14:paraId="3CB8A866">
      <w:pPr>
        <w:pStyle w:val="11"/>
        <w:tabs>
          <w:tab w:val="left" w:pos="1370"/>
          <w:tab w:val="left" w:pos="2001"/>
          <w:tab w:val="left" w:pos="2630"/>
        </w:tabs>
        <w:kinsoku w:val="0"/>
        <w:overflowPunct w:val="0"/>
        <w:rPr>
          <w:rFonts w:ascii="Times New Roman" w:hAnsi="Times New Roman" w:eastAsia="宋体" w:cs="Times New Roman"/>
          <w:color w:val="000000"/>
          <w:sz w:val="24"/>
        </w:rPr>
      </w:pPr>
      <w:r>
        <w:rPr>
          <w:rFonts w:ascii="Times New Roman" w:hAnsi="Times New Roman" w:eastAsia="宋体" w:cs="Times New Roman"/>
          <w:color w:val="000000"/>
          <w:spacing w:val="-1"/>
          <w:sz w:val="24"/>
        </w:rPr>
        <w:t>日</w:t>
      </w:r>
      <w:r>
        <w:rPr>
          <w:rFonts w:ascii="Times New Roman" w:hAnsi="Times New Roman" w:eastAsia="宋体" w:cs="Times New Roman"/>
          <w:color w:val="000000"/>
          <w:spacing w:val="2"/>
          <w:sz w:val="24"/>
        </w:rPr>
        <w:t>期</w:t>
      </w:r>
      <w:r>
        <w:rPr>
          <w:rFonts w:ascii="Times New Roman" w:hAnsi="Times New Roman" w:eastAsia="宋体" w:cs="Times New Roman"/>
          <w:color w:val="000000"/>
          <w:sz w:val="24"/>
        </w:rPr>
        <w:t>：</w:t>
      </w:r>
      <w:r>
        <w:rPr>
          <w:rFonts w:ascii="Times New Roman" w:hAnsi="Times New Roman" w:eastAsia="宋体" w:cs="Times New Roman"/>
          <w:color w:val="000000"/>
          <w:sz w:val="24"/>
        </w:rPr>
        <w:tab/>
      </w:r>
      <w:r>
        <w:rPr>
          <w:rFonts w:ascii="Times New Roman" w:hAnsi="Times New Roman" w:eastAsia="宋体" w:cs="Times New Roman"/>
          <w:color w:val="000000"/>
          <w:sz w:val="24"/>
        </w:rPr>
        <w:t>年</w:t>
      </w:r>
      <w:r>
        <w:rPr>
          <w:rFonts w:ascii="Times New Roman" w:hAnsi="Times New Roman" w:eastAsia="宋体" w:cs="Times New Roman"/>
          <w:color w:val="000000"/>
          <w:sz w:val="24"/>
        </w:rPr>
        <w:tab/>
      </w:r>
      <w:r>
        <w:rPr>
          <w:rFonts w:ascii="Times New Roman" w:hAnsi="Times New Roman" w:eastAsia="宋体" w:cs="Times New Roman"/>
          <w:color w:val="000000"/>
          <w:sz w:val="24"/>
        </w:rPr>
        <w:t>月</w:t>
      </w:r>
      <w:r>
        <w:rPr>
          <w:rFonts w:ascii="Times New Roman" w:hAnsi="Times New Roman" w:eastAsia="宋体" w:cs="Times New Roman"/>
          <w:color w:val="000000"/>
          <w:sz w:val="24"/>
        </w:rPr>
        <w:tab/>
      </w:r>
      <w:r>
        <w:rPr>
          <w:rFonts w:ascii="Times New Roman" w:hAnsi="Times New Roman" w:eastAsia="宋体" w:cs="Times New Roman"/>
          <w:color w:val="000000"/>
          <w:sz w:val="24"/>
        </w:rPr>
        <w:t>日</w:t>
      </w:r>
    </w:p>
    <w:p w14:paraId="67CC20E9">
      <w:pPr>
        <w:pStyle w:val="11"/>
        <w:tabs>
          <w:tab w:val="left" w:pos="1370"/>
          <w:tab w:val="left" w:pos="2001"/>
          <w:tab w:val="left" w:pos="2630"/>
        </w:tabs>
        <w:kinsoku w:val="0"/>
        <w:overflowPunct w:val="0"/>
        <w:rPr>
          <w:color w:val="000000"/>
        </w:rPr>
        <w:sectPr>
          <w:pgSz w:w="11906" w:h="16840"/>
          <w:pgMar w:top="1040" w:right="800" w:bottom="980" w:left="1080" w:header="858" w:footer="791" w:gutter="0"/>
          <w:lnNumType w:countBy="0" w:distance="360"/>
          <w:cols w:space="720" w:num="1"/>
        </w:sectPr>
      </w:pPr>
    </w:p>
    <w:p w14:paraId="3C50B2A0">
      <w:pPr>
        <w:pStyle w:val="42"/>
        <w:numPr>
          <w:ilvl w:val="0"/>
          <w:numId w:val="67"/>
        </w:numPr>
        <w:topLinePunct w:val="0"/>
        <w:ind w:left="0" w:leftChars="0" w:firstLine="0" w:firstLineChars="0"/>
        <w:outlineLvl w:val="0"/>
        <w:rPr>
          <w:b w:val="0"/>
        </w:rPr>
      </w:pPr>
      <w:bookmarkStart w:id="90" w:name="_Toc19875"/>
      <w:bookmarkStart w:id="91" w:name="_Toc27135"/>
      <w:r>
        <w:t>已标价工程量清单</w:t>
      </w:r>
      <w:bookmarkEnd w:id="90"/>
      <w:bookmarkEnd w:id="91"/>
    </w:p>
    <w:p w14:paraId="3CA05AA8">
      <w:pPr>
        <w:kinsoku w:val="0"/>
        <w:overflowPunct w:val="0"/>
        <w:spacing w:before="5" w:line="180" w:lineRule="exact"/>
        <w:rPr>
          <w:color w:val="000000"/>
          <w:sz w:val="18"/>
        </w:rPr>
      </w:pPr>
    </w:p>
    <w:p w14:paraId="06155942">
      <w:pPr>
        <w:kinsoku w:val="0"/>
        <w:overflowPunct w:val="0"/>
        <w:spacing w:line="200" w:lineRule="exact"/>
        <w:rPr>
          <w:color w:val="000000"/>
          <w:sz w:val="20"/>
        </w:rPr>
      </w:pPr>
    </w:p>
    <w:p w14:paraId="7DE55445">
      <w:pPr>
        <w:kinsoku w:val="0"/>
        <w:overflowPunct w:val="0"/>
        <w:spacing w:line="200" w:lineRule="exact"/>
        <w:rPr>
          <w:color w:val="000000"/>
          <w:sz w:val="20"/>
        </w:rPr>
      </w:pPr>
    </w:p>
    <w:p w14:paraId="14118E40">
      <w:pPr>
        <w:pStyle w:val="11"/>
        <w:rPr>
          <w:color w:val="000000"/>
        </w:rPr>
      </w:pPr>
      <w:r>
        <w:rPr>
          <w:color w:val="000000"/>
          <w:u w:val="single"/>
        </w:rPr>
        <w:t>（如投标人在二次报价时，总报价不做改变，则无需再次提供二次报价已标价工程量清单）</w:t>
      </w:r>
    </w:p>
    <w:p w14:paraId="507BBB45">
      <w:pPr>
        <w:pStyle w:val="11"/>
        <w:kinsoku w:val="0"/>
        <w:overflowPunct w:val="0"/>
        <w:ind w:left="217"/>
        <w:jc w:val="center"/>
        <w:rPr>
          <w:color w:val="000000"/>
        </w:rPr>
        <w:sectPr>
          <w:footerReference r:id="rId9" w:type="default"/>
          <w:pgSz w:w="11906" w:h="16840"/>
          <w:pgMar w:top="1040" w:right="980" w:bottom="980" w:left="1080" w:header="858" w:footer="791" w:gutter="0"/>
          <w:lnNumType w:countBy="0" w:distance="360"/>
          <w:cols w:space="720" w:num="1"/>
        </w:sectPr>
      </w:pPr>
    </w:p>
    <w:p w14:paraId="3335E82B">
      <w:pPr>
        <w:pStyle w:val="40"/>
        <w:outlineLvl w:val="0"/>
      </w:pPr>
      <w:r>
        <w:t>附件：中小企业声明函</w:t>
      </w:r>
    </w:p>
    <w:p w14:paraId="5A0AF996">
      <w:pPr>
        <w:spacing w:line="360" w:lineRule="auto"/>
        <w:rPr>
          <w:rFonts w:hint="eastAsia" w:ascii="宋体" w:hAnsi="宋体"/>
          <w:color w:val="000000"/>
        </w:rPr>
      </w:pPr>
    </w:p>
    <w:p w14:paraId="0AED1C8E">
      <w:pPr>
        <w:pStyle w:val="42"/>
        <w:widowControl/>
        <w:numPr>
          <w:ilvl w:val="0"/>
          <w:numId w:val="69"/>
        </w:numPr>
        <w:ind w:left="0" w:leftChars="0" w:firstLine="480" w:firstLineChars="0"/>
        <w:outlineLvl w:val="0"/>
      </w:pPr>
      <w:r>
        <w:t>中小企业声明函（工程格式）</w:t>
      </w:r>
    </w:p>
    <w:p w14:paraId="48F9C9E8">
      <w:pPr>
        <w:widowControl/>
        <w:spacing w:line="360" w:lineRule="auto"/>
        <w:ind w:firstLine="480" w:firstLineChars="200"/>
        <w:jc w:val="left"/>
        <w:rPr>
          <w:rFonts w:hint="eastAsia" w:ascii="宋体" w:hAnsi="宋体" w:cs="宋体"/>
          <w:color w:val="000000"/>
          <w:kern w:val="0"/>
          <w:sz w:val="24"/>
          <w:lang w:bidi="ar"/>
        </w:rPr>
      </w:pPr>
    </w:p>
    <w:p w14:paraId="501202D3">
      <w:pPr>
        <w:pStyle w:val="11"/>
        <w:widowControl/>
        <w:rPr>
          <w:color w:val="000000"/>
        </w:rPr>
      </w:pPr>
      <w:r>
        <w:rPr>
          <w:color w:val="000000"/>
        </w:rPr>
        <w:t>本公司（联合体）郑重声明，根据《政府采购促进中小企业发展管理办法》（财库﹝2020﹞46 号）的规定，本公司参加</w:t>
      </w:r>
      <w:r>
        <w:rPr>
          <w:color w:val="000000"/>
          <w:u w:val="single"/>
        </w:rPr>
        <w:t>（单位名称）</w:t>
      </w:r>
      <w:r>
        <w:rPr>
          <w:color w:val="000000"/>
        </w:rPr>
        <w:t>的</w:t>
      </w:r>
      <w:r>
        <w:rPr>
          <w:color w:val="000000"/>
          <w:u w:val="single"/>
        </w:rPr>
        <w:t>（项目名称）</w:t>
      </w:r>
      <w:r>
        <w:rPr>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4AFE3ED4">
      <w:pPr>
        <w:pStyle w:val="11"/>
        <w:widowControl/>
        <w:rPr>
          <w:color w:val="000000"/>
        </w:rPr>
      </w:pPr>
      <w:r>
        <w:rPr>
          <w:color w:val="000000"/>
        </w:rPr>
        <w:t xml:space="preserve">1. </w:t>
      </w:r>
      <w:r>
        <w:rPr>
          <w:color w:val="000000"/>
          <w:u w:val="single"/>
        </w:rPr>
        <w:t>（标的名称）</w:t>
      </w:r>
      <w:r>
        <w:rPr>
          <w:i/>
          <w:color w:val="000000"/>
        </w:rPr>
        <w:t xml:space="preserve"> </w:t>
      </w:r>
      <w:r>
        <w:rPr>
          <w:color w:val="000000"/>
        </w:rPr>
        <w:t>，属于（</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7C2DAD12">
      <w:pPr>
        <w:pStyle w:val="11"/>
        <w:widowControl/>
        <w:rPr>
          <w:color w:val="000000"/>
        </w:rPr>
      </w:pPr>
      <w:r>
        <w:rPr>
          <w:color w:val="000000"/>
        </w:rPr>
        <w:t xml:space="preserve">2. </w:t>
      </w:r>
      <w:r>
        <w:rPr>
          <w:color w:val="000000"/>
          <w:u w:val="single"/>
        </w:rPr>
        <w:t xml:space="preserve">（标的名称） </w:t>
      </w:r>
      <w:r>
        <w:rPr>
          <w:color w:val="000000"/>
        </w:rPr>
        <w:t>，属于</w:t>
      </w:r>
      <w:r>
        <w:rPr>
          <w:u w:val="single"/>
        </w:rPr>
        <w:t>（</w:t>
      </w:r>
      <w:r>
        <w:rPr>
          <w:color w:val="000000"/>
          <w:u w:val="single"/>
        </w:rPr>
        <w:t>土木工程建筑所属行业）</w:t>
      </w:r>
      <w:r>
        <w:rPr>
          <w:color w:val="000000"/>
        </w:rPr>
        <w:t>； 承建（承接）企业为</w:t>
      </w:r>
      <w:r>
        <w:rPr>
          <w:color w:val="000000"/>
          <w:u w:val="single"/>
        </w:rPr>
        <w:t>（企业名称）</w:t>
      </w:r>
      <w:r>
        <w:rPr>
          <w:color w:val="000000"/>
        </w:rPr>
        <w:t>，从业人员</w:t>
      </w:r>
      <w:r>
        <w:rPr>
          <w:color w:val="000000"/>
          <w:u w:val="single"/>
        </w:rPr>
        <w:t xml:space="preserve">      </w:t>
      </w:r>
      <w:r>
        <w:rPr>
          <w:color w:val="000000"/>
        </w:rPr>
        <w:t>人，营业收入为</w:t>
      </w:r>
      <w:r>
        <w:rPr>
          <w:color w:val="000000"/>
          <w:u w:val="single"/>
        </w:rPr>
        <w:t xml:space="preserve">      </w:t>
      </w:r>
      <w:r>
        <w:rPr>
          <w:color w:val="000000"/>
        </w:rPr>
        <w:t>万元，资产总额为</w:t>
      </w:r>
      <w:r>
        <w:rPr>
          <w:color w:val="000000"/>
          <w:u w:val="single"/>
        </w:rPr>
        <w:t xml:space="preserve">     </w:t>
      </w:r>
      <w:r>
        <w:rPr>
          <w:color w:val="000000"/>
        </w:rPr>
        <w:t>万元，属于</w:t>
      </w:r>
      <w:r>
        <w:rPr>
          <w:color w:val="000000"/>
          <w:u w:val="single"/>
        </w:rPr>
        <w:t>（中型企业、 小型企业、微型企业）</w:t>
      </w:r>
      <w:r>
        <w:rPr>
          <w:color w:val="000000"/>
        </w:rPr>
        <w:t xml:space="preserve">； </w:t>
      </w:r>
    </w:p>
    <w:p w14:paraId="3FD7C22C">
      <w:pPr>
        <w:pStyle w:val="11"/>
        <w:widowControl/>
        <w:rPr>
          <w:color w:val="000000"/>
        </w:rPr>
      </w:pPr>
      <w:r>
        <w:rPr>
          <w:color w:val="000000"/>
        </w:rPr>
        <w:t>……</w:t>
      </w:r>
    </w:p>
    <w:p w14:paraId="6CFABEB9">
      <w:pPr>
        <w:pStyle w:val="11"/>
        <w:widowControl/>
        <w:rPr>
          <w:color w:val="000000"/>
        </w:rPr>
      </w:pPr>
      <w:r>
        <w:rPr>
          <w:color w:val="000000"/>
        </w:rPr>
        <w:t>以上企业，不属于大企业的分支机构，不存在控股股东为大企业的情形，也不存在与大企业的负责人为同一人的情 形。</w:t>
      </w:r>
    </w:p>
    <w:p w14:paraId="34C4D90B">
      <w:pPr>
        <w:pStyle w:val="11"/>
        <w:widowControl/>
        <w:rPr>
          <w:color w:val="000000"/>
        </w:rPr>
      </w:pPr>
      <w:r>
        <w:rPr>
          <w:color w:val="000000"/>
        </w:rPr>
        <w:t xml:space="preserve">本企业对上述声明内容的真实性负责。如有虚假，将依 法承担相应责任。 </w:t>
      </w:r>
    </w:p>
    <w:p w14:paraId="0235655F">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w:t>
      </w:r>
    </w:p>
    <w:p w14:paraId="2BC71042">
      <w:pPr>
        <w:widowControl/>
        <w:jc w:val="center"/>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 xml:space="preserve">           企业名称（盖章）：</w:t>
      </w:r>
      <w:r>
        <w:rPr>
          <w:rFonts w:hint="eastAsia" w:ascii="Times New Roman" w:hAnsi="Times New Roman" w:eastAsia="宋体" w:cs="Times New Roman"/>
          <w:color w:val="000000"/>
          <w:kern w:val="0"/>
          <w:sz w:val="24"/>
          <w:u w:val="single"/>
          <w:lang w:bidi="ar"/>
        </w:rPr>
        <w:t xml:space="preserve">                  </w:t>
      </w:r>
    </w:p>
    <w:p w14:paraId="7604B179">
      <w:pPr>
        <w:widowControl/>
        <w:ind w:firstLine="5520" w:firstLineChars="2300"/>
        <w:jc w:val="left"/>
        <w:rPr>
          <w:rFonts w:ascii="Times New Roman" w:hAnsi="Times New Roman" w:eastAsia="宋体" w:cs="Times New Roman"/>
          <w:color w:val="000000"/>
          <w:sz w:val="24"/>
          <w:u w:val="single"/>
        </w:rPr>
      </w:pPr>
      <w:r>
        <w:rPr>
          <w:rFonts w:hint="eastAsia" w:ascii="Times New Roman" w:hAnsi="Times New Roman" w:eastAsia="宋体" w:cs="Times New Roman"/>
          <w:color w:val="000000"/>
          <w:kern w:val="0"/>
          <w:sz w:val="24"/>
          <w:lang w:bidi="ar"/>
        </w:rPr>
        <w:t>日 期：</w:t>
      </w:r>
      <w:r>
        <w:rPr>
          <w:rFonts w:hint="eastAsia" w:ascii="Times New Roman" w:hAnsi="Times New Roman" w:eastAsia="宋体" w:cs="Times New Roman"/>
          <w:color w:val="000000"/>
          <w:kern w:val="0"/>
          <w:sz w:val="24"/>
          <w:u w:val="single"/>
          <w:lang w:bidi="ar"/>
        </w:rPr>
        <w:t xml:space="preserve">                  </w:t>
      </w:r>
    </w:p>
    <w:p w14:paraId="2B9B7138">
      <w:pPr>
        <w:pStyle w:val="34"/>
        <w:rPr>
          <w:rFonts w:hint="eastAsia"/>
          <w:color w:val="000000"/>
        </w:rPr>
      </w:pPr>
    </w:p>
    <w:p w14:paraId="622204F9">
      <w:pPr>
        <w:pStyle w:val="11"/>
        <w:rPr>
          <w:color w:val="000000"/>
        </w:rPr>
      </w:pPr>
      <w:r>
        <w:rPr>
          <w:color w:val="000000"/>
        </w:rPr>
        <w:t>注：请根据自己的真实情况出具《中小企业声明函》。依法享受中小企业优惠政策的，采购人或采购代理机构在公告成交结果时，同时公告其《中小企业声明函》，接受社会监督。</w:t>
      </w:r>
    </w:p>
    <w:p w14:paraId="4E33D060">
      <w:pPr>
        <w:spacing w:line="360" w:lineRule="auto"/>
        <w:rPr>
          <w:rFonts w:hint="eastAsia" w:ascii="宋体" w:hAnsi="宋体"/>
          <w:b/>
          <w:color w:val="000000"/>
          <w:sz w:val="24"/>
        </w:rPr>
      </w:pPr>
    </w:p>
    <w:p w14:paraId="6AAB6580">
      <w:pPr>
        <w:spacing w:line="360" w:lineRule="auto"/>
        <w:rPr>
          <w:rFonts w:hint="eastAsia" w:ascii="宋体" w:hAnsi="宋体"/>
          <w:b/>
          <w:color w:val="000000"/>
          <w:sz w:val="24"/>
        </w:rPr>
      </w:pPr>
    </w:p>
    <w:p w14:paraId="6A7BEAAA">
      <w:pPr>
        <w:spacing w:line="360" w:lineRule="auto"/>
        <w:rPr>
          <w:rFonts w:hint="eastAsia" w:ascii="宋体" w:hAnsi="宋体"/>
          <w:b/>
          <w:color w:val="000000"/>
          <w:sz w:val="24"/>
        </w:rPr>
      </w:pPr>
    </w:p>
    <w:p w14:paraId="6FC88AF1">
      <w:pPr>
        <w:spacing w:line="360" w:lineRule="auto"/>
        <w:rPr>
          <w:rFonts w:hint="eastAsia" w:ascii="宋体" w:hAnsi="宋体"/>
          <w:b/>
          <w:color w:val="000000"/>
          <w:sz w:val="24"/>
        </w:rPr>
      </w:pPr>
    </w:p>
    <w:p w14:paraId="5D4C86FC">
      <w:pPr>
        <w:spacing w:line="360" w:lineRule="auto"/>
        <w:rPr>
          <w:rFonts w:hint="eastAsia" w:ascii="宋体" w:hAnsi="宋体"/>
          <w:b/>
          <w:color w:val="000000"/>
          <w:sz w:val="24"/>
        </w:rPr>
      </w:pPr>
    </w:p>
    <w:p w14:paraId="30657548">
      <w:pPr>
        <w:spacing w:line="360" w:lineRule="auto"/>
        <w:rPr>
          <w:rFonts w:hint="eastAsia" w:ascii="宋体" w:hAnsi="宋体"/>
          <w:b/>
          <w:color w:val="000000"/>
          <w:sz w:val="24"/>
        </w:rPr>
      </w:pPr>
    </w:p>
    <w:p w14:paraId="53F8B61D">
      <w:pPr>
        <w:pStyle w:val="40"/>
        <w:outlineLvl w:val="0"/>
      </w:pPr>
      <w:r>
        <w:t>附件：残疾人福利性单位声明函</w:t>
      </w:r>
    </w:p>
    <w:p w14:paraId="7F7266FF">
      <w:pPr>
        <w:spacing w:line="360" w:lineRule="auto"/>
        <w:jc w:val="center"/>
        <w:rPr>
          <w:rFonts w:hint="eastAsia" w:ascii="宋体" w:hAnsi="宋体" w:eastAsia="仿宋_GB2312"/>
          <w:b/>
          <w:color w:val="000000"/>
          <w:spacing w:val="6"/>
          <w:sz w:val="24"/>
        </w:rPr>
      </w:pPr>
    </w:p>
    <w:p w14:paraId="3A83C689">
      <w:pPr>
        <w:spacing w:line="360" w:lineRule="auto"/>
        <w:rPr>
          <w:rFonts w:hint="eastAsia" w:ascii="宋体" w:hAnsi="宋体" w:eastAsia="仿宋_GB2312"/>
          <w:b/>
          <w:color w:val="000000"/>
          <w:spacing w:val="6"/>
          <w:sz w:val="24"/>
        </w:rPr>
      </w:pPr>
    </w:p>
    <w:p w14:paraId="53ED73C6">
      <w:pPr>
        <w:spacing w:line="360" w:lineRule="auto"/>
        <w:jc w:val="center"/>
        <w:rPr>
          <w:rFonts w:hint="eastAsia" w:ascii="宋体" w:hAnsi="宋体" w:eastAsia="仿宋_GB2312"/>
          <w:b/>
          <w:color w:val="000000"/>
          <w:spacing w:val="6"/>
          <w:sz w:val="24"/>
        </w:rPr>
      </w:pPr>
    </w:p>
    <w:p w14:paraId="1433CF47">
      <w:pPr>
        <w:spacing w:line="360" w:lineRule="auto"/>
        <w:jc w:val="center"/>
        <w:rPr>
          <w:rFonts w:hint="eastAsia" w:ascii="宋体" w:hAnsi="宋体" w:eastAsia="仿宋_GB2312"/>
          <w:b/>
          <w:color w:val="000000"/>
          <w:spacing w:val="6"/>
          <w:sz w:val="24"/>
        </w:rPr>
      </w:pPr>
    </w:p>
    <w:p w14:paraId="60370C23">
      <w:pPr>
        <w:pStyle w:val="44"/>
      </w:pPr>
      <w:r>
        <w:t>残疾人福利性单位声明函</w:t>
      </w:r>
    </w:p>
    <w:p w14:paraId="06BB63DB">
      <w:pPr>
        <w:spacing w:line="360" w:lineRule="auto"/>
        <w:rPr>
          <w:rFonts w:hint="eastAsia" w:ascii="宋体" w:hAnsi="宋体" w:cs="宋体"/>
          <w:b/>
          <w:color w:val="000000"/>
          <w:spacing w:val="6"/>
          <w:sz w:val="24"/>
        </w:rPr>
      </w:pPr>
    </w:p>
    <w:p w14:paraId="2DBD8C32">
      <w:pPr>
        <w:pStyle w:val="11"/>
        <w:rPr>
          <w:color w:val="000000"/>
        </w:rPr>
      </w:pPr>
      <w:r>
        <w:rPr>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520817">
      <w:pPr>
        <w:pStyle w:val="11"/>
        <w:rPr>
          <w:color w:val="000000"/>
        </w:rPr>
      </w:pPr>
      <w:r>
        <w:rPr>
          <w:color w:val="000000"/>
        </w:rPr>
        <w:t>本单位对上述声明的真实性负责。如有虚假，将依法承担相应责任。</w:t>
      </w:r>
    </w:p>
    <w:p w14:paraId="69A69CBC">
      <w:pPr>
        <w:spacing w:line="360" w:lineRule="auto"/>
        <w:ind w:firstLine="504" w:firstLineChars="200"/>
        <w:rPr>
          <w:rFonts w:hint="eastAsia" w:ascii="宋体" w:hAnsi="宋体" w:cs="宋体"/>
          <w:color w:val="000000"/>
          <w:spacing w:val="6"/>
          <w:sz w:val="24"/>
        </w:rPr>
      </w:pPr>
    </w:p>
    <w:p w14:paraId="036C8C7F">
      <w:pPr>
        <w:spacing w:line="360" w:lineRule="auto"/>
        <w:ind w:firstLine="504" w:firstLineChars="200"/>
        <w:rPr>
          <w:rFonts w:hint="eastAsia" w:ascii="宋体" w:hAnsi="宋体" w:cs="宋体"/>
          <w:color w:val="000000"/>
          <w:spacing w:val="6"/>
          <w:sz w:val="24"/>
        </w:rPr>
      </w:pPr>
    </w:p>
    <w:p w14:paraId="1B50C87C">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单位名称（盖章）：</w:t>
      </w:r>
    </w:p>
    <w:p w14:paraId="3C7C97FB">
      <w:pPr>
        <w:tabs>
          <w:tab w:val="left" w:pos="4860"/>
        </w:tabs>
        <w:spacing w:line="360" w:lineRule="auto"/>
        <w:ind w:right="1560" w:firstLine="504" w:firstLineChars="200"/>
        <w:jc w:val="center"/>
        <w:rPr>
          <w:rFonts w:hint="eastAsia" w:ascii="Times New Roman" w:hAnsi="Times New Roman" w:eastAsia="宋体" w:cs="Times New Roman"/>
          <w:color w:val="000000"/>
          <w:spacing w:val="6"/>
          <w:sz w:val="24"/>
        </w:rPr>
      </w:pPr>
      <w:r>
        <w:rPr>
          <w:rFonts w:hint="eastAsia" w:ascii="Times New Roman" w:hAnsi="Times New Roman" w:eastAsia="宋体" w:cs="Times New Roman"/>
          <w:color w:val="000000"/>
          <w:spacing w:val="6"/>
          <w:sz w:val="24"/>
        </w:rPr>
        <w:t>日  期：</w:t>
      </w:r>
    </w:p>
    <w:p w14:paraId="4F65958E">
      <w:pPr>
        <w:spacing w:line="360" w:lineRule="auto"/>
        <w:rPr>
          <w:rFonts w:ascii="宋体" w:hAnsi="宋体"/>
          <w:color w:val="000000"/>
          <w:sz w:val="28"/>
          <w:szCs w:val="28"/>
        </w:rPr>
      </w:pPr>
    </w:p>
    <w:p w14:paraId="359C95AD">
      <w:pPr>
        <w:spacing w:line="360" w:lineRule="auto"/>
        <w:rPr>
          <w:rFonts w:hint="eastAsia" w:ascii="宋体" w:hAnsi="宋体"/>
          <w:b/>
          <w:color w:val="000000"/>
          <w:szCs w:val="21"/>
        </w:rPr>
      </w:pPr>
    </w:p>
    <w:p w14:paraId="1408E20B">
      <w:pPr>
        <w:autoSpaceDE w:val="0"/>
        <w:autoSpaceDN w:val="0"/>
        <w:spacing w:line="360" w:lineRule="auto"/>
        <w:ind w:left="480" w:hanging="480"/>
        <w:rPr>
          <w:rFonts w:hint="eastAsia" w:ascii="宋体" w:hAnsi="宋体"/>
          <w:color w:val="000000"/>
          <w:szCs w:val="21"/>
        </w:rPr>
      </w:pPr>
    </w:p>
    <w:p w14:paraId="143356E9">
      <w:pPr>
        <w:pStyle w:val="11"/>
        <w:rPr>
          <w:color w:val="000000"/>
        </w:rPr>
      </w:pPr>
      <w:r>
        <w:rPr>
          <w:color w:val="000000"/>
        </w:rPr>
        <w:t>注：请根据自己的真实情况出具《残疾人福利性单位声明函》。依法享受中小企业优惠政策的，采购人或采购代理机构在公告中标结果时，同时公告其《残疾人福利性单位声明函》，接受社会监督。</w:t>
      </w:r>
    </w:p>
    <w:p w14:paraId="53DA2CCC">
      <w:pPr>
        <w:autoSpaceDE w:val="0"/>
        <w:autoSpaceDN w:val="0"/>
        <w:spacing w:line="360" w:lineRule="auto"/>
        <w:ind w:left="480" w:hanging="480"/>
        <w:rPr>
          <w:rFonts w:hint="eastAsia" w:ascii="宋体" w:hAnsi="宋体"/>
          <w:color w:val="000000"/>
          <w:szCs w:val="21"/>
        </w:rPr>
      </w:pPr>
      <w:r>
        <w:rPr>
          <w:rFonts w:ascii="宋体" w:hAnsi="宋体"/>
          <w:color w:val="000000"/>
          <w:szCs w:val="21"/>
        </w:rPr>
        <w:br w:type="page"/>
      </w:r>
    </w:p>
    <w:p w14:paraId="77CD5359">
      <w:pPr>
        <w:autoSpaceDE w:val="0"/>
        <w:autoSpaceDN w:val="0"/>
        <w:spacing w:line="360" w:lineRule="auto"/>
        <w:ind w:left="480" w:hanging="480"/>
        <w:rPr>
          <w:rFonts w:hint="eastAsia" w:ascii="宋体" w:hAnsi="宋体"/>
          <w:color w:val="000000"/>
          <w:szCs w:val="21"/>
        </w:rPr>
      </w:pPr>
    </w:p>
    <w:p w14:paraId="029E36CB">
      <w:pPr>
        <w:autoSpaceDE w:val="0"/>
        <w:autoSpaceDN w:val="0"/>
        <w:spacing w:line="360" w:lineRule="auto"/>
        <w:ind w:left="480" w:hanging="480"/>
        <w:rPr>
          <w:rFonts w:hint="eastAsia" w:ascii="宋体" w:hAnsi="宋体"/>
          <w:color w:val="000000"/>
          <w:szCs w:val="21"/>
        </w:rPr>
      </w:pPr>
    </w:p>
    <w:p w14:paraId="196EFFCF">
      <w:pPr>
        <w:autoSpaceDE w:val="0"/>
        <w:autoSpaceDN w:val="0"/>
        <w:spacing w:line="360" w:lineRule="auto"/>
        <w:ind w:left="480" w:hanging="480"/>
        <w:rPr>
          <w:rFonts w:hint="eastAsia" w:ascii="宋体" w:hAnsi="宋体"/>
          <w:color w:val="000000"/>
          <w:szCs w:val="21"/>
        </w:rPr>
      </w:pPr>
    </w:p>
    <w:p w14:paraId="6258FACE">
      <w:pPr>
        <w:autoSpaceDE w:val="0"/>
        <w:autoSpaceDN w:val="0"/>
        <w:spacing w:line="360" w:lineRule="auto"/>
        <w:ind w:left="480" w:hanging="480"/>
        <w:rPr>
          <w:rFonts w:hint="eastAsia" w:ascii="宋体" w:hAnsi="宋体"/>
          <w:color w:val="000000"/>
          <w:szCs w:val="21"/>
        </w:rPr>
      </w:pPr>
    </w:p>
    <w:p w14:paraId="425AE9FD">
      <w:pPr>
        <w:autoSpaceDE w:val="0"/>
        <w:autoSpaceDN w:val="0"/>
        <w:spacing w:line="360" w:lineRule="auto"/>
        <w:ind w:left="480" w:hanging="480"/>
        <w:rPr>
          <w:rFonts w:hint="eastAsia" w:ascii="宋体" w:hAnsi="宋体"/>
          <w:color w:val="000000"/>
          <w:szCs w:val="21"/>
        </w:rPr>
      </w:pPr>
    </w:p>
    <w:p w14:paraId="2A539D30">
      <w:pPr>
        <w:autoSpaceDE w:val="0"/>
        <w:autoSpaceDN w:val="0"/>
        <w:spacing w:line="360" w:lineRule="auto"/>
        <w:ind w:left="480" w:hanging="480"/>
        <w:rPr>
          <w:rFonts w:hint="eastAsia" w:ascii="宋体" w:hAnsi="宋体"/>
          <w:color w:val="000000"/>
          <w:szCs w:val="21"/>
        </w:rPr>
      </w:pPr>
    </w:p>
    <w:p w14:paraId="0ABE12BC">
      <w:pPr>
        <w:pStyle w:val="42"/>
        <w:outlineLvl w:val="0"/>
      </w:pPr>
      <w:bookmarkStart w:id="92" w:name="_Toc6413138"/>
      <w:bookmarkStart w:id="93" w:name="_Toc29765"/>
      <w:r>
        <w:t>第八章  合同条款及格式</w:t>
      </w:r>
      <w:bookmarkEnd w:id="92"/>
      <w:bookmarkEnd w:id="93"/>
    </w:p>
    <w:p w14:paraId="000233B8">
      <w:pPr>
        <w:jc w:val="left"/>
        <w:rPr>
          <w:rFonts w:ascii="宋体" w:hAnsi="宋体" w:cs="Courier New"/>
          <w:b/>
          <w:color w:val="000000"/>
        </w:rPr>
      </w:pPr>
      <w:r>
        <w:rPr>
          <w:rFonts w:ascii="宋体" w:hAnsi="宋体" w:cs="Courier New"/>
          <w:b/>
          <w:color w:val="000000"/>
        </w:rPr>
        <w:br w:type="page"/>
      </w:r>
    </w:p>
    <w:p w14:paraId="5A726F76">
      <w:pPr>
        <w:ind w:left="1400" w:hanging="1400" w:hangingChars="500"/>
        <w:jc w:val="right"/>
        <w:rPr>
          <w:rFonts w:hint="eastAsia" w:ascii="宋体" w:hAnsi="宋体" w:eastAsia="黑体" w:cs="宋体"/>
          <w:b/>
          <w:sz w:val="28"/>
          <w:szCs w:val="28"/>
        </w:rPr>
      </w:pPr>
      <w:r>
        <w:rPr>
          <w:rFonts w:hint="eastAsia" w:ascii="黑体" w:hAnsi="宋体" w:eastAsia="黑体"/>
          <w:bCs/>
          <w:sz w:val="28"/>
          <w:szCs w:val="21"/>
        </w:rPr>
        <w:t>合同编号：</w:t>
      </w:r>
      <w:r>
        <w:rPr>
          <w:rFonts w:hint="eastAsia" w:ascii="宋体" w:hAnsi="宋体" w:eastAsia="黑体" w:cs="宋体"/>
          <w:b/>
          <w:sz w:val="28"/>
          <w:szCs w:val="28"/>
        </w:rPr>
        <w:t xml:space="preserve"> </w:t>
      </w:r>
    </w:p>
    <w:p w14:paraId="61865B9E">
      <w:pPr>
        <w:ind w:left="3112" w:hanging="3112" w:hangingChars="500"/>
        <w:jc w:val="center"/>
        <w:rPr>
          <w:b/>
          <w:bCs/>
          <w:sz w:val="62"/>
        </w:rPr>
      </w:pPr>
    </w:p>
    <w:p w14:paraId="67C37DF1">
      <w:pPr>
        <w:ind w:left="2"/>
        <w:jc w:val="center"/>
        <w:rPr>
          <w:rFonts w:eastAsia="黑体"/>
          <w:b/>
          <w:bCs/>
          <w:sz w:val="48"/>
          <w:szCs w:val="48"/>
        </w:rPr>
      </w:pPr>
      <w:r>
        <w:rPr>
          <w:rFonts w:eastAsia="黑体"/>
          <w:b/>
          <w:bCs/>
          <w:sz w:val="48"/>
          <w:szCs w:val="48"/>
        </w:rPr>
        <w:t xml:space="preserve">     </w:t>
      </w:r>
    </w:p>
    <w:p w14:paraId="181EAE1F">
      <w:pPr>
        <w:ind w:left="2"/>
        <w:jc w:val="center"/>
        <w:rPr>
          <w:rFonts w:ascii="黑体" w:hAnsi="黑体" w:eastAsia="黑体"/>
          <w:b/>
          <w:bCs/>
          <w:spacing w:val="40"/>
          <w:sz w:val="84"/>
          <w:szCs w:val="84"/>
        </w:rPr>
      </w:pPr>
    </w:p>
    <w:p w14:paraId="3153ECBF">
      <w:pPr>
        <w:ind w:left="2"/>
        <w:jc w:val="center"/>
        <w:rPr>
          <w:rFonts w:ascii="黑体" w:hAnsi="黑体" w:eastAsia="黑体"/>
          <w:b/>
          <w:bCs/>
          <w:spacing w:val="40"/>
          <w:sz w:val="84"/>
          <w:szCs w:val="84"/>
        </w:rPr>
      </w:pPr>
      <w:r>
        <w:rPr>
          <w:rFonts w:ascii="黑体" w:hAnsi="黑体" w:eastAsia="黑体"/>
          <w:b/>
          <w:bCs/>
          <w:spacing w:val="40"/>
          <w:sz w:val="72"/>
          <w:szCs w:val="72"/>
        </w:rPr>
        <w:t>施工承包合同</w:t>
      </w:r>
    </w:p>
    <w:p w14:paraId="1E49C07D">
      <w:pPr>
        <w:ind w:left="1400" w:hanging="1400" w:hangingChars="500"/>
        <w:rPr>
          <w:sz w:val="28"/>
        </w:rPr>
      </w:pPr>
    </w:p>
    <w:p w14:paraId="2820FDE6">
      <w:pPr>
        <w:spacing w:line="720" w:lineRule="auto"/>
        <w:rPr>
          <w:rFonts w:eastAsia="黑体"/>
          <w:sz w:val="30"/>
        </w:rPr>
      </w:pPr>
    </w:p>
    <w:p w14:paraId="12DF240B">
      <w:pPr>
        <w:spacing w:line="720" w:lineRule="auto"/>
        <w:rPr>
          <w:rFonts w:eastAsia="黑体"/>
          <w:sz w:val="30"/>
        </w:rPr>
      </w:pPr>
    </w:p>
    <w:p w14:paraId="300CB142">
      <w:pPr>
        <w:spacing w:line="720" w:lineRule="auto"/>
        <w:rPr>
          <w:rFonts w:eastAsia="黑体"/>
          <w:sz w:val="30"/>
        </w:rPr>
      </w:pPr>
    </w:p>
    <w:p w14:paraId="19BCC2CF">
      <w:pPr>
        <w:spacing w:line="720" w:lineRule="auto"/>
        <w:ind w:firstLine="636" w:firstLineChars="198"/>
        <w:rPr>
          <w:rFonts w:hint="eastAsia" w:eastAsia="黑体"/>
          <w:b/>
          <w:sz w:val="32"/>
          <w:szCs w:val="32"/>
        </w:rPr>
      </w:pPr>
      <w:r>
        <w:rPr>
          <w:rFonts w:eastAsia="黑体"/>
          <w:b/>
          <w:sz w:val="32"/>
          <w:szCs w:val="32"/>
        </w:rPr>
        <w:t>发包人</w:t>
      </w:r>
      <w:r>
        <w:rPr>
          <w:rFonts w:hint="eastAsia" w:eastAsia="黑体"/>
          <w:b/>
          <w:sz w:val="32"/>
          <w:szCs w:val="32"/>
        </w:rPr>
        <w:t>（甲方）</w:t>
      </w:r>
      <w:r>
        <w:rPr>
          <w:rFonts w:eastAsia="黑体"/>
          <w:b/>
          <w:sz w:val="32"/>
          <w:szCs w:val="32"/>
        </w:rPr>
        <w:t>：</w:t>
      </w:r>
      <w:r>
        <w:rPr>
          <w:rFonts w:hint="eastAsia" w:hAnsi="宋体" w:eastAsia="黑体"/>
          <w:b/>
          <w:bCs/>
          <w:snapToGrid w:val="0"/>
          <w:kern w:val="0"/>
          <w:sz w:val="32"/>
          <w:szCs w:val="32"/>
        </w:rPr>
        <w:t xml:space="preserve"> </w:t>
      </w:r>
    </w:p>
    <w:p w14:paraId="416591CD">
      <w:pPr>
        <w:spacing w:line="720" w:lineRule="auto"/>
        <w:ind w:firstLine="636" w:firstLineChars="198"/>
        <w:rPr>
          <w:rFonts w:hint="eastAsia" w:eastAsia="黑体"/>
          <w:b/>
          <w:kern w:val="0"/>
          <w:sz w:val="32"/>
          <w:szCs w:val="32"/>
        </w:rPr>
      </w:pPr>
      <w:r>
        <w:rPr>
          <w:rFonts w:eastAsia="黑体"/>
          <w:b/>
          <w:sz w:val="32"/>
          <w:szCs w:val="32"/>
        </w:rPr>
        <w:t>承包人</w:t>
      </w:r>
      <w:r>
        <w:rPr>
          <w:rFonts w:hint="eastAsia" w:eastAsia="黑体"/>
          <w:b/>
          <w:sz w:val="32"/>
          <w:szCs w:val="32"/>
        </w:rPr>
        <w:t>（乙方）</w:t>
      </w:r>
      <w:r>
        <w:rPr>
          <w:rFonts w:eastAsia="黑体"/>
          <w:b/>
          <w:sz w:val="32"/>
          <w:szCs w:val="32"/>
        </w:rPr>
        <w:t>：</w:t>
      </w:r>
      <w:r>
        <w:rPr>
          <w:rFonts w:hint="eastAsia" w:eastAsia="黑体"/>
          <w:b/>
          <w:kern w:val="0"/>
          <w:sz w:val="32"/>
          <w:szCs w:val="32"/>
        </w:rPr>
        <w:t xml:space="preserve">  </w:t>
      </w:r>
    </w:p>
    <w:p w14:paraId="14CBD901">
      <w:pPr>
        <w:spacing w:line="720" w:lineRule="auto"/>
        <w:rPr>
          <w:rFonts w:eastAsia="黑体"/>
          <w:b/>
          <w:sz w:val="32"/>
          <w:szCs w:val="32"/>
        </w:rPr>
      </w:pPr>
    </w:p>
    <w:p w14:paraId="3D4C276E">
      <w:pPr>
        <w:spacing w:line="720" w:lineRule="auto"/>
        <w:ind w:firstLine="1928" w:firstLineChars="600"/>
        <w:rPr>
          <w:rFonts w:eastAsia="黑体"/>
          <w:b/>
          <w:sz w:val="32"/>
          <w:szCs w:val="32"/>
        </w:rPr>
      </w:pPr>
      <w:r>
        <w:rPr>
          <w:rFonts w:eastAsia="黑体"/>
          <w:b/>
          <w:sz w:val="32"/>
          <w:szCs w:val="32"/>
        </w:rPr>
        <w:t>签订日期：</w:t>
      </w:r>
      <w:r>
        <w:rPr>
          <w:rFonts w:hint="eastAsia" w:eastAsia="黑体"/>
          <w:b/>
          <w:sz w:val="32"/>
          <w:szCs w:val="32"/>
        </w:rPr>
        <w:t xml:space="preserve">    </w:t>
      </w:r>
      <w:r>
        <w:rPr>
          <w:rFonts w:eastAsia="黑体"/>
          <w:b/>
          <w:sz w:val="32"/>
          <w:szCs w:val="32"/>
        </w:rPr>
        <w:t>年</w:t>
      </w:r>
      <w:r>
        <w:rPr>
          <w:rFonts w:hint="eastAsia" w:eastAsia="黑体"/>
          <w:b/>
          <w:sz w:val="32"/>
          <w:szCs w:val="32"/>
        </w:rPr>
        <w:t xml:space="preserve">  月   日</w:t>
      </w:r>
    </w:p>
    <w:p w14:paraId="67105BE5">
      <w:pPr>
        <w:rPr>
          <w:rFonts w:ascii="黑体" w:hAnsi="黑体" w:cs="Arial"/>
          <w:b/>
          <w:sz w:val="32"/>
          <w:szCs w:val="32"/>
        </w:rPr>
      </w:pPr>
    </w:p>
    <w:p w14:paraId="3576AC93">
      <w:pPr>
        <w:rPr>
          <w:rFonts w:ascii="黑体" w:hAnsi="黑体" w:cs="Arial"/>
          <w:sz w:val="32"/>
          <w:szCs w:val="32"/>
        </w:rPr>
      </w:pPr>
    </w:p>
    <w:p w14:paraId="4EEAFC9A">
      <w:pPr>
        <w:rPr>
          <w:rFonts w:ascii="黑体" w:hAnsi="黑体" w:cs="Arial"/>
          <w:sz w:val="32"/>
          <w:szCs w:val="32"/>
        </w:rPr>
      </w:pPr>
    </w:p>
    <w:p w14:paraId="3D6A47D8">
      <w:pPr>
        <w:pStyle w:val="41"/>
      </w:pPr>
      <w:r>
        <w:t>目  录</w:t>
      </w:r>
    </w:p>
    <w:p w14:paraId="526B6206">
      <w:pPr>
        <w:jc w:val="center"/>
        <w:rPr>
          <w:rFonts w:ascii="黑体" w:hAnsi="黑体" w:eastAsia="黑体" w:cs="Arial"/>
          <w:sz w:val="44"/>
          <w:szCs w:val="44"/>
        </w:rPr>
      </w:pPr>
    </w:p>
    <w:p w14:paraId="413F5FC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"1-1" \h \z \u </w:instrText>
      </w:r>
      <w:r>
        <w:rPr>
          <w:rFonts w:hint="eastAsia" w:ascii="黑体" w:hAnsi="黑体" w:eastAsia="黑体" w:cs="黑体"/>
          <w:sz w:val="21"/>
          <w:szCs w:val="21"/>
        </w:rPr>
        <w:fldChar w:fldCharType="separate"/>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"_Toc13865"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一</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合同协议书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_Toc13865 \h </w:instrText>
      </w:r>
      <w:r>
        <w:rPr>
          <w:rFonts w:hint="eastAsia" w:ascii="黑体" w:hAnsi="黑体" w:eastAsia="黑体" w:cs="黑体"/>
          <w:sz w:val="21"/>
          <w:szCs w:val="21"/>
        </w:rPr>
        <w:fldChar w:fldCharType="separate"/>
      </w:r>
      <w:r>
        <w:rPr>
          <w:rFonts w:hint="eastAsia" w:ascii="黑体" w:hAnsi="黑体" w:eastAsia="黑体" w:cs="黑体"/>
          <w:sz w:val="21"/>
          <w:szCs w:val="21"/>
        </w:rPr>
        <w:t>70</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335CCE99">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"_Toc18473" </w:instrText>
      </w:r>
      <w:r>
        <w:rPr>
          <w:rFonts w:hint="eastAsia" w:ascii="黑体" w:hAnsi="黑体" w:eastAsia="黑体" w:cs="黑体"/>
          <w:sz w:val="21"/>
          <w:szCs w:val="21"/>
        </w:rPr>
        <w:fldChar w:fldCharType="separate"/>
      </w:r>
      <w:r>
        <w:rPr>
          <w:rFonts w:hint="eastAsia" w:ascii="黑体" w:hAnsi="黑体" w:eastAsia="黑体" w:cs="黑体"/>
          <w:bCs/>
          <w:kern w:val="44"/>
          <w:sz w:val="21"/>
          <w:szCs w:val="21"/>
        </w:rPr>
        <w:t>二</w:t>
      </w:r>
      <w:r>
        <w:rPr>
          <w:rFonts w:hint="eastAsia" w:ascii="黑体" w:hAnsi="黑体" w:eastAsia="黑体" w:cs="黑体"/>
          <w:bCs/>
          <w:kern w:val="44"/>
          <w:sz w:val="21"/>
          <w:szCs w:val="21"/>
          <w:lang w:val="en-US" w:eastAsia="zh-CN"/>
        </w:rPr>
        <w:t>.</w:t>
      </w:r>
      <w:r>
        <w:rPr>
          <w:rFonts w:hint="eastAsia" w:ascii="黑体" w:hAnsi="黑体" w:eastAsia="黑体" w:cs="黑体"/>
          <w:bCs/>
          <w:kern w:val="44"/>
          <w:sz w:val="21"/>
          <w:szCs w:val="21"/>
        </w:rPr>
        <w:t xml:space="preserve"> 成交通知书</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_Toc18473 \h </w:instrText>
      </w:r>
      <w:r>
        <w:rPr>
          <w:rFonts w:hint="eastAsia" w:ascii="黑体" w:hAnsi="黑体" w:eastAsia="黑体" w:cs="黑体"/>
          <w:sz w:val="21"/>
          <w:szCs w:val="21"/>
        </w:rPr>
        <w:fldChar w:fldCharType="separate"/>
      </w:r>
      <w:r>
        <w:rPr>
          <w:rFonts w:hint="eastAsia" w:ascii="黑体" w:hAnsi="黑体" w:eastAsia="黑体" w:cs="黑体"/>
          <w:sz w:val="21"/>
          <w:szCs w:val="21"/>
        </w:rPr>
        <w:t>7</w:t>
      </w:r>
      <w:r>
        <w:rPr>
          <w:rFonts w:hint="eastAsia" w:ascii="黑体" w:hAnsi="黑体" w:eastAsia="黑体" w:cs="黑体"/>
          <w:sz w:val="21"/>
          <w:szCs w:val="21"/>
          <w:lang w:val="en-US" w:eastAsia="zh-CN"/>
        </w:rPr>
        <w:t>2</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248206D">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"_Toc3268" </w:instrText>
      </w:r>
      <w:r>
        <w:rPr>
          <w:rFonts w:hint="eastAsia" w:ascii="黑体" w:hAnsi="黑体" w:eastAsia="黑体" w:cs="黑体"/>
          <w:sz w:val="21"/>
          <w:szCs w:val="21"/>
        </w:rPr>
        <w:fldChar w:fldCharType="separate"/>
      </w:r>
      <w:r>
        <w:rPr>
          <w:rFonts w:hint="eastAsia" w:ascii="黑体" w:hAnsi="黑体" w:eastAsia="黑体" w:cs="黑体"/>
          <w:sz w:val="21"/>
          <w:szCs w:val="21"/>
        </w:rPr>
        <w:t>三</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专用合同条款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_Toc3268 \h </w:instrText>
      </w:r>
      <w:r>
        <w:rPr>
          <w:rFonts w:hint="eastAsia" w:ascii="黑体" w:hAnsi="黑体" w:eastAsia="黑体" w:cs="黑体"/>
          <w:sz w:val="21"/>
          <w:szCs w:val="21"/>
        </w:rPr>
        <w:fldChar w:fldCharType="separate"/>
      </w:r>
      <w:r>
        <w:rPr>
          <w:rFonts w:hint="eastAsia" w:ascii="黑体" w:hAnsi="黑体" w:eastAsia="黑体" w:cs="黑体"/>
          <w:sz w:val="21"/>
          <w:szCs w:val="21"/>
        </w:rPr>
        <w:t>75</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7AE84A01">
      <w:pPr>
        <w:pStyle w:val="17"/>
        <w:tabs>
          <w:tab w:val="right" w:leader="dot" w:pos="9922"/>
        </w:tabs>
        <w:spacing w:line="480" w:lineRule="exact"/>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"_Toc622" </w:instrText>
      </w:r>
      <w:r>
        <w:rPr>
          <w:rFonts w:hint="eastAsia" w:ascii="黑体" w:hAnsi="黑体" w:eastAsia="黑体" w:cs="黑体"/>
          <w:sz w:val="21"/>
          <w:szCs w:val="21"/>
        </w:rPr>
        <w:fldChar w:fldCharType="separate"/>
      </w:r>
      <w:r>
        <w:rPr>
          <w:rFonts w:hint="eastAsia" w:ascii="黑体" w:hAnsi="黑体" w:eastAsia="黑体" w:cs="黑体"/>
          <w:sz w:val="21"/>
          <w:szCs w:val="21"/>
        </w:rPr>
        <w:t>四</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通用合同条款</w:t>
      </w:r>
      <w:r>
        <w:rPr>
          <w:rFonts w:hint="eastAsia" w:ascii="黑体" w:hAnsi="黑体" w:eastAsia="黑体" w:cs="黑体"/>
          <w:sz w:val="21"/>
          <w:szCs w:val="21"/>
        </w:rPr>
        <w:tab/>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PAGEREF _Toc622 \h </w:instrText>
      </w:r>
      <w:r>
        <w:rPr>
          <w:rFonts w:hint="eastAsia" w:ascii="黑体" w:hAnsi="黑体" w:eastAsia="黑体" w:cs="黑体"/>
          <w:sz w:val="21"/>
          <w:szCs w:val="21"/>
        </w:rPr>
        <w:fldChar w:fldCharType="separate"/>
      </w:r>
      <w:r>
        <w:rPr>
          <w:rFonts w:hint="eastAsia" w:ascii="黑体" w:hAnsi="黑体" w:eastAsia="黑体" w:cs="黑体"/>
          <w:sz w:val="21"/>
          <w:szCs w:val="21"/>
        </w:rPr>
        <w:t>89</w:t>
      </w:r>
      <w:r>
        <w:rPr>
          <w:rFonts w:hint="eastAsia" w:ascii="黑体" w:hAnsi="黑体" w:eastAsia="黑体" w:cs="黑体"/>
          <w:sz w:val="21"/>
          <w:szCs w:val="21"/>
        </w:rPr>
        <w:fldChar w:fldCharType="end"/>
      </w:r>
      <w:r>
        <w:rPr>
          <w:rFonts w:hint="eastAsia" w:ascii="黑体" w:hAnsi="黑体" w:eastAsia="黑体" w:cs="黑体"/>
          <w:sz w:val="21"/>
          <w:szCs w:val="21"/>
        </w:rPr>
        <w:fldChar w:fldCharType="end"/>
      </w:r>
    </w:p>
    <w:p w14:paraId="4193CEE0">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"_Toc4053" </w:instrText>
      </w:r>
      <w:r>
        <w:rPr>
          <w:rFonts w:hint="eastAsia" w:ascii="黑体" w:hAnsi="黑体" w:eastAsia="黑体" w:cs="黑体"/>
          <w:sz w:val="21"/>
          <w:szCs w:val="21"/>
        </w:rPr>
        <w:fldChar w:fldCharType="separate"/>
      </w:r>
      <w:r>
        <w:rPr>
          <w:rFonts w:hint="eastAsia" w:ascii="黑体" w:hAnsi="黑体" w:eastAsia="黑体" w:cs="黑体"/>
          <w:sz w:val="21"/>
          <w:szCs w:val="21"/>
        </w:rPr>
        <w:t>五</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安全生产合同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38</w:t>
      </w:r>
    </w:p>
    <w:p w14:paraId="4698C1C9">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"_Toc8568" </w:instrText>
      </w:r>
      <w:r>
        <w:rPr>
          <w:rFonts w:hint="eastAsia" w:ascii="黑体" w:hAnsi="黑体" w:eastAsia="黑体" w:cs="黑体"/>
          <w:sz w:val="21"/>
          <w:szCs w:val="21"/>
        </w:rPr>
        <w:fldChar w:fldCharType="separate"/>
      </w:r>
      <w:r>
        <w:rPr>
          <w:rFonts w:hint="eastAsia" w:ascii="黑体" w:hAnsi="黑体" w:eastAsia="黑体" w:cs="黑体"/>
          <w:sz w:val="21"/>
          <w:szCs w:val="21"/>
        </w:rPr>
        <w:t>六</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廉政合同</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rPr>
        <w:t>4</w:t>
      </w:r>
      <w:r>
        <w:rPr>
          <w:rFonts w:hint="eastAsia" w:ascii="黑体" w:hAnsi="黑体" w:eastAsia="黑体" w:cs="黑体"/>
          <w:sz w:val="21"/>
          <w:szCs w:val="21"/>
          <w:lang w:val="en-US" w:eastAsia="zh-CN"/>
        </w:rPr>
        <w:t>0</w:t>
      </w:r>
    </w:p>
    <w:p w14:paraId="6F6230D4">
      <w:pPr>
        <w:pStyle w:val="17"/>
        <w:tabs>
          <w:tab w:val="right" w:leader="dot" w:pos="9922"/>
        </w:tabs>
        <w:spacing w:line="480" w:lineRule="exact"/>
        <w:rPr>
          <w:rFonts w:hint="eastAsia" w:ascii="黑体" w:hAnsi="黑体" w:eastAsia="黑体" w:cs="黑体"/>
          <w:sz w:val="21"/>
          <w:szCs w:val="21"/>
          <w:lang w:val="en-US" w:eastAsia="zh-CN"/>
        </w:rPr>
      </w:pPr>
      <w:r>
        <w:rPr>
          <w:rFonts w:hint="eastAsia" w:ascii="黑体" w:hAnsi="黑体" w:eastAsia="黑体" w:cs="黑体"/>
          <w:sz w:val="21"/>
          <w:szCs w:val="21"/>
        </w:rPr>
        <w:t>七</w:t>
      </w:r>
      <w:r>
        <w:rPr>
          <w:rFonts w:hint="eastAsia" w:ascii="黑体" w:hAnsi="黑体" w:eastAsia="黑体" w:cs="黑体"/>
          <w:sz w:val="21"/>
          <w:szCs w:val="21"/>
          <w:lang w:val="en-US" w:eastAsia="zh-CN"/>
        </w:rPr>
        <w:t>. 预付款担保</w:t>
      </w:r>
      <w:r>
        <w:rPr>
          <w:rFonts w:hint="eastAsia" w:ascii="黑体" w:hAnsi="黑体" w:eastAsia="黑体" w:cs="黑体"/>
          <w:sz w:val="21"/>
          <w:szCs w:val="21"/>
        </w:rPr>
        <w:tab/>
      </w:r>
      <w:r>
        <w:rPr>
          <w:rFonts w:hint="eastAsia" w:ascii="黑体" w:hAnsi="黑体" w:eastAsia="黑体" w:cs="黑体"/>
          <w:sz w:val="21"/>
          <w:szCs w:val="21"/>
          <w:lang w:val="en-US" w:eastAsia="zh-CN"/>
        </w:rPr>
        <w:t>143</w:t>
      </w:r>
    </w:p>
    <w:p w14:paraId="10B29D5D">
      <w:pPr>
        <w:pStyle w:val="17"/>
        <w:tabs>
          <w:tab w:val="right" w:leader="dot" w:pos="9922"/>
        </w:tabs>
        <w:spacing w:line="480" w:lineRule="exact"/>
        <w:rPr>
          <w:rFonts w:hint="default" w:ascii="黑体" w:hAnsi="黑体" w:eastAsia="黑体" w:cs="黑体"/>
          <w:sz w:val="21"/>
          <w:szCs w:val="21"/>
          <w:lang w:val="en-US"/>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"_Toc22747" </w:instrText>
      </w:r>
      <w:r>
        <w:rPr>
          <w:rFonts w:hint="eastAsia" w:ascii="黑体" w:hAnsi="黑体" w:eastAsia="黑体" w:cs="黑体"/>
          <w:sz w:val="21"/>
          <w:szCs w:val="21"/>
        </w:rPr>
        <w:fldChar w:fldCharType="separate"/>
      </w:r>
      <w:r>
        <w:rPr>
          <w:rFonts w:hint="eastAsia" w:ascii="黑体" w:hAnsi="黑体" w:eastAsia="黑体" w:cs="黑体"/>
          <w:sz w:val="21"/>
          <w:szCs w:val="21"/>
          <w:lang w:val="en-US" w:eastAsia="zh-CN"/>
        </w:rPr>
        <w:t xml:space="preserve">八. </w:t>
      </w:r>
      <w:r>
        <w:rPr>
          <w:rFonts w:hint="eastAsia" w:ascii="黑体" w:hAnsi="黑体" w:eastAsia="黑体" w:cs="黑体"/>
          <w:sz w:val="21"/>
          <w:szCs w:val="21"/>
        </w:rPr>
        <w:t>工程质量保修书</w:t>
      </w:r>
      <w:r>
        <w:rPr>
          <w:rFonts w:hint="eastAsia" w:ascii="黑体" w:hAnsi="黑体" w:eastAsia="黑体" w:cs="黑体"/>
          <w:sz w:val="21"/>
          <w:szCs w:val="21"/>
        </w:rPr>
        <w:tab/>
      </w:r>
      <w:r>
        <w:rPr>
          <w:rFonts w:hint="eastAsia" w:ascii="黑体" w:hAnsi="黑体" w:eastAsia="黑体" w:cs="黑体"/>
          <w:sz w:val="21"/>
          <w:szCs w:val="21"/>
          <w:lang w:val="en-US" w:eastAsia="zh-CN"/>
        </w:rPr>
        <w:t>1</w:t>
      </w:r>
      <w:r>
        <w:rPr>
          <w:rFonts w:hint="eastAsia" w:ascii="黑体" w:hAnsi="黑体" w:eastAsia="黑体" w:cs="黑体"/>
          <w:sz w:val="21"/>
          <w:szCs w:val="21"/>
        </w:rPr>
        <w:fldChar w:fldCharType="end"/>
      </w:r>
      <w:r>
        <w:rPr>
          <w:rFonts w:hint="eastAsia" w:ascii="黑体" w:hAnsi="黑体" w:eastAsia="黑体" w:cs="黑体"/>
          <w:sz w:val="21"/>
          <w:szCs w:val="21"/>
          <w:lang w:val="en-US" w:eastAsia="zh-CN"/>
        </w:rPr>
        <w:t>42</w:t>
      </w:r>
    </w:p>
    <w:p w14:paraId="625BF86B">
      <w:pPr>
        <w:spacing w:line="480" w:lineRule="exact"/>
        <w:rPr>
          <w:rFonts w:hint="eastAsia" w:ascii="黑体" w:hAnsi="黑体" w:eastAsia="黑体" w:cs="黑体"/>
          <w:sz w:val="21"/>
          <w:szCs w:val="21"/>
        </w:rPr>
      </w:pPr>
      <w:r>
        <w:rPr>
          <w:rFonts w:hint="eastAsia" w:ascii="黑体" w:hAnsi="黑体" w:eastAsia="黑体" w:cs="黑体"/>
          <w:sz w:val="21"/>
          <w:szCs w:val="21"/>
        </w:rPr>
        <w:fldChar w:fldCharType="end"/>
      </w:r>
    </w:p>
    <w:p w14:paraId="374FA7DD">
      <w:pPr>
        <w:rPr>
          <w:rFonts w:ascii="黑体" w:hAnsi="黑体" w:cs="Arial"/>
          <w:sz w:val="32"/>
          <w:szCs w:val="32"/>
        </w:rPr>
      </w:pPr>
    </w:p>
    <w:p w14:paraId="36A5CE80">
      <w:pPr>
        <w:rPr>
          <w:rFonts w:ascii="黑体" w:hAnsi="黑体" w:cs="Arial"/>
          <w:sz w:val="32"/>
          <w:szCs w:val="32"/>
        </w:rPr>
      </w:pPr>
    </w:p>
    <w:p w14:paraId="5BE409EE">
      <w:pPr>
        <w:rPr>
          <w:rFonts w:ascii="黑体" w:hAnsi="黑体" w:cs="Arial"/>
          <w:sz w:val="32"/>
          <w:szCs w:val="32"/>
        </w:rPr>
      </w:pPr>
    </w:p>
    <w:p w14:paraId="181B4AD2">
      <w:pPr>
        <w:rPr>
          <w:rFonts w:ascii="黑体" w:hAnsi="黑体" w:cs="Arial"/>
          <w:sz w:val="32"/>
          <w:szCs w:val="32"/>
        </w:rPr>
      </w:pPr>
    </w:p>
    <w:p w14:paraId="775D516C">
      <w:pPr>
        <w:rPr>
          <w:rFonts w:ascii="黑体" w:hAnsi="黑体" w:cs="Arial"/>
          <w:sz w:val="32"/>
          <w:szCs w:val="32"/>
        </w:rPr>
      </w:pPr>
    </w:p>
    <w:p w14:paraId="107BA803">
      <w:pPr>
        <w:rPr>
          <w:rFonts w:ascii="黑体" w:hAnsi="黑体" w:cs="Arial"/>
          <w:sz w:val="32"/>
          <w:szCs w:val="32"/>
        </w:rPr>
      </w:pPr>
    </w:p>
    <w:p w14:paraId="5ACF838F">
      <w:pPr>
        <w:rPr>
          <w:rFonts w:ascii="黑体" w:hAnsi="黑体" w:cs="Arial"/>
          <w:sz w:val="32"/>
          <w:szCs w:val="32"/>
        </w:rPr>
      </w:pPr>
    </w:p>
    <w:p w14:paraId="03066ABF">
      <w:pPr>
        <w:rPr>
          <w:rFonts w:ascii="黑体" w:hAnsi="黑体" w:cs="Arial"/>
          <w:sz w:val="32"/>
          <w:szCs w:val="32"/>
        </w:rPr>
      </w:pPr>
    </w:p>
    <w:p w14:paraId="74D3EBA4">
      <w:pPr>
        <w:pStyle w:val="11"/>
        <w:rPr>
          <w:rFonts w:ascii="黑体" w:hAnsi="黑体" w:cs="Arial"/>
          <w:sz w:val="32"/>
          <w:szCs w:val="32"/>
        </w:rPr>
      </w:pPr>
    </w:p>
    <w:p w14:paraId="44A3078F">
      <w:pPr>
        <w:pStyle w:val="11"/>
        <w:rPr>
          <w:rFonts w:ascii="黑体" w:hAnsi="黑体" w:cs="Arial"/>
          <w:sz w:val="32"/>
          <w:szCs w:val="32"/>
        </w:rPr>
      </w:pPr>
    </w:p>
    <w:p w14:paraId="5DFA6DBD">
      <w:pPr>
        <w:rPr>
          <w:rFonts w:ascii="黑体" w:hAnsi="黑体" w:cs="Arial"/>
          <w:sz w:val="32"/>
          <w:szCs w:val="32"/>
        </w:rPr>
      </w:pPr>
    </w:p>
    <w:p w14:paraId="073DA1CE">
      <w:pPr>
        <w:rPr>
          <w:rFonts w:ascii="黑体" w:hAnsi="黑体" w:cs="Arial"/>
          <w:sz w:val="32"/>
          <w:szCs w:val="32"/>
        </w:rPr>
      </w:pPr>
    </w:p>
    <w:p w14:paraId="43617F0E">
      <w:bookmarkStart w:id="94" w:name="_Toc13865"/>
    </w:p>
    <w:p w14:paraId="7133D526">
      <w:pPr>
        <w:pStyle w:val="42"/>
        <w:numPr>
          <w:ilvl w:val="0"/>
          <w:numId w:val="70"/>
        </w:numPr>
        <w:ind w:left="0" w:leftChars="0" w:firstLine="480" w:firstLineChars="0"/>
        <w:outlineLvl w:val="0"/>
      </w:pPr>
      <w:r>
        <w:t>合同协议书</w:t>
      </w:r>
      <w:bookmarkEnd w:id="94"/>
    </w:p>
    <w:p w14:paraId="64E6AE06">
      <w:pPr>
        <w:pStyle w:val="11"/>
        <w:rPr>
          <w:color w:val="000000"/>
          <w:u w:val="single"/>
        </w:rPr>
      </w:pPr>
      <w:r>
        <w:rPr>
          <w:color w:val="000000"/>
        </w:rPr>
        <w:t>发包人（全称）：</w:t>
      </w:r>
      <w:r>
        <w:rPr>
          <w:color w:val="000000"/>
          <w:u w:val="single"/>
        </w:rPr>
        <w:t xml:space="preserve">  上思县农业农村局        </w:t>
      </w:r>
    </w:p>
    <w:p w14:paraId="6FFF8160">
      <w:pPr>
        <w:spacing w:line="400" w:lineRule="exact"/>
        <w:jc w:val="left"/>
        <w:rPr>
          <w:rFonts w:hint="eastAsia" w:ascii="宋体" w:hAnsi="宋体" w:cs="宋体"/>
          <w:color w:val="000000"/>
          <w:szCs w:val="21"/>
        </w:rPr>
      </w:pPr>
    </w:p>
    <w:p w14:paraId="1B32E088">
      <w:pPr>
        <w:pStyle w:val="11"/>
        <w:rPr>
          <w:color w:val="000000"/>
          <w:u w:val="single"/>
        </w:rPr>
      </w:pPr>
      <w:r>
        <w:rPr>
          <w:color w:val="000000"/>
        </w:rPr>
        <w:t>承包人（全称）：</w:t>
      </w:r>
      <w:r>
        <w:rPr>
          <w:color w:val="000000"/>
          <w:u w:val="single"/>
        </w:rPr>
        <w:t xml:space="preserve">                          </w:t>
      </w:r>
    </w:p>
    <w:p w14:paraId="5E1C03F4">
      <w:pPr>
        <w:pStyle w:val="11"/>
        <w:rPr>
          <w:color w:val="000000"/>
        </w:rPr>
      </w:pPr>
      <w:r>
        <w:rPr>
          <w:color w:val="000000"/>
        </w:rPr>
        <w:t>根据《中华人民共和国民法典》、《中华人民共和国建筑法》及有关法律规定，遵循平等、自愿、公平和诚实信用的原则，双方就</w:t>
      </w:r>
      <w:r>
        <w:rPr>
          <w:color w:val="000000"/>
          <w:u w:val="single"/>
        </w:rPr>
        <w:t xml:space="preserve"> 2025年公正乡信良村百驮屯、那笃屯产业道路项目 </w:t>
      </w:r>
      <w:r>
        <w:rPr>
          <w:color w:val="000000"/>
        </w:rPr>
        <w:t>施工及有关事项协商一致，共同达成如下协议：</w:t>
      </w:r>
    </w:p>
    <w:p w14:paraId="2821FAA8">
      <w:pPr>
        <w:pStyle w:val="11"/>
      </w:pPr>
      <w:r>
        <w:t>1. 本协议书与下列文件一起构成合同文件：</w:t>
      </w:r>
    </w:p>
    <w:p w14:paraId="188745A4">
      <w:pPr>
        <w:pStyle w:val="11"/>
      </w:pPr>
      <w:bookmarkStart w:id="95" w:name="_Toc17971"/>
      <w:r>
        <w:t>（1）</w:t>
      </w:r>
      <w:bookmarkEnd w:id="95"/>
      <w:r>
        <w:t>成交通知书；</w:t>
      </w:r>
    </w:p>
    <w:p w14:paraId="26C4D7C2">
      <w:pPr>
        <w:pStyle w:val="11"/>
      </w:pPr>
      <w:bookmarkStart w:id="96" w:name="_Toc1944"/>
      <w:r>
        <w:t>（2）</w:t>
      </w:r>
      <w:bookmarkEnd w:id="96"/>
      <w:r>
        <w:t>投标函及投标函附录；</w:t>
      </w:r>
    </w:p>
    <w:p w14:paraId="107DE395">
      <w:pPr>
        <w:pStyle w:val="11"/>
      </w:pPr>
      <w:bookmarkStart w:id="97" w:name="_Toc21374"/>
      <w:r>
        <w:t>（3）</w:t>
      </w:r>
      <w:bookmarkEnd w:id="97"/>
      <w:r>
        <w:t>专用合同条款（含附加条款）；</w:t>
      </w:r>
    </w:p>
    <w:p w14:paraId="763B3142">
      <w:pPr>
        <w:pStyle w:val="11"/>
      </w:pPr>
      <w:bookmarkStart w:id="98" w:name="_Toc639"/>
      <w:r>
        <w:t>（4）</w:t>
      </w:r>
      <w:bookmarkEnd w:id="98"/>
      <w:r>
        <w:t>通用合同条款；</w:t>
      </w:r>
    </w:p>
    <w:p w14:paraId="7179A078">
      <w:pPr>
        <w:pStyle w:val="11"/>
      </w:pPr>
      <w:r>
        <w:t>（5）技术标准和要求（合同技术条款）；</w:t>
      </w:r>
    </w:p>
    <w:p w14:paraId="698DEE28">
      <w:pPr>
        <w:pStyle w:val="11"/>
      </w:pPr>
      <w:r>
        <w:t>（6）图纸；</w:t>
      </w:r>
    </w:p>
    <w:p w14:paraId="6E4AB42F">
      <w:pPr>
        <w:pStyle w:val="11"/>
      </w:pPr>
      <w:r>
        <w:t>（7）已标价的工程量清单；</w:t>
      </w:r>
    </w:p>
    <w:p w14:paraId="4FDF0680">
      <w:pPr>
        <w:pStyle w:val="11"/>
      </w:pPr>
      <w:bookmarkStart w:id="99" w:name="_Toc13454"/>
      <w:r>
        <w:t>（8）</w:t>
      </w:r>
      <w:bookmarkEnd w:id="99"/>
      <w:r>
        <w:t>安全生产合同；</w:t>
      </w:r>
    </w:p>
    <w:p w14:paraId="479F593E">
      <w:pPr>
        <w:pStyle w:val="11"/>
      </w:pPr>
      <w:bookmarkStart w:id="100" w:name="_Toc15254"/>
      <w:r>
        <w:t>（9）</w:t>
      </w:r>
      <w:bookmarkEnd w:id="100"/>
      <w:r>
        <w:t>廉政合同；</w:t>
      </w:r>
    </w:p>
    <w:p w14:paraId="7A6D4980">
      <w:pPr>
        <w:pStyle w:val="11"/>
      </w:pPr>
      <w:bookmarkStart w:id="101" w:name="_Toc32659"/>
      <w:r>
        <w:t>（10）</w:t>
      </w:r>
      <w:bookmarkEnd w:id="101"/>
      <w:bookmarkStart w:id="102" w:name="_Toc8217"/>
      <w:r>
        <w:t>工程质量保修书；</w:t>
      </w:r>
    </w:p>
    <w:p w14:paraId="6028054E">
      <w:pPr>
        <w:pStyle w:val="11"/>
      </w:pPr>
      <w:r>
        <w:t>（11）</w:t>
      </w:r>
      <w:bookmarkEnd w:id="102"/>
      <w:r>
        <w:t>其他合同文件。</w:t>
      </w:r>
    </w:p>
    <w:p w14:paraId="68AC1165">
      <w:pPr>
        <w:pStyle w:val="11"/>
      </w:pPr>
      <w:r>
        <w:t>2.上述文件互相补充和解释，如有不明确或不一致之处，以合同约定次序在先者为准。另外双方有关工程的洽商、变更等书面协议或文件视为本合同的组成部分，若有不明确或不一致处以时间顺序在后者为准。</w:t>
      </w:r>
    </w:p>
    <w:p w14:paraId="788DA3BE">
      <w:pPr>
        <w:pStyle w:val="11"/>
        <w:rPr>
          <w:color w:val="000000"/>
          <w:u w:val="single"/>
        </w:rPr>
      </w:pPr>
      <w:r>
        <w:rPr>
          <w:color w:val="000000"/>
        </w:rPr>
        <w:t>3. 工程名称：</w:t>
      </w:r>
      <w:r>
        <w:rPr>
          <w:b/>
          <w:color w:val="5F497A"/>
          <w:u w:val="single"/>
        </w:rPr>
        <w:t xml:space="preserve">                            </w:t>
      </w:r>
      <w:r>
        <w:rPr>
          <w:color w:val="000000"/>
          <w:u w:val="single"/>
        </w:rPr>
        <w:t xml:space="preserve"> </w:t>
      </w:r>
    </w:p>
    <w:p w14:paraId="6FF42271">
      <w:pPr>
        <w:pStyle w:val="11"/>
        <w:rPr>
          <w:color w:val="000000"/>
        </w:rPr>
      </w:pPr>
      <w:r>
        <w:rPr>
          <w:color w:val="000000"/>
        </w:rPr>
        <w:t>4. 工程地点：</w:t>
      </w:r>
      <w:r>
        <w:rPr>
          <w:color w:val="000000"/>
          <w:u w:val="single"/>
        </w:rPr>
        <w:t xml:space="preserve">                             </w:t>
      </w:r>
    </w:p>
    <w:p w14:paraId="01DBCAEC">
      <w:pPr>
        <w:spacing w:line="360" w:lineRule="auto"/>
        <w:ind w:firstLine="470" w:firstLineChars="196"/>
        <w:rPr>
          <w:rFonts w:hAnsi="宋体" w:cs="宋体"/>
          <w:szCs w:val="21"/>
          <w:u w:val="single"/>
        </w:rPr>
      </w:pPr>
      <w:r>
        <w:rPr>
          <w:rFonts w:hint="eastAsia" w:ascii="Times New Roman" w:hAnsi="Times New Roman" w:eastAsia="宋体" w:cs="Times New Roman"/>
          <w:color w:val="000000"/>
          <w:kern w:val="0"/>
          <w:sz w:val="24"/>
          <w:szCs w:val="20"/>
        </w:rPr>
        <w:t xml:space="preserve">5. </w:t>
      </w:r>
      <w:r>
        <w:rPr>
          <w:rFonts w:hint="eastAsia" w:hAnsi="宋体" w:cs="宋体"/>
          <w:bCs/>
          <w:szCs w:val="21"/>
        </w:rPr>
        <w:t>工程立项批准文号：</w:t>
      </w:r>
      <w:r>
        <w:rPr>
          <w:rFonts w:hint="eastAsia" w:hAnsi="宋体" w:cs="宋体"/>
          <w:szCs w:val="21"/>
          <w:u w:val="single"/>
        </w:rPr>
        <w:t xml:space="preserve">                             。</w:t>
      </w:r>
    </w:p>
    <w:p w14:paraId="30A7B23B">
      <w:pPr>
        <w:pStyle w:val="11"/>
      </w:pPr>
      <w:r>
        <w:t>6. 资金来源：</w:t>
      </w:r>
      <w:r>
        <w:rPr>
          <w:u w:val="single"/>
        </w:rPr>
        <w:t xml:space="preserve">    上级资金                 。</w:t>
      </w:r>
    </w:p>
    <w:p w14:paraId="79678175">
      <w:pPr>
        <w:spacing w:line="400" w:lineRule="exact"/>
        <w:ind w:firstLine="480" w:firstLineChars="200"/>
        <w:rPr>
          <w:rFonts w:ascii="宋体" w:hAnsi="宋体" w:cs="宋体"/>
          <w:szCs w:val="21"/>
        </w:rPr>
      </w:pPr>
      <w:r>
        <w:rPr>
          <w:rFonts w:hint="eastAsia" w:ascii="Times New Roman" w:hAnsi="Times New Roman" w:eastAsia="宋体" w:cs="Times New Roman"/>
          <w:color w:val="000000"/>
          <w:kern w:val="0"/>
          <w:sz w:val="24"/>
          <w:szCs w:val="20"/>
        </w:rPr>
        <w:t>7.</w:t>
      </w:r>
      <w:r>
        <w:rPr>
          <w:rFonts w:hint="eastAsia" w:ascii="宋体" w:hAnsi="宋体" w:cs="宋体"/>
          <w:szCs w:val="21"/>
        </w:rPr>
        <w:t xml:space="preserve"> 签约合同价：人民币（大写）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元）。</w:t>
      </w:r>
    </w:p>
    <w:p w14:paraId="4C13D05F">
      <w:pPr>
        <w:pStyle w:val="11"/>
      </w:pPr>
      <w:r>
        <w:t>8.本工程的农民工工资保证金按合同总价的2％计算，即为人民币大写：</w:t>
      </w:r>
      <w:r>
        <w:rPr>
          <w:u w:val="single"/>
        </w:rPr>
        <w:t xml:space="preserve">            </w:t>
      </w:r>
      <w:r>
        <w:t>（¥</w:t>
      </w:r>
      <w:r>
        <w:rPr>
          <w:u w:val="single"/>
        </w:rPr>
        <w:t xml:space="preserve">      </w:t>
      </w:r>
      <w:r>
        <w:t>元），承包人需在开工前向发包人提供农民工工资缴纳凭证。。</w:t>
      </w:r>
    </w:p>
    <w:p w14:paraId="7328D723">
      <w:pPr>
        <w:pStyle w:val="11"/>
      </w:pPr>
      <w:r>
        <w:t>9. 承包方式：</w:t>
      </w:r>
      <w:r>
        <w:rPr>
          <w:highlight w:val="none"/>
          <w:u w:val="single"/>
        </w:rPr>
        <w:t xml:space="preserve"> 固定单价承包 </w:t>
      </w:r>
      <w:r>
        <w:rPr>
          <w:u w:val="single"/>
        </w:rPr>
        <w:t xml:space="preserve"> </w:t>
      </w:r>
      <w:r>
        <w:t>。甲方负责施工期间的水、电。</w:t>
      </w:r>
    </w:p>
    <w:p w14:paraId="2CE861D5">
      <w:pPr>
        <w:pStyle w:val="11"/>
        <w:rPr>
          <w:u w:val="single"/>
        </w:rPr>
      </w:pPr>
      <w:r>
        <w:t>10.承包人项目经理姓名：</w:t>
      </w:r>
      <w:r>
        <w:rPr>
          <w:u w:val="single"/>
        </w:rPr>
        <w:t xml:space="preserve">      </w:t>
      </w:r>
      <w:r>
        <w:t>，证书号：</w:t>
      </w:r>
      <w:r>
        <w:rPr>
          <w:u w:val="single"/>
        </w:rPr>
        <w:t xml:space="preserve">            </w:t>
      </w:r>
      <w:r>
        <w:t>，联系电话：</w:t>
      </w:r>
      <w:r>
        <w:rPr>
          <w:u w:val="single"/>
        </w:rPr>
        <w:t xml:space="preserve">       </w:t>
      </w:r>
      <w:r>
        <w:t>。</w:t>
      </w:r>
    </w:p>
    <w:p w14:paraId="7DE65B20">
      <w:pPr>
        <w:pStyle w:val="11"/>
      </w:pPr>
      <w:r>
        <w:t>11.工程建设内容及规模：</w:t>
      </w:r>
      <w:r>
        <w:rPr>
          <w:u w:val="single"/>
        </w:rPr>
        <w:t xml:space="preserve">                        </w:t>
      </w:r>
      <w:r>
        <w:t xml:space="preserve">等，具体内容详见图纸及工程量清单。  </w:t>
      </w:r>
    </w:p>
    <w:p w14:paraId="51C76241">
      <w:pPr>
        <w:pStyle w:val="11"/>
      </w:pPr>
      <w:r>
        <w:t>12. 工程质量达到设计要求和符合</w:t>
      </w:r>
      <w:r>
        <w:rPr>
          <w:color w:val="000000"/>
        </w:rPr>
        <w:t>工程质量</w:t>
      </w:r>
      <w:r>
        <w:rPr>
          <w:color w:val="000000"/>
          <w:u w:val="single"/>
        </w:rPr>
        <w:t xml:space="preserve"> 合格  </w:t>
      </w:r>
      <w:r>
        <w:rPr>
          <w:color w:val="000000"/>
        </w:rPr>
        <w:t>标准</w:t>
      </w:r>
      <w:r>
        <w:t>。</w:t>
      </w:r>
    </w:p>
    <w:p w14:paraId="1ABBC9BB">
      <w:pPr>
        <w:pStyle w:val="11"/>
      </w:pPr>
      <w:r>
        <w:t>13. 承包人承诺执行监理人开工通知，计划开工日期：</w:t>
      </w:r>
      <w:r>
        <w:rPr>
          <w:u w:val="single"/>
        </w:rPr>
        <w:t>2025</w:t>
      </w:r>
      <w:r>
        <w:t>年</w:t>
      </w:r>
      <w:r>
        <w:rPr>
          <w:u w:val="single"/>
        </w:rPr>
        <w:t xml:space="preserve">   </w:t>
      </w:r>
      <w:r>
        <w:t>月</w:t>
      </w:r>
      <w:r>
        <w:rPr>
          <w:u w:val="single"/>
        </w:rPr>
        <w:t xml:space="preserve">    </w:t>
      </w:r>
      <w:r>
        <w:t>日，计划完工日期：</w:t>
      </w:r>
      <w:r>
        <w:rPr>
          <w:u w:val="single"/>
        </w:rPr>
        <w:t xml:space="preserve"> 2025</w:t>
      </w:r>
      <w:r>
        <w:t>年</w:t>
      </w:r>
      <w:r>
        <w:rPr>
          <w:u w:val="single"/>
        </w:rPr>
        <w:t xml:space="preserve">  </w:t>
      </w:r>
      <w:r>
        <w:t>月</w:t>
      </w:r>
      <w:r>
        <w:rPr>
          <w:u w:val="single"/>
        </w:rPr>
        <w:t xml:space="preserve">   </w:t>
      </w:r>
      <w:r>
        <w:t xml:space="preserve"> 日，计划工期为</w:t>
      </w:r>
      <w:r>
        <w:rPr>
          <w:u w:val="single"/>
        </w:rPr>
        <w:t xml:space="preserve"> 90 </w:t>
      </w:r>
      <w:r>
        <w:t xml:space="preserve">日历天, 具体开工日期以开工通知为准。 </w:t>
      </w:r>
    </w:p>
    <w:p w14:paraId="3AD8A1B0">
      <w:pPr>
        <w:pStyle w:val="11"/>
      </w:pPr>
      <w:r>
        <w:t>14.承包人承诺按合同约定承担工程的实施、完成及缺陷修复。</w:t>
      </w:r>
    </w:p>
    <w:p w14:paraId="1D32F47C">
      <w:pPr>
        <w:pStyle w:val="11"/>
      </w:pPr>
      <w:r>
        <w:t>15.发包人承诺按合同约定的条件、时间和方式向承包人支付合同价款。</w:t>
      </w:r>
    </w:p>
    <w:p w14:paraId="053824B9">
      <w:pPr>
        <w:pStyle w:val="11"/>
      </w:pPr>
      <w:r>
        <w:t>16.合同未尽事宜，双方另行签订补充协议。补充协议是合同的组成部分。</w:t>
      </w:r>
    </w:p>
    <w:p w14:paraId="692F002B">
      <w:pPr>
        <w:pStyle w:val="11"/>
      </w:pPr>
      <w:bookmarkStart w:id="103" w:name="_Toc168475887"/>
      <w:bookmarkStart w:id="104" w:name="_Toc144974830"/>
      <w:bookmarkStart w:id="105" w:name="_Toc168476290"/>
      <w:r>
        <w:t>17.</w:t>
      </w:r>
      <w:bookmarkEnd w:id="103"/>
      <w:bookmarkEnd w:id="104"/>
      <w:bookmarkEnd w:id="105"/>
      <w:r>
        <w:t>本协议书一式</w:t>
      </w:r>
      <w:r>
        <w:rPr>
          <w:u w:val="single"/>
        </w:rPr>
        <w:t xml:space="preserve"> 陆</w:t>
      </w:r>
      <w:r>
        <w:t>份，甲乙双方各执</w:t>
      </w:r>
      <w:r>
        <w:rPr>
          <w:u w:val="single"/>
        </w:rPr>
        <w:t xml:space="preserve"> 叁</w:t>
      </w:r>
      <w:r>
        <w:t>份。</w:t>
      </w:r>
    </w:p>
    <w:p w14:paraId="005E92D8">
      <w:pPr>
        <w:spacing w:line="400" w:lineRule="exact"/>
        <w:ind w:firstLine="359" w:firstLineChars="171"/>
        <w:rPr>
          <w:rFonts w:ascii="宋体" w:hAnsi="宋体" w:cs="宋体"/>
          <w:szCs w:val="21"/>
        </w:rPr>
      </w:pPr>
    </w:p>
    <w:p w14:paraId="1EF70F6D">
      <w:pPr>
        <w:spacing w:line="380" w:lineRule="exact"/>
        <w:rPr>
          <w:rFonts w:ascii="Times New Roman" w:hAnsi="Times New Roman" w:eastAsia="宋体" w:cs="Times New Roman"/>
          <w:sz w:val="24"/>
          <w:szCs w:val="21"/>
        </w:rPr>
      </w:pPr>
      <w:bookmarkStart w:id="106" w:name="_Toc16822"/>
      <w:bookmarkStart w:id="107" w:name="_Toc14578"/>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w:t>
      </w:r>
    </w:p>
    <w:p w14:paraId="0B58A5E2">
      <w:pPr>
        <w:spacing w:line="380" w:lineRule="exact"/>
        <w:ind w:firstLine="1320" w:firstLineChars="550"/>
        <w:rPr>
          <w:rFonts w:ascii="Times New Roman" w:hAnsi="Times New Roman" w:eastAsia="宋体" w:cs="Times New Roman"/>
          <w:sz w:val="24"/>
          <w:szCs w:val="21"/>
        </w:rPr>
      </w:pPr>
      <w:r>
        <w:rPr>
          <w:rFonts w:hint="eastAsia" w:ascii="Times New Roman" w:hAnsi="Times New Roman" w:eastAsia="宋体" w:cs="Times New Roman"/>
          <w:sz w:val="24"/>
          <w:szCs w:val="21"/>
        </w:rPr>
        <w:t>（盖单位公章）                              （盖单位公章）</w:t>
      </w:r>
    </w:p>
    <w:p w14:paraId="07FE8353">
      <w:pPr>
        <w:pStyle w:val="11"/>
        <w:rPr>
          <w:szCs w:val="21"/>
        </w:rPr>
      </w:pPr>
    </w:p>
    <w:p w14:paraId="49F90F04">
      <w:pPr>
        <w:spacing w:line="380" w:lineRule="exact"/>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法定代表人:                                    法定代表人:            </w:t>
      </w:r>
    </w:p>
    <w:p w14:paraId="1189470E">
      <w:pPr>
        <w:spacing w:line="500" w:lineRule="exact"/>
        <w:ind w:left="4110" w:leftChars="300" w:hanging="3480" w:hangingChars="1450"/>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bookmarkEnd w:id="106"/>
    <w:bookmarkEnd w:id="107"/>
    <w:p w14:paraId="7F8DA8AB">
      <w:pPr>
        <w:tabs>
          <w:tab w:val="left" w:pos="4410"/>
        </w:tabs>
        <w:spacing w:line="400" w:lineRule="exact"/>
        <w:ind w:firstLine="420" w:firstLineChars="200"/>
        <w:jc w:val="left"/>
        <w:rPr>
          <w:rFonts w:hint="eastAsia" w:ascii="宋体" w:hAnsi="宋体" w:cs="宋体"/>
          <w:color w:val="000000"/>
          <w:szCs w:val="21"/>
        </w:rPr>
      </w:pPr>
      <w:bookmarkStart w:id="108" w:name="_Toc18473"/>
    </w:p>
    <w:p w14:paraId="28172C7C">
      <w:pPr>
        <w:tabs>
          <w:tab w:val="left" w:pos="4410"/>
        </w:tabs>
        <w:spacing w:line="400" w:lineRule="exact"/>
        <w:ind w:firstLine="480" w:firstLineChars="200"/>
        <w:jc w:val="left"/>
        <w:rPr>
          <w:rFonts w:hint="eastAsia" w:ascii="Times New Roman" w:hAnsi="Times New Roman" w:eastAsia="宋体" w:cs="Times New Roman"/>
          <w:color w:val="000000"/>
          <w:sz w:val="24"/>
          <w:szCs w:val="21"/>
        </w:rPr>
      </w:pPr>
      <w:r>
        <w:rPr>
          <w:rFonts w:hint="eastAsia" w:ascii="Times New Roman" w:hAnsi="Times New Roman" w:eastAsia="宋体" w:cs="Times New Roman"/>
          <w:color w:val="000000"/>
          <w:sz w:val="24"/>
          <w:szCs w:val="21"/>
        </w:rPr>
        <w:t>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统一社会信用代码：</w:t>
      </w:r>
      <w:r>
        <w:rPr>
          <w:rFonts w:hint="eastAsia" w:ascii="Times New Roman" w:hAnsi="Times New Roman" w:eastAsia="宋体" w:cs="Times New Roman"/>
          <w:color w:val="000000"/>
          <w:sz w:val="24"/>
          <w:szCs w:val="21"/>
          <w:u w:val="single"/>
        </w:rPr>
        <w:t xml:space="preserve">                  </w:t>
      </w:r>
      <w:r>
        <w:rPr>
          <w:rFonts w:hint="eastAsia" w:ascii="Times New Roman" w:hAnsi="Times New Roman" w:eastAsia="宋体" w:cs="Times New Roman"/>
          <w:color w:val="000000"/>
          <w:sz w:val="24"/>
          <w:szCs w:val="21"/>
        </w:rPr>
        <w:t xml:space="preserve"> </w:t>
      </w:r>
    </w:p>
    <w:p w14:paraId="7761CB2D">
      <w:pPr>
        <w:pStyle w:val="11"/>
        <w:rPr>
          <w:color w:val="000000"/>
        </w:rPr>
      </w:pPr>
      <w:r>
        <w:rPr>
          <w:color w:val="000000"/>
        </w:rPr>
        <w:t>地  址：</w:t>
      </w:r>
      <w:r>
        <w:rPr>
          <w:color w:val="000000"/>
          <w:u w:val="single"/>
        </w:rPr>
        <w:t xml:space="preserve">                     </w:t>
      </w:r>
      <w:r>
        <w:rPr>
          <w:color w:val="000000"/>
        </w:rPr>
        <w:t xml:space="preserve">                  地  址：</w:t>
      </w:r>
      <w:r>
        <w:rPr>
          <w:color w:val="000000"/>
          <w:u w:val="single"/>
        </w:rPr>
        <w:t xml:space="preserve">                            </w:t>
      </w:r>
    </w:p>
    <w:p w14:paraId="1535608D">
      <w:pPr>
        <w:pStyle w:val="11"/>
        <w:rPr>
          <w:color w:val="000000"/>
        </w:rPr>
      </w:pPr>
      <w:r>
        <w:rPr>
          <w:color w:val="000000"/>
        </w:rPr>
        <w:t>邮政编码：</w:t>
      </w:r>
      <w:r>
        <w:rPr>
          <w:color w:val="000000"/>
          <w:u w:val="single"/>
        </w:rPr>
        <w:t xml:space="preserve">                   </w:t>
      </w:r>
      <w:r>
        <w:rPr>
          <w:color w:val="000000"/>
        </w:rPr>
        <w:t xml:space="preserve">                  邮政编码：</w:t>
      </w:r>
      <w:r>
        <w:rPr>
          <w:color w:val="000000"/>
          <w:u w:val="single"/>
        </w:rPr>
        <w:t xml:space="preserve">                          </w:t>
      </w:r>
    </w:p>
    <w:p w14:paraId="6D25A6AF">
      <w:pPr>
        <w:pStyle w:val="11"/>
        <w:rPr>
          <w:color w:val="000000"/>
        </w:rPr>
      </w:pPr>
      <w:r>
        <w:rPr>
          <w:color w:val="000000"/>
        </w:rPr>
        <w:t>法定代表人：</w:t>
      </w:r>
      <w:r>
        <w:rPr>
          <w:color w:val="000000"/>
          <w:u w:val="single"/>
        </w:rPr>
        <w:t xml:space="preserve">                 </w:t>
      </w:r>
      <w:r>
        <w:rPr>
          <w:color w:val="000000"/>
        </w:rPr>
        <w:t xml:space="preserve">                  法定代表人：</w:t>
      </w:r>
      <w:r>
        <w:rPr>
          <w:color w:val="000000"/>
          <w:u w:val="single"/>
        </w:rPr>
        <w:t xml:space="preserve">                        </w:t>
      </w:r>
    </w:p>
    <w:p w14:paraId="063ACC91">
      <w:pPr>
        <w:pStyle w:val="11"/>
        <w:rPr>
          <w:color w:val="000000"/>
        </w:rPr>
      </w:pPr>
      <w:r>
        <w:rPr>
          <w:color w:val="000000"/>
        </w:rPr>
        <w:t>委托代理人：</w:t>
      </w:r>
      <w:r>
        <w:rPr>
          <w:color w:val="000000"/>
          <w:u w:val="single"/>
        </w:rPr>
        <w:t xml:space="preserve">                 </w:t>
      </w:r>
      <w:r>
        <w:rPr>
          <w:color w:val="000000"/>
        </w:rPr>
        <w:t xml:space="preserve">                  委托代理人：</w:t>
      </w:r>
      <w:r>
        <w:rPr>
          <w:color w:val="000000"/>
          <w:u w:val="single"/>
        </w:rPr>
        <w:t xml:space="preserve">                         </w:t>
      </w:r>
    </w:p>
    <w:p w14:paraId="065DC572">
      <w:pPr>
        <w:pStyle w:val="11"/>
        <w:rPr>
          <w:color w:val="000000"/>
        </w:rPr>
      </w:pPr>
      <w:r>
        <w:rPr>
          <w:color w:val="000000"/>
        </w:rPr>
        <w:t>电  话：</w:t>
      </w:r>
      <w:r>
        <w:rPr>
          <w:color w:val="000000"/>
          <w:u w:val="single"/>
        </w:rPr>
        <w:t xml:space="preserve">                     </w:t>
      </w:r>
      <w:r>
        <w:rPr>
          <w:color w:val="000000"/>
        </w:rPr>
        <w:t xml:space="preserve">                  电  话：</w:t>
      </w:r>
      <w:r>
        <w:rPr>
          <w:color w:val="000000"/>
          <w:u w:val="single"/>
        </w:rPr>
        <w:t xml:space="preserve">                            </w:t>
      </w:r>
    </w:p>
    <w:p w14:paraId="549B9807">
      <w:pPr>
        <w:pStyle w:val="11"/>
        <w:rPr>
          <w:color w:val="000000"/>
        </w:rPr>
      </w:pPr>
      <w:r>
        <w:rPr>
          <w:color w:val="000000"/>
        </w:rPr>
        <w:t>传  真：</w:t>
      </w:r>
      <w:r>
        <w:rPr>
          <w:color w:val="000000"/>
          <w:u w:val="single"/>
        </w:rPr>
        <w:t xml:space="preserve">                     </w:t>
      </w:r>
      <w:r>
        <w:rPr>
          <w:color w:val="000000"/>
        </w:rPr>
        <w:t xml:space="preserve">                  传  真：</w:t>
      </w:r>
      <w:r>
        <w:rPr>
          <w:color w:val="000000"/>
          <w:u w:val="single"/>
        </w:rPr>
        <w:t xml:space="preserve">                             </w:t>
      </w:r>
    </w:p>
    <w:p w14:paraId="754021CA">
      <w:pPr>
        <w:pStyle w:val="11"/>
        <w:rPr>
          <w:color w:val="000000"/>
        </w:rPr>
      </w:pPr>
      <w:r>
        <w:rPr>
          <w:color w:val="000000"/>
        </w:rPr>
        <w:t>电子信箱：</w:t>
      </w:r>
      <w:r>
        <w:rPr>
          <w:color w:val="000000"/>
          <w:u w:val="single"/>
        </w:rPr>
        <w:t xml:space="preserve">                   </w:t>
      </w:r>
      <w:r>
        <w:rPr>
          <w:color w:val="000000"/>
        </w:rPr>
        <w:t xml:space="preserve">                  电子信箱：</w:t>
      </w:r>
      <w:r>
        <w:rPr>
          <w:color w:val="000000"/>
          <w:u w:val="single"/>
        </w:rPr>
        <w:t xml:space="preserve">                         </w:t>
      </w:r>
    </w:p>
    <w:p w14:paraId="4AF21976">
      <w:pPr>
        <w:pStyle w:val="11"/>
        <w:rPr>
          <w:color w:val="000000"/>
        </w:rPr>
      </w:pPr>
      <w:r>
        <w:rPr>
          <w:color w:val="000000"/>
        </w:rPr>
        <w:t>开户银行：</w:t>
      </w:r>
      <w:r>
        <w:rPr>
          <w:color w:val="000000"/>
          <w:u w:val="single"/>
        </w:rPr>
        <w:t xml:space="preserve">                   </w:t>
      </w:r>
      <w:r>
        <w:rPr>
          <w:color w:val="000000"/>
        </w:rPr>
        <w:t xml:space="preserve">                  开户银行：</w:t>
      </w:r>
      <w:r>
        <w:rPr>
          <w:color w:val="000000"/>
          <w:u w:val="single"/>
        </w:rPr>
        <w:t xml:space="preserve">                         </w:t>
      </w:r>
    </w:p>
    <w:p w14:paraId="2618F8B6">
      <w:pPr>
        <w:pStyle w:val="11"/>
        <w:rPr>
          <w:color w:val="000000"/>
          <w:u w:val="single"/>
        </w:rPr>
      </w:pPr>
      <w:r>
        <w:rPr>
          <w:color w:val="000000"/>
        </w:rPr>
        <w:t>账  号：</w:t>
      </w:r>
      <w:r>
        <w:rPr>
          <w:color w:val="000000"/>
          <w:u w:val="single"/>
        </w:rPr>
        <w:t xml:space="preserve">                     </w:t>
      </w:r>
      <w:r>
        <w:rPr>
          <w:color w:val="000000"/>
        </w:rPr>
        <w:t xml:space="preserve">                  账  号：</w:t>
      </w:r>
      <w:r>
        <w:rPr>
          <w:color w:val="000000"/>
          <w:u w:val="single"/>
        </w:rPr>
        <w:t xml:space="preserve">                           </w:t>
      </w:r>
    </w:p>
    <w:p w14:paraId="162AF676">
      <w:pPr>
        <w:pStyle w:val="11"/>
        <w:rPr>
          <w:b/>
        </w:rPr>
      </w:pPr>
      <w:r>
        <w:rPr>
          <w:b/>
        </w:rPr>
        <w:t xml:space="preserve">附上                     </w:t>
      </w:r>
    </w:p>
    <w:p w14:paraId="25BAAD22">
      <w:pPr>
        <w:pStyle w:val="42"/>
        <w:numPr>
          <w:ilvl w:val="0"/>
          <w:numId w:val="70"/>
        </w:numPr>
        <w:ind w:left="0" w:leftChars="0" w:firstLine="480" w:firstLineChars="0"/>
        <w:outlineLvl w:val="0"/>
        <w:rPr>
          <w:b/>
        </w:rPr>
      </w:pPr>
      <w:r>
        <w:rPr>
          <w:b/>
        </w:rPr>
        <w:t>成交通知书</w:t>
      </w:r>
      <w:bookmarkEnd w:id="108"/>
    </w:p>
    <w:p w14:paraId="20A27497">
      <w:pPr>
        <w:pStyle w:val="17"/>
        <w:rPr>
          <w:rFonts w:ascii="宋体" w:hAnsi="宋体" w:cs="宋体"/>
          <w:szCs w:val="21"/>
        </w:rPr>
      </w:pPr>
    </w:p>
    <w:p w14:paraId="14063729">
      <w:pPr>
        <w:rPr>
          <w:rFonts w:ascii="宋体" w:hAnsi="宋体" w:cs="宋体"/>
          <w:szCs w:val="21"/>
        </w:rPr>
      </w:pPr>
    </w:p>
    <w:p w14:paraId="7E689B6F">
      <w:pPr>
        <w:pStyle w:val="17"/>
        <w:rPr>
          <w:rFonts w:ascii="宋体" w:hAnsi="宋体" w:cs="宋体"/>
          <w:szCs w:val="21"/>
        </w:rPr>
      </w:pPr>
    </w:p>
    <w:p w14:paraId="65C6F084">
      <w:pPr>
        <w:rPr>
          <w:rFonts w:ascii="宋体" w:hAnsi="宋体" w:cs="宋体"/>
          <w:szCs w:val="21"/>
        </w:rPr>
      </w:pPr>
    </w:p>
    <w:p w14:paraId="2A262C09">
      <w:bookmarkStart w:id="109" w:name="_Toc3268"/>
      <w:r>
        <w:br w:type="page"/>
      </w:r>
    </w:p>
    <w:p w14:paraId="5B8A7042">
      <w:pPr>
        <w:pStyle w:val="42"/>
        <w:numPr>
          <w:ilvl w:val="0"/>
          <w:numId w:val="70"/>
        </w:numPr>
        <w:ind w:left="0" w:leftChars="0" w:firstLine="480" w:firstLineChars="0"/>
        <w:outlineLvl w:val="0"/>
      </w:pPr>
      <w:r>
        <w:t>专用合同条款</w:t>
      </w:r>
      <w:bookmarkEnd w:id="109"/>
    </w:p>
    <w:p w14:paraId="4A8DB0FB">
      <w:pPr>
        <w:pStyle w:val="2"/>
        <w:bidi w:val="0"/>
        <w:ind w:left="0" w:leftChars="0" w:firstLine="482" w:firstLineChars="0"/>
      </w:pPr>
      <w:r>
        <w:t>一般约定</w:t>
      </w:r>
    </w:p>
    <w:p w14:paraId="27AC22FD">
      <w:pPr>
        <w:pStyle w:val="2"/>
        <w:numPr>
          <w:ilvl w:val="0"/>
          <w:numId w:val="0"/>
        </w:numPr>
        <w:bidi w:val="0"/>
        <w:ind w:left="482" w:leftChars="0"/>
      </w:pPr>
      <w:r>
        <w:t>1.1 词语定义</w:t>
      </w:r>
    </w:p>
    <w:p w14:paraId="269B097F">
      <w:pPr>
        <w:pStyle w:val="2"/>
        <w:numPr>
          <w:ilvl w:val="0"/>
          <w:numId w:val="0"/>
        </w:numPr>
        <w:bidi w:val="0"/>
        <w:ind w:left="482" w:leftChars="0"/>
      </w:pPr>
      <w:r>
        <w:t>1.1.2  合同当事人和人员</w:t>
      </w:r>
    </w:p>
    <w:p w14:paraId="229F0041">
      <w:pPr>
        <w:pStyle w:val="11"/>
      </w:pPr>
      <w:r>
        <w:t>1.1.2.2  发包人：</w:t>
      </w:r>
      <w:r>
        <w:rPr>
          <w:u w:val="single"/>
        </w:rPr>
        <w:t xml:space="preserve">                   </w:t>
      </w:r>
      <w:r>
        <w:t>。</w:t>
      </w:r>
    </w:p>
    <w:p w14:paraId="0B983CBE">
      <w:pPr>
        <w:pStyle w:val="11"/>
      </w:pPr>
      <w:r>
        <w:t>1.1.2.3  承包人：</w:t>
      </w:r>
      <w:r>
        <w:rPr>
          <w:u w:val="single"/>
        </w:rPr>
        <w:t xml:space="preserve">                         </w:t>
      </w:r>
      <w:r>
        <w:t>。</w:t>
      </w:r>
    </w:p>
    <w:p w14:paraId="690A4FA2">
      <w:pPr>
        <w:pStyle w:val="11"/>
      </w:pPr>
      <w:r>
        <w:t>1.1.2.5  分包人：</w:t>
      </w:r>
      <w:r>
        <w:rPr>
          <w:u w:val="single"/>
        </w:rPr>
        <w:t xml:space="preserve">  本工程不实行分包、转包          </w:t>
      </w:r>
      <w:r>
        <w:t xml:space="preserve"> 。</w:t>
      </w:r>
    </w:p>
    <w:p w14:paraId="6A1341E6">
      <w:pPr>
        <w:pStyle w:val="11"/>
      </w:pPr>
      <w:r>
        <w:t>1.1.2.6  监理人：</w:t>
      </w:r>
      <w:r>
        <w:rPr>
          <w:u w:val="single"/>
        </w:rPr>
        <w:t xml:space="preserve">                        </w:t>
      </w:r>
      <w:r>
        <w:t xml:space="preserve"> 。</w:t>
      </w:r>
    </w:p>
    <w:p w14:paraId="31E2BB08">
      <w:pPr>
        <w:pStyle w:val="11"/>
      </w:pPr>
      <w:r>
        <w:rPr>
          <w:b w:val="0"/>
          <w:bCs w:val="0"/>
        </w:rPr>
        <w:t xml:space="preserve">1.1.4  日期： 2025年 月  日        </w:t>
      </w:r>
      <w:r>
        <w:t xml:space="preserve"> 。</w:t>
      </w:r>
    </w:p>
    <w:p w14:paraId="4758ABC5">
      <w:pPr>
        <w:pStyle w:val="11"/>
      </w:pPr>
      <w:r>
        <w:t>1.1.4.5  缺陷责任期（工程质量保修期）：双方约定本项目的质量保修期为保修期的起算日至通过竣工验收后一年。</w:t>
      </w:r>
    </w:p>
    <w:p w14:paraId="08CB410A">
      <w:pPr>
        <w:pStyle w:val="2"/>
        <w:numPr>
          <w:ilvl w:val="0"/>
          <w:numId w:val="0"/>
        </w:numPr>
        <w:bidi w:val="0"/>
        <w:ind w:left="482" w:leftChars="0"/>
        <w:rPr>
          <w:b w:val="0"/>
          <w:bCs w:val="0"/>
        </w:rPr>
      </w:pPr>
      <w:r>
        <w:rPr>
          <w:b w:val="0"/>
          <w:bCs w:val="0"/>
        </w:rPr>
        <w:t>1.4 合同文件的优先顺序</w:t>
      </w:r>
    </w:p>
    <w:p w14:paraId="75517540">
      <w:pPr>
        <w:pStyle w:val="11"/>
      </w:pPr>
      <w:r>
        <w:t>进入合同的各项文件及其优先顺序如下：</w:t>
      </w:r>
    </w:p>
    <w:p w14:paraId="6A1DB03B">
      <w:pPr>
        <w:pStyle w:val="11"/>
      </w:pPr>
      <w:r>
        <w:t>（1）成交通知书；</w:t>
      </w:r>
    </w:p>
    <w:p w14:paraId="5445C020">
      <w:pPr>
        <w:pStyle w:val="11"/>
      </w:pPr>
      <w:r>
        <w:t>（2）投标函及投标函附录；</w:t>
      </w:r>
    </w:p>
    <w:p w14:paraId="249A34C4">
      <w:pPr>
        <w:pStyle w:val="11"/>
      </w:pPr>
      <w:r>
        <w:t>（3）专用合同条款（含附加条款）；</w:t>
      </w:r>
    </w:p>
    <w:p w14:paraId="25FF4D73">
      <w:pPr>
        <w:pStyle w:val="11"/>
      </w:pPr>
      <w:r>
        <w:t>（4）通用合同条款；</w:t>
      </w:r>
    </w:p>
    <w:p w14:paraId="1825EF7F">
      <w:pPr>
        <w:pStyle w:val="11"/>
      </w:pPr>
      <w:r>
        <w:t>（5）技术标准和要求（合同技术条款）；</w:t>
      </w:r>
    </w:p>
    <w:p w14:paraId="11EC8579">
      <w:pPr>
        <w:pStyle w:val="11"/>
      </w:pPr>
      <w:r>
        <w:t>（6）图纸；</w:t>
      </w:r>
    </w:p>
    <w:p w14:paraId="5EA7623D">
      <w:pPr>
        <w:pStyle w:val="11"/>
      </w:pPr>
      <w:r>
        <w:t>（7）已标价的工程量清单；</w:t>
      </w:r>
    </w:p>
    <w:p w14:paraId="48A4C426">
      <w:pPr>
        <w:pStyle w:val="11"/>
      </w:pPr>
      <w:r>
        <w:t>（8）安全生产合同；</w:t>
      </w:r>
    </w:p>
    <w:p w14:paraId="55C442F9">
      <w:pPr>
        <w:pStyle w:val="11"/>
      </w:pPr>
      <w:r>
        <w:t>（9）廉政合同；</w:t>
      </w:r>
    </w:p>
    <w:p w14:paraId="5980B0A0">
      <w:pPr>
        <w:pStyle w:val="11"/>
      </w:pPr>
      <w:r>
        <w:t>（10）工程质量保修书；</w:t>
      </w:r>
    </w:p>
    <w:p w14:paraId="19E50FEB">
      <w:pPr>
        <w:pStyle w:val="11"/>
      </w:pPr>
      <w:r>
        <w:t>（11）其他合同文件。</w:t>
      </w:r>
    </w:p>
    <w:p w14:paraId="7267CF3E">
      <w:pPr>
        <w:pStyle w:val="11"/>
      </w:pPr>
      <w:r>
        <w:t>上述文件将互相补充，若有不明确或不一致处，以上列次序在先者为准。另外双方有关工程的洽商、变更等书面协议或文件视为本合同的组成部分，若有不明确或不一致处以时间顺序在后者为准。</w:t>
      </w:r>
    </w:p>
    <w:p w14:paraId="21CEFF9C">
      <w:pPr>
        <w:pStyle w:val="2"/>
        <w:numPr>
          <w:ilvl w:val="0"/>
          <w:numId w:val="0"/>
        </w:numPr>
        <w:bidi w:val="0"/>
        <w:ind w:left="482" w:leftChars="0"/>
      </w:pPr>
      <w:r>
        <w:t>1.7 联络</w:t>
      </w:r>
    </w:p>
    <w:p w14:paraId="7C5D87A8">
      <w:pPr>
        <w:pStyle w:val="11"/>
      </w:pPr>
      <w:r>
        <w:t>1.7.2  来往函件均应按技术标准和要求（合同技术条款）约定的期限送达发包人和承包人工作所在地。</w:t>
      </w:r>
    </w:p>
    <w:p w14:paraId="676EE83A">
      <w:pPr>
        <w:pStyle w:val="2"/>
        <w:tabs>
          <w:tab w:val="left" w:pos="802"/>
        </w:tabs>
        <w:bidi w:val="0"/>
        <w:ind w:left="0" w:leftChars="0" w:firstLine="482" w:firstLineChars="0"/>
      </w:pPr>
      <w:bookmarkStart w:id="110" w:name="_Toc8981"/>
      <w:r>
        <w:rPr>
          <w:rFonts w:hint="eastAsia"/>
          <w:lang w:eastAsia="zh-CN"/>
        </w:rPr>
        <w:tab/>
      </w:r>
      <w:r>
        <w:t>发包人义务</w:t>
      </w:r>
      <w:bookmarkEnd w:id="110"/>
    </w:p>
    <w:p w14:paraId="213CE933">
      <w:pPr>
        <w:pStyle w:val="2"/>
        <w:numPr>
          <w:ilvl w:val="0"/>
          <w:numId w:val="0"/>
        </w:numPr>
        <w:bidi w:val="0"/>
        <w:ind w:left="482" w:leftChars="0"/>
      </w:pPr>
      <w:r>
        <w:t>2.3 提供施工场地</w:t>
      </w:r>
    </w:p>
    <w:p w14:paraId="7085FEF9">
      <w:pPr>
        <w:pStyle w:val="11"/>
      </w:pPr>
      <w:r>
        <w:t>2.3.2</w:t>
      </w:r>
      <w:r>
        <w:rPr>
          <w:b w:val="0"/>
        </w:rPr>
        <w:t>发包人提供的施工场地范围为：发包人负责办理工地范围内的征地、拆迁和移民等有关手续，向承包人提供施工用地；发包人提供永久征地和施工临时用地红线图及坐标，承包人自行测量边界并标示，按文明施工要求对施工场地进行围挡；承包人应无条件接受现场条件并对施工场地进行维护；以上费用由承包人承担，发包人不另行支付。如果承包人出于任何正当的理由，要求使用任何额外的施工用地，应至少提前30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r>
        <w:t xml:space="preserve"> </w:t>
      </w:r>
    </w:p>
    <w:p w14:paraId="037DE010">
      <w:pPr>
        <w:pStyle w:val="11"/>
        <w:rPr>
          <w:b/>
          <w:bCs/>
        </w:rPr>
      </w:pPr>
      <w:r>
        <w:rPr>
          <w:b/>
          <w:bCs/>
        </w:rPr>
        <w:t>2.3.3承包人自行勘察的施工场地范围为：完成合同工程施工建设任务所涉及的所有范围。</w:t>
      </w:r>
    </w:p>
    <w:p w14:paraId="2E211DB9">
      <w:pPr>
        <w:pStyle w:val="2"/>
        <w:numPr>
          <w:ilvl w:val="0"/>
          <w:numId w:val="0"/>
        </w:numPr>
        <w:bidi w:val="0"/>
        <w:ind w:left="482" w:leftChars="0"/>
      </w:pPr>
      <w:r>
        <w:t xml:space="preserve">2.8 其它义务  </w:t>
      </w:r>
    </w:p>
    <w:p w14:paraId="02ACF8CD">
      <w:pPr>
        <w:pStyle w:val="2"/>
        <w:bidi w:val="0"/>
        <w:ind w:left="0" w:leftChars="0" w:firstLine="482" w:firstLineChars="0"/>
      </w:pPr>
      <w:bookmarkStart w:id="111" w:name="_Toc12821"/>
      <w:r>
        <w:t>监理人</w:t>
      </w:r>
      <w:bookmarkEnd w:id="111"/>
    </w:p>
    <w:p w14:paraId="3D57AEFF">
      <w:pPr>
        <w:pStyle w:val="2"/>
        <w:numPr>
          <w:ilvl w:val="0"/>
          <w:numId w:val="0"/>
        </w:numPr>
        <w:bidi w:val="0"/>
        <w:ind w:left="482" w:leftChars="0"/>
      </w:pPr>
      <w:r>
        <w:t>3.1 监理人的职责和权力</w:t>
      </w:r>
    </w:p>
    <w:p w14:paraId="5C5F3536">
      <w:pPr>
        <w:pStyle w:val="11"/>
      </w:pPr>
      <w:r>
        <w:t>3.1.1　监理人须根据发包人事先批准的权力范围行使权力，发包人批准的权力范围：按本工程委托监理合同。</w:t>
      </w:r>
    </w:p>
    <w:p w14:paraId="0E6E0ADF">
      <w:pPr>
        <w:pStyle w:val="2"/>
        <w:bidi w:val="0"/>
        <w:ind w:left="0" w:leftChars="0" w:firstLine="482" w:firstLineChars="0"/>
      </w:pPr>
      <w:bookmarkStart w:id="112" w:name="_Toc22378"/>
      <w:r>
        <w:t>承包人</w:t>
      </w:r>
      <w:bookmarkEnd w:id="112"/>
    </w:p>
    <w:p w14:paraId="1AFBCE41">
      <w:pPr>
        <w:pStyle w:val="2"/>
        <w:numPr>
          <w:ilvl w:val="0"/>
          <w:numId w:val="0"/>
        </w:numPr>
        <w:bidi w:val="0"/>
        <w:ind w:left="482" w:leftChars="0"/>
      </w:pPr>
      <w:r>
        <w:t>4.1 承包人的一般义务</w:t>
      </w:r>
    </w:p>
    <w:p w14:paraId="13D6D6EA">
      <w:pPr>
        <w:pStyle w:val="2"/>
        <w:numPr>
          <w:ilvl w:val="0"/>
          <w:numId w:val="0"/>
        </w:numPr>
        <w:bidi w:val="0"/>
        <w:ind w:left="482" w:leftChars="0"/>
      </w:pPr>
      <w:r>
        <w:t>4.1.10 其他义务</w:t>
      </w:r>
    </w:p>
    <w:p w14:paraId="0103E4AA">
      <w:pPr>
        <w:pStyle w:val="11"/>
      </w:pPr>
      <w:r>
        <w:t>（一）办理有关保险。</w:t>
      </w:r>
    </w:p>
    <w:p w14:paraId="3DC0A5B4">
      <w:pPr>
        <w:pStyle w:val="11"/>
      </w:pPr>
      <w: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0AC38DDB">
      <w:pPr>
        <w:pStyle w:val="11"/>
      </w:pPr>
      <w:r>
        <w:t>按照《建筑法》规定，鼓励为从事危险作业的职工办理意外伤害保险。</w:t>
      </w:r>
    </w:p>
    <w:p w14:paraId="702E721E">
      <w:pPr>
        <w:pStyle w:val="11"/>
      </w:pPr>
      <w:bookmarkStart w:id="113" w:name="bookmark1624"/>
      <w:bookmarkEnd w:id="113"/>
      <w:r>
        <w:t>（二）执行广西壮族自治区解决企业拖欠工资问题联席会议关于保障农民工工资支付的有关规定，确保农民工工资无拖欠。</w:t>
      </w:r>
    </w:p>
    <w:p w14:paraId="115E6D15">
      <w:pPr>
        <w:pStyle w:val="11"/>
      </w:pPr>
      <w:r>
        <w:t>依法与招用的农民工签订并履行劳动合同，建立职工名册，及时办理劳动用工备案。实行农民工工资专用账户管理、银行代发农民工工资制度和农民工工资保证金制度。</w:t>
      </w:r>
    </w:p>
    <w:p w14:paraId="73FC6EC6">
      <w:pPr>
        <w:pStyle w:val="11"/>
      </w:pPr>
      <w:bookmarkStart w:id="114" w:name="bookmark1625"/>
      <w:bookmarkEnd w:id="114"/>
      <w:r>
        <w:t>（三）工程施工的义务和责任</w:t>
      </w:r>
    </w:p>
    <w:p w14:paraId="2585232A">
      <w:pPr>
        <w:pStyle w:val="11"/>
      </w:pPr>
      <w:bookmarkStart w:id="115" w:name="bookmark1626"/>
      <w:bookmarkEnd w:id="115"/>
      <w:r>
        <w:t>（1）承包人应负责施工场地内部的水、电等施工管、线路的铺、架设及其费用，并按供电部门规定向供电部门(或发包人)交纳水、电费。另外，施工通讯及设施由承包人负责并承担费用。</w:t>
      </w:r>
    </w:p>
    <w:p w14:paraId="6CD681FF">
      <w:pPr>
        <w:pStyle w:val="11"/>
      </w:pPr>
      <w:bookmarkStart w:id="116" w:name="bookmark1627"/>
      <w:bookmarkEnd w:id="116"/>
      <w:r>
        <w:t>（2）除民房外，承包人应按监理人的指示负责拆除、清理已征用土地上的杂物、灌木、 树木、树根、杂草等。</w:t>
      </w:r>
    </w:p>
    <w:p w14:paraId="737F8F1C">
      <w:pPr>
        <w:pStyle w:val="11"/>
      </w:pPr>
      <w:bookmarkStart w:id="117" w:name="bookmark1628"/>
      <w:bookmarkEnd w:id="117"/>
      <w:r>
        <w:t>（3）承包人应充分理解有一些设施(如施工道路、桥梁)可能会有其它人和单位使用通行，在使用过程中发生干扰时，应立即通知监理人并服从监理人的决定。</w:t>
      </w:r>
    </w:p>
    <w:p w14:paraId="0FDD7620">
      <w:pPr>
        <w:pStyle w:val="11"/>
      </w:pPr>
      <w:bookmarkStart w:id="118" w:name="bookmark1629"/>
      <w:bookmarkEnd w:id="118"/>
      <w:r>
        <w:t>（4）承包人应为监理人、发包人现场代表对施工现场的检查监督提供必要的配合，并对这种配合对施工的影响应有充分的考虑。</w:t>
      </w:r>
    </w:p>
    <w:p w14:paraId="2A38635D">
      <w:pPr>
        <w:pStyle w:val="11"/>
      </w:pPr>
      <w:bookmarkStart w:id="119" w:name="bookmark1630"/>
      <w:bookmarkEnd w:id="119"/>
      <w:r>
        <w:t>（5）工程竣工后，承包人应按监理人的指示清理施工现场直至监理人、发包人满意 为止。</w:t>
      </w:r>
    </w:p>
    <w:p w14:paraId="79678F5D">
      <w:pPr>
        <w:pStyle w:val="11"/>
      </w:pPr>
      <w:bookmarkStart w:id="120" w:name="bookmark1631"/>
      <w:bookmarkEnd w:id="120"/>
      <w:r>
        <w:t>（6）对上述(1)～ (5)项工作，费用已包括在有关单价和总价中，发包人不再另行支付由此所发生的一切费用。</w:t>
      </w:r>
    </w:p>
    <w:p w14:paraId="463BBC4A">
      <w:pPr>
        <w:pStyle w:val="11"/>
      </w:pPr>
      <w:bookmarkStart w:id="121" w:name="bookmark1632"/>
      <w:bookmarkEnd w:id="121"/>
      <w: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5C303B7">
      <w:pPr>
        <w:pStyle w:val="11"/>
      </w:pPr>
      <w:bookmarkStart w:id="122" w:name="bookmark1633"/>
      <w:bookmarkEnd w:id="122"/>
      <w:r>
        <w:t>（8）承包人必须文明、安全施工，在施工期间发生的一切人员伤亡和财产损失等责任事故和所发生的一切费用概由承包人承担。</w:t>
      </w:r>
    </w:p>
    <w:p w14:paraId="13D9EC11">
      <w:pPr>
        <w:pStyle w:val="11"/>
      </w:pPr>
      <w:bookmarkStart w:id="123" w:name="bookmark1634"/>
      <w:bookmarkEnd w:id="123"/>
      <w:r>
        <w:t>（1）按照发包人的要求做好安全文明宣传、监督检查宣传等工作，相关费用由承包人承担。</w:t>
      </w:r>
    </w:p>
    <w:p w14:paraId="73AC17D0">
      <w:pPr>
        <w:pStyle w:val="11"/>
      </w:pPr>
      <w:bookmarkStart w:id="124" w:name="bookmark1635"/>
      <w:bookmarkEnd w:id="124"/>
      <w:r>
        <w:t>（3）承包人应按约定时间和要求，完成以下工作：</w:t>
      </w:r>
    </w:p>
    <w:p w14:paraId="19789F5E">
      <w:pPr>
        <w:pStyle w:val="11"/>
      </w:pPr>
      <w:bookmarkStart w:id="125" w:name="bookmark1636"/>
      <w:bookmarkEnd w:id="125"/>
      <w:r>
        <w:t>①按时提交施工组织设计、单位工程的施工方案。</w:t>
      </w:r>
    </w:p>
    <w:p w14:paraId="0813F4F2">
      <w:pPr>
        <w:pStyle w:val="11"/>
      </w:pPr>
      <w:bookmarkStart w:id="126" w:name="bookmark1637"/>
      <w:bookmarkEnd w:id="126"/>
      <w:r>
        <w:t>②每月25日向监理人提交当月工程进度报表及下月进度计划。</w:t>
      </w:r>
    </w:p>
    <w:p w14:paraId="2EC37322">
      <w:pPr>
        <w:pStyle w:val="11"/>
      </w:pPr>
      <w:bookmarkStart w:id="127" w:name="bookmark1638"/>
      <w:bookmarkEnd w:id="127"/>
      <w:r>
        <w:t>③承包人自行负责施工安全保卫工作及夜间施工照明。</w:t>
      </w:r>
    </w:p>
    <w:p w14:paraId="1781A39A">
      <w:pPr>
        <w:pStyle w:val="11"/>
      </w:pPr>
      <w:bookmarkStart w:id="128" w:name="bookmark1639"/>
      <w:bookmarkEnd w:id="128"/>
      <w:r>
        <w:t>④需承包人办理的有关施工场地交通、环卫和施工噪音降尘管理等手续：遵守有关部门对施工现场交通、环卫和施工噪音降尘管理规定，如有发生，费用由承包人承担。</w:t>
      </w:r>
    </w:p>
    <w:p w14:paraId="292509E4">
      <w:pPr>
        <w:pStyle w:val="11"/>
      </w:pPr>
      <w:bookmarkStart w:id="129" w:name="bookmark1640"/>
      <w:bookmarkEnd w:id="129"/>
      <w:r>
        <w:t>⑤已完工程成品保护的特殊要求及费用承担：已完工工程未交付发包人之前，承包人按协议条款约定负责已完成工程的成品保护工作，保护期间发生损坏，承包人自费予以修复。</w:t>
      </w:r>
    </w:p>
    <w:p w14:paraId="78665897">
      <w:pPr>
        <w:pStyle w:val="11"/>
      </w:pPr>
      <w:bookmarkStart w:id="130" w:name="bookmark1641"/>
      <w:bookmarkEnd w:id="130"/>
      <w:r>
        <w:t>⑥承包人有义务对施工场地周围管线(含地上及地下)和邻近建筑物、构筑物(含文物保护建筑)、古树名木等进行探明并负责保护。</w:t>
      </w:r>
    </w:p>
    <w:p w14:paraId="62D123F7">
      <w:pPr>
        <w:pStyle w:val="11"/>
      </w:pPr>
      <w:bookmarkStart w:id="131" w:name="bookmark1642"/>
      <w:bookmarkEnd w:id="131"/>
      <w:r>
        <w:t>⑦施工场地清洁卫生的要求：按城建卫生有关规定执行，由承包人负责，费用由承包人承担。</w:t>
      </w:r>
    </w:p>
    <w:p w14:paraId="5E90A633">
      <w:pPr>
        <w:pStyle w:val="11"/>
      </w:pPr>
      <w:bookmarkStart w:id="132" w:name="bookmark1643"/>
      <w:bookmarkEnd w:id="132"/>
      <w:r>
        <w:t>⑧承包人承担施工场地、水电及运输通道的修建和维护、清场等费用。</w:t>
      </w:r>
    </w:p>
    <w:p w14:paraId="1D410E1C">
      <w:pPr>
        <w:pStyle w:val="11"/>
      </w:pPr>
      <w:bookmarkStart w:id="133" w:name="bookmark1644"/>
      <w:bookmarkEnd w:id="133"/>
      <w:r>
        <w:t>（3）双方约定承包人应做的其他工作：</w:t>
      </w:r>
    </w:p>
    <w:p w14:paraId="7D33AD82">
      <w:pPr>
        <w:pStyle w:val="11"/>
      </w:pPr>
      <w:bookmarkStart w:id="134" w:name="bookmark1645"/>
      <w:bookmarkEnd w:id="134"/>
      <w:r>
        <w:t>①凡属于需要承包人交付给其他承包人的工作面以及与其他承包人交叉作业的工作面, 承包人必须服从监理人的决定，按规定的完工日期完成并将清理好的工作面移交给发包人, 并取得监理人的同意。</w:t>
      </w:r>
    </w:p>
    <w:p w14:paraId="585DECA7">
      <w:pPr>
        <w:pStyle w:val="11"/>
      </w:pPr>
      <w:bookmarkStart w:id="135" w:name="bookmark1646"/>
      <w:bookmarkEnd w:id="135"/>
      <w:r>
        <w:t>②工程完工后，承包人应按监理人的指示清理施工现场。并在工程完工后6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14:paraId="6FB49857">
      <w:pPr>
        <w:pStyle w:val="11"/>
      </w:pPr>
      <w:bookmarkStart w:id="136" w:name="bookmark1647"/>
      <w:bookmarkEnd w:id="136"/>
      <w:r>
        <w:t>（4）其他未尽事宜待签订施工合同时双方再协商。</w:t>
      </w:r>
    </w:p>
    <w:p w14:paraId="6C8C4D02">
      <w:pPr>
        <w:pStyle w:val="11"/>
      </w:pPr>
      <w:bookmarkStart w:id="137" w:name="bookmark1648"/>
      <w:bookmarkEnd w:id="137"/>
      <w:r>
        <w:t>（一）鼓励承包人根据工程建设实际，吸纳建档立卡贫困劳动力参加工程建设。</w:t>
      </w:r>
    </w:p>
    <w:p w14:paraId="7C72CEE1">
      <w:pPr>
        <w:pStyle w:val="11"/>
      </w:pPr>
      <w:bookmarkStart w:id="138" w:name="bookmark1649"/>
      <w:bookmarkEnd w:id="138"/>
      <w:r>
        <w:t>（二）执行自治区关于松材线虫病防控工作的有关规定，工程建设采用的模板、支撑及脚手架以钢模板、钢支撑为主，木质模板及仿材尽量就地采购，避免长途转运。</w:t>
      </w:r>
    </w:p>
    <w:p w14:paraId="0546A794">
      <w:pPr>
        <w:pStyle w:val="2"/>
        <w:numPr>
          <w:ilvl w:val="0"/>
          <w:numId w:val="0"/>
        </w:numPr>
        <w:bidi w:val="0"/>
        <w:ind w:left="482" w:leftChars="0"/>
      </w:pPr>
      <w:r>
        <w:t>4.3 分包</w:t>
      </w:r>
    </w:p>
    <w:p w14:paraId="1AC4F308">
      <w:pPr>
        <w:pStyle w:val="11"/>
      </w:pPr>
      <w:r>
        <w:t>本工程不允许分包。</w:t>
      </w:r>
    </w:p>
    <w:p w14:paraId="0A1315A4">
      <w:pPr>
        <w:pStyle w:val="2"/>
        <w:numPr>
          <w:ilvl w:val="0"/>
          <w:numId w:val="0"/>
        </w:numPr>
        <w:bidi w:val="0"/>
        <w:ind w:left="482" w:leftChars="0"/>
      </w:pPr>
      <w:r>
        <w:t>4.7撤换承包人项目经理和其他人员</w:t>
      </w:r>
    </w:p>
    <w:p w14:paraId="6651D345">
      <w:pPr>
        <w:pStyle w:val="11"/>
      </w:pPr>
      <w:r>
        <w:t>□4.7.1成交人根据投标文件的承诺，投入本项目的项目经理、技术负责人、质量管理员、安全管理员等主要管理人员成交后不得更换(除因故去世、调离本单位外)。</w:t>
      </w:r>
    </w:p>
    <w:p w14:paraId="63F49D10">
      <w:pPr>
        <w:pStyle w:val="11"/>
      </w:pPr>
      <w:r>
        <w:t>■4.7.1投入本项目的项目经理、技术负责人、质量管理员、专全管理员等主要管理人员成交后，经成交人申请、监理机构审核允许、招标人同意后方可变更为不低于同等条件的人员。</w:t>
      </w:r>
    </w:p>
    <w:p w14:paraId="638D048D">
      <w:pPr>
        <w:pStyle w:val="11"/>
      </w:pPr>
      <w:r>
        <w:t>4.7.2项目经理每月在工地时间少于</w:t>
      </w:r>
      <w:r>
        <w:rPr>
          <w:u w:val="single"/>
        </w:rPr>
        <w:t xml:space="preserve"> 21 </w:t>
      </w:r>
      <w:r>
        <w:t>日（春节除外），且未经招标人同意的，按未履职处理，由有关行政监督部门处理后报请自治区有关行政监督部门将结果记入市场主体信用档案，公布不良行为记录。</w:t>
      </w:r>
    </w:p>
    <w:p w14:paraId="3E3C1CB7">
      <w:pPr>
        <w:pStyle w:val="2"/>
        <w:numPr>
          <w:ilvl w:val="0"/>
          <w:numId w:val="0"/>
        </w:numPr>
        <w:bidi w:val="0"/>
        <w:ind w:left="482" w:leftChars="0"/>
      </w:pPr>
      <w:r>
        <w:t>4.11 不利物质条件</w:t>
      </w:r>
    </w:p>
    <w:p w14:paraId="6A515A45">
      <w:pPr>
        <w:pStyle w:val="11"/>
      </w:pPr>
      <w:bookmarkStart w:id="139" w:name="_Toc221951159"/>
      <w:bookmarkStart w:id="140" w:name="_Toc22553"/>
      <w:r>
        <w:rPr>
          <w:b/>
        </w:rPr>
        <w:t>4.11.1</w:t>
      </w:r>
      <w:r>
        <w:t>不利物质条件的范围：</w:t>
      </w:r>
      <w:bookmarkStart w:id="141" w:name="OLE_LINK2"/>
      <w:r>
        <w:rPr>
          <w:u w:val="single"/>
        </w:rPr>
        <w:t>不可预见的自然物质条件、非自然的物质障碍和污染物，包括地下和水文条件</w:t>
      </w:r>
      <w:bookmarkEnd w:id="141"/>
      <w:r>
        <w:rPr>
          <w:u w:val="single"/>
        </w:rPr>
        <w:t>等，但不包括气候条件</w:t>
      </w:r>
      <w:r>
        <w:t>。</w:t>
      </w:r>
      <w:bookmarkEnd w:id="139"/>
    </w:p>
    <w:p w14:paraId="5D309BFE">
      <w:pPr>
        <w:pStyle w:val="2"/>
        <w:numPr>
          <w:ilvl w:val="0"/>
          <w:numId w:val="0"/>
        </w:numPr>
        <w:bidi w:val="0"/>
        <w:ind w:left="482" w:leftChars="0"/>
      </w:pPr>
      <w:r>
        <w:t>5. 材料和工程设备</w:t>
      </w:r>
      <w:bookmarkEnd w:id="140"/>
    </w:p>
    <w:p w14:paraId="30EC1DF0">
      <w:pPr>
        <w:pStyle w:val="2"/>
        <w:numPr>
          <w:ilvl w:val="0"/>
          <w:numId w:val="0"/>
        </w:numPr>
        <w:bidi w:val="0"/>
        <w:ind w:left="482" w:leftChars="0"/>
      </w:pPr>
      <w:r>
        <w:t>5.2 发包人提供的材料和工程设备</w:t>
      </w:r>
    </w:p>
    <w:p w14:paraId="566D8056">
      <w:pPr>
        <w:pStyle w:val="11"/>
      </w:pPr>
      <w:bookmarkStart w:id="142" w:name="_Toc28379"/>
      <w:r>
        <w:t>5.2.1本工程发包人不提供材料和工程设备。</w:t>
      </w:r>
    </w:p>
    <w:p w14:paraId="65602B64">
      <w:pPr>
        <w:pStyle w:val="2"/>
        <w:numPr>
          <w:ilvl w:val="0"/>
          <w:numId w:val="0"/>
        </w:numPr>
        <w:bidi w:val="0"/>
        <w:ind w:left="482" w:leftChars="0"/>
      </w:pPr>
      <w:r>
        <w:t>6. 施工设备和临时设施</w:t>
      </w:r>
      <w:bookmarkEnd w:id="142"/>
    </w:p>
    <w:p w14:paraId="4E984C48">
      <w:pPr>
        <w:pStyle w:val="2"/>
        <w:numPr>
          <w:ilvl w:val="0"/>
          <w:numId w:val="0"/>
        </w:numPr>
        <w:bidi w:val="0"/>
        <w:ind w:left="482" w:leftChars="0"/>
      </w:pPr>
      <w:r>
        <w:t>6.1 承包人提供的施工设备和临时设施</w:t>
      </w:r>
    </w:p>
    <w:p w14:paraId="1042A998">
      <w:pPr>
        <w:pStyle w:val="11"/>
      </w:pPr>
      <w:r>
        <w:t>6.1.2承包人自行承担修建临时设施的费用，需要临时占地的，由承包人办理相关申请手续，发包人予以协助，发生的相关费用由承包人承担。</w:t>
      </w:r>
    </w:p>
    <w:p w14:paraId="2FC22DF3">
      <w:pPr>
        <w:pStyle w:val="2"/>
        <w:numPr>
          <w:ilvl w:val="0"/>
          <w:numId w:val="0"/>
        </w:numPr>
        <w:bidi w:val="0"/>
        <w:ind w:left="482" w:leftChars="0"/>
      </w:pPr>
      <w:r>
        <w:t>6.2发包人提供的施工设备和临时设施</w:t>
      </w:r>
    </w:p>
    <w:p w14:paraId="05AD8E9F">
      <w:pPr>
        <w:pStyle w:val="11"/>
      </w:pPr>
      <w:r>
        <w:t>发包人不提供施工设备和临时设施。</w:t>
      </w:r>
    </w:p>
    <w:p w14:paraId="41F62F48">
      <w:pPr>
        <w:pStyle w:val="2"/>
        <w:numPr>
          <w:ilvl w:val="0"/>
          <w:numId w:val="0"/>
        </w:numPr>
        <w:bidi w:val="0"/>
        <w:ind w:left="482" w:leftChars="0"/>
      </w:pPr>
      <w:bookmarkStart w:id="143" w:name="_Toc6188"/>
      <w:r>
        <w:t>7. 交通运输</w:t>
      </w:r>
      <w:bookmarkEnd w:id="143"/>
    </w:p>
    <w:p w14:paraId="74173BA5">
      <w:pPr>
        <w:pStyle w:val="2"/>
        <w:numPr>
          <w:ilvl w:val="0"/>
          <w:numId w:val="0"/>
        </w:numPr>
        <w:bidi w:val="0"/>
        <w:ind w:left="482" w:leftChars="0"/>
      </w:pPr>
      <w:r>
        <w:t>7.1道路通行权和场外设施</w:t>
      </w:r>
    </w:p>
    <w:p w14:paraId="7B6FE0EA">
      <w:pPr>
        <w:pStyle w:val="11"/>
      </w:pPr>
      <w:r>
        <w:t>道路通行权和场外设施的约定：</w:t>
      </w:r>
      <w:r>
        <w:rPr>
          <w:u w:val="single"/>
        </w:rPr>
        <w:t xml:space="preserve">  承包人应根据合同工程的施工需要，负责办理取得出入施工场地的专用和临时道路的通行权，以及取得为工程建设所需修建场外设施的权利，并承担相关费用 </w:t>
      </w:r>
      <w:r>
        <w:t>。</w:t>
      </w:r>
    </w:p>
    <w:p w14:paraId="764FFD4D">
      <w:pPr>
        <w:pStyle w:val="2"/>
        <w:numPr>
          <w:ilvl w:val="0"/>
          <w:numId w:val="0"/>
        </w:numPr>
        <w:bidi w:val="0"/>
        <w:ind w:left="482" w:leftChars="0"/>
      </w:pPr>
      <w:bookmarkStart w:id="144" w:name="_Toc32221"/>
      <w:r>
        <w:t>8. 测量放线</w:t>
      </w:r>
      <w:bookmarkEnd w:id="144"/>
    </w:p>
    <w:p w14:paraId="0620AE47">
      <w:pPr>
        <w:pStyle w:val="2"/>
        <w:numPr>
          <w:ilvl w:val="0"/>
          <w:numId w:val="0"/>
        </w:numPr>
        <w:bidi w:val="0"/>
        <w:ind w:left="482" w:leftChars="0"/>
      </w:pPr>
      <w:r>
        <w:t>8.1 施工控制网</w:t>
      </w:r>
    </w:p>
    <w:p w14:paraId="36067FCC">
      <w:pPr>
        <w:pStyle w:val="11"/>
      </w:pPr>
      <w:r>
        <w:t>8.1.1施工控制网的约定：</w:t>
      </w:r>
      <w:r>
        <w:rPr>
          <w:u w:val="single"/>
        </w:rPr>
        <w:t>由承包人负责测设，并报监理人审批，相关费用由承包人承担</w:t>
      </w:r>
      <w:r>
        <w:t>。</w:t>
      </w:r>
    </w:p>
    <w:p w14:paraId="093306F7">
      <w:pPr>
        <w:pStyle w:val="2"/>
        <w:numPr>
          <w:ilvl w:val="0"/>
          <w:numId w:val="0"/>
        </w:numPr>
        <w:bidi w:val="0"/>
        <w:ind w:left="482" w:leftChars="0"/>
      </w:pPr>
      <w:bookmarkStart w:id="145" w:name="_Toc31695"/>
      <w:r>
        <w:t>9. 施工安全、治安保卫和环境保护</w:t>
      </w:r>
      <w:bookmarkEnd w:id="145"/>
    </w:p>
    <w:p w14:paraId="15B7725E">
      <w:pPr>
        <w:pStyle w:val="2"/>
        <w:numPr>
          <w:ilvl w:val="0"/>
          <w:numId w:val="0"/>
        </w:numPr>
        <w:bidi w:val="0"/>
        <w:ind w:left="482" w:leftChars="0"/>
      </w:pPr>
      <w:r>
        <w:t>9.2 承包人的施工安全责任</w:t>
      </w:r>
    </w:p>
    <w:p w14:paraId="393651AE">
      <w:pPr>
        <w:pStyle w:val="11"/>
      </w:pPr>
      <w:r>
        <w:t>9.2.8安全施工措施所需费用在投标时不得做竞争调整。</w:t>
      </w:r>
    </w:p>
    <w:p w14:paraId="4E8314D4">
      <w:pPr>
        <w:pStyle w:val="2"/>
        <w:numPr>
          <w:ilvl w:val="0"/>
          <w:numId w:val="0"/>
        </w:numPr>
        <w:bidi w:val="0"/>
        <w:ind w:left="482" w:leftChars="0"/>
      </w:pPr>
      <w:r>
        <w:t>9.7 文明工地</w:t>
      </w:r>
    </w:p>
    <w:p w14:paraId="54BDFD39">
      <w:pPr>
        <w:pStyle w:val="11"/>
      </w:pPr>
      <w:r>
        <w:t>9.7.1 本合同文明工地的约定：</w:t>
      </w:r>
      <w:r>
        <w:rPr>
          <w:color w:val="000000"/>
          <w:u w:val="single"/>
        </w:rPr>
        <w:t>要求达到《建筑施工安全检查标准》（JGJ59-2011）的标准和符合《广西壮族自治区建筑工程安全文明施工费使用管理细则》（桂建质安【2015】16号文）的要求</w:t>
      </w:r>
      <w:r>
        <w:t>。</w:t>
      </w:r>
    </w:p>
    <w:p w14:paraId="689FD7F5">
      <w:pPr>
        <w:pStyle w:val="2"/>
        <w:numPr>
          <w:ilvl w:val="0"/>
          <w:numId w:val="0"/>
        </w:numPr>
        <w:bidi w:val="0"/>
        <w:ind w:left="482" w:leftChars="0"/>
      </w:pPr>
      <w:r>
        <w:t>11. 开工和竣工（完工）</w:t>
      </w:r>
    </w:p>
    <w:p w14:paraId="68454334">
      <w:pPr>
        <w:pStyle w:val="11"/>
        <w:rPr>
          <w:b/>
        </w:rPr>
      </w:pPr>
      <w:bookmarkStart w:id="146" w:name="bookmark1711"/>
      <w:bookmarkStart w:id="147" w:name="bookmark1712"/>
      <w:bookmarkStart w:id="148" w:name="bookmark1713"/>
      <w:r>
        <w:rPr>
          <w:b/>
        </w:rPr>
        <w:t>11.2本工程主体工程完工时间为：</w:t>
      </w:r>
      <w:r>
        <w:rPr>
          <w:b/>
          <w:u w:val="single"/>
        </w:rPr>
        <w:tab/>
      </w:r>
      <w:r>
        <w:rPr>
          <w:b/>
          <w:u w:val="single"/>
        </w:rPr>
        <w:t xml:space="preserve">     </w:t>
      </w:r>
      <w:r>
        <w:rPr>
          <w:b/>
        </w:rPr>
        <w:t>年</w:t>
      </w:r>
      <w:r>
        <w:rPr>
          <w:b/>
          <w:u w:val="single"/>
        </w:rPr>
        <w:t xml:space="preserve">     </w:t>
      </w:r>
      <w:r>
        <w:rPr>
          <w:b/>
        </w:rPr>
        <w:t xml:space="preserve">月 </w:t>
      </w:r>
      <w:r>
        <w:rPr>
          <w:b/>
          <w:u w:val="single"/>
        </w:rPr>
        <w:t xml:space="preserve">    </w:t>
      </w:r>
      <w:r>
        <w:rPr>
          <w:b/>
        </w:rPr>
        <w:t>日。</w:t>
      </w:r>
      <w:bookmarkEnd w:id="146"/>
      <w:bookmarkEnd w:id="147"/>
      <w:bookmarkEnd w:id="148"/>
    </w:p>
    <w:p w14:paraId="2250C63A">
      <w:pPr>
        <w:pStyle w:val="11"/>
        <w:rPr>
          <w:b/>
        </w:rPr>
      </w:pPr>
      <w:bookmarkStart w:id="149" w:name="bookmark1715"/>
      <w:bookmarkStart w:id="150" w:name="bookmark1716"/>
      <w:bookmarkStart w:id="151" w:name="bookmark1714"/>
      <w:r>
        <w:rPr>
          <w:b/>
        </w:rPr>
        <w:t>11.3发包人的工期延误</w:t>
      </w:r>
      <w:bookmarkEnd w:id="149"/>
      <w:bookmarkEnd w:id="150"/>
      <w:bookmarkEnd w:id="151"/>
    </w:p>
    <w:p w14:paraId="4844CEA1">
      <w:pPr>
        <w:pStyle w:val="11"/>
      </w:pPr>
      <w:r>
        <w:t>在履行合同过程中，由于发包人的下列原因造成工期延误的，承包人有权要求发包人延长工期，并支付合理利润。需要修订合同进度计划的，按照第10. 2款的约定办理。</w:t>
      </w:r>
    </w:p>
    <w:p w14:paraId="413A1558">
      <w:pPr>
        <w:pStyle w:val="11"/>
      </w:pPr>
      <w:bookmarkStart w:id="152" w:name="bookmark1177"/>
      <w:bookmarkEnd w:id="152"/>
      <w:r>
        <w:t>（1）增加合同工作内容；</w:t>
      </w:r>
    </w:p>
    <w:p w14:paraId="60ABD71B">
      <w:pPr>
        <w:pStyle w:val="11"/>
      </w:pPr>
      <w:bookmarkStart w:id="153" w:name="bookmark1178"/>
      <w:bookmarkEnd w:id="153"/>
      <w:r>
        <w:t>（2）改变合同中任何一项工作的质量要求或其他特性；</w:t>
      </w:r>
    </w:p>
    <w:p w14:paraId="63118B81">
      <w:pPr>
        <w:pStyle w:val="11"/>
      </w:pPr>
      <w:bookmarkStart w:id="154" w:name="bookmark1179"/>
      <w:bookmarkEnd w:id="154"/>
      <w:r>
        <w:t>（3）发包人迟延提供材料、工程设备或变更交货地点的；</w:t>
      </w:r>
    </w:p>
    <w:p w14:paraId="7BF91875">
      <w:pPr>
        <w:pStyle w:val="11"/>
      </w:pPr>
      <w:bookmarkStart w:id="155" w:name="bookmark1180"/>
      <w:bookmarkEnd w:id="155"/>
      <w:r>
        <w:t>（4）因发包人原因导致的暂停施工；</w:t>
      </w:r>
    </w:p>
    <w:p w14:paraId="0556A2E0">
      <w:pPr>
        <w:pStyle w:val="11"/>
      </w:pPr>
      <w:bookmarkStart w:id="156" w:name="bookmark1181"/>
      <w:bookmarkEnd w:id="156"/>
      <w:r>
        <w:t>（5）提供图纸延误；</w:t>
      </w:r>
    </w:p>
    <w:p w14:paraId="320A1F1B">
      <w:pPr>
        <w:pStyle w:val="11"/>
      </w:pPr>
      <w:bookmarkStart w:id="157" w:name="bookmark1182"/>
      <w:bookmarkEnd w:id="157"/>
      <w:r>
        <w:t>（6）未按合同约定及时支付预付款、进度款；</w:t>
      </w:r>
    </w:p>
    <w:p w14:paraId="78C66146">
      <w:pPr>
        <w:pStyle w:val="11"/>
      </w:pPr>
      <w:bookmarkStart w:id="158" w:name="bookmark1183"/>
      <w:bookmarkEnd w:id="158"/>
      <w:r>
        <w:t>（7）发包人造成工期延误的其他原因。</w:t>
      </w:r>
    </w:p>
    <w:p w14:paraId="19A367B9">
      <w:pPr>
        <w:pStyle w:val="11"/>
        <w:rPr>
          <w:b/>
        </w:rPr>
      </w:pPr>
      <w:r>
        <w:rPr>
          <w:b/>
        </w:rPr>
        <w:t xml:space="preserve">11.4 异常恶劣的气候条件 </w:t>
      </w:r>
    </w:p>
    <w:p w14:paraId="3977D949">
      <w:pPr>
        <w:pStyle w:val="11"/>
      </w:pPr>
      <w:r>
        <w:t>11.4.3 本合同工程界定异常恶劣气候条件的范围为：</w:t>
      </w:r>
    </w:p>
    <w:p w14:paraId="7CF76AD2">
      <w:pPr>
        <w:pStyle w:val="11"/>
      </w:pPr>
      <w:r>
        <w:t>（1）日降雨量大于</w:t>
      </w:r>
      <w:r>
        <w:rPr>
          <w:u w:val="single"/>
        </w:rPr>
        <w:t>200</w:t>
      </w:r>
      <w:r>
        <w:t>㎜的雨日超过</w:t>
      </w:r>
      <w:r>
        <w:rPr>
          <w:u w:val="single"/>
        </w:rPr>
        <w:t xml:space="preserve"> 10</w:t>
      </w:r>
      <w:r>
        <w:t>天；</w:t>
      </w:r>
    </w:p>
    <w:p w14:paraId="1F2CF4B4">
      <w:pPr>
        <w:pStyle w:val="11"/>
      </w:pPr>
      <w:r>
        <w:t>（2）</w:t>
      </w:r>
      <w:r>
        <w:rPr>
          <w:u w:val="single"/>
        </w:rPr>
        <w:t>10</w:t>
      </w:r>
      <w:r>
        <w:t>级以上的持续</w:t>
      </w:r>
      <w:r>
        <w:rPr>
          <w:u w:val="single"/>
        </w:rPr>
        <w:t xml:space="preserve"> 2</w:t>
      </w:r>
      <w:r>
        <w:t>日的大风（以气象部门鉴定为准））</w:t>
      </w:r>
    </w:p>
    <w:p w14:paraId="2764DCFA">
      <w:pPr>
        <w:pStyle w:val="11"/>
      </w:pPr>
      <w:r>
        <w:t>（3）日气温超过</w:t>
      </w:r>
      <w:r>
        <w:rPr>
          <w:u w:val="single"/>
        </w:rPr>
        <w:t xml:space="preserve">40 </w:t>
      </w:r>
      <w:r>
        <w:t>℃的高温大于</w:t>
      </w:r>
      <w:r>
        <w:rPr>
          <w:u w:val="single"/>
        </w:rPr>
        <w:t>2</w:t>
      </w:r>
      <w:r>
        <w:t>天；</w:t>
      </w:r>
    </w:p>
    <w:p w14:paraId="7BC9EAC4">
      <w:pPr>
        <w:pStyle w:val="11"/>
      </w:pPr>
      <w:r>
        <w:t>（4）日气温低于</w:t>
      </w:r>
      <w:r>
        <w:rPr>
          <w:u w:val="single"/>
        </w:rPr>
        <w:t xml:space="preserve"> -10 </w:t>
      </w:r>
      <w:r>
        <w:t>℃的严寒大于</w:t>
      </w:r>
      <w:r>
        <w:rPr>
          <w:u w:val="single"/>
        </w:rPr>
        <w:t>2</w:t>
      </w:r>
      <w:r>
        <w:t>天。</w:t>
      </w:r>
    </w:p>
    <w:p w14:paraId="04745C02">
      <w:pPr>
        <w:pStyle w:val="11"/>
      </w:pPr>
      <w:r>
        <w:t>（5）造成工程损坏的冰雹和大雪灾害；</w:t>
      </w:r>
    </w:p>
    <w:p w14:paraId="265DBC16">
      <w:pPr>
        <w:pStyle w:val="11"/>
      </w:pPr>
      <w:r>
        <w:t>（6）</w:t>
      </w:r>
      <w:r>
        <w:rPr>
          <w:u w:val="single"/>
        </w:rPr>
        <w:t>6</w:t>
      </w:r>
      <w:r>
        <w:t>级以上的地震；</w:t>
      </w:r>
    </w:p>
    <w:p w14:paraId="1243B95C">
      <w:pPr>
        <w:pStyle w:val="11"/>
        <w:rPr>
          <w:u w:val="single"/>
        </w:rPr>
      </w:pPr>
      <w:r>
        <w:t>（7）</w:t>
      </w:r>
      <w:r>
        <w:rPr>
          <w:u w:val="single"/>
        </w:rPr>
        <w:t>50</w:t>
      </w:r>
      <w:r>
        <w:t>年一遇及以上的洪水；</w:t>
      </w:r>
    </w:p>
    <w:p w14:paraId="78B528DF">
      <w:pPr>
        <w:pStyle w:val="11"/>
      </w:pPr>
      <w:r>
        <w:t>（8）其他异常恶劣气候灾害。</w:t>
      </w:r>
    </w:p>
    <w:p w14:paraId="5D2F7734">
      <w:pPr>
        <w:pStyle w:val="11"/>
      </w:pPr>
      <w:r>
        <w:t xml:space="preserve">11.5 承包人工期延误 </w:t>
      </w:r>
    </w:p>
    <w:p w14:paraId="6EEDA42E">
      <w:pPr>
        <w:pStyle w:val="11"/>
      </w:pPr>
      <w:r>
        <w:t>（1）逾期完工违约金表(参考格式)</w:t>
      </w:r>
    </w:p>
    <w:tbl>
      <w:tblPr>
        <w:tblStyle w:val="22"/>
        <w:tblW w:w="857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0"/>
        <w:gridCol w:w="3704"/>
        <w:gridCol w:w="2011"/>
        <w:gridCol w:w="2011"/>
      </w:tblGrid>
      <w:tr w14:paraId="78397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850" w:type="dxa"/>
            <w:noWrap w:val="0"/>
            <w:vAlign w:val="center"/>
          </w:tcPr>
          <w:p w14:paraId="3884BBAE">
            <w:pPr>
              <w:adjustRightInd w:val="0"/>
              <w:snapToGrid w:val="0"/>
              <w:spacing w:line="360" w:lineRule="auto"/>
              <w:ind w:right="-3"/>
              <w:jc w:val="center"/>
              <w:rPr>
                <w:rFonts w:ascii="宋体" w:hAnsi="宋体" w:cs="宋体"/>
                <w:szCs w:val="21"/>
              </w:rPr>
            </w:pPr>
            <w:r>
              <w:rPr>
                <w:rFonts w:hint="eastAsia" w:ascii="宋体" w:hAnsi="宋体" w:cs="宋体"/>
                <w:szCs w:val="21"/>
              </w:rPr>
              <w:t>序号</w:t>
            </w:r>
          </w:p>
        </w:tc>
        <w:tc>
          <w:tcPr>
            <w:tcW w:w="3704" w:type="dxa"/>
            <w:noWrap w:val="0"/>
            <w:vAlign w:val="center"/>
          </w:tcPr>
          <w:p w14:paraId="1B56A7BF">
            <w:pPr>
              <w:adjustRightInd w:val="0"/>
              <w:snapToGrid w:val="0"/>
              <w:spacing w:line="360" w:lineRule="auto"/>
              <w:ind w:right="3"/>
              <w:jc w:val="center"/>
              <w:rPr>
                <w:rFonts w:ascii="宋体" w:hAnsi="宋体" w:cs="宋体"/>
                <w:szCs w:val="21"/>
              </w:rPr>
            </w:pPr>
            <w:r>
              <w:rPr>
                <w:rFonts w:hint="eastAsia" w:ascii="宋体" w:hAnsi="宋体" w:cs="宋体"/>
                <w:szCs w:val="21"/>
              </w:rPr>
              <w:t>项目及其说明</w:t>
            </w:r>
          </w:p>
        </w:tc>
        <w:tc>
          <w:tcPr>
            <w:tcW w:w="2011" w:type="dxa"/>
            <w:noWrap w:val="0"/>
            <w:vAlign w:val="center"/>
          </w:tcPr>
          <w:p w14:paraId="4213E76B">
            <w:pPr>
              <w:adjustRightInd w:val="0"/>
              <w:snapToGrid w:val="0"/>
              <w:spacing w:line="360" w:lineRule="auto"/>
              <w:ind w:right="9"/>
              <w:jc w:val="center"/>
              <w:rPr>
                <w:rFonts w:ascii="宋体" w:hAnsi="宋体" w:cs="宋体"/>
                <w:szCs w:val="21"/>
              </w:rPr>
            </w:pPr>
            <w:r>
              <w:rPr>
                <w:rFonts w:hint="eastAsia" w:ascii="宋体" w:hAnsi="宋体" w:cs="宋体"/>
                <w:szCs w:val="21"/>
              </w:rPr>
              <w:t>要求完工日期</w:t>
            </w:r>
          </w:p>
        </w:tc>
        <w:tc>
          <w:tcPr>
            <w:tcW w:w="2011" w:type="dxa"/>
            <w:noWrap w:val="0"/>
            <w:vAlign w:val="top"/>
          </w:tcPr>
          <w:p w14:paraId="646E77F9">
            <w:pPr>
              <w:adjustRightInd w:val="0"/>
              <w:snapToGrid w:val="0"/>
              <w:spacing w:line="360" w:lineRule="auto"/>
              <w:ind w:right="9"/>
              <w:jc w:val="center"/>
              <w:rPr>
                <w:rFonts w:ascii="宋体" w:hAnsi="宋体" w:cs="宋体"/>
                <w:szCs w:val="21"/>
              </w:rPr>
            </w:pPr>
            <w:r>
              <w:rPr>
                <w:rFonts w:hint="eastAsia" w:ascii="宋体" w:hAnsi="宋体" w:cs="宋体"/>
                <w:szCs w:val="21"/>
              </w:rPr>
              <w:t>违约金(元/天)</w:t>
            </w:r>
          </w:p>
        </w:tc>
      </w:tr>
      <w:tr w14:paraId="7386B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trPr>
        <w:tc>
          <w:tcPr>
            <w:tcW w:w="850" w:type="dxa"/>
            <w:noWrap w:val="0"/>
            <w:vAlign w:val="center"/>
          </w:tcPr>
          <w:p w14:paraId="097B2F12">
            <w:pPr>
              <w:adjustRightInd w:val="0"/>
              <w:snapToGrid w:val="0"/>
              <w:spacing w:line="360" w:lineRule="auto"/>
              <w:ind w:right="248"/>
              <w:jc w:val="center"/>
              <w:rPr>
                <w:rFonts w:ascii="宋体" w:hAnsi="宋体" w:cs="宋体"/>
                <w:szCs w:val="21"/>
              </w:rPr>
            </w:pPr>
          </w:p>
        </w:tc>
        <w:tc>
          <w:tcPr>
            <w:tcW w:w="3704" w:type="dxa"/>
            <w:noWrap w:val="0"/>
            <w:vAlign w:val="center"/>
          </w:tcPr>
          <w:p w14:paraId="78A710B2">
            <w:pPr>
              <w:adjustRightInd w:val="0"/>
              <w:snapToGrid w:val="0"/>
              <w:spacing w:line="360" w:lineRule="auto"/>
              <w:ind w:right="248"/>
              <w:jc w:val="center"/>
              <w:rPr>
                <w:rFonts w:ascii="宋体" w:hAnsi="宋体" w:cs="宋体"/>
                <w:szCs w:val="21"/>
              </w:rPr>
            </w:pPr>
            <w:r>
              <w:rPr>
                <w:rFonts w:hint="eastAsia" w:ascii="宋体" w:hAnsi="宋体" w:cs="宋体"/>
                <w:bCs/>
                <w:kern w:val="0"/>
                <w:szCs w:val="21"/>
              </w:rPr>
              <w:t>合同工程完工</w:t>
            </w:r>
          </w:p>
        </w:tc>
        <w:tc>
          <w:tcPr>
            <w:tcW w:w="2011" w:type="dxa"/>
            <w:noWrap w:val="0"/>
            <w:vAlign w:val="center"/>
          </w:tcPr>
          <w:p w14:paraId="70E814FD">
            <w:pPr>
              <w:adjustRightInd w:val="0"/>
              <w:snapToGrid w:val="0"/>
              <w:spacing w:line="360" w:lineRule="auto"/>
              <w:ind w:right="248"/>
              <w:jc w:val="center"/>
              <w:rPr>
                <w:rFonts w:ascii="宋体" w:hAnsi="宋体" w:cs="宋体"/>
                <w:szCs w:val="21"/>
              </w:rPr>
            </w:pPr>
            <w:r>
              <w:rPr>
                <w:rFonts w:hint="eastAsia" w:ascii="宋体" w:hAnsi="宋体" w:cs="宋体"/>
                <w:szCs w:val="21"/>
              </w:rPr>
              <w:t xml:space="preserve">  年  月  日</w:t>
            </w:r>
          </w:p>
        </w:tc>
        <w:tc>
          <w:tcPr>
            <w:tcW w:w="2011" w:type="dxa"/>
            <w:noWrap w:val="0"/>
            <w:vAlign w:val="top"/>
          </w:tcPr>
          <w:p w14:paraId="0A839740">
            <w:pPr>
              <w:adjustRightInd w:val="0"/>
              <w:snapToGrid w:val="0"/>
              <w:spacing w:line="360" w:lineRule="auto"/>
              <w:ind w:right="248"/>
              <w:jc w:val="center"/>
              <w:rPr>
                <w:rFonts w:ascii="宋体" w:hAnsi="宋体" w:cs="宋体"/>
                <w:szCs w:val="21"/>
              </w:rPr>
            </w:pPr>
            <w:r>
              <w:rPr>
                <w:rFonts w:hint="eastAsia" w:ascii="宋体" w:hAnsi="宋体" w:cs="宋体"/>
                <w:szCs w:val="21"/>
              </w:rPr>
              <w:t>1000</w:t>
            </w:r>
          </w:p>
        </w:tc>
      </w:tr>
    </w:tbl>
    <w:p w14:paraId="789EA6DA">
      <w:pPr>
        <w:pStyle w:val="11"/>
      </w:pPr>
      <w:r>
        <w:t>承包人如未能按上表各节点要求的完工日期前完工，逾期完工违约金按</w:t>
      </w:r>
      <w:r>
        <w:rPr>
          <w:u w:val="single"/>
        </w:rPr>
        <w:t>1000</w:t>
      </w:r>
      <w:r>
        <w:t>元/天”计算。</w:t>
      </w:r>
    </w:p>
    <w:p w14:paraId="07DDB944">
      <w:pPr>
        <w:pStyle w:val="11"/>
      </w:pPr>
      <w:r>
        <w:t>（2）全部逾期完工违约金的总限额不超过合同总价的</w:t>
      </w:r>
      <w:r>
        <w:rPr>
          <w:u w:val="single"/>
        </w:rPr>
        <w:t xml:space="preserve">5 </w:t>
      </w:r>
      <w:r>
        <w:t>%，发包人可从应向承包人支付的任何金额中扣除此项违约金或以其他方式收回此款，此违约金的支付并不能解除承包人应完成工程的责任或合同规定的其他责任 。</w:t>
      </w:r>
    </w:p>
    <w:p w14:paraId="35F80B62">
      <w:pPr>
        <w:pStyle w:val="11"/>
      </w:pPr>
      <w:r>
        <w:t>11.6 工期提前</w:t>
      </w:r>
    </w:p>
    <w:p w14:paraId="311FBBCD">
      <w:pPr>
        <w:pStyle w:val="11"/>
      </w:pPr>
      <w:r>
        <w:t>工期提前的资金约定：</w:t>
      </w:r>
      <w:r>
        <w:rPr>
          <w:u w:val="single"/>
        </w:rPr>
        <w:t>在保证工程质量的前提下，发包人鼓励承包人提前完工，但本合同工程无提前工期奖金</w:t>
      </w:r>
      <w:r>
        <w:t>。</w:t>
      </w:r>
    </w:p>
    <w:p w14:paraId="66B77706">
      <w:pPr>
        <w:pStyle w:val="2"/>
        <w:numPr>
          <w:ilvl w:val="0"/>
          <w:numId w:val="0"/>
        </w:numPr>
        <w:bidi w:val="0"/>
        <w:ind w:left="482" w:leftChars="0"/>
      </w:pPr>
      <w:r>
        <w:t>12. 暂停施工</w:t>
      </w:r>
    </w:p>
    <w:p w14:paraId="7D6CD9B5">
      <w:pPr>
        <w:pStyle w:val="2"/>
        <w:numPr>
          <w:ilvl w:val="0"/>
          <w:numId w:val="0"/>
        </w:numPr>
        <w:bidi w:val="0"/>
        <w:ind w:left="482" w:leftChars="0"/>
      </w:pPr>
      <w:r>
        <w:t>12.1 承包人暂停施工的责任</w:t>
      </w:r>
    </w:p>
    <w:p w14:paraId="37BE40CE">
      <w:pPr>
        <w:pStyle w:val="11"/>
      </w:pPr>
      <w:r>
        <w:t>(5) 承包人承担暂停施工责任的其它情形：</w:t>
      </w:r>
      <w:r>
        <w:rPr>
          <w:u w:val="single"/>
        </w:rPr>
        <w:t xml:space="preserve">由于承包人资金、人员、材料、设备不能按时到位的由承包人承担停工责任，或由于承包人原因造成的质量事故及安全事故引起的暂停施工，发包人不再补偿停工所造成的工程费用增加和工期延误 </w:t>
      </w:r>
      <w:r>
        <w:t>。</w:t>
      </w:r>
    </w:p>
    <w:p w14:paraId="6A3E599B">
      <w:pPr>
        <w:pStyle w:val="2"/>
        <w:numPr>
          <w:ilvl w:val="0"/>
          <w:numId w:val="0"/>
        </w:numPr>
        <w:bidi w:val="0"/>
        <w:ind w:left="482" w:leftChars="0"/>
      </w:pPr>
      <w:r>
        <w:t>12.2 发包人暂停施工的责任</w:t>
      </w:r>
    </w:p>
    <w:p w14:paraId="6277BA41">
      <w:pPr>
        <w:pStyle w:val="11"/>
      </w:pPr>
      <w:r>
        <w:t>（3）因发包人原因造成的暂停施工，发包人对承包人给予工期补偿，不另行支付其它费用。</w:t>
      </w:r>
    </w:p>
    <w:p w14:paraId="375F2A33">
      <w:pPr>
        <w:pStyle w:val="2"/>
        <w:numPr>
          <w:ilvl w:val="0"/>
          <w:numId w:val="0"/>
        </w:numPr>
        <w:bidi w:val="0"/>
        <w:ind w:left="482" w:leftChars="0"/>
      </w:pPr>
      <w:r>
        <w:t>13. 工程质量</w:t>
      </w:r>
    </w:p>
    <w:p w14:paraId="4AC06104">
      <w:pPr>
        <w:pStyle w:val="2"/>
        <w:numPr>
          <w:ilvl w:val="0"/>
          <w:numId w:val="0"/>
        </w:numPr>
        <w:bidi w:val="0"/>
        <w:ind w:left="482" w:leftChars="0"/>
      </w:pPr>
      <w:r>
        <w:t>13.7 质量评定</w:t>
      </w:r>
    </w:p>
    <w:p w14:paraId="78E0F2B1">
      <w:pPr>
        <w:pStyle w:val="11"/>
      </w:pPr>
      <w:r>
        <w:t>13.7.4重要隐蔽单元工程和关键部位单元工程质量评定的约定：</w:t>
      </w:r>
      <w:r>
        <w:rPr>
          <w:u w:val="single"/>
        </w:rPr>
        <w:t>达到合格标准</w:t>
      </w:r>
      <w:r>
        <w:t>。</w:t>
      </w:r>
    </w:p>
    <w:p w14:paraId="580CC054">
      <w:pPr>
        <w:pStyle w:val="2"/>
        <w:numPr>
          <w:ilvl w:val="0"/>
          <w:numId w:val="0"/>
        </w:numPr>
        <w:bidi w:val="0"/>
        <w:ind w:left="482" w:leftChars="0"/>
      </w:pPr>
      <w:r>
        <w:t>13.8 质量事故处理</w:t>
      </w:r>
    </w:p>
    <w:p w14:paraId="1E721D26">
      <w:pPr>
        <w:pStyle w:val="11"/>
      </w:pPr>
      <w:r>
        <w:t>13.8.4工程竣工验收时，发包人负责向竣工验收委员会汇报并提交历次质量缺陷处理的备案资料。</w:t>
      </w:r>
    </w:p>
    <w:p w14:paraId="1B15E3AA">
      <w:pPr>
        <w:pStyle w:val="2"/>
        <w:numPr>
          <w:ilvl w:val="0"/>
          <w:numId w:val="0"/>
        </w:numPr>
        <w:bidi w:val="0"/>
        <w:ind w:left="482" w:leftChars="0"/>
      </w:pPr>
      <w:r>
        <w:t>14. 试验和检验</w:t>
      </w:r>
    </w:p>
    <w:p w14:paraId="75A2D2CE">
      <w:pPr>
        <w:pStyle w:val="2"/>
        <w:numPr>
          <w:ilvl w:val="0"/>
          <w:numId w:val="0"/>
        </w:numPr>
        <w:bidi w:val="0"/>
        <w:ind w:left="482" w:leftChars="0"/>
      </w:pPr>
      <w:r>
        <w:t>14.1 材料、工程设备和工程的试验和检验</w:t>
      </w:r>
    </w:p>
    <w:p w14:paraId="16184532">
      <w:pPr>
        <w:pStyle w:val="11"/>
      </w:pPr>
      <w:r>
        <w:t xml:space="preserve">14.1.5水工金属结构、启闭机及机电产品进场后的交货检查和验收中，承包人负责 </w:t>
      </w:r>
      <w:r>
        <w:rPr>
          <w:u w:val="single"/>
        </w:rPr>
        <w:tab/>
      </w:r>
      <w:r>
        <w:rPr>
          <w:u w:val="single"/>
        </w:rPr>
        <w:t xml:space="preserve">/        </w:t>
      </w:r>
      <w:r>
        <w:t>。</w:t>
      </w:r>
    </w:p>
    <w:p w14:paraId="5D09107E">
      <w:pPr>
        <w:pStyle w:val="11"/>
      </w:pPr>
      <w:r>
        <w:t>14.1.6 本工程实行见证取样的试块、试件及有关材料：</w:t>
      </w:r>
      <w:r>
        <w:rPr>
          <w:u w:val="single"/>
        </w:rPr>
        <w:t>土料压实、砼试件、砂浆试件、钢筋、水泥、砂、碎石、土工合成材料、外加剂等</w:t>
      </w:r>
      <w:r>
        <w:t>。</w:t>
      </w:r>
    </w:p>
    <w:p w14:paraId="240EE2C2">
      <w:pPr>
        <w:pStyle w:val="2"/>
        <w:numPr>
          <w:ilvl w:val="0"/>
          <w:numId w:val="0"/>
        </w:numPr>
        <w:bidi w:val="0"/>
        <w:ind w:left="482" w:leftChars="0"/>
      </w:pPr>
      <w:r>
        <w:t>15. 变更</w:t>
      </w:r>
    </w:p>
    <w:p w14:paraId="4E207F4C">
      <w:pPr>
        <w:pStyle w:val="2"/>
        <w:numPr>
          <w:ilvl w:val="0"/>
          <w:numId w:val="0"/>
        </w:numPr>
        <w:bidi w:val="0"/>
        <w:ind w:left="482" w:leftChars="0"/>
      </w:pPr>
      <w:r>
        <w:t>15.1 变更的范围和内容</w:t>
      </w:r>
    </w:p>
    <w:p w14:paraId="77EE1D5B">
      <w:pPr>
        <w:pStyle w:val="11"/>
        <w:rPr>
          <w:u w:val="single"/>
        </w:rPr>
      </w:pPr>
      <w:r>
        <w:t>（6）增加或减少合同中关键项目的工程量超过其项目工程总量的</w:t>
      </w:r>
      <w:r>
        <w:rPr>
          <w:u w:val="single"/>
        </w:rPr>
        <w:t>25 %</w:t>
      </w:r>
      <w:r>
        <w:t>,关键项 目：</w:t>
      </w:r>
      <w:r>
        <w:rPr>
          <w:u w:val="single"/>
        </w:rPr>
        <w:tab/>
      </w:r>
      <w:r>
        <w:t>,单价调整方式：</w:t>
      </w:r>
      <w:r>
        <w:rPr>
          <w:u w:val="single"/>
        </w:rPr>
        <w:t>增加超过其项目工程量的25%以上部分，按相应项目成交单价下浮10%结算；减少超过其项目工程量的25%以下时，按相应项目成交单价不变结算。</w:t>
      </w:r>
    </w:p>
    <w:p w14:paraId="17AC0039">
      <w:pPr>
        <w:pStyle w:val="2"/>
        <w:numPr>
          <w:ilvl w:val="0"/>
          <w:numId w:val="0"/>
        </w:numPr>
        <w:bidi w:val="0"/>
        <w:ind w:left="482" w:leftChars="0"/>
      </w:pPr>
      <w:r>
        <w:t>15.4 变更的估价原则</w:t>
      </w:r>
    </w:p>
    <w:p w14:paraId="389865EC">
      <w:pPr>
        <w:pStyle w:val="11"/>
      </w:pPr>
      <w:r>
        <w:t>15.4.3已标价工程量清单中无适用或类似子目的单价，按照以下原则确定:①有定额可套的，套用编制控制价所选定额计算，并乘以成交价下浮系数（成交价下浮系数为成交价与控制价的比值），其中材料价格有信息价的按当地同期信息价，无信息的由发包人、承包人、监理人市场询价确定。②无定额可套的，由发包人、承包人、监理人市场询价确定。</w:t>
      </w:r>
    </w:p>
    <w:p w14:paraId="68B5B0D7">
      <w:pPr>
        <w:pStyle w:val="2"/>
        <w:numPr>
          <w:ilvl w:val="0"/>
          <w:numId w:val="0"/>
        </w:numPr>
        <w:bidi w:val="0"/>
        <w:ind w:left="482" w:leftChars="0"/>
      </w:pPr>
      <w:r>
        <w:t>15.5 承包人的合理化建议</w:t>
      </w:r>
    </w:p>
    <w:p w14:paraId="2991FE52">
      <w:pPr>
        <w:pStyle w:val="11"/>
      </w:pPr>
      <w:r>
        <w:t>15.5.2 承包人实现合理化建议的奖励金额为：</w:t>
      </w:r>
      <w:r>
        <w:rPr>
          <w:u w:val="single"/>
        </w:rPr>
        <w:t>无</w:t>
      </w:r>
      <w:r>
        <w:t>。</w:t>
      </w:r>
    </w:p>
    <w:p w14:paraId="1EF9F470">
      <w:pPr>
        <w:pStyle w:val="2"/>
        <w:numPr>
          <w:ilvl w:val="0"/>
          <w:numId w:val="0"/>
        </w:numPr>
        <w:bidi w:val="0"/>
        <w:ind w:left="482" w:leftChars="0"/>
      </w:pPr>
      <w:r>
        <w:t>16 价格调整</w:t>
      </w:r>
    </w:p>
    <w:p w14:paraId="0FD754F0">
      <w:pPr>
        <w:pStyle w:val="11"/>
      </w:pPr>
      <w:r>
        <w:t>①法律变化引起的调整；</w:t>
      </w:r>
    </w:p>
    <w:p w14:paraId="7DBB95CB">
      <w:pPr>
        <w:pStyle w:val="11"/>
      </w:pPr>
      <w:r>
        <w:t>②工程变更、项目特征不符、工程量清单缺项、工程量偏差引起的调整；</w:t>
      </w:r>
    </w:p>
    <w:p w14:paraId="58E91CC4">
      <w:pPr>
        <w:pStyle w:val="11"/>
      </w:pPr>
      <w:r>
        <w:t>③计日工引起的调整。</w:t>
      </w:r>
    </w:p>
    <w:p w14:paraId="0BA03591">
      <w:pPr>
        <w:pStyle w:val="2"/>
        <w:numPr>
          <w:ilvl w:val="0"/>
          <w:numId w:val="0"/>
        </w:numPr>
        <w:bidi w:val="0"/>
        <w:ind w:left="482" w:leftChars="0"/>
      </w:pPr>
      <w:bookmarkStart w:id="159" w:name="_Toc389065313"/>
      <w:bookmarkStart w:id="160" w:name="_Toc373227747"/>
      <w:bookmarkStart w:id="161" w:name="_Toc13425"/>
      <w:bookmarkStart w:id="162" w:name="_Toc373478394"/>
      <w:bookmarkStart w:id="163" w:name="_Toc303539157"/>
      <w:bookmarkStart w:id="164" w:name="_Toc297123550"/>
      <w:bookmarkStart w:id="165" w:name="_Toc296891241"/>
      <w:bookmarkStart w:id="166" w:name="_Toc296944540"/>
      <w:bookmarkStart w:id="167" w:name="_Toc296503201"/>
      <w:bookmarkStart w:id="168" w:name="_Toc296346702"/>
      <w:bookmarkStart w:id="169" w:name="_Toc300935000"/>
      <w:bookmarkStart w:id="170" w:name="_Toc297216209"/>
      <w:bookmarkStart w:id="171" w:name="_Toc312678039"/>
      <w:bookmarkStart w:id="172" w:name="_Toc296891029"/>
      <w:bookmarkStart w:id="173" w:name="_Toc296347200"/>
      <w:bookmarkStart w:id="174" w:name="_Toc297048387"/>
      <w:bookmarkStart w:id="175" w:name="_Toc292559406"/>
      <w:bookmarkStart w:id="176" w:name="_Toc292559911"/>
      <w:bookmarkStart w:id="177" w:name="_Toc304295577"/>
      <w:bookmarkStart w:id="178" w:name="_Toc297120501"/>
      <w:r>
        <w:t>16.1 市场价格波动引起的调整</w:t>
      </w:r>
      <w:bookmarkEnd w:id="159"/>
      <w:bookmarkEnd w:id="160"/>
      <w:bookmarkEnd w:id="161"/>
      <w:bookmarkEnd w:id="162"/>
    </w:p>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410C1DCF">
      <w:pPr>
        <w:pStyle w:val="11"/>
      </w:pPr>
      <w:r>
        <w:t>市场价格波动是否调整合同价格的约定：</w:t>
      </w:r>
      <w:r>
        <w:rPr>
          <w:u w:val="single"/>
        </w:rPr>
        <w:t>如市场价格波动超过双方约定的范围，调整合同价格</w:t>
      </w:r>
      <w:r>
        <w:t>。</w:t>
      </w:r>
    </w:p>
    <w:p w14:paraId="10DEC3A9">
      <w:pPr>
        <w:pStyle w:val="11"/>
      </w:pPr>
      <w:r>
        <w:t>因市场价格波动调整合同价格，采用以下第</w:t>
      </w:r>
      <w:r>
        <w:rPr>
          <w:u w:val="single"/>
        </w:rPr>
        <w:t xml:space="preserve"> 2 </w:t>
      </w:r>
      <w:r>
        <w:t>种方式对合同价格进行调整：</w:t>
      </w:r>
    </w:p>
    <w:p w14:paraId="3FE83424">
      <w:pPr>
        <w:pStyle w:val="11"/>
      </w:pPr>
      <w:r>
        <w:t>第1种方式：采用价格指数进行价格调整。</w:t>
      </w:r>
    </w:p>
    <w:p w14:paraId="1FEF6014">
      <w:pPr>
        <w:pStyle w:val="11"/>
        <w:rPr>
          <w:u w:val="single"/>
        </w:rPr>
      </w:pPr>
      <w:r>
        <w:t>关于各可调因子、定值和变值权重，以及基本价格指数及其来源的约定：</w:t>
      </w:r>
      <w:r>
        <w:rPr>
          <w:u w:val="single"/>
        </w:rPr>
        <w:t xml:space="preserve">                </w:t>
      </w:r>
      <w:r>
        <w:t xml:space="preserve">；  </w:t>
      </w:r>
    </w:p>
    <w:p w14:paraId="623A3985">
      <w:pPr>
        <w:pStyle w:val="11"/>
      </w:pPr>
      <w:r>
        <w:t>第2种方式：采用造价信息进行价格调整。</w:t>
      </w:r>
    </w:p>
    <w:p w14:paraId="0C692A8E">
      <w:pPr>
        <w:pStyle w:val="11"/>
      </w:pPr>
      <w:r>
        <w:t>（1）允许调整的主要材料和设备、基期价格、风险系数、投标报价：详见《承包人提供主要材料和设备一览表》,价差调整部分仅计算税金，除此表列明的材料、设备外，其余材料设备价差原则上不予调整。</w:t>
      </w:r>
    </w:p>
    <w:p w14:paraId="7913754E">
      <w:pPr>
        <w:pStyle w:val="11"/>
      </w:pPr>
      <w:r>
        <w:t>（2）主要材料和设备确认价：</w:t>
      </w:r>
    </w:p>
    <w:p w14:paraId="6D216146">
      <w:pPr>
        <w:pStyle w:val="11"/>
      </w:pPr>
      <w:r>
        <w:t>按施工期间《</w:t>
      </w:r>
      <w:r>
        <w:rPr>
          <w:u w:val="single"/>
        </w:rPr>
        <w:t>防城港市</w:t>
      </w:r>
      <w:r>
        <w:t>建设工程造价信息》加权平均计算，信息价没有的按通用条款规定确定。</w:t>
      </w:r>
    </w:p>
    <w:p w14:paraId="680F92EB">
      <w:pPr>
        <w:pStyle w:val="11"/>
      </w:pPr>
      <w:r>
        <w:t>（3）价差计算方法：</w:t>
      </w:r>
    </w:p>
    <w:p w14:paraId="46AAA1C3">
      <w:pPr>
        <w:pStyle w:val="11"/>
      </w:pPr>
      <w: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单价*（1+风险系数），价格下跌价差=确认价-投标报价*（1+风险系数）。</w:t>
      </w:r>
    </w:p>
    <w:p w14:paraId="6A334DC4">
      <w:pPr>
        <w:pStyle w:val="11"/>
      </w:pPr>
      <w: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F9F73B9">
      <w:pPr>
        <w:pStyle w:val="11"/>
      </w:pPr>
      <w:r>
        <w:t>③承包人在《承包人提供主要材料和设备一览表》中载明的材料和设备单价等于基准单价的：合同履行期间材料和设备单价涨跌幅以基准单价为基础超过约定的风险范围时，其超过部分据实调整。价差计算公式：上涨或下跌价差=确认价-基准单价*（1+风险系数）</w:t>
      </w:r>
    </w:p>
    <w:p w14:paraId="444D7C13">
      <w:pPr>
        <w:pStyle w:val="11"/>
      </w:pPr>
      <w:r>
        <w:t>第3种方式：</w:t>
      </w:r>
      <w:r>
        <w:rPr>
          <w:u w:val="single"/>
        </w:rPr>
        <w:t>除合同约定可以调整的主要材料外，材料单价在合同实施期间不因市场价格变化因素而变动，因征地拆迁影响及重大设计变更等发包人的原因，在招标后延迟开工或中途停建重新复工的施工工期内，主要材料涨跌的调整幅度按南重点办【2014】29 号文执行（政府投资工程适用）</w:t>
      </w:r>
    </w:p>
    <w:p w14:paraId="28DB590A">
      <w:pPr>
        <w:pStyle w:val="2"/>
        <w:numPr>
          <w:ilvl w:val="0"/>
          <w:numId w:val="0"/>
        </w:numPr>
        <w:bidi w:val="0"/>
        <w:ind w:left="482" w:leftChars="0"/>
      </w:pPr>
      <w:r>
        <w:t>17. 计量与支付</w:t>
      </w:r>
    </w:p>
    <w:p w14:paraId="1DA3BE61">
      <w:pPr>
        <w:pStyle w:val="11"/>
      </w:pPr>
      <w:r>
        <w:t>17.2 预付款</w:t>
      </w:r>
    </w:p>
    <w:p w14:paraId="07851C0C">
      <w:pPr>
        <w:pStyle w:val="11"/>
        <w:rPr>
          <w:color w:val="000000"/>
        </w:rPr>
      </w:pPr>
      <w:bookmarkStart w:id="179" w:name="_Toc30680"/>
      <w:bookmarkStart w:id="180" w:name="_Toc12227"/>
      <w:r>
        <w:rPr>
          <w:color w:val="000000"/>
        </w:rPr>
        <w:t>预付款支付比例或金额：</w:t>
      </w:r>
      <w:r>
        <w:rPr>
          <w:color w:val="000000"/>
          <w:u w:val="single"/>
        </w:rPr>
        <w:t xml:space="preserve"> / </w:t>
      </w:r>
      <w:r>
        <w:rPr>
          <w:color w:val="000000"/>
        </w:rPr>
        <w:t>。</w:t>
      </w:r>
    </w:p>
    <w:p w14:paraId="31D14CF1">
      <w:pPr>
        <w:pStyle w:val="11"/>
        <w:rPr>
          <w:color w:val="000000"/>
        </w:rPr>
      </w:pPr>
      <w:r>
        <w:rPr>
          <w:color w:val="000000"/>
        </w:rPr>
        <w:t>预付款支付期限：</w:t>
      </w:r>
      <w:r>
        <w:rPr>
          <w:color w:val="000000"/>
          <w:u w:val="single"/>
        </w:rPr>
        <w:t xml:space="preserve">   签订合同时协商而定    </w:t>
      </w:r>
      <w:r>
        <w:rPr>
          <w:color w:val="000000"/>
        </w:rPr>
        <w:t>。</w:t>
      </w:r>
    </w:p>
    <w:p w14:paraId="5E9A9B76">
      <w:pPr>
        <w:pStyle w:val="11"/>
        <w:rPr>
          <w:color w:val="000000"/>
        </w:rPr>
      </w:pPr>
      <w:r>
        <w:rPr>
          <w:color w:val="000000"/>
        </w:rPr>
        <w:t>预付款扣回的方式：</w:t>
      </w:r>
      <w:r>
        <w:rPr>
          <w:color w:val="000000"/>
          <w:u w:val="single"/>
        </w:rPr>
        <w:t xml:space="preserve">   签订合同时协商而定  </w:t>
      </w:r>
      <w:r>
        <w:rPr>
          <w:color w:val="000000"/>
        </w:rPr>
        <w:t>。</w:t>
      </w:r>
    </w:p>
    <w:p w14:paraId="420FE1A6">
      <w:pPr>
        <w:pStyle w:val="11"/>
      </w:pPr>
      <w:r>
        <w:t>17.3工程进度付款</w:t>
      </w:r>
    </w:p>
    <w:p w14:paraId="6847BFD6">
      <w:pPr>
        <w:pStyle w:val="11"/>
        <w:rPr>
          <w:b/>
        </w:rPr>
      </w:pPr>
      <w:r>
        <w:rPr>
          <w:b/>
        </w:rPr>
        <w:t>①签订合同后，材料进场且开始施工后支付合同总价款的30%为工程预付款；②甲方根据工程需要和工程进度情况，可支付至合同总价款的80%；③工程竣工验收达到合格质量要求后，支付至工程合同总价款的90%；④经结算审计（审核、评审）后，乙方向甲方缴纳结算审计（审核、评审）价款3%的工程款作为工程质量保证金，甲方向乙方支付至结算审计（审核、评审）价款的100%的工程款 ；⑤3%工程质量保证金，待工程质量保修期满后返还。本工程质量保质期为1年。在工程质量保质期内，若存在质量缺陷的，由乙方负责保修，费用由乙方负责，工程质量保质期从甲方验收合格后开始计算。</w:t>
      </w:r>
    </w:p>
    <w:p w14:paraId="39272EEF">
      <w:pPr>
        <w:ind w:firstLine="422" w:firstLineChars="200"/>
        <w:rPr>
          <w:rFonts w:hint="eastAsia" w:ascii="宋体" w:hAnsi="宋体" w:eastAsia="宋体" w:cs="宋体"/>
          <w:b/>
          <w:bCs/>
        </w:rPr>
      </w:pPr>
    </w:p>
    <w:p w14:paraId="58352D00">
      <w:pPr>
        <w:pStyle w:val="11"/>
      </w:pPr>
      <w:r>
        <w:t>17.3.2进度付款申请单</w:t>
      </w:r>
      <w:bookmarkEnd w:id="179"/>
      <w:bookmarkEnd w:id="180"/>
    </w:p>
    <w:p w14:paraId="2B4F2C27">
      <w:pPr>
        <w:pStyle w:val="11"/>
      </w:pPr>
      <w:r>
        <w:t>承包人提交进度付款申请单的份数：</w:t>
      </w:r>
      <w:r>
        <w:rPr>
          <w:u w:val="single"/>
        </w:rPr>
        <w:t>一式肆份</w:t>
      </w:r>
      <w:r>
        <w:t>。</w:t>
      </w:r>
    </w:p>
    <w:p w14:paraId="0B248FE1">
      <w:pPr>
        <w:pStyle w:val="11"/>
      </w:pPr>
      <w:bookmarkStart w:id="181" w:name="_Toc4367"/>
      <w:r>
        <w:t>17.4 质量保证金</w:t>
      </w:r>
      <w:bookmarkEnd w:id="181"/>
      <w:r>
        <w:t>、</w:t>
      </w:r>
    </w:p>
    <w:p w14:paraId="49E7E0B9">
      <w:pPr>
        <w:pStyle w:val="11"/>
      </w:pPr>
      <w:r>
        <w:t>■17.4.1.1每个付款周期扣留的质量保证金为工程进度付款的3%，扣留的质量保证金总额为工程价款结算总额的3% 。</w:t>
      </w:r>
    </w:p>
    <w:p w14:paraId="0864DD48">
      <w:pPr>
        <w:pStyle w:val="11"/>
      </w:pPr>
      <w:r>
        <w:t>□17.4.1.2工程完工验收后，一次性扣留的质量保证金总额为工程价款结算总额的3%。</w:t>
      </w:r>
    </w:p>
    <w:p w14:paraId="1442C0F8">
      <w:pPr>
        <w:pStyle w:val="11"/>
      </w:pPr>
      <w:r>
        <w:t>17.4.1.3在工程项目完工前，已经缴纳履约保证金的，发包人不得同时扣留工程质量保证金。</w:t>
      </w:r>
    </w:p>
    <w:p w14:paraId="1B567CC9">
      <w:pPr>
        <w:pStyle w:val="11"/>
      </w:pPr>
      <w:bookmarkStart w:id="182" w:name="_Toc11900"/>
      <w:r>
        <w:t>17.5 竣工（完工）结算</w:t>
      </w:r>
      <w:bookmarkEnd w:id="182"/>
    </w:p>
    <w:p w14:paraId="4E7D2727">
      <w:pPr>
        <w:pStyle w:val="11"/>
      </w:pPr>
      <w:r>
        <w:t xml:space="preserve">17.5.1  竣工（完工）付款申请单 </w:t>
      </w:r>
    </w:p>
    <w:p w14:paraId="199F5F82">
      <w:pPr>
        <w:pStyle w:val="11"/>
      </w:pPr>
      <w:bookmarkStart w:id="183" w:name="_Toc221951267"/>
      <w:r>
        <w:t>（1）</w:t>
      </w:r>
      <w:bookmarkEnd w:id="183"/>
      <w:r>
        <w:t>承包人应在合同工程完工证书颁发后28天内，向监理人提交</w:t>
      </w:r>
      <w:r>
        <w:rPr>
          <w:u w:val="single"/>
        </w:rPr>
        <w:t>一式肆份</w:t>
      </w:r>
      <w:r>
        <w:t>竣工（完工）付款申请单及相关证明材料。</w:t>
      </w:r>
    </w:p>
    <w:p w14:paraId="00ECDCF7">
      <w:pPr>
        <w:pStyle w:val="11"/>
      </w:pPr>
      <w:r>
        <w:t>17.5.3除按通用合同条款所说的内容外，增加以下内容：最终结算以财政评审结果或审计结果为准。</w:t>
      </w:r>
    </w:p>
    <w:p w14:paraId="2BE3926C">
      <w:pPr>
        <w:pStyle w:val="11"/>
      </w:pPr>
      <w:bookmarkStart w:id="184" w:name="_Toc31751"/>
      <w:r>
        <w:t>17.6 最终结清</w:t>
      </w:r>
      <w:bookmarkEnd w:id="184"/>
    </w:p>
    <w:p w14:paraId="54B5D872">
      <w:pPr>
        <w:pStyle w:val="11"/>
      </w:pPr>
      <w:bookmarkStart w:id="185" w:name="_Toc16188"/>
      <w:r>
        <w:t>17.6 1 最终结清申请单</w:t>
      </w:r>
      <w:bookmarkEnd w:id="185"/>
    </w:p>
    <w:p w14:paraId="24FF2DFB">
      <w:pPr>
        <w:pStyle w:val="11"/>
      </w:pPr>
      <w:bookmarkStart w:id="186" w:name="_Toc29891"/>
      <w:r>
        <w:t>（1）承包人应提交最终结清申请单份数：</w:t>
      </w:r>
      <w:r>
        <w:rPr>
          <w:u w:val="single"/>
        </w:rPr>
        <w:t>一式肆份</w:t>
      </w:r>
      <w:r>
        <w:t>。</w:t>
      </w:r>
      <w:bookmarkEnd w:id="186"/>
    </w:p>
    <w:p w14:paraId="4262295E">
      <w:pPr>
        <w:pStyle w:val="11"/>
      </w:pPr>
      <w:bookmarkStart w:id="187" w:name="_Toc2926"/>
      <w:r>
        <w:t>17.7 竣工财务决算</w:t>
      </w:r>
      <w:bookmarkEnd w:id="187"/>
    </w:p>
    <w:p w14:paraId="1E2143A8">
      <w:pPr>
        <w:pStyle w:val="11"/>
      </w:pPr>
      <w:r>
        <w:t>承包人应为竣工财务决算编制提供的资料：</w:t>
      </w:r>
      <w:r>
        <w:rPr>
          <w:u w:val="single"/>
        </w:rPr>
        <w:t>财务决算所需的一切资料</w:t>
      </w:r>
      <w:r>
        <w:t>。</w:t>
      </w:r>
    </w:p>
    <w:p w14:paraId="2395476F">
      <w:pPr>
        <w:pStyle w:val="2"/>
        <w:numPr>
          <w:ilvl w:val="0"/>
          <w:numId w:val="0"/>
        </w:numPr>
        <w:bidi w:val="0"/>
        <w:ind w:left="482" w:leftChars="0"/>
      </w:pPr>
      <w:bookmarkStart w:id="188" w:name="_Toc17310"/>
      <w:r>
        <w:t>18. 竣工验收（验收）</w:t>
      </w:r>
      <w:bookmarkEnd w:id="188"/>
    </w:p>
    <w:p w14:paraId="64F79E4E">
      <w:pPr>
        <w:pStyle w:val="2"/>
        <w:numPr>
          <w:ilvl w:val="0"/>
          <w:numId w:val="0"/>
        </w:numPr>
        <w:bidi w:val="0"/>
        <w:ind w:left="482" w:leftChars="0"/>
      </w:pPr>
      <w:r>
        <w:t>18.1 验收工作分类</w:t>
      </w:r>
    </w:p>
    <w:p w14:paraId="5DB1D23D">
      <w:pPr>
        <w:pStyle w:val="11"/>
      </w:pPr>
      <w:r>
        <w:t>按建设行政主管部门和（或）城市建设档案管理机构的要求 相关规定执行。</w:t>
      </w:r>
    </w:p>
    <w:p w14:paraId="6B5CB833">
      <w:pPr>
        <w:pStyle w:val="2"/>
        <w:numPr>
          <w:ilvl w:val="0"/>
          <w:numId w:val="0"/>
        </w:numPr>
        <w:bidi w:val="0"/>
        <w:ind w:left="482" w:leftChars="0"/>
      </w:pPr>
      <w:r>
        <w:t>18.2 分部工程验收</w:t>
      </w:r>
    </w:p>
    <w:p w14:paraId="31223A5C">
      <w:pPr>
        <w:pStyle w:val="11"/>
      </w:pPr>
      <w:r>
        <w:t>18.2.2本工程由发包人主持的分部工程验收为：</w:t>
      </w:r>
      <w:r>
        <w:rPr>
          <w:u w:val="single"/>
        </w:rPr>
        <w:tab/>
      </w:r>
      <w:r>
        <w:rPr>
          <w:u w:val="single"/>
        </w:rPr>
        <w:t xml:space="preserve">/   </w:t>
      </w:r>
      <w:r>
        <w:t>,其余由监理主持。</w:t>
      </w:r>
    </w:p>
    <w:p w14:paraId="50E1D019">
      <w:pPr>
        <w:pStyle w:val="2"/>
        <w:numPr>
          <w:ilvl w:val="0"/>
          <w:numId w:val="0"/>
        </w:numPr>
        <w:bidi w:val="0"/>
        <w:ind w:left="482" w:leftChars="0"/>
      </w:pPr>
      <w:r>
        <w:t>18.3 单位工程验收</w:t>
      </w:r>
    </w:p>
    <w:p w14:paraId="67F0E8C1">
      <w:pPr>
        <w:pStyle w:val="11"/>
      </w:pPr>
      <w:r>
        <w:t>18.3.4  提前投入使用的单位工程包括：</w:t>
      </w:r>
      <w:r>
        <w:rPr>
          <w:u w:val="single"/>
        </w:rPr>
        <w:t xml:space="preserve">       /       </w:t>
      </w:r>
      <w:r>
        <w:t>。</w:t>
      </w:r>
    </w:p>
    <w:p w14:paraId="025173D0">
      <w:pPr>
        <w:pStyle w:val="2"/>
        <w:numPr>
          <w:ilvl w:val="0"/>
          <w:numId w:val="0"/>
        </w:numPr>
        <w:bidi w:val="0"/>
        <w:ind w:left="482" w:leftChars="0"/>
      </w:pPr>
      <w:r>
        <w:t>18.5 阶段验收</w:t>
      </w:r>
    </w:p>
    <w:p w14:paraId="622DF656">
      <w:pPr>
        <w:adjustRightInd w:val="0"/>
        <w:snapToGrid w:val="0"/>
        <w:spacing w:line="360" w:lineRule="auto"/>
        <w:ind w:firstLine="480" w:firstLineChars="200"/>
        <w:rPr>
          <w:rFonts w:ascii="宋体" w:hAnsi="宋体" w:cs="宋体"/>
          <w:szCs w:val="21"/>
        </w:rPr>
      </w:pPr>
      <w:bookmarkStart w:id="189" w:name="_Toc221951283"/>
      <w:r>
        <w:rPr>
          <w:rFonts w:hint="eastAsia" w:ascii="Times New Roman" w:hAnsi="Times New Roman" w:eastAsia="宋体" w:cs="Times New Roman"/>
          <w:kern w:val="0"/>
          <w:sz w:val="24"/>
          <w:szCs w:val="20"/>
        </w:rPr>
        <w:t>18.5.1</w:t>
      </w:r>
      <w:r>
        <w:rPr>
          <w:rFonts w:hint="eastAsia" w:ascii="宋体" w:hAnsi="宋体" w:cs="宋体"/>
          <w:szCs w:val="21"/>
        </w:rPr>
        <w:t xml:space="preserve"> 本合同工程阶段验收类别包括：</w:t>
      </w:r>
      <w:bookmarkEnd w:id="189"/>
      <w:r>
        <w:rPr>
          <w:rFonts w:hint="eastAsia" w:ascii="宋体" w:hAnsi="宋体" w:cs="宋体"/>
          <w:szCs w:val="21"/>
          <w:u w:val="single"/>
        </w:rPr>
        <w:t xml:space="preserve">       /            </w:t>
      </w:r>
      <w:r>
        <w:rPr>
          <w:rFonts w:hint="eastAsia" w:ascii="宋体" w:hAnsi="宋体" w:cs="宋体"/>
          <w:szCs w:val="21"/>
        </w:rPr>
        <w:t>。</w:t>
      </w:r>
    </w:p>
    <w:p w14:paraId="45D0B7C4">
      <w:pPr>
        <w:pStyle w:val="2"/>
        <w:numPr>
          <w:ilvl w:val="0"/>
          <w:numId w:val="0"/>
        </w:numPr>
        <w:bidi w:val="0"/>
        <w:ind w:left="482" w:leftChars="0"/>
      </w:pPr>
      <w:r>
        <w:t xml:space="preserve">18.6 专项验收   </w:t>
      </w:r>
    </w:p>
    <w:p w14:paraId="4DB5C914">
      <w:pPr>
        <w:pStyle w:val="11"/>
      </w:pPr>
      <w:r>
        <w:t>18.6.2 本合同工程专项验收类别包括：</w:t>
      </w:r>
      <w:r>
        <w:rPr>
          <w:u w:val="single"/>
        </w:rPr>
        <w:t xml:space="preserve">         /         </w:t>
      </w:r>
      <w:r>
        <w:t>。</w:t>
      </w:r>
    </w:p>
    <w:p w14:paraId="139856F5">
      <w:pPr>
        <w:pStyle w:val="2"/>
        <w:numPr>
          <w:ilvl w:val="0"/>
          <w:numId w:val="0"/>
        </w:numPr>
        <w:bidi w:val="0"/>
        <w:ind w:left="482" w:leftChars="0"/>
      </w:pPr>
      <w:r>
        <w:t>18.8 施工期运行</w:t>
      </w:r>
    </w:p>
    <w:p w14:paraId="5D6AD0B2">
      <w:pPr>
        <w:pStyle w:val="11"/>
      </w:pPr>
      <w:r>
        <w:t>18.8.1需要在施工期运行的单位工程或工程设备为：</w:t>
      </w:r>
      <w:r>
        <w:rPr>
          <w:u w:val="single"/>
        </w:rPr>
        <w:t xml:space="preserve">     /    </w:t>
      </w:r>
      <w:r>
        <w:t>。</w:t>
      </w:r>
    </w:p>
    <w:p w14:paraId="02A62D69">
      <w:pPr>
        <w:pStyle w:val="2"/>
        <w:numPr>
          <w:ilvl w:val="0"/>
          <w:numId w:val="0"/>
        </w:numPr>
        <w:bidi w:val="0"/>
        <w:ind w:left="482" w:leftChars="0"/>
      </w:pPr>
      <w:r>
        <w:t>18.9试运行</w:t>
      </w:r>
    </w:p>
    <w:p w14:paraId="4EEBE9F0">
      <w:pPr>
        <w:pStyle w:val="11"/>
      </w:pPr>
      <w:r>
        <w:t>18.9.1试运行的组织：</w:t>
      </w:r>
      <w:r>
        <w:rPr>
          <w:u w:val="single"/>
        </w:rPr>
        <w:t xml:space="preserve">       无   </w:t>
      </w:r>
      <w:r>
        <w:t>；费用承担：</w:t>
      </w:r>
      <w:r>
        <w:rPr>
          <w:u w:val="single"/>
        </w:rPr>
        <w:t xml:space="preserve">      无     </w:t>
      </w:r>
      <w:r>
        <w:t>。</w:t>
      </w:r>
    </w:p>
    <w:p w14:paraId="78D93CD3">
      <w:pPr>
        <w:pStyle w:val="2"/>
        <w:numPr>
          <w:ilvl w:val="0"/>
          <w:numId w:val="0"/>
        </w:numPr>
        <w:bidi w:val="0"/>
        <w:ind w:left="482" w:leftChars="0"/>
      </w:pPr>
      <w:bookmarkStart w:id="190" w:name="_Toc171"/>
      <w:r>
        <w:t>19. 缺陷责任与保修责任</w:t>
      </w:r>
      <w:bookmarkEnd w:id="190"/>
    </w:p>
    <w:p w14:paraId="4BA881EC">
      <w:pPr>
        <w:pStyle w:val="2"/>
        <w:numPr>
          <w:ilvl w:val="0"/>
          <w:numId w:val="0"/>
        </w:numPr>
        <w:bidi w:val="0"/>
        <w:ind w:left="482" w:leftChars="0"/>
      </w:pPr>
      <w:r>
        <w:t>19.1 缺陷责任期（工程质量保修期）的起算时间</w:t>
      </w:r>
    </w:p>
    <w:p w14:paraId="59FFE13B">
      <w:pPr>
        <w:pStyle w:val="11"/>
      </w:pPr>
      <w:bookmarkStart w:id="191" w:name="_Toc18971"/>
      <w:r>
        <w:t>本工程缺陷责任期（工程质量保修）计算如下：本工程缺陷责任期（工程质量保修）计算如下：起算日按通用条款19.1和19. 7的约定，终止日按专用条款1. 1.4.5约定。</w:t>
      </w:r>
    </w:p>
    <w:p w14:paraId="4607B1F6">
      <w:pPr>
        <w:pStyle w:val="2"/>
        <w:numPr>
          <w:ilvl w:val="0"/>
          <w:numId w:val="0"/>
        </w:numPr>
        <w:bidi w:val="0"/>
        <w:ind w:left="482" w:leftChars="0"/>
      </w:pPr>
      <w:r>
        <w:t>20. 保险</w:t>
      </w:r>
      <w:bookmarkEnd w:id="191"/>
    </w:p>
    <w:p w14:paraId="31311B61">
      <w:pPr>
        <w:pStyle w:val="2"/>
        <w:numPr>
          <w:ilvl w:val="0"/>
          <w:numId w:val="0"/>
        </w:numPr>
        <w:bidi w:val="0"/>
        <w:ind w:left="482" w:leftChars="0"/>
      </w:pPr>
      <w:r>
        <w:t>20.1 工程保险</w:t>
      </w:r>
    </w:p>
    <w:p w14:paraId="2E3D5735">
      <w:pPr>
        <w:pStyle w:val="11"/>
      </w:pPr>
      <w:r>
        <w:t>建筑工程一切险和（或）安装工程一切险投保人：</w:t>
      </w:r>
      <w:r>
        <w:rPr>
          <w:u w:val="single"/>
        </w:rPr>
        <w:t xml:space="preserve">      /       </w:t>
      </w:r>
      <w:r>
        <w:t xml:space="preserve">；                        </w:t>
      </w:r>
    </w:p>
    <w:p w14:paraId="5A65765E">
      <w:pPr>
        <w:pStyle w:val="11"/>
      </w:pPr>
      <w:r>
        <w:t>投保内容：</w:t>
      </w:r>
      <w:r>
        <w:rPr>
          <w:u w:val="single"/>
        </w:rPr>
        <w:t xml:space="preserve">        /           </w:t>
      </w:r>
      <w:r>
        <w:t xml:space="preserve">；                                                      </w:t>
      </w:r>
    </w:p>
    <w:p w14:paraId="613DCD84">
      <w:pPr>
        <w:pStyle w:val="11"/>
      </w:pPr>
      <w:r>
        <w:t>保险金额、保险费率和保险期限：</w:t>
      </w:r>
      <w:r>
        <w:rPr>
          <w:u w:val="single"/>
        </w:rPr>
        <w:t xml:space="preserve">     /       </w:t>
      </w:r>
      <w:r>
        <w:t>。</w:t>
      </w:r>
    </w:p>
    <w:p w14:paraId="24A87321">
      <w:pPr>
        <w:pStyle w:val="2"/>
        <w:numPr>
          <w:ilvl w:val="0"/>
          <w:numId w:val="0"/>
        </w:numPr>
        <w:bidi w:val="0"/>
        <w:ind w:left="482" w:leftChars="0"/>
      </w:pPr>
      <w:r>
        <w:t>20.4 第三者责任险</w:t>
      </w:r>
    </w:p>
    <w:p w14:paraId="4EEEC0DA">
      <w:pPr>
        <w:pStyle w:val="11"/>
      </w:pPr>
      <w:bookmarkStart w:id="192" w:name="_Toc28183"/>
      <w:r>
        <w:t>20.4.2  第三者责任险保险费率：</w:t>
      </w:r>
      <w:r>
        <w:rPr>
          <w:u w:val="single"/>
        </w:rPr>
        <w:t xml:space="preserve">     /       </w:t>
      </w:r>
      <w:r>
        <w:t xml:space="preserve">；                                       </w:t>
      </w:r>
    </w:p>
    <w:p w14:paraId="60093BE9">
      <w:pPr>
        <w:pStyle w:val="11"/>
      </w:pPr>
      <w:r>
        <w:t>第三者责任险保险金额：</w:t>
      </w:r>
      <w:r>
        <w:rPr>
          <w:u w:val="single"/>
        </w:rPr>
        <w:t xml:space="preserve">    /       </w:t>
      </w:r>
      <w:r>
        <w:t>。</w:t>
      </w:r>
    </w:p>
    <w:p w14:paraId="1301F457">
      <w:pPr>
        <w:pStyle w:val="2"/>
        <w:numPr>
          <w:ilvl w:val="0"/>
          <w:numId w:val="0"/>
        </w:numPr>
        <w:bidi w:val="0"/>
        <w:ind w:left="482" w:leftChars="0"/>
      </w:pPr>
      <w:r>
        <w:t>20.5 其他保险</w:t>
      </w:r>
      <w:bookmarkEnd w:id="192"/>
    </w:p>
    <w:p w14:paraId="02360479">
      <w:pPr>
        <w:pStyle w:val="11"/>
      </w:pPr>
      <w:bookmarkStart w:id="193" w:name="_Toc13967"/>
      <w:r>
        <w:t>需要投保的其他内容：</w:t>
      </w:r>
      <w:r>
        <w:rPr>
          <w:u w:val="single"/>
        </w:rPr>
        <w:t xml:space="preserve">     /         </w:t>
      </w:r>
      <w:r>
        <w:t>；</w:t>
      </w:r>
    </w:p>
    <w:p w14:paraId="633DDF65">
      <w:pPr>
        <w:pStyle w:val="11"/>
      </w:pPr>
      <w:r>
        <w:t>保险金额、保险费率和保险期限：</w:t>
      </w:r>
      <w:r>
        <w:rPr>
          <w:u w:val="single"/>
        </w:rPr>
        <w:t xml:space="preserve">   /      </w:t>
      </w:r>
      <w:r>
        <w:t>；</w:t>
      </w:r>
    </w:p>
    <w:p w14:paraId="355C8504">
      <w:pPr>
        <w:pStyle w:val="2"/>
        <w:numPr>
          <w:ilvl w:val="0"/>
          <w:numId w:val="0"/>
        </w:numPr>
        <w:bidi w:val="0"/>
        <w:ind w:left="482" w:leftChars="0"/>
      </w:pPr>
      <w:r>
        <w:t>20.6 对各项保险的一般要求</w:t>
      </w:r>
      <w:bookmarkEnd w:id="193"/>
    </w:p>
    <w:p w14:paraId="6CED0E65">
      <w:pPr>
        <w:pStyle w:val="2"/>
        <w:numPr>
          <w:ilvl w:val="0"/>
          <w:numId w:val="0"/>
        </w:numPr>
        <w:bidi w:val="0"/>
        <w:ind w:left="482" w:leftChars="0"/>
      </w:pPr>
      <w:bookmarkStart w:id="194" w:name="_Toc221951328"/>
      <w:r>
        <w:t>20.6.1 保险凭证</w:t>
      </w:r>
      <w:bookmarkEnd w:id="194"/>
    </w:p>
    <w:p w14:paraId="74DF356D">
      <w:pPr>
        <w:pStyle w:val="11"/>
      </w:pPr>
      <w:bookmarkStart w:id="195" w:name="_Toc221951329"/>
      <w:r>
        <w:t>承包人提交保险凭证的期限：</w:t>
      </w:r>
      <w:r>
        <w:rPr>
          <w:u w:val="single"/>
        </w:rPr>
        <w:t xml:space="preserve">  /      </w:t>
      </w:r>
      <w:bookmarkEnd w:id="195"/>
      <w:r>
        <w:t>；</w:t>
      </w:r>
    </w:p>
    <w:p w14:paraId="31902321">
      <w:pPr>
        <w:pStyle w:val="11"/>
      </w:pPr>
      <w:bookmarkStart w:id="196" w:name="_Toc221951330"/>
      <w:r>
        <w:t>保险条件：</w:t>
      </w:r>
      <w:r>
        <w:rPr>
          <w:u w:val="single"/>
        </w:rPr>
        <w:t xml:space="preserve">     /         </w:t>
      </w:r>
      <w:r>
        <w:t>。</w:t>
      </w:r>
      <w:bookmarkEnd w:id="196"/>
    </w:p>
    <w:p w14:paraId="3876BCB3">
      <w:pPr>
        <w:pStyle w:val="2"/>
        <w:numPr>
          <w:ilvl w:val="0"/>
          <w:numId w:val="0"/>
        </w:numPr>
        <w:bidi w:val="0"/>
        <w:ind w:left="482" w:leftChars="0"/>
      </w:pPr>
      <w:bookmarkStart w:id="197" w:name="_Toc221951331"/>
      <w:r>
        <w:t>20.6.4 保险金不足的补偿</w:t>
      </w:r>
      <w:bookmarkEnd w:id="197"/>
    </w:p>
    <w:p w14:paraId="16EA9739">
      <w:pPr>
        <w:pStyle w:val="11"/>
      </w:pPr>
      <w:bookmarkStart w:id="198" w:name="_Toc221951332"/>
      <w:r>
        <w:t>承包人负责补偿的范围与金额：</w:t>
      </w:r>
      <w:bookmarkEnd w:id="198"/>
      <w:r>
        <w:rPr>
          <w:u w:val="single"/>
        </w:rPr>
        <w:t xml:space="preserve">     /      </w:t>
      </w:r>
      <w:r>
        <w:t>；</w:t>
      </w:r>
    </w:p>
    <w:p w14:paraId="72F4B9B7">
      <w:pPr>
        <w:pStyle w:val="11"/>
      </w:pPr>
      <w:r>
        <w:t>发包人负责补偿的范围与金额：</w:t>
      </w:r>
      <w:r>
        <w:rPr>
          <w:u w:val="single"/>
        </w:rPr>
        <w:t xml:space="preserve">    /     </w:t>
      </w:r>
      <w:r>
        <w:t>。</w:t>
      </w:r>
    </w:p>
    <w:p w14:paraId="59CD1945">
      <w:pPr>
        <w:pStyle w:val="2"/>
        <w:numPr>
          <w:ilvl w:val="0"/>
          <w:numId w:val="0"/>
        </w:numPr>
        <w:bidi w:val="0"/>
        <w:ind w:left="482" w:leftChars="0"/>
      </w:pPr>
      <w:r>
        <w:t>21. 不可抗力</w:t>
      </w:r>
    </w:p>
    <w:p w14:paraId="4E385B78">
      <w:pPr>
        <w:pStyle w:val="2"/>
        <w:numPr>
          <w:ilvl w:val="0"/>
          <w:numId w:val="0"/>
        </w:numPr>
        <w:bidi w:val="0"/>
        <w:ind w:left="482" w:leftChars="0"/>
      </w:pPr>
      <w:r>
        <w:t>21.1 不可抗力的确认</w:t>
      </w:r>
    </w:p>
    <w:p w14:paraId="0FA48346">
      <w:pPr>
        <w:pStyle w:val="11"/>
      </w:pPr>
      <w:r>
        <w:t>21.1.1 不可抗力是指承包人和发包人在订立合同时不可预见，在工程施工过程中不可避免发生并不能克服的自然灾害和社会性突发事件，如地震、海啸、瘟疫、水灾、骚乱、暴动、战争和本合同专用合同条款第11.4款的约定。</w:t>
      </w:r>
    </w:p>
    <w:p w14:paraId="65D7560A">
      <w:pPr>
        <w:adjustRightInd w:val="0"/>
        <w:snapToGrid w:val="0"/>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w:t>
      </w:r>
      <w:r>
        <w:rPr>
          <w:rFonts w:hint="eastAsia" w:ascii="宋体" w:hAnsi="宋体" w:cs="宋体"/>
          <w:b/>
          <w:szCs w:val="21"/>
        </w:rPr>
        <w:t xml:space="preserve"> </w:t>
      </w:r>
    </w:p>
    <w:p w14:paraId="0AFFED94">
      <w:pPr>
        <w:pStyle w:val="2"/>
        <w:numPr>
          <w:ilvl w:val="0"/>
          <w:numId w:val="0"/>
        </w:numPr>
        <w:bidi w:val="0"/>
        <w:ind w:left="482" w:leftChars="0"/>
      </w:pPr>
      <w:r>
        <w:t>24. 争议的解决</w:t>
      </w:r>
    </w:p>
    <w:p w14:paraId="793C3657">
      <w:pPr>
        <w:pStyle w:val="2"/>
        <w:numPr>
          <w:ilvl w:val="0"/>
          <w:numId w:val="0"/>
        </w:numPr>
        <w:bidi w:val="0"/>
        <w:ind w:left="482" w:leftChars="0"/>
      </w:pPr>
      <w:r>
        <w:t>24.1 争议的解决方式</w:t>
      </w:r>
    </w:p>
    <w:p w14:paraId="32575E6E">
      <w:pPr>
        <w:pStyle w:val="11"/>
      </w:pPr>
      <w:r>
        <w:t>合同当事人友好协商解决不成、不愿提请争议评审或不接受争议评审组意见的，约定的合同争议解决方式：</w:t>
      </w:r>
      <w:r>
        <w:rPr>
          <w:u w:val="single"/>
        </w:rPr>
        <w:t>向有管辖权的人民法院提起诉讼。</w:t>
      </w:r>
    </w:p>
    <w:p w14:paraId="31E9B007">
      <w:pPr>
        <w:pStyle w:val="2"/>
        <w:numPr>
          <w:ilvl w:val="0"/>
          <w:numId w:val="0"/>
        </w:numPr>
        <w:bidi w:val="0"/>
        <w:ind w:left="482" w:leftChars="0"/>
      </w:pPr>
      <w:r>
        <w:t>25.附加条款</w:t>
      </w:r>
    </w:p>
    <w:p w14:paraId="57B962E8">
      <w:pPr>
        <w:pStyle w:val="11"/>
      </w:pPr>
      <w:r>
        <w:t>25.1对承包人的要求</w:t>
      </w:r>
    </w:p>
    <w:p w14:paraId="020624E4">
      <w:pPr>
        <w:pStyle w:val="11"/>
      </w:pPr>
      <w:r>
        <w:t>1.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738DCB3">
      <w:pPr>
        <w:pStyle w:val="11"/>
      </w:pPr>
      <w:r>
        <w:t>2.遵守国务院《建设工程质量管理条例》，根据有关质量管理规定，建立健全质量管理机构，结合工程实际制定完善的可操作性强的质量管理制度，施工质量等级达到合同约定等级。</w:t>
      </w:r>
    </w:p>
    <w:p w14:paraId="3EB4E147">
      <w:pPr>
        <w:pStyle w:val="11"/>
      </w:pPr>
      <w:r>
        <w:t>3.按国家《中华人民共和国生产安全法》、《建设工程安全生产管理条例》、自治区安全生产法规和施工安全操作规程的规定建立健全安全管理机构和安全管理制度，采取安全施工保障措施保障工程施工安全。</w:t>
      </w:r>
    </w:p>
    <w:p w14:paraId="532EFB7E">
      <w:pPr>
        <w:pStyle w:val="11"/>
      </w:pPr>
      <w:r>
        <w:t>4.按有关施工规程规范及本招标文件技术条款进行组织施工并实施施工过程和移交前工程保护措施。</w:t>
      </w:r>
    </w:p>
    <w:p w14:paraId="5E9BF063">
      <w:pPr>
        <w:pStyle w:val="11"/>
      </w:pPr>
      <w:r>
        <w:t>5.承包人违约有以下情况之一者，发包人有权采取合同规定的以下措施处理，并视情节轻重处予违约金，违约金额为合同总价的0.25%-1%（视情节严重而定）。</w:t>
      </w:r>
    </w:p>
    <w:p w14:paraId="06DE4FE8">
      <w:pPr>
        <w:pStyle w:val="11"/>
      </w:pPr>
      <w:r>
        <w:t>（1）未经发包人批准，施工期内承包人调走主要施工技术人员（包括建造师、专业工程师），经发现不及时调回的，违约金额为合同总价的0.25%-1%（视情节严重而定）。</w:t>
      </w:r>
    </w:p>
    <w:p w14:paraId="67FF5565">
      <w:pPr>
        <w:pStyle w:val="11"/>
      </w:pPr>
      <w:r>
        <w:t>（2）未经发包人批准，施工期内自行调走主要施工机械，经发现不及时调回的，违约金额为合同总价的0.25%-1%（视情节严重而定）。</w:t>
      </w:r>
    </w:p>
    <w:p w14:paraId="01BB418A">
      <w:pPr>
        <w:pStyle w:val="11"/>
      </w:pPr>
      <w:r>
        <w:t>（3）所有以上违约金均在承包人的进度款中扣除。</w:t>
      </w:r>
    </w:p>
    <w:p w14:paraId="1E803874">
      <w:pPr>
        <w:pStyle w:val="11"/>
      </w:pPr>
      <w: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D4E3304">
      <w:pPr>
        <w:pStyle w:val="11"/>
      </w:pPr>
      <w:r>
        <w:t>（5）合同签订之日起15日内，承包人无法按合同规定进场全部人员和机械时，作为承包人违约，发包人可解除合同，没收其全部履约保证金，另行发包工程。</w:t>
      </w:r>
    </w:p>
    <w:p w14:paraId="49A3C578">
      <w:pPr>
        <w:pStyle w:val="11"/>
      </w:pPr>
      <w:bookmarkStart w:id="199" w:name="bookmark1879"/>
      <w:bookmarkEnd w:id="199"/>
      <w:r>
        <w:t>（6）合同履行过程中，承包人未按规定要求落实安全生产措施费用专款专用，挪用、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6E0AAE8C">
      <w:pPr>
        <w:pStyle w:val="11"/>
      </w:pPr>
      <w:r>
        <w:t>6.承包人生活设施及施工场地，应自费配备消防设备，防止火灾发生。</w:t>
      </w:r>
    </w:p>
    <w:p w14:paraId="4E873112">
      <w:pPr>
        <w:pStyle w:val="11"/>
      </w:pPr>
      <w:r>
        <w:t>7.承包人使用的劳动力均应进行保险，否则不准安排工作，禁止使用童工。</w:t>
      </w:r>
    </w:p>
    <w:p w14:paraId="46BB343F">
      <w:pPr>
        <w:pStyle w:val="11"/>
      </w:pPr>
      <w:r>
        <w:t>8.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0D0DF62">
      <w:pPr>
        <w:pStyle w:val="11"/>
      </w:pPr>
      <w:r>
        <w:t>9.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036936DE">
      <w:pPr>
        <w:pStyle w:val="11"/>
      </w:pPr>
      <w:r>
        <w:t>10.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65B78DE6">
      <w:pPr>
        <w:pStyle w:val="11"/>
      </w:pPr>
      <w:r>
        <w:rPr>
          <w:b w:val="0"/>
          <w:bCs/>
        </w:rPr>
        <w:t>25.2</w:t>
      </w:r>
      <w:r>
        <w:t xml:space="preserve"> 发包人所有付款(含预付款)均转入如下承包人单位基本账户:开户银行：</w:t>
      </w:r>
      <w:r>
        <w:rPr>
          <w:u w:val="single"/>
        </w:rPr>
        <w:t xml:space="preserve">                  </w:t>
      </w:r>
      <w:r>
        <w:t>，开户名：</w:t>
      </w:r>
      <w:r>
        <w:rPr>
          <w:u w:val="single"/>
        </w:rPr>
        <w:t xml:space="preserve">                      </w:t>
      </w:r>
      <w:r>
        <w:t>，账号：</w:t>
      </w:r>
      <w:r>
        <w:rPr>
          <w:u w:val="single"/>
        </w:rPr>
        <w:t xml:space="preserve">                     </w:t>
      </w:r>
      <w:r>
        <w:t>，承包人单位基本账户发生改变时, 承包人应书面通知（法定代表人签名并加盖单位公章）发包人。</w:t>
      </w:r>
    </w:p>
    <w:p w14:paraId="14A0CFFE">
      <w:pPr>
        <w:pStyle w:val="11"/>
      </w:pPr>
      <w:r>
        <w:rPr>
          <w:b w:val="0"/>
          <w:bCs/>
        </w:rPr>
        <w:t>25.3</w:t>
      </w:r>
      <w:r>
        <w:t>承包方应在施工合同签订后14天内提交所有工程报建报监资料，并按要求办理开工前相应手续，且所有施工签证等相关手续符合主管部门、地方的规定；工程过程中涉及的办证由承包方负责并承担相关费用，发包人协助承包人办理。</w:t>
      </w:r>
    </w:p>
    <w:p w14:paraId="6E484DB8">
      <w:pPr>
        <w:pStyle w:val="11"/>
      </w:pPr>
      <w:r>
        <w:rPr>
          <w:b w:val="0"/>
          <w:bCs/>
        </w:rPr>
        <w:t>25.4</w:t>
      </w:r>
      <w:r>
        <w:t xml:space="preserve"> 专用合同条款中未尽事宜，在签订施工合同时双方再商定。</w:t>
      </w:r>
    </w:p>
    <w:p w14:paraId="52A5238B">
      <w:pPr>
        <w:rPr>
          <w:rFonts w:ascii="宋体" w:hAnsi="宋体" w:cs="宋体"/>
          <w:szCs w:val="21"/>
        </w:rPr>
      </w:pPr>
    </w:p>
    <w:p w14:paraId="4CAAFF1F">
      <w:pPr>
        <w:rPr>
          <w:rFonts w:ascii="宋体" w:hAnsi="宋体" w:cs="宋体"/>
          <w:szCs w:val="21"/>
        </w:rPr>
      </w:pPr>
    </w:p>
    <w:p w14:paraId="0762DF2B">
      <w:pPr>
        <w:rPr>
          <w:rFonts w:ascii="宋体" w:hAnsi="宋体" w:cs="宋体"/>
          <w:szCs w:val="21"/>
        </w:rPr>
      </w:pPr>
    </w:p>
    <w:p w14:paraId="112B6754">
      <w:pPr>
        <w:rPr>
          <w:rFonts w:ascii="宋体" w:hAnsi="宋体" w:cs="宋体"/>
          <w:szCs w:val="21"/>
        </w:rPr>
      </w:pPr>
    </w:p>
    <w:p w14:paraId="451B76B5">
      <w:pPr>
        <w:rPr>
          <w:rFonts w:ascii="宋体" w:hAnsi="宋体" w:cs="宋体"/>
          <w:szCs w:val="21"/>
        </w:rPr>
      </w:pPr>
    </w:p>
    <w:p w14:paraId="3205A9BB">
      <w:pPr>
        <w:rPr>
          <w:rFonts w:ascii="宋体" w:hAnsi="宋体" w:cs="宋体"/>
          <w:szCs w:val="21"/>
        </w:rPr>
      </w:pPr>
    </w:p>
    <w:p w14:paraId="0BD2DFC8">
      <w:pPr>
        <w:rPr>
          <w:rFonts w:ascii="宋体" w:hAnsi="宋体" w:cs="宋体"/>
          <w:szCs w:val="21"/>
        </w:rPr>
      </w:pPr>
    </w:p>
    <w:p w14:paraId="0D4C2852">
      <w:pPr>
        <w:rPr>
          <w:rFonts w:ascii="宋体" w:hAnsi="宋体" w:cs="宋体"/>
          <w:szCs w:val="21"/>
        </w:rPr>
      </w:pPr>
    </w:p>
    <w:p w14:paraId="7BDA1354">
      <w:pPr>
        <w:rPr>
          <w:rFonts w:ascii="宋体" w:hAnsi="宋体" w:cs="宋体"/>
          <w:szCs w:val="21"/>
        </w:rPr>
      </w:pPr>
    </w:p>
    <w:p w14:paraId="7DBAEADE">
      <w:pPr>
        <w:rPr>
          <w:rFonts w:ascii="宋体" w:hAnsi="宋体" w:cs="宋体"/>
          <w:szCs w:val="21"/>
        </w:rPr>
      </w:pPr>
    </w:p>
    <w:p w14:paraId="432E34DC">
      <w:pPr>
        <w:rPr>
          <w:rFonts w:ascii="宋体" w:hAnsi="宋体" w:cs="宋体"/>
          <w:szCs w:val="21"/>
        </w:rPr>
      </w:pPr>
    </w:p>
    <w:p w14:paraId="32EEB835">
      <w:pPr>
        <w:rPr>
          <w:rFonts w:ascii="宋体" w:hAnsi="宋体" w:cs="宋体"/>
          <w:szCs w:val="21"/>
        </w:rPr>
      </w:pPr>
    </w:p>
    <w:p w14:paraId="28FEB01B">
      <w:pPr>
        <w:rPr>
          <w:rFonts w:ascii="宋体" w:hAnsi="宋体" w:cs="宋体"/>
          <w:szCs w:val="21"/>
        </w:rPr>
      </w:pPr>
    </w:p>
    <w:p w14:paraId="3E91170A">
      <w:pPr>
        <w:rPr>
          <w:rFonts w:ascii="宋体" w:hAnsi="宋体" w:cs="宋体"/>
          <w:szCs w:val="21"/>
        </w:rPr>
      </w:pPr>
    </w:p>
    <w:p w14:paraId="435B5224">
      <w:pPr>
        <w:rPr>
          <w:rFonts w:ascii="宋体" w:hAnsi="宋体" w:cs="宋体"/>
          <w:szCs w:val="21"/>
        </w:rPr>
      </w:pPr>
    </w:p>
    <w:p w14:paraId="27CE49E3">
      <w:bookmarkStart w:id="200" w:name="_Toc622"/>
      <w:r>
        <w:br w:type="page"/>
      </w:r>
    </w:p>
    <w:p w14:paraId="581754EA">
      <w:pPr>
        <w:pStyle w:val="42"/>
        <w:numPr>
          <w:ilvl w:val="0"/>
          <w:numId w:val="70"/>
        </w:numPr>
        <w:ind w:left="0" w:leftChars="0" w:firstLine="480" w:firstLineChars="0"/>
        <w:outlineLvl w:val="0"/>
      </w:pPr>
      <w:r>
        <w:t>通用合同条款</w:t>
      </w:r>
      <w:bookmarkEnd w:id="200"/>
    </w:p>
    <w:p w14:paraId="7AA69B57">
      <w:pPr>
        <w:pStyle w:val="2"/>
        <w:numPr>
          <w:ilvl w:val="0"/>
          <w:numId w:val="0"/>
        </w:numPr>
        <w:bidi w:val="0"/>
        <w:ind w:left="482" w:leftChars="0"/>
      </w:pPr>
      <w:bookmarkStart w:id="201" w:name="bookmark883"/>
      <w:bookmarkStart w:id="202" w:name="_Toc14710268"/>
      <w:bookmarkStart w:id="203" w:name="bookmark882"/>
      <w:bookmarkStart w:id="204" w:name="bookmark881"/>
      <w:bookmarkStart w:id="205" w:name="_Toc19504"/>
      <w:r>
        <w:t>1. 一般约定</w:t>
      </w:r>
      <w:bookmarkEnd w:id="201"/>
      <w:bookmarkEnd w:id="202"/>
      <w:bookmarkEnd w:id="203"/>
      <w:bookmarkEnd w:id="204"/>
      <w:bookmarkEnd w:id="205"/>
    </w:p>
    <w:p w14:paraId="34DA9166">
      <w:pPr>
        <w:pStyle w:val="2"/>
        <w:numPr>
          <w:ilvl w:val="0"/>
          <w:numId w:val="0"/>
        </w:numPr>
        <w:bidi w:val="0"/>
        <w:ind w:left="482" w:leftChars="0"/>
      </w:pPr>
      <w:bookmarkStart w:id="206" w:name="bookmark886"/>
      <w:bookmarkStart w:id="207" w:name="bookmark885"/>
      <w:bookmarkStart w:id="208" w:name="_Toc5974"/>
      <w:bookmarkStart w:id="209" w:name="_Toc14710269"/>
      <w:bookmarkStart w:id="210" w:name="bookmark884"/>
      <w:r>
        <w:t>1.1词语定义</w:t>
      </w:r>
      <w:bookmarkEnd w:id="206"/>
      <w:bookmarkEnd w:id="207"/>
      <w:bookmarkEnd w:id="208"/>
      <w:bookmarkEnd w:id="209"/>
      <w:bookmarkEnd w:id="210"/>
    </w:p>
    <w:p w14:paraId="6926D6A9">
      <w:pPr>
        <w:pStyle w:val="11"/>
      </w:pPr>
      <w:r>
        <w:t>通用合同条款、专用合同条款中的下列词语应具有本款所赋予的含义。</w:t>
      </w:r>
    </w:p>
    <w:p w14:paraId="2B92F31F">
      <w:pPr>
        <w:pStyle w:val="2"/>
        <w:numPr>
          <w:ilvl w:val="0"/>
          <w:numId w:val="0"/>
        </w:numPr>
        <w:bidi w:val="0"/>
        <w:ind w:left="482" w:leftChars="0"/>
      </w:pPr>
      <w:r>
        <w:t>1.1.1合同</w:t>
      </w:r>
    </w:p>
    <w:p w14:paraId="03F6D5F3">
      <w:pPr>
        <w:pStyle w:val="11"/>
      </w:pPr>
      <w:r>
        <w:t>1.1.1.1合同文件（或称合同）：指合同协议书、成交通知书、投标函及投标函附录、专用合同条款、通用合同条款、技术标准和要求、图纸、已标价工程量清单，以及其他合同文件。</w:t>
      </w:r>
    </w:p>
    <w:p w14:paraId="28E93319">
      <w:pPr>
        <w:pStyle w:val="11"/>
      </w:pPr>
      <w:bookmarkStart w:id="211" w:name="bookmark887"/>
      <w:bookmarkEnd w:id="211"/>
      <w:r>
        <w:t>1. 1. 1. 2合同协议书：指第1.5款所指的合同协议书。</w:t>
      </w:r>
    </w:p>
    <w:p w14:paraId="70B31853">
      <w:pPr>
        <w:pStyle w:val="11"/>
      </w:pPr>
      <w:r>
        <w:t>1. 1. 1. 3成交通知书：指发包人通知承包人成交的函件。</w:t>
      </w:r>
    </w:p>
    <w:p w14:paraId="6A8CE6A4">
      <w:pPr>
        <w:pStyle w:val="11"/>
      </w:pPr>
      <w:bookmarkStart w:id="212" w:name="bookmark888"/>
      <w:bookmarkEnd w:id="212"/>
      <w:r>
        <w:t>1. 1. 1. 4投标函：指构成合同文件组成部分的由承包人填写并签署的投标函。</w:t>
      </w:r>
    </w:p>
    <w:p w14:paraId="363935BB">
      <w:pPr>
        <w:pStyle w:val="11"/>
      </w:pPr>
      <w:r>
        <w:t>1. 1. 1. 5投标函附录：指附在投标函后构成合同文件的投标函附录。</w:t>
      </w:r>
    </w:p>
    <w:p w14:paraId="4521F154">
      <w:pPr>
        <w:pStyle w:val="11"/>
      </w:pPr>
      <w:bookmarkStart w:id="213" w:name="bookmark889"/>
      <w:bookmarkEnd w:id="213"/>
      <w:r>
        <w:t>1. 1. 1. 6技术标准和要求：指构成合同文件组成部分的名为技术标准和要求（合同技术条款）的文件，包括合同双方当事人约定对其所做的修改或补充。</w:t>
      </w:r>
    </w:p>
    <w:p w14:paraId="752A9C04">
      <w:pPr>
        <w:pStyle w:val="11"/>
      </w:pPr>
      <w:bookmarkStart w:id="214" w:name="bookmark890"/>
      <w:bookmarkEnd w:id="214"/>
      <w:r>
        <w:t>1. 1. 1. 7图纸：指列入合同的招标图纸、投标图纸和发包人按合同约定向承包人提供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B012065">
      <w:pPr>
        <w:pStyle w:val="11"/>
      </w:pPr>
      <w:r>
        <w:t>1. 1. 1. 8已标价工程量清单：指构成合同文件组成部分的由承包人按照规定的格式和要求填写并标明价格的工程量清单。</w:t>
      </w:r>
    </w:p>
    <w:p w14:paraId="427156BF">
      <w:pPr>
        <w:pStyle w:val="11"/>
      </w:pPr>
      <w:r>
        <w:t>1. 1. 1. 9其他合同文件：指经合同双方当事人确认构成合同文件的其他文件。</w:t>
      </w:r>
    </w:p>
    <w:p w14:paraId="53821C45">
      <w:pPr>
        <w:pStyle w:val="2"/>
        <w:numPr>
          <w:ilvl w:val="0"/>
          <w:numId w:val="0"/>
        </w:numPr>
        <w:bidi w:val="0"/>
        <w:ind w:left="482" w:leftChars="0"/>
      </w:pPr>
      <w:r>
        <w:t>1.1.2合同当事人和人员。</w:t>
      </w:r>
    </w:p>
    <w:p w14:paraId="14F03757">
      <w:pPr>
        <w:pStyle w:val="11"/>
      </w:pPr>
      <w:r>
        <w:t>1. 1.2.1合同当事人：指发包人和（或）承包人。</w:t>
      </w:r>
    </w:p>
    <w:p w14:paraId="522F8FD8">
      <w:pPr>
        <w:pStyle w:val="11"/>
      </w:pPr>
      <w:bookmarkStart w:id="215" w:name="bookmark891"/>
      <w:bookmarkEnd w:id="215"/>
      <w:r>
        <w:t>1. 1.2.2发包人：指专用合同条款中指明并与承包人在合同协议书中签字的当事人。</w:t>
      </w:r>
    </w:p>
    <w:p w14:paraId="77F20B08">
      <w:pPr>
        <w:pStyle w:val="11"/>
      </w:pPr>
      <w:bookmarkStart w:id="216" w:name="bookmark892"/>
      <w:bookmarkEnd w:id="216"/>
      <w:r>
        <w:t>1. 1.2.3承包人：指专用合同条款中指明并与发包人在合同协议书中签字的当事人。</w:t>
      </w:r>
    </w:p>
    <w:p w14:paraId="176E4B5F">
      <w:pPr>
        <w:pStyle w:val="11"/>
      </w:pPr>
      <w:r>
        <w:t>1. 1.2.4承包人项目经理：指承包人派驻施工场地的全权负责人。</w:t>
      </w:r>
    </w:p>
    <w:p w14:paraId="139C18D0">
      <w:pPr>
        <w:pStyle w:val="11"/>
      </w:pPr>
      <w:r>
        <w:t>1. 1.2.5分包人：指专用合同条款中指明的，从承包人处分包合同中某一部分工程, 并与其签订分包合同的分包人。</w:t>
      </w:r>
    </w:p>
    <w:p w14:paraId="044B0CF7">
      <w:pPr>
        <w:pStyle w:val="11"/>
      </w:pPr>
      <w:bookmarkStart w:id="217" w:name="bookmark893"/>
      <w:bookmarkEnd w:id="217"/>
      <w:r>
        <w:t>1. 1.2.6  监理人：指在专用合同条款中指明的，受发包人委托对合同履行实施管理的 法人或其他组织。</w:t>
      </w:r>
    </w:p>
    <w:p w14:paraId="343BD1DE">
      <w:pPr>
        <w:pStyle w:val="11"/>
      </w:pPr>
      <w:r>
        <w:t>1. 1.2.7总监理工程师（总监）:指由监理人委派常驻施工场地对合同履行实施管理的全权负责人。</w:t>
      </w:r>
    </w:p>
    <w:p w14:paraId="37C4F645">
      <w:pPr>
        <w:pStyle w:val="2"/>
        <w:numPr>
          <w:ilvl w:val="0"/>
          <w:numId w:val="0"/>
        </w:numPr>
        <w:bidi w:val="0"/>
        <w:ind w:left="482" w:leftChars="0"/>
      </w:pPr>
      <w:r>
        <w:t>1. 1.3工程和设备</w:t>
      </w:r>
    </w:p>
    <w:p w14:paraId="15626E75">
      <w:pPr>
        <w:pStyle w:val="11"/>
      </w:pPr>
      <w:r>
        <w:t>1. 1.3. 1工程：指永久工程和（或）临时工程。</w:t>
      </w:r>
    </w:p>
    <w:p w14:paraId="556DF54E">
      <w:pPr>
        <w:pStyle w:val="11"/>
      </w:pPr>
      <w:bookmarkStart w:id="218" w:name="bookmark894"/>
      <w:bookmarkEnd w:id="218"/>
      <w:r>
        <w:t>1. 1.3. 2永久工程：指按合同约定建造并移交给发包人的工程，包括工程设备。</w:t>
      </w:r>
    </w:p>
    <w:p w14:paraId="30AAF8FC">
      <w:pPr>
        <w:pStyle w:val="11"/>
      </w:pPr>
      <w:bookmarkStart w:id="219" w:name="bookmark895"/>
      <w:bookmarkEnd w:id="219"/>
      <w:r>
        <w:t>1. 1.3. 3临时工程：指为完成合同约定的永久工程所修建的各类临时性工程，不包括施工设备。</w:t>
      </w:r>
    </w:p>
    <w:p w14:paraId="40139260">
      <w:pPr>
        <w:pStyle w:val="11"/>
      </w:pPr>
      <w:r>
        <w:t>1.1.3. 4单位工程：指专用合同条款中指明特定范围的永久工程。</w:t>
      </w:r>
    </w:p>
    <w:p w14:paraId="748E2B50">
      <w:pPr>
        <w:pStyle w:val="11"/>
      </w:pPr>
      <w:bookmarkStart w:id="220" w:name="bookmark896"/>
      <w:bookmarkEnd w:id="220"/>
      <w:r>
        <w:t>1. 1.3. 5工程设备：指构成或计划构成永久工程一部分的机电设备、金属结构设备、仪器装置及其他类似的设备和装置。</w:t>
      </w:r>
    </w:p>
    <w:p w14:paraId="0942EE19">
      <w:pPr>
        <w:pStyle w:val="11"/>
      </w:pPr>
      <w:bookmarkStart w:id="221" w:name="bookmark897"/>
      <w:bookmarkEnd w:id="221"/>
      <w:r>
        <w:t>1. 1.3. 6施工设备：指为完成合同约定的各项工作所需的设备、器具和其他物品，不包括临时工程和材料。</w:t>
      </w:r>
    </w:p>
    <w:p w14:paraId="44106307">
      <w:pPr>
        <w:pStyle w:val="11"/>
      </w:pPr>
      <w:bookmarkStart w:id="222" w:name="bookmark898"/>
      <w:bookmarkEnd w:id="222"/>
      <w:r>
        <w:t>1. 1.3. 7临时设施：指为完成合同约定的各项工作所服务的临时性生产和生活设施。</w:t>
      </w:r>
    </w:p>
    <w:p w14:paraId="7CB5770E">
      <w:pPr>
        <w:pStyle w:val="11"/>
      </w:pPr>
      <w:r>
        <w:t>1. 1. 3. 8承包人设备：指承包人自带的施工设备。</w:t>
      </w:r>
    </w:p>
    <w:p w14:paraId="230B2609">
      <w:pPr>
        <w:pStyle w:val="11"/>
      </w:pPr>
      <w:r>
        <w:t>1. 1. 3. 9施工场地（或称工地、现场）：指用于合同工程施工的场所，以及在合同中指定作为施工场地组成部分的其他场所，包括永久占地和临时占地。</w:t>
      </w:r>
    </w:p>
    <w:p w14:paraId="0D84C53C">
      <w:pPr>
        <w:pStyle w:val="11"/>
      </w:pPr>
      <w:r>
        <w:t>1. 1. 3. 10永久占地：指发包人为建设本合同工程永久征用的场地。</w:t>
      </w:r>
    </w:p>
    <w:p w14:paraId="68D1ACD7">
      <w:pPr>
        <w:pStyle w:val="11"/>
      </w:pPr>
      <w:r>
        <w:t>1.1.3.11临时占地：指发包人为建设本合同工程临时征用，并应在完工后须按合同 要求退还的场地。</w:t>
      </w:r>
    </w:p>
    <w:p w14:paraId="410C3B58">
      <w:pPr>
        <w:pStyle w:val="2"/>
        <w:numPr>
          <w:ilvl w:val="0"/>
          <w:numId w:val="0"/>
        </w:numPr>
        <w:bidi w:val="0"/>
        <w:ind w:left="482" w:leftChars="0"/>
      </w:pPr>
      <w:r>
        <w:t>1.1.4日期</w:t>
      </w:r>
    </w:p>
    <w:p w14:paraId="4D0C1E8D">
      <w:pPr>
        <w:pStyle w:val="11"/>
      </w:pPr>
      <w:r>
        <w:t>1. 1.4. 1开工通知：指监理人按第11. 1款通知承包人开工的函件。</w:t>
      </w:r>
    </w:p>
    <w:p w14:paraId="06FD4F47">
      <w:pPr>
        <w:pStyle w:val="11"/>
      </w:pPr>
      <w:r>
        <w:t>1. 1.4.2开工日期：指监理人按第11. 1款发出的开工通知中写明的开工日期。</w:t>
      </w:r>
    </w:p>
    <w:p w14:paraId="136AC7A0">
      <w:pPr>
        <w:pStyle w:val="11"/>
      </w:pPr>
      <w:r>
        <w:t>1. 1.4.3工期：指承包人在投标函中承诺的完成合同工程所需的期限，包括按第11.3 款、第11. 4款和第11. 6款约定所作的变更。</w:t>
      </w:r>
    </w:p>
    <w:p w14:paraId="109FD01C">
      <w:pPr>
        <w:pStyle w:val="11"/>
      </w:pPr>
      <w:bookmarkStart w:id="223" w:name="bookmark899"/>
      <w:bookmarkEnd w:id="223"/>
      <w:r>
        <w:t>1. 1.4.4  竣工日期：即合同工程完工日期，指第1.1. 4. 3目约定工期届满时的日期。 实际完工时间以合同工程完工证书中写明的日期为准。</w:t>
      </w:r>
    </w:p>
    <w:p w14:paraId="65317A96">
      <w:pPr>
        <w:pStyle w:val="11"/>
      </w:pPr>
      <w:bookmarkStart w:id="224" w:name="bookmark900"/>
      <w:bookmarkEnd w:id="224"/>
      <w:r>
        <w:t>1. 1.4.6  缺陷责任期：即工程质量保修期，指履行第19. 2款约定的缺陷责任的期限, 包括根据第19. 3款约定所作的延长，具体期限由专用合同条款约定。</w:t>
      </w:r>
    </w:p>
    <w:p w14:paraId="50DBC679">
      <w:pPr>
        <w:pStyle w:val="11"/>
      </w:pPr>
      <w:r>
        <w:t>1. 1.4.6基准日期：指投标截止时间前28天的日期。</w:t>
      </w:r>
    </w:p>
    <w:p w14:paraId="71839240">
      <w:pPr>
        <w:pStyle w:val="11"/>
      </w:pPr>
      <w:r>
        <w:t>1. 1.4.7天：除特别指明外，指日历天。合同中按天计算时间的，开始当天不计入, 从次日开始计算。期限最后一天的截止时间为当天24：00</w:t>
      </w:r>
      <w:r>
        <w:rPr>
          <w:vertAlign w:val="subscript"/>
        </w:rPr>
        <w:t>o</w:t>
      </w:r>
    </w:p>
    <w:p w14:paraId="40647FB2">
      <w:pPr>
        <w:pStyle w:val="2"/>
        <w:numPr>
          <w:ilvl w:val="0"/>
          <w:numId w:val="0"/>
        </w:numPr>
        <w:bidi w:val="0"/>
        <w:ind w:left="482" w:leftChars="0"/>
      </w:pPr>
      <w:r>
        <w:t>1.1.5合同价格和费用</w:t>
      </w:r>
    </w:p>
    <w:p w14:paraId="626F5460">
      <w:pPr>
        <w:pStyle w:val="11"/>
      </w:pPr>
      <w:bookmarkStart w:id="225" w:name="bookmark901"/>
      <w:bookmarkEnd w:id="225"/>
      <w:r>
        <w:t>1.1.5.1签约合同价：指签定合同时合同协议书中写明的，包括了暂列金额、暂估价的合同总金额。</w:t>
      </w:r>
    </w:p>
    <w:p w14:paraId="5818668E">
      <w:pPr>
        <w:pStyle w:val="11"/>
      </w:pPr>
      <w:bookmarkStart w:id="226" w:name="bookmark902"/>
      <w:bookmarkEnd w:id="226"/>
      <w:r>
        <w:t>1.1.5. 2合同价格：指承包人按合同约定完成了包括缺陷责任期内的全部承包工作后，发包人应付给承包人的金额，包括在履行合同过程中按合同约定进行的变更和调整。</w:t>
      </w:r>
    </w:p>
    <w:p w14:paraId="2A499B4E">
      <w:pPr>
        <w:pStyle w:val="11"/>
      </w:pPr>
      <w:bookmarkStart w:id="227" w:name="bookmark903"/>
      <w:bookmarkEnd w:id="227"/>
      <w:r>
        <w:t>1.1.5. 3费用：指为履行合同所发生的或将要发生的所有合理开支，包括管理费和应分摊的其他费用，但不包括利润。</w:t>
      </w:r>
    </w:p>
    <w:p w14:paraId="4380DC6E">
      <w:pPr>
        <w:pStyle w:val="11"/>
      </w:pPr>
      <w:r>
        <w:t>1. 1.5.4暂列金额：指已标价工程量清单中所列的暂列金额，用于在签订协议书时尚 未确定或不可预见变更的施工及其所需材料、工程设备、服务等的金额，包括以计日工方式支付的金额。</w:t>
      </w:r>
    </w:p>
    <w:p w14:paraId="71BE39C9">
      <w:pPr>
        <w:pStyle w:val="11"/>
      </w:pPr>
      <w:r>
        <w:t>1. 1.5.5暂估价：指发包人在工程量清单中给定的用于支付必然发生但暂时不能确定价格的材料、设备以及专业工程的金额。</w:t>
      </w:r>
    </w:p>
    <w:p w14:paraId="2A61EAAA">
      <w:pPr>
        <w:pStyle w:val="11"/>
      </w:pPr>
      <w:bookmarkStart w:id="228" w:name="bookmark904"/>
      <w:bookmarkEnd w:id="228"/>
      <w:r>
        <w:t>1.1.5. 6计日工：指对零星工作采取的一种计价方式，按合同中的计日工子目及其单 价计价付款。</w:t>
      </w:r>
    </w:p>
    <w:p w14:paraId="2A7D5D81">
      <w:pPr>
        <w:pStyle w:val="11"/>
      </w:pPr>
      <w:r>
        <w:t>1. 1.5.7质量保证金(或称保留金)：指按第17.4.1项约定用于保证在缺陷责任期内履行缺陷修复义务的金额。</w:t>
      </w:r>
    </w:p>
    <w:p w14:paraId="7B1FCD38">
      <w:pPr>
        <w:pStyle w:val="2"/>
        <w:numPr>
          <w:ilvl w:val="0"/>
          <w:numId w:val="0"/>
        </w:numPr>
        <w:bidi w:val="0"/>
        <w:ind w:left="482" w:leftChars="0"/>
      </w:pPr>
      <w:r>
        <w:t>1.1.6其他</w:t>
      </w:r>
    </w:p>
    <w:p w14:paraId="1368748F">
      <w:pPr>
        <w:pStyle w:val="11"/>
      </w:pPr>
      <w:bookmarkStart w:id="229" w:name="bookmark905"/>
      <w:bookmarkEnd w:id="229"/>
      <w:r>
        <w:t>1.1.6.1书面形式：指合同文件、信函、电报、传真等可以有形地表现所载内容的形式。</w:t>
      </w:r>
    </w:p>
    <w:p w14:paraId="667F35A2">
      <w:pPr>
        <w:pStyle w:val="2"/>
        <w:numPr>
          <w:ilvl w:val="0"/>
          <w:numId w:val="0"/>
        </w:numPr>
        <w:bidi w:val="0"/>
        <w:ind w:left="482" w:leftChars="0"/>
      </w:pPr>
      <w:bookmarkStart w:id="230" w:name="_Toc14710270"/>
      <w:bookmarkStart w:id="231" w:name="bookmark908"/>
      <w:bookmarkStart w:id="232" w:name="_Toc16626"/>
      <w:bookmarkStart w:id="233" w:name="bookmark907"/>
      <w:bookmarkStart w:id="234" w:name="bookmark906"/>
      <w:r>
        <w:t>1.2语言文字</w:t>
      </w:r>
      <w:bookmarkEnd w:id="230"/>
      <w:bookmarkEnd w:id="231"/>
      <w:bookmarkEnd w:id="232"/>
      <w:bookmarkEnd w:id="233"/>
      <w:bookmarkEnd w:id="234"/>
    </w:p>
    <w:p w14:paraId="626409B9">
      <w:pPr>
        <w:pStyle w:val="11"/>
      </w:pPr>
      <w:r>
        <w:t>除专用术语外，合同使用的语言文字为中文。必要时专用术语应附有中文注释。</w:t>
      </w:r>
    </w:p>
    <w:p w14:paraId="3795BE68">
      <w:pPr>
        <w:pStyle w:val="2"/>
        <w:numPr>
          <w:ilvl w:val="0"/>
          <w:numId w:val="0"/>
        </w:numPr>
        <w:bidi w:val="0"/>
        <w:ind w:left="482" w:leftChars="0"/>
      </w:pPr>
      <w:bookmarkStart w:id="235" w:name="bookmark911"/>
      <w:bookmarkStart w:id="236" w:name="_Toc7852"/>
      <w:bookmarkStart w:id="237" w:name="bookmark910"/>
      <w:bookmarkStart w:id="238" w:name="bookmark909"/>
      <w:bookmarkStart w:id="239" w:name="_Toc14710271"/>
      <w:r>
        <w:t>1.3法律</w:t>
      </w:r>
      <w:bookmarkEnd w:id="235"/>
      <w:bookmarkEnd w:id="236"/>
      <w:bookmarkEnd w:id="237"/>
      <w:bookmarkEnd w:id="238"/>
      <w:bookmarkEnd w:id="239"/>
    </w:p>
    <w:p w14:paraId="707E0DF1">
      <w:pPr>
        <w:pStyle w:val="11"/>
      </w:pPr>
      <w:r>
        <w:t>适用于合同的法律包括中华人民共和国法律、行政法规、部门规章，以及工程所在地的地方法规、自治条例、单行条例和地方政府规章。</w:t>
      </w:r>
    </w:p>
    <w:p w14:paraId="745BB90C">
      <w:pPr>
        <w:pStyle w:val="2"/>
        <w:numPr>
          <w:ilvl w:val="0"/>
          <w:numId w:val="0"/>
        </w:numPr>
        <w:bidi w:val="0"/>
        <w:ind w:left="482" w:leftChars="0"/>
      </w:pPr>
      <w:bookmarkStart w:id="240" w:name="_Toc14710272"/>
      <w:bookmarkStart w:id="241" w:name="bookmark913"/>
      <w:bookmarkStart w:id="242" w:name="_Toc17089"/>
      <w:bookmarkStart w:id="243" w:name="bookmark912"/>
      <w:bookmarkStart w:id="244" w:name="bookmark914"/>
      <w:r>
        <w:t>1.4合同文件的优先顺序</w:t>
      </w:r>
      <w:bookmarkEnd w:id="240"/>
      <w:bookmarkEnd w:id="241"/>
      <w:bookmarkEnd w:id="242"/>
      <w:bookmarkEnd w:id="243"/>
      <w:bookmarkEnd w:id="244"/>
    </w:p>
    <w:p w14:paraId="33072414">
      <w:pPr>
        <w:pStyle w:val="11"/>
      </w:pPr>
      <w:r>
        <w:t>组成合同的各项文件应互相解释，互为说明。除专用合同条款另有约定外，解释合同文件的优先顺序如下：</w:t>
      </w:r>
    </w:p>
    <w:p w14:paraId="619DB92C">
      <w:pPr>
        <w:pStyle w:val="11"/>
      </w:pPr>
      <w:bookmarkStart w:id="245" w:name="bookmark915"/>
      <w:bookmarkEnd w:id="245"/>
      <w:r>
        <w:rPr>
          <w:b w:val="0"/>
          <w:i w:val="0"/>
          <w:strike w:val="0"/>
          <w:color w:val="000000"/>
          <w:u w:val="none"/>
        </w:rPr>
        <w:t>(1)</w:t>
      </w:r>
      <w:r>
        <w:t>合同协议书；</w:t>
      </w:r>
    </w:p>
    <w:p w14:paraId="70AB832B">
      <w:pPr>
        <w:pStyle w:val="11"/>
      </w:pPr>
      <w:bookmarkStart w:id="246" w:name="bookmark916"/>
      <w:bookmarkEnd w:id="246"/>
      <w:r>
        <w:rPr>
          <w:b w:val="0"/>
          <w:i w:val="0"/>
          <w:strike w:val="0"/>
          <w:color w:val="000000"/>
          <w:u w:val="none"/>
        </w:rPr>
        <w:t>(2)</w:t>
      </w:r>
      <w:r>
        <w:t>成交通知书；</w:t>
      </w:r>
    </w:p>
    <w:p w14:paraId="3F04B1AE">
      <w:pPr>
        <w:pStyle w:val="11"/>
      </w:pPr>
      <w:bookmarkStart w:id="247" w:name="bookmark917"/>
      <w:bookmarkEnd w:id="247"/>
      <w:r>
        <w:rPr>
          <w:b w:val="0"/>
          <w:i w:val="0"/>
          <w:strike w:val="0"/>
          <w:color w:val="000000"/>
          <w:u w:val="none"/>
        </w:rPr>
        <w:t>(3)</w:t>
      </w:r>
      <w:r>
        <w:t>投标函及投标函附录；</w:t>
      </w:r>
    </w:p>
    <w:p w14:paraId="11149698">
      <w:pPr>
        <w:pStyle w:val="11"/>
      </w:pPr>
      <w:bookmarkStart w:id="248" w:name="bookmark918"/>
      <w:bookmarkEnd w:id="248"/>
      <w:r>
        <w:rPr>
          <w:b w:val="0"/>
          <w:i w:val="0"/>
          <w:strike w:val="0"/>
          <w:color w:val="000000"/>
          <w:u w:val="none"/>
        </w:rPr>
        <w:t>(4)</w:t>
      </w:r>
      <w:r>
        <w:t>专用合同条款；</w:t>
      </w:r>
    </w:p>
    <w:p w14:paraId="3FCCB84D">
      <w:pPr>
        <w:pStyle w:val="11"/>
      </w:pPr>
      <w:bookmarkStart w:id="249" w:name="bookmark919"/>
      <w:bookmarkEnd w:id="249"/>
      <w:r>
        <w:rPr>
          <w:b w:val="0"/>
          <w:i w:val="0"/>
          <w:strike w:val="0"/>
          <w:color w:val="000000"/>
          <w:u w:val="none"/>
        </w:rPr>
        <w:t>(5)</w:t>
      </w:r>
      <w:r>
        <w:t>通用合同条款；</w:t>
      </w:r>
    </w:p>
    <w:p w14:paraId="3ED5D203">
      <w:pPr>
        <w:pStyle w:val="11"/>
      </w:pPr>
      <w:bookmarkStart w:id="250" w:name="bookmark920"/>
      <w:bookmarkEnd w:id="250"/>
      <w:r>
        <w:rPr>
          <w:b w:val="0"/>
          <w:i w:val="0"/>
          <w:strike w:val="0"/>
          <w:color w:val="000000"/>
          <w:u w:val="none"/>
        </w:rPr>
        <w:t>(6)</w:t>
      </w:r>
      <w:r>
        <w:t>技术标准和要求；</w:t>
      </w:r>
    </w:p>
    <w:p w14:paraId="72207979">
      <w:pPr>
        <w:pStyle w:val="11"/>
      </w:pPr>
      <w:bookmarkStart w:id="251" w:name="bookmark921"/>
      <w:bookmarkEnd w:id="251"/>
      <w:r>
        <w:rPr>
          <w:b w:val="0"/>
          <w:i w:val="0"/>
          <w:strike w:val="0"/>
          <w:color w:val="000000"/>
          <w:u w:val="none"/>
        </w:rPr>
        <w:t>(7)</w:t>
      </w:r>
      <w:r>
        <w:t>图纸；</w:t>
      </w:r>
    </w:p>
    <w:p w14:paraId="6702FD2A">
      <w:pPr>
        <w:pStyle w:val="11"/>
      </w:pPr>
      <w:bookmarkStart w:id="252" w:name="bookmark922"/>
      <w:bookmarkEnd w:id="252"/>
      <w:r>
        <w:rPr>
          <w:b w:val="0"/>
          <w:i w:val="0"/>
          <w:strike w:val="0"/>
          <w:color w:val="000000"/>
          <w:u w:val="none"/>
        </w:rPr>
        <w:t>(8)</w:t>
      </w:r>
      <w:r>
        <w:t>已标价工程量清单；</w:t>
      </w:r>
    </w:p>
    <w:p w14:paraId="2C09F399">
      <w:pPr>
        <w:pStyle w:val="11"/>
      </w:pPr>
      <w:bookmarkStart w:id="253" w:name="bookmark923"/>
      <w:bookmarkEnd w:id="253"/>
      <w:r>
        <w:rPr>
          <w:b w:val="0"/>
          <w:i w:val="0"/>
          <w:strike w:val="0"/>
          <w:color w:val="000000"/>
          <w:u w:val="none"/>
        </w:rPr>
        <w:t>(9)</w:t>
      </w:r>
      <w:r>
        <w:t>其他合同文件。</w:t>
      </w:r>
    </w:p>
    <w:p w14:paraId="287A4A92">
      <w:pPr>
        <w:pStyle w:val="2"/>
        <w:numPr>
          <w:ilvl w:val="0"/>
          <w:numId w:val="0"/>
        </w:numPr>
        <w:bidi w:val="0"/>
        <w:ind w:left="482" w:leftChars="0"/>
      </w:pPr>
      <w:bookmarkStart w:id="254" w:name="bookmark926"/>
      <w:bookmarkStart w:id="255" w:name="_Toc30693"/>
      <w:bookmarkStart w:id="256" w:name="_Toc14710273"/>
      <w:bookmarkStart w:id="257" w:name="bookmark925"/>
      <w:bookmarkStart w:id="258" w:name="bookmark924"/>
      <w:r>
        <w:t>1.5合同协议书</w:t>
      </w:r>
      <w:bookmarkEnd w:id="254"/>
      <w:bookmarkEnd w:id="255"/>
      <w:bookmarkEnd w:id="256"/>
      <w:bookmarkEnd w:id="257"/>
      <w:bookmarkEnd w:id="258"/>
    </w:p>
    <w:p w14:paraId="02F60B59">
      <w:pPr>
        <w:pStyle w:val="11"/>
      </w:pPr>
      <w:r>
        <w:t>承包人按成交通知书规定的时间与发包人签订合同协议书。除法律另有规定或合同另有约定外，发包人和承包人的法定代表人或其委托代理人在合同协议书上签字并盖单位公章后，合同生效。</w:t>
      </w:r>
    </w:p>
    <w:p w14:paraId="2DF8A109">
      <w:pPr>
        <w:pStyle w:val="2"/>
        <w:numPr>
          <w:ilvl w:val="0"/>
          <w:numId w:val="0"/>
        </w:numPr>
        <w:bidi w:val="0"/>
        <w:ind w:left="482" w:leftChars="0"/>
      </w:pPr>
      <w:bookmarkStart w:id="259" w:name="bookmark928"/>
      <w:bookmarkStart w:id="260" w:name="_Toc14710274"/>
      <w:bookmarkStart w:id="261" w:name="bookmark927"/>
      <w:bookmarkStart w:id="262" w:name="_Toc10434"/>
      <w:bookmarkStart w:id="263" w:name="bookmark929"/>
      <w:r>
        <w:t>1.6图纸和承包人文件</w:t>
      </w:r>
      <w:bookmarkEnd w:id="259"/>
      <w:bookmarkEnd w:id="260"/>
      <w:bookmarkEnd w:id="261"/>
      <w:bookmarkEnd w:id="262"/>
      <w:bookmarkEnd w:id="263"/>
    </w:p>
    <w:p w14:paraId="41A752C0">
      <w:pPr>
        <w:pStyle w:val="2"/>
        <w:numPr>
          <w:ilvl w:val="0"/>
          <w:numId w:val="0"/>
        </w:numPr>
        <w:bidi w:val="0"/>
        <w:ind w:left="482" w:leftChars="0"/>
      </w:pPr>
      <w:r>
        <w:t>1.6.1图纸的提供</w:t>
      </w:r>
    </w:p>
    <w:p w14:paraId="253650DF">
      <w:pPr>
        <w:pStyle w:val="11"/>
      </w:pPr>
      <w:r>
        <w:t>发包人应按技术标准和要求(合同技术条款)约定的期限和数量将施工图纸以及其它图纸（包括配套说明和有关资料）提供给承包人。由于发包人未按时提供图纸造成工期延误的，按第11. 3款的约定办理。</w:t>
      </w:r>
    </w:p>
    <w:p w14:paraId="0662F95D">
      <w:pPr>
        <w:pStyle w:val="2"/>
        <w:numPr>
          <w:ilvl w:val="0"/>
          <w:numId w:val="0"/>
        </w:numPr>
        <w:bidi w:val="0"/>
        <w:ind w:left="482" w:leftChars="0"/>
      </w:pPr>
      <w:r>
        <w:t>1.6.2承包人提供的文件</w:t>
      </w:r>
    </w:p>
    <w:p w14:paraId="2E3874B8">
      <w:pPr>
        <w:pStyle w:val="11"/>
      </w:pPr>
      <w:r>
        <w:t>承包人提供的文件应按技术标准和要求（合同技术条款）约定的期限和数量提供给监理人。监理人应按技术标准和要求（合同技术条款）约定的期限批复承包人。</w:t>
      </w:r>
    </w:p>
    <w:p w14:paraId="718D6C46">
      <w:pPr>
        <w:pStyle w:val="2"/>
        <w:numPr>
          <w:ilvl w:val="0"/>
          <w:numId w:val="0"/>
        </w:numPr>
        <w:bidi w:val="0"/>
        <w:ind w:left="482" w:leftChars="0"/>
      </w:pPr>
      <w:r>
        <w:t>1.6.3图纸的修改</w:t>
      </w:r>
    </w:p>
    <w:p w14:paraId="7143FCC0">
      <w:pPr>
        <w:pStyle w:val="11"/>
      </w:pPr>
      <w: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4CE78B4">
      <w:pPr>
        <w:pStyle w:val="2"/>
        <w:numPr>
          <w:ilvl w:val="0"/>
          <w:numId w:val="0"/>
        </w:numPr>
        <w:bidi w:val="0"/>
        <w:ind w:left="482" w:leftChars="0"/>
      </w:pPr>
      <w:r>
        <w:t>1.6.4图纸的错误</w:t>
      </w:r>
    </w:p>
    <w:p w14:paraId="170BDDBE">
      <w:pPr>
        <w:pStyle w:val="11"/>
      </w:pPr>
      <w:r>
        <w:t>承包人发现发包人提供的图纸存在明显错误或疏忽，应及时通知监理人。</w:t>
      </w:r>
    </w:p>
    <w:p w14:paraId="5C413431">
      <w:pPr>
        <w:pStyle w:val="2"/>
        <w:numPr>
          <w:ilvl w:val="0"/>
          <w:numId w:val="0"/>
        </w:numPr>
        <w:bidi w:val="0"/>
        <w:ind w:left="482" w:leftChars="0"/>
      </w:pPr>
      <w:r>
        <w:t>1.6.5图纸和承包人文件的保管</w:t>
      </w:r>
    </w:p>
    <w:p w14:paraId="1C36244A">
      <w:pPr>
        <w:pStyle w:val="11"/>
      </w:pPr>
      <w:r>
        <w:t>监理人和承包人均应在施工场地各保存一套完整的包含第1. 6. 1项、第1.6.2项、第 1.6. 3项约定内容的图纸和承包人文件。</w:t>
      </w:r>
    </w:p>
    <w:p w14:paraId="25BA9752">
      <w:pPr>
        <w:pStyle w:val="2"/>
        <w:numPr>
          <w:ilvl w:val="0"/>
          <w:numId w:val="0"/>
        </w:numPr>
        <w:bidi w:val="0"/>
        <w:ind w:left="482" w:leftChars="0"/>
      </w:pPr>
      <w:bookmarkStart w:id="264" w:name="_Toc18431"/>
      <w:bookmarkStart w:id="265" w:name="_Toc14710275"/>
      <w:bookmarkStart w:id="266" w:name="bookmark930"/>
      <w:bookmarkStart w:id="267" w:name="bookmark931"/>
      <w:bookmarkStart w:id="268" w:name="bookmark932"/>
      <w:r>
        <w:t>1.7联络</w:t>
      </w:r>
      <w:bookmarkEnd w:id="264"/>
      <w:bookmarkEnd w:id="265"/>
      <w:bookmarkEnd w:id="266"/>
      <w:bookmarkEnd w:id="267"/>
      <w:bookmarkEnd w:id="268"/>
    </w:p>
    <w:p w14:paraId="05E08A7B">
      <w:pPr>
        <w:pStyle w:val="11"/>
      </w:pPr>
      <w:r>
        <w:t>1.7.1与合同有关的通知、批准、证明、证书、指示、要求、请求、同意、意见、确 定和决定等，均应采用书面形式。</w:t>
      </w:r>
    </w:p>
    <w:p w14:paraId="12F1AEC7">
      <w:pPr>
        <w:pStyle w:val="11"/>
      </w:pPr>
      <w:r>
        <w:t>1.7.2第1.7.1项中的通知、批准、证明、证书、指示、要求、请求、同意、意见、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AC6E764">
      <w:pPr>
        <w:pStyle w:val="11"/>
      </w:pPr>
      <w:r>
        <w:t>1.7.3来往函件均应按合同约定的期限及时发出和答复，不得无故扣压和拖延，亦不得拒收。否则，由此造成的后果由责任方负责。</w:t>
      </w:r>
    </w:p>
    <w:p w14:paraId="20BAA953">
      <w:pPr>
        <w:pStyle w:val="2"/>
        <w:numPr>
          <w:ilvl w:val="0"/>
          <w:numId w:val="0"/>
        </w:numPr>
        <w:bidi w:val="0"/>
        <w:ind w:left="482" w:leftChars="0"/>
      </w:pPr>
      <w:bookmarkStart w:id="269" w:name="bookmark934"/>
      <w:bookmarkStart w:id="270" w:name="bookmark933"/>
      <w:bookmarkStart w:id="271" w:name="_Toc14710276"/>
      <w:bookmarkStart w:id="272" w:name="bookmark935"/>
      <w:bookmarkStart w:id="273" w:name="_Toc11450"/>
      <w:r>
        <w:t>1.8转让</w:t>
      </w:r>
      <w:bookmarkEnd w:id="269"/>
      <w:bookmarkEnd w:id="270"/>
      <w:bookmarkEnd w:id="271"/>
      <w:bookmarkEnd w:id="272"/>
      <w:bookmarkEnd w:id="273"/>
    </w:p>
    <w:p w14:paraId="21E3F5CF">
      <w:pPr>
        <w:pStyle w:val="11"/>
      </w:pPr>
      <w:r>
        <w:t>除合同另有约定外，未经对方当事人同意，一方当事人不得将合同权利全部或部分转让给第三人，也不得全部或部分转移合同义务。</w:t>
      </w:r>
    </w:p>
    <w:p w14:paraId="29631564">
      <w:pPr>
        <w:pStyle w:val="2"/>
        <w:numPr>
          <w:ilvl w:val="0"/>
          <w:numId w:val="0"/>
        </w:numPr>
        <w:bidi w:val="0"/>
        <w:ind w:left="482" w:leftChars="0"/>
      </w:pPr>
      <w:bookmarkStart w:id="274" w:name="bookmark937"/>
      <w:bookmarkStart w:id="275" w:name="_Toc28520"/>
      <w:bookmarkStart w:id="276" w:name="_Toc14710277"/>
      <w:bookmarkStart w:id="277" w:name="bookmark938"/>
      <w:bookmarkStart w:id="278" w:name="bookmark936"/>
      <w:r>
        <w:t>1.9严禁贿赂</w:t>
      </w:r>
      <w:bookmarkEnd w:id="274"/>
      <w:bookmarkEnd w:id="275"/>
      <w:bookmarkEnd w:id="276"/>
      <w:bookmarkEnd w:id="277"/>
      <w:bookmarkEnd w:id="278"/>
    </w:p>
    <w:p w14:paraId="431D1E64">
      <w:pPr>
        <w:pStyle w:val="11"/>
      </w:pPr>
      <w:r>
        <w:t>合同双方当事人不得以贿赂或变相贿赂的方式，谋取不当利益或损害对方权益。因贿赂造成对方损失的，行为人应赔偿损失，并承担相应的法律责任。</w:t>
      </w:r>
    </w:p>
    <w:p w14:paraId="6F37C039">
      <w:pPr>
        <w:pStyle w:val="2"/>
        <w:numPr>
          <w:ilvl w:val="0"/>
          <w:numId w:val="0"/>
        </w:numPr>
        <w:bidi w:val="0"/>
        <w:ind w:left="482" w:leftChars="0"/>
      </w:pPr>
      <w:bookmarkStart w:id="279" w:name="bookmark941"/>
      <w:bookmarkStart w:id="280" w:name="_Toc27697"/>
      <w:bookmarkStart w:id="281" w:name="bookmark940"/>
      <w:bookmarkStart w:id="282" w:name="bookmark939"/>
      <w:bookmarkStart w:id="283" w:name="_Toc14710278"/>
      <w:r>
        <w:t>1.10化石、文物</w:t>
      </w:r>
      <w:bookmarkEnd w:id="279"/>
      <w:bookmarkEnd w:id="280"/>
      <w:bookmarkEnd w:id="281"/>
      <w:bookmarkEnd w:id="282"/>
      <w:bookmarkEnd w:id="283"/>
    </w:p>
    <w:p w14:paraId="36C2F076">
      <w:pPr>
        <w:pStyle w:val="11"/>
      </w:pPr>
      <w:r>
        <w:t>1.10. 1在施工场地发掘的所有文物、古迹以及具有地质研究或考古价值的其他遗迹、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5923F077">
      <w:pPr>
        <w:pStyle w:val="11"/>
      </w:pPr>
      <w:r>
        <w:t>1. 10. 2承包人发现文物后不及时报告或隐瞒不报，致使文物丢失或损坏的，应赔偿损失，并承担相应的法律责任。</w:t>
      </w:r>
    </w:p>
    <w:p w14:paraId="03120EF7">
      <w:pPr>
        <w:pStyle w:val="2"/>
        <w:numPr>
          <w:ilvl w:val="0"/>
          <w:numId w:val="0"/>
        </w:numPr>
        <w:bidi w:val="0"/>
        <w:ind w:left="482" w:leftChars="0"/>
      </w:pPr>
      <w:bookmarkStart w:id="284" w:name="bookmark944"/>
      <w:bookmarkStart w:id="285" w:name="_Toc14710279"/>
      <w:bookmarkStart w:id="286" w:name="_Toc8461"/>
      <w:bookmarkStart w:id="287" w:name="bookmark943"/>
      <w:bookmarkStart w:id="288" w:name="bookmark942"/>
      <w:r>
        <w:t>1.11专利技术</w:t>
      </w:r>
      <w:bookmarkEnd w:id="284"/>
      <w:bookmarkEnd w:id="285"/>
      <w:bookmarkEnd w:id="286"/>
      <w:bookmarkEnd w:id="287"/>
      <w:bookmarkEnd w:id="288"/>
    </w:p>
    <w:p w14:paraId="29D049E8">
      <w:pPr>
        <w:pStyle w:val="11"/>
      </w:pPr>
      <w:r>
        <w:t>1.11.1承包人在使用任何材料、承包人设备、工程设备或采用施工工艺时，因侵犯专利权或其他知识产权所引起的责任，由承包人承担，但由于遵照发包人提供的设计或技术标准和要求引起的除外。</w:t>
      </w:r>
    </w:p>
    <w:p w14:paraId="7ED21536">
      <w:pPr>
        <w:pStyle w:val="11"/>
      </w:pPr>
      <w:r>
        <w:t>1.11.2承包人在投标文件中采用专利技术的，专利技术的使用费包含在投标报价内。</w:t>
      </w:r>
    </w:p>
    <w:p w14:paraId="74D0DD38">
      <w:pPr>
        <w:pStyle w:val="11"/>
      </w:pPr>
      <w:r>
        <w:t>1.11.3承包人的技术秘密和声明需要保密的资料和信息，发包人和监理人不得为合同以外的目的泄露给他人。</w:t>
      </w:r>
    </w:p>
    <w:p w14:paraId="7B9A7A8B">
      <w:pPr>
        <w:pStyle w:val="11"/>
      </w:pPr>
      <w:r>
        <w:t>1.11.4合同实施过程中，发包人要求承包人采用专利技术的，发包人应办理相应的使用手续，承包人应按发包人约定的条件使用，并承担使用专利技术的相关试验工作。所需的费用由发包人承担。</w:t>
      </w:r>
    </w:p>
    <w:p w14:paraId="2C5CEC9B">
      <w:pPr>
        <w:pStyle w:val="2"/>
        <w:numPr>
          <w:ilvl w:val="0"/>
          <w:numId w:val="0"/>
        </w:numPr>
        <w:bidi w:val="0"/>
        <w:ind w:left="482" w:leftChars="0"/>
      </w:pPr>
      <w:bookmarkStart w:id="289" w:name="_Toc14710280"/>
      <w:bookmarkStart w:id="290" w:name="bookmark946"/>
      <w:bookmarkStart w:id="291" w:name="bookmark947"/>
      <w:bookmarkStart w:id="292" w:name="bookmark945"/>
      <w:bookmarkStart w:id="293" w:name="_Toc21439"/>
      <w:r>
        <w:t>1.12图纸和文件的保密</w:t>
      </w:r>
      <w:bookmarkEnd w:id="289"/>
      <w:bookmarkEnd w:id="290"/>
      <w:bookmarkEnd w:id="291"/>
      <w:bookmarkEnd w:id="292"/>
      <w:bookmarkEnd w:id="293"/>
    </w:p>
    <w:p w14:paraId="3634BDE6">
      <w:pPr>
        <w:pStyle w:val="11"/>
      </w:pPr>
      <w:r>
        <w:t>1.12.1发包人提供的图纸和文件，未经发包人同意，承包人不得为合同以外的目的泄露给他人或公开发表与引用。</w:t>
      </w:r>
    </w:p>
    <w:p w14:paraId="0ECF6187">
      <w:pPr>
        <w:pStyle w:val="11"/>
      </w:pPr>
      <w:r>
        <w:t>1.12.2承包人提供的文件，未经承包人同意，发包人和监理人不得为合同以外的目的泄露给他人或公开发表与引用。</w:t>
      </w:r>
    </w:p>
    <w:p w14:paraId="00CE7BA1">
      <w:pPr>
        <w:pStyle w:val="2"/>
        <w:numPr>
          <w:ilvl w:val="0"/>
          <w:numId w:val="0"/>
        </w:numPr>
        <w:bidi w:val="0"/>
        <w:ind w:left="482" w:leftChars="0"/>
      </w:pPr>
      <w:bookmarkStart w:id="294" w:name="bookmark950"/>
      <w:bookmarkEnd w:id="294"/>
      <w:bookmarkStart w:id="295" w:name="_Toc14710281"/>
      <w:bookmarkStart w:id="296" w:name="bookmark951"/>
      <w:bookmarkStart w:id="297" w:name="bookmark949"/>
      <w:bookmarkStart w:id="298" w:name="_Toc3842"/>
      <w:bookmarkStart w:id="299" w:name="bookmark948"/>
      <w:r>
        <w:t>2.发包人义务</w:t>
      </w:r>
      <w:bookmarkEnd w:id="295"/>
      <w:bookmarkEnd w:id="296"/>
      <w:bookmarkEnd w:id="297"/>
      <w:bookmarkEnd w:id="298"/>
      <w:bookmarkEnd w:id="299"/>
    </w:p>
    <w:p w14:paraId="29BC6D5F">
      <w:pPr>
        <w:pStyle w:val="2"/>
        <w:numPr>
          <w:ilvl w:val="0"/>
          <w:numId w:val="0"/>
        </w:numPr>
        <w:bidi w:val="0"/>
        <w:ind w:left="482" w:leftChars="0"/>
      </w:pPr>
      <w:bookmarkStart w:id="300" w:name="bookmark953"/>
      <w:bookmarkStart w:id="301" w:name="bookmark954"/>
      <w:bookmarkStart w:id="302" w:name="_Toc14710282"/>
      <w:bookmarkStart w:id="303" w:name="bookmark952"/>
      <w:r>
        <w:t>2.1遵守法律</w:t>
      </w:r>
      <w:bookmarkEnd w:id="300"/>
      <w:bookmarkEnd w:id="301"/>
      <w:bookmarkEnd w:id="302"/>
      <w:bookmarkEnd w:id="303"/>
    </w:p>
    <w:p w14:paraId="087B4CFD">
      <w:pPr>
        <w:pStyle w:val="11"/>
      </w:pPr>
      <w:r>
        <w:t>发包人在履行合同过程中应遵守法律，并保证承包人免于承担因发包人违反法律而引 起的任何责任。</w:t>
      </w:r>
    </w:p>
    <w:p w14:paraId="5AD95722">
      <w:pPr>
        <w:pStyle w:val="2"/>
        <w:numPr>
          <w:ilvl w:val="0"/>
          <w:numId w:val="0"/>
        </w:numPr>
        <w:bidi w:val="0"/>
        <w:ind w:left="482" w:leftChars="0"/>
      </w:pPr>
      <w:bookmarkStart w:id="304" w:name="bookmark955"/>
      <w:bookmarkStart w:id="305" w:name="bookmark957"/>
      <w:bookmarkStart w:id="306" w:name="_Toc14710283"/>
      <w:bookmarkStart w:id="307" w:name="bookmark956"/>
      <w:bookmarkStart w:id="308" w:name="_Toc16693"/>
      <w:r>
        <w:t>2.2发出开工通知</w:t>
      </w:r>
      <w:bookmarkEnd w:id="304"/>
      <w:bookmarkEnd w:id="305"/>
      <w:bookmarkEnd w:id="306"/>
      <w:bookmarkEnd w:id="307"/>
      <w:bookmarkEnd w:id="308"/>
    </w:p>
    <w:p w14:paraId="59FEE023">
      <w:pPr>
        <w:pStyle w:val="11"/>
      </w:pPr>
      <w:r>
        <w:t>发包人应委托监理人按第H. 1款的约定向承包人发出开工通知。</w:t>
      </w:r>
    </w:p>
    <w:p w14:paraId="132EA346">
      <w:pPr>
        <w:pStyle w:val="2"/>
        <w:numPr>
          <w:ilvl w:val="0"/>
          <w:numId w:val="0"/>
        </w:numPr>
        <w:bidi w:val="0"/>
        <w:ind w:left="482" w:leftChars="0"/>
      </w:pPr>
      <w:bookmarkStart w:id="309" w:name="bookmark958"/>
      <w:bookmarkStart w:id="310" w:name="_Toc14710284"/>
      <w:bookmarkStart w:id="311" w:name="_Toc5643"/>
      <w:bookmarkStart w:id="312" w:name="bookmark959"/>
      <w:bookmarkStart w:id="313" w:name="bookmark960"/>
      <w:r>
        <w:t>2.3提供施工场地</w:t>
      </w:r>
      <w:bookmarkEnd w:id="309"/>
      <w:bookmarkEnd w:id="310"/>
      <w:bookmarkEnd w:id="311"/>
      <w:bookmarkEnd w:id="312"/>
      <w:bookmarkEnd w:id="313"/>
    </w:p>
    <w:p w14:paraId="023F613F">
      <w:pPr>
        <w:pStyle w:val="11"/>
      </w:pPr>
      <w: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44B7F53E">
      <w:pPr>
        <w:pStyle w:val="11"/>
      </w:pPr>
      <w:r>
        <w:t>2.3.2发包人提供的施工用地范围在专用合同条款中约定。</w:t>
      </w:r>
    </w:p>
    <w:p w14:paraId="2A21689F">
      <w:pPr>
        <w:pStyle w:val="11"/>
      </w:pPr>
      <w: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2EEA58FC">
      <w:pPr>
        <w:pStyle w:val="2"/>
        <w:numPr>
          <w:ilvl w:val="0"/>
          <w:numId w:val="0"/>
        </w:numPr>
        <w:bidi w:val="0"/>
        <w:ind w:left="482" w:leftChars="0"/>
      </w:pPr>
      <w:bookmarkStart w:id="314" w:name="bookmark963"/>
      <w:bookmarkStart w:id="315" w:name="bookmark962"/>
      <w:bookmarkStart w:id="316" w:name="_Toc14710285"/>
      <w:bookmarkStart w:id="317" w:name="bookmark961"/>
      <w:bookmarkStart w:id="318" w:name="_Toc3862"/>
      <w:r>
        <w:t>2.4协助承包人办理证件和批件</w:t>
      </w:r>
      <w:bookmarkEnd w:id="314"/>
      <w:bookmarkEnd w:id="315"/>
      <w:bookmarkEnd w:id="316"/>
      <w:bookmarkEnd w:id="317"/>
      <w:bookmarkEnd w:id="318"/>
    </w:p>
    <w:p w14:paraId="0924EA52">
      <w:pPr>
        <w:pStyle w:val="11"/>
      </w:pPr>
      <w:r>
        <w:t>发包人应协助承包人办理法律规定的有关施工证件和批件。</w:t>
      </w:r>
    </w:p>
    <w:p w14:paraId="7C973BBC">
      <w:pPr>
        <w:pStyle w:val="2"/>
        <w:numPr>
          <w:ilvl w:val="0"/>
          <w:numId w:val="0"/>
        </w:numPr>
        <w:bidi w:val="0"/>
        <w:ind w:left="482" w:leftChars="0"/>
      </w:pPr>
      <w:bookmarkStart w:id="319" w:name="_Toc14710286"/>
      <w:bookmarkStart w:id="320" w:name="bookmark964"/>
      <w:bookmarkStart w:id="321" w:name="bookmark965"/>
      <w:bookmarkStart w:id="322" w:name="bookmark966"/>
      <w:bookmarkStart w:id="323" w:name="_Toc27327"/>
      <w:r>
        <w:t>2.5组织设计交底</w:t>
      </w:r>
      <w:bookmarkEnd w:id="319"/>
      <w:bookmarkEnd w:id="320"/>
      <w:bookmarkEnd w:id="321"/>
      <w:bookmarkEnd w:id="322"/>
      <w:bookmarkEnd w:id="323"/>
    </w:p>
    <w:p w14:paraId="5B83F728">
      <w:pPr>
        <w:pStyle w:val="11"/>
      </w:pPr>
      <w:r>
        <w:t>发包人应根据合同进度计划，组织设计单位向承包人进行设计交底。</w:t>
      </w:r>
    </w:p>
    <w:p w14:paraId="5D400B3C">
      <w:pPr>
        <w:pStyle w:val="2"/>
        <w:numPr>
          <w:ilvl w:val="0"/>
          <w:numId w:val="0"/>
        </w:numPr>
        <w:bidi w:val="0"/>
        <w:ind w:left="482" w:leftChars="0"/>
      </w:pPr>
      <w:bookmarkStart w:id="324" w:name="_Toc14710287"/>
      <w:bookmarkStart w:id="325" w:name="_Toc15125"/>
      <w:bookmarkStart w:id="326" w:name="bookmark969"/>
      <w:bookmarkStart w:id="327" w:name="bookmark967"/>
      <w:bookmarkStart w:id="328" w:name="bookmark968"/>
      <w:r>
        <w:t>2.6支付合同价款</w:t>
      </w:r>
      <w:bookmarkEnd w:id="324"/>
      <w:bookmarkEnd w:id="325"/>
      <w:bookmarkEnd w:id="326"/>
      <w:bookmarkEnd w:id="327"/>
      <w:bookmarkEnd w:id="328"/>
    </w:p>
    <w:p w14:paraId="4CEC75C2">
      <w:pPr>
        <w:pStyle w:val="11"/>
      </w:pPr>
      <w:r>
        <w:t>发包人应按合同约定向承包人及时支付合同价款。</w:t>
      </w:r>
    </w:p>
    <w:p w14:paraId="4AF37748">
      <w:pPr>
        <w:pStyle w:val="2"/>
        <w:numPr>
          <w:ilvl w:val="0"/>
          <w:numId w:val="0"/>
        </w:numPr>
        <w:bidi w:val="0"/>
        <w:ind w:left="482" w:leftChars="0"/>
      </w:pPr>
      <w:bookmarkStart w:id="329" w:name="bookmark970"/>
      <w:bookmarkStart w:id="330" w:name="_Toc14710288"/>
      <w:bookmarkStart w:id="331" w:name="_Toc14608"/>
      <w:bookmarkStart w:id="332" w:name="bookmark971"/>
      <w:bookmarkStart w:id="333" w:name="bookmark972"/>
      <w:r>
        <w:t>2.7组织竣工验收（组织法人验收）</w:t>
      </w:r>
      <w:bookmarkEnd w:id="329"/>
      <w:bookmarkEnd w:id="330"/>
      <w:bookmarkEnd w:id="331"/>
      <w:bookmarkEnd w:id="332"/>
      <w:bookmarkEnd w:id="333"/>
    </w:p>
    <w:p w14:paraId="1F1E2841">
      <w:pPr>
        <w:pStyle w:val="11"/>
      </w:pPr>
      <w:r>
        <w:t>发包人应按合同约定及时组织法人验收。</w:t>
      </w:r>
    </w:p>
    <w:p w14:paraId="3ACC8789">
      <w:pPr>
        <w:pStyle w:val="2"/>
        <w:numPr>
          <w:ilvl w:val="0"/>
          <w:numId w:val="0"/>
        </w:numPr>
        <w:bidi w:val="0"/>
        <w:ind w:left="482" w:leftChars="0"/>
      </w:pPr>
      <w:bookmarkStart w:id="334" w:name="bookmark974"/>
      <w:bookmarkStart w:id="335" w:name="_Toc26461"/>
      <w:bookmarkStart w:id="336" w:name="bookmark975"/>
      <w:bookmarkStart w:id="337" w:name="bookmark973"/>
      <w:bookmarkStart w:id="338" w:name="_Toc14710289"/>
      <w:r>
        <w:t>2.8其它义务</w:t>
      </w:r>
      <w:bookmarkEnd w:id="334"/>
      <w:bookmarkEnd w:id="335"/>
      <w:bookmarkEnd w:id="336"/>
      <w:bookmarkEnd w:id="337"/>
      <w:bookmarkEnd w:id="338"/>
    </w:p>
    <w:p w14:paraId="5E035F2D">
      <w:pPr>
        <w:pStyle w:val="11"/>
      </w:pPr>
      <w:r>
        <w:t>其它义务在专用合同条款中补充约定。</w:t>
      </w:r>
    </w:p>
    <w:p w14:paraId="0EF48812">
      <w:pPr>
        <w:pStyle w:val="2"/>
        <w:numPr>
          <w:ilvl w:val="0"/>
          <w:numId w:val="0"/>
        </w:numPr>
        <w:bidi w:val="0"/>
        <w:ind w:left="482" w:leftChars="0"/>
      </w:pPr>
      <w:bookmarkStart w:id="339" w:name="_Toc17454"/>
      <w:bookmarkStart w:id="340" w:name="_Toc14710290"/>
      <w:bookmarkStart w:id="341" w:name="bookmark976"/>
      <w:bookmarkStart w:id="342" w:name="bookmark977"/>
      <w:bookmarkStart w:id="343" w:name="bookmark978"/>
      <w:r>
        <w:t>3.监理人</w:t>
      </w:r>
      <w:bookmarkEnd w:id="339"/>
      <w:bookmarkEnd w:id="340"/>
      <w:bookmarkEnd w:id="341"/>
      <w:bookmarkEnd w:id="342"/>
      <w:bookmarkEnd w:id="343"/>
    </w:p>
    <w:p w14:paraId="5E790147">
      <w:pPr>
        <w:pStyle w:val="2"/>
        <w:numPr>
          <w:ilvl w:val="0"/>
          <w:numId w:val="0"/>
        </w:numPr>
        <w:bidi w:val="0"/>
        <w:ind w:left="482" w:leftChars="0"/>
      </w:pPr>
      <w:bookmarkStart w:id="344" w:name="bookmark981"/>
      <w:bookmarkStart w:id="345" w:name="_Toc14710291"/>
      <w:bookmarkStart w:id="346" w:name="bookmark979"/>
      <w:bookmarkStart w:id="347" w:name="_Toc5442"/>
      <w:bookmarkStart w:id="348" w:name="bookmark980"/>
      <w:r>
        <w:t>3.1监理人的职责和权利</w:t>
      </w:r>
      <w:bookmarkEnd w:id="344"/>
      <w:bookmarkEnd w:id="345"/>
      <w:bookmarkEnd w:id="346"/>
      <w:bookmarkEnd w:id="347"/>
      <w:bookmarkEnd w:id="348"/>
    </w:p>
    <w:p w14:paraId="1E5F547A">
      <w:pPr>
        <w:pStyle w:val="11"/>
      </w:pPr>
      <w: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第15条的约定增加相应的费用，并通知承包人。</w:t>
      </w:r>
    </w:p>
    <w:p w14:paraId="62557396">
      <w:pPr>
        <w:pStyle w:val="11"/>
      </w:pPr>
      <w:r>
        <w:t>3.1.2监理人发出的任何指示应视为已得到发包人的批准，但监理人无权免除或变更合同约定的发包人和承包人的权利、义务和责任。</w:t>
      </w:r>
    </w:p>
    <w:p w14:paraId="2AA8673F">
      <w:pPr>
        <w:pStyle w:val="11"/>
      </w:pPr>
      <w:r>
        <w:t>3.1.3合同约定应由承包人承担的义务和责任，不因监理人对承包人提交文件的审查或批准，对工程、材料和设备的检查和检验，以及为实施监理作出的指示等职务行为而减轻或解除。</w:t>
      </w:r>
    </w:p>
    <w:p w14:paraId="38E8C793">
      <w:pPr>
        <w:pStyle w:val="2"/>
        <w:numPr>
          <w:ilvl w:val="0"/>
          <w:numId w:val="0"/>
        </w:numPr>
        <w:bidi w:val="0"/>
        <w:ind w:left="482" w:leftChars="0"/>
      </w:pPr>
      <w:bookmarkStart w:id="349" w:name="bookmark982"/>
      <w:bookmarkStart w:id="350" w:name="_Toc14710292"/>
      <w:bookmarkStart w:id="351" w:name="bookmark984"/>
      <w:bookmarkStart w:id="352" w:name="bookmark983"/>
      <w:bookmarkStart w:id="353" w:name="_Toc20317"/>
      <w:r>
        <w:t>3. 2总监理工程师</w:t>
      </w:r>
      <w:bookmarkEnd w:id="349"/>
      <w:bookmarkEnd w:id="350"/>
      <w:bookmarkEnd w:id="351"/>
      <w:bookmarkEnd w:id="352"/>
      <w:bookmarkEnd w:id="353"/>
    </w:p>
    <w:p w14:paraId="3210B135">
      <w:pPr>
        <w:pStyle w:val="11"/>
      </w:pPr>
      <w:r>
        <w:t>发包人应在发出开工通知前将总监理工程师的任命通知承包人。总监理工程师更换时, 应在调离14天前通知承包人。总监理工程师短期离开施工场地的，应委派代表代行其职 责，并通知承包人。</w:t>
      </w:r>
    </w:p>
    <w:p w14:paraId="7F5822D4">
      <w:pPr>
        <w:pStyle w:val="2"/>
        <w:numPr>
          <w:ilvl w:val="0"/>
          <w:numId w:val="0"/>
        </w:numPr>
        <w:bidi w:val="0"/>
        <w:ind w:left="482" w:leftChars="0"/>
      </w:pPr>
      <w:bookmarkStart w:id="354" w:name="_Toc11573"/>
      <w:bookmarkStart w:id="355" w:name="bookmark987"/>
      <w:bookmarkStart w:id="356" w:name="_Toc14710293"/>
      <w:bookmarkStart w:id="357" w:name="bookmark986"/>
      <w:bookmarkStart w:id="358" w:name="bookmark985"/>
      <w:r>
        <w:t>3.3监理人员</w:t>
      </w:r>
      <w:bookmarkEnd w:id="354"/>
      <w:bookmarkEnd w:id="355"/>
      <w:bookmarkEnd w:id="356"/>
      <w:bookmarkEnd w:id="357"/>
      <w:bookmarkEnd w:id="358"/>
    </w:p>
    <w:p w14:paraId="5FD9F556">
      <w:pPr>
        <w:pStyle w:val="11"/>
      </w:pPr>
      <w:bookmarkStart w:id="359" w:name="bookmark988"/>
      <w:bookmarkEnd w:id="359"/>
      <w: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CB7F8A8">
      <w:pPr>
        <w:pStyle w:val="11"/>
      </w:pPr>
      <w:r>
        <w:t>3.3.2监理人员对承包人的任何工作、工程或其采用的材料和工程设备未在约定的或合理的期限内提出否定意见的，视为已获批准，但不影响监理人在以后拒绝该项工作、工程、材料或工程设备的权利。</w:t>
      </w:r>
    </w:p>
    <w:p w14:paraId="68FC7C44">
      <w:pPr>
        <w:pStyle w:val="11"/>
      </w:pPr>
      <w:r>
        <w:t>3.3.3承包人对总监理工程师授权的监理人员发出的指示有疑问的，可向总监理工程师提出书面异议，总监理工程师应在48小时内对该指示予以确认、更改或撤销。</w:t>
      </w:r>
    </w:p>
    <w:p w14:paraId="57855F89">
      <w:pPr>
        <w:pStyle w:val="11"/>
      </w:pPr>
      <w:bookmarkStart w:id="360" w:name="bookmark989"/>
      <w:bookmarkEnd w:id="360"/>
      <w:r>
        <w:t>3.3.4除专用合同条款另有约定外，总监理工程师不应将第3. 5款约定应由总监理工程师作出确定的权力授权或委托给其他监理人员。</w:t>
      </w:r>
    </w:p>
    <w:p w14:paraId="786D1423">
      <w:pPr>
        <w:pStyle w:val="2"/>
        <w:numPr>
          <w:ilvl w:val="0"/>
          <w:numId w:val="0"/>
        </w:numPr>
        <w:bidi w:val="0"/>
        <w:ind w:left="482" w:leftChars="0"/>
      </w:pPr>
      <w:bookmarkStart w:id="361" w:name="_Toc14710294"/>
      <w:bookmarkStart w:id="362" w:name="bookmark990"/>
      <w:bookmarkStart w:id="363" w:name="bookmark991"/>
      <w:bookmarkStart w:id="364" w:name="_Toc29343"/>
      <w:bookmarkStart w:id="365" w:name="bookmark992"/>
      <w:r>
        <w:t>3.4监理人的指示</w:t>
      </w:r>
      <w:bookmarkEnd w:id="361"/>
      <w:bookmarkEnd w:id="362"/>
      <w:bookmarkEnd w:id="363"/>
      <w:bookmarkEnd w:id="364"/>
      <w:bookmarkEnd w:id="365"/>
    </w:p>
    <w:p w14:paraId="3993CD44">
      <w:pPr>
        <w:pStyle w:val="11"/>
      </w:pPr>
      <w:r>
        <w:t>3.4. 1监理人应按第3. 1款的约定向承包人发出指示，监理人的指示应盖有监理人授权的施工场地机构章，并由总监理工程师或总监理工程师按第3. 3. 1项约定授权的监理人员签字。</w:t>
      </w:r>
    </w:p>
    <w:p w14:paraId="592F4156">
      <w:pPr>
        <w:pStyle w:val="11"/>
      </w:pPr>
      <w:r>
        <w:t>3.4.2承包人收到监理人按第3. 4.1项作出的指示后应遵照执行。指示构成变更的，应按第15条处理。</w:t>
      </w:r>
    </w:p>
    <w:p w14:paraId="10E96D02">
      <w:pPr>
        <w:pStyle w:val="11"/>
      </w:pPr>
      <w:r>
        <w:t>3.4.3在紧急情况下，总监理工程师或被授权的监理人员可以当场签发临时书面指示，承包人应遵照执行。承包人应在收到上述临时书面指示后24小时内，向监理人发出书 面确认函。监理人在收到书面确认函后24小时内未予答复的，该书面确认函应被视为监理人的正式指示。</w:t>
      </w:r>
    </w:p>
    <w:p w14:paraId="2193E792">
      <w:pPr>
        <w:pStyle w:val="11"/>
      </w:pPr>
      <w:r>
        <w:t>3.4.4除合同另有约定外，承包人只从总监理工程师或按第3. 3. 1项被授权的监理人员处取得指示。</w:t>
      </w:r>
    </w:p>
    <w:p w14:paraId="12BF7EEC">
      <w:pPr>
        <w:pStyle w:val="11"/>
      </w:pPr>
      <w:r>
        <w:t>3.4.5由于监理人未能按合同约定发出指示、指示延误或指示错误而导致承包人费用增加和（或）工期延误的，由发包人承担赔偿责任。</w:t>
      </w:r>
    </w:p>
    <w:p w14:paraId="67329D61">
      <w:pPr>
        <w:pStyle w:val="2"/>
        <w:numPr>
          <w:ilvl w:val="0"/>
          <w:numId w:val="0"/>
        </w:numPr>
        <w:bidi w:val="0"/>
        <w:ind w:left="482" w:leftChars="0"/>
      </w:pPr>
      <w:bookmarkStart w:id="366" w:name="bookmark993"/>
      <w:bookmarkStart w:id="367" w:name="bookmark994"/>
      <w:bookmarkStart w:id="368" w:name="bookmark995"/>
      <w:bookmarkStart w:id="369" w:name="_Toc14710295"/>
      <w:bookmarkStart w:id="370" w:name="_Toc15164"/>
      <w:r>
        <w:t>3.5商定或确定</w:t>
      </w:r>
      <w:bookmarkEnd w:id="366"/>
      <w:bookmarkEnd w:id="367"/>
      <w:bookmarkEnd w:id="368"/>
      <w:bookmarkEnd w:id="369"/>
      <w:bookmarkEnd w:id="370"/>
    </w:p>
    <w:p w14:paraId="3D35DB33">
      <w:pPr>
        <w:pStyle w:val="11"/>
      </w:pPr>
      <w:r>
        <w:t>3.5.1合同约定总监理工程师应按照本款对任何事项进行商定或确定时，总监理工程师应与合同当事人协商，尽量达成一致。不能达成一致的，总监理工程师应认真研究后审慎确定。</w:t>
      </w:r>
    </w:p>
    <w:p w14:paraId="132EFAC1">
      <w:pPr>
        <w:pStyle w:val="11"/>
      </w:pPr>
      <w: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 改后的结果执行。</w:t>
      </w:r>
    </w:p>
    <w:p w14:paraId="595A9846">
      <w:pPr>
        <w:pStyle w:val="2"/>
        <w:numPr>
          <w:ilvl w:val="0"/>
          <w:numId w:val="0"/>
        </w:numPr>
        <w:bidi w:val="0"/>
        <w:ind w:left="482" w:leftChars="0"/>
      </w:pPr>
      <w:bookmarkStart w:id="371" w:name="bookmark998"/>
      <w:bookmarkStart w:id="372" w:name="bookmark997"/>
      <w:bookmarkStart w:id="373" w:name="bookmark996"/>
      <w:bookmarkStart w:id="374" w:name="_Toc13765"/>
      <w:bookmarkStart w:id="375" w:name="_Toc14710296"/>
      <w:r>
        <w:t>4.承包人</w:t>
      </w:r>
      <w:bookmarkEnd w:id="371"/>
      <w:bookmarkEnd w:id="372"/>
      <w:bookmarkEnd w:id="373"/>
      <w:bookmarkEnd w:id="374"/>
      <w:bookmarkEnd w:id="375"/>
    </w:p>
    <w:p w14:paraId="196CCFAF">
      <w:pPr>
        <w:pStyle w:val="2"/>
        <w:numPr>
          <w:ilvl w:val="0"/>
          <w:numId w:val="0"/>
        </w:numPr>
        <w:bidi w:val="0"/>
        <w:ind w:left="482" w:leftChars="0"/>
      </w:pPr>
      <w:bookmarkStart w:id="376" w:name="_Toc11324"/>
      <w:bookmarkStart w:id="377" w:name="_Toc14710297"/>
      <w:bookmarkStart w:id="378" w:name="bookmark1000"/>
      <w:bookmarkStart w:id="379" w:name="bookmark999"/>
      <w:bookmarkStart w:id="380" w:name="bookmark1001"/>
      <w:r>
        <w:t>4.1承包人的一般义务</w:t>
      </w:r>
      <w:bookmarkEnd w:id="376"/>
      <w:bookmarkEnd w:id="377"/>
      <w:bookmarkEnd w:id="378"/>
      <w:bookmarkEnd w:id="379"/>
      <w:bookmarkEnd w:id="380"/>
    </w:p>
    <w:p w14:paraId="599B166E">
      <w:pPr>
        <w:pStyle w:val="2"/>
        <w:numPr>
          <w:ilvl w:val="0"/>
          <w:numId w:val="0"/>
        </w:numPr>
        <w:bidi w:val="0"/>
        <w:ind w:left="482" w:leftChars="0"/>
      </w:pPr>
      <w:r>
        <w:t>4.1.1遵守法律</w:t>
      </w:r>
    </w:p>
    <w:p w14:paraId="62B43B65">
      <w:pPr>
        <w:pStyle w:val="11"/>
      </w:pPr>
      <w:r>
        <w:t>承包人在履行合同过程中应遵守法律，并保证发包人免于承担因承包人违反法律而引起的任何责任。</w:t>
      </w:r>
    </w:p>
    <w:p w14:paraId="17038348">
      <w:pPr>
        <w:pStyle w:val="2"/>
        <w:numPr>
          <w:ilvl w:val="0"/>
          <w:numId w:val="0"/>
        </w:numPr>
        <w:bidi w:val="0"/>
        <w:ind w:left="482" w:leftChars="0"/>
      </w:pPr>
      <w:bookmarkStart w:id="381" w:name="bookmark1002"/>
      <w:bookmarkEnd w:id="381"/>
      <w:r>
        <w:t>4.1.2依法纳税</w:t>
      </w:r>
    </w:p>
    <w:p w14:paraId="65632A18">
      <w:pPr>
        <w:pStyle w:val="11"/>
      </w:pPr>
      <w:r>
        <w:t>承包人应按有关法律规定纳税，应缴纳的税金包括在合同价格内。</w:t>
      </w:r>
    </w:p>
    <w:p w14:paraId="0626ACAE">
      <w:pPr>
        <w:pStyle w:val="2"/>
        <w:numPr>
          <w:ilvl w:val="0"/>
          <w:numId w:val="0"/>
        </w:numPr>
        <w:bidi w:val="0"/>
        <w:ind w:left="482" w:leftChars="0"/>
      </w:pPr>
      <w:r>
        <w:t>4.1.3完成各项承包工作</w:t>
      </w:r>
    </w:p>
    <w:p w14:paraId="0084A6DB">
      <w:pPr>
        <w:pStyle w:val="11"/>
      </w:pPr>
      <w:r>
        <w:t>承包人应按合同约定以及监理人根据第3.4款作出的指示，实施、完成全部工程，并修补工程中的任何缺陷。除第5. 2款、第6. 2款另有约定外，承包人应提供为完成合同工作所需的劳务、材料、施工设备、工程设备和其它物品，并按合同约定负责临时设施的设计、建造、运行、维护、管理和拆除。</w:t>
      </w:r>
    </w:p>
    <w:p w14:paraId="71F92DB2">
      <w:pPr>
        <w:pStyle w:val="2"/>
        <w:numPr>
          <w:ilvl w:val="0"/>
          <w:numId w:val="0"/>
        </w:numPr>
        <w:bidi w:val="0"/>
        <w:ind w:left="482" w:leftChars="0"/>
      </w:pPr>
      <w:r>
        <w:t>4.1.4对施工作业和施工方法的完备性负责</w:t>
      </w:r>
    </w:p>
    <w:p w14:paraId="565D2D87">
      <w:pPr>
        <w:pStyle w:val="11"/>
      </w:pPr>
      <w:r>
        <w:t>承包人应按合同约定的工作内容和施工进度要求，编制施工组织设计和施工措施计划，并对所有施工作业和施工方法的完备性和安全可靠性负责。</w:t>
      </w:r>
    </w:p>
    <w:p w14:paraId="311F1ECC">
      <w:pPr>
        <w:pStyle w:val="2"/>
        <w:numPr>
          <w:ilvl w:val="0"/>
          <w:numId w:val="0"/>
        </w:numPr>
        <w:bidi w:val="0"/>
        <w:ind w:left="482" w:leftChars="0"/>
      </w:pPr>
      <w:r>
        <w:t>4.1.5保证工程施工和人员的安全</w:t>
      </w:r>
    </w:p>
    <w:p w14:paraId="72FCD894">
      <w:pPr>
        <w:pStyle w:val="11"/>
      </w:pPr>
      <w:r>
        <w:t>承包人应按第9. 2款约定采取施工安全措施，确保工程及其人员、材料、设备和设施的安全，防止因工程施工造成的人身伤害和财产损失。</w:t>
      </w:r>
    </w:p>
    <w:p w14:paraId="24912FDC">
      <w:pPr>
        <w:pStyle w:val="2"/>
        <w:numPr>
          <w:ilvl w:val="0"/>
          <w:numId w:val="0"/>
        </w:numPr>
        <w:bidi w:val="0"/>
        <w:ind w:left="482" w:leftChars="0"/>
      </w:pPr>
      <w:bookmarkStart w:id="382" w:name="bookmark1003"/>
      <w:bookmarkEnd w:id="382"/>
      <w:r>
        <w:t>4.1.6负责施工场地及其周边环境与生态的保护工作</w:t>
      </w:r>
    </w:p>
    <w:p w14:paraId="350FC7DA">
      <w:pPr>
        <w:pStyle w:val="11"/>
      </w:pPr>
      <w:r>
        <w:t>承包人应按照第9.4款约定负责施工场地及其周边环境与生态的保护工作。</w:t>
      </w:r>
    </w:p>
    <w:p w14:paraId="2580032B">
      <w:pPr>
        <w:pStyle w:val="2"/>
        <w:numPr>
          <w:ilvl w:val="0"/>
          <w:numId w:val="0"/>
        </w:numPr>
        <w:bidi w:val="0"/>
        <w:ind w:left="482" w:leftChars="0"/>
      </w:pPr>
      <w:r>
        <w:t>4.1.7避免施工对公众与他人的利益造成损害</w:t>
      </w:r>
    </w:p>
    <w:p w14:paraId="14786004">
      <w:pPr>
        <w:pStyle w:val="11"/>
      </w:pPr>
      <w: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A9D168B">
      <w:pPr>
        <w:pStyle w:val="2"/>
        <w:numPr>
          <w:ilvl w:val="0"/>
          <w:numId w:val="0"/>
        </w:numPr>
        <w:bidi w:val="0"/>
        <w:ind w:left="482" w:leftChars="0"/>
      </w:pPr>
      <w:r>
        <w:t>4.1.8为他人提供方便</w:t>
      </w:r>
    </w:p>
    <w:p w14:paraId="6CDC6EAC">
      <w:pPr>
        <w:pStyle w:val="11"/>
      </w:pPr>
      <w:r>
        <w:t>承包人应按监理人的指示为他人在施工场地或附近实施与工程有关的其他各项工作提供可能的条件。除合同另有约定外，提供有关条件的内容和可能发生的费用，由监理人按 第3. 5款商定或确定。</w:t>
      </w:r>
    </w:p>
    <w:p w14:paraId="34418658">
      <w:pPr>
        <w:pStyle w:val="2"/>
        <w:numPr>
          <w:ilvl w:val="0"/>
          <w:numId w:val="0"/>
        </w:numPr>
        <w:bidi w:val="0"/>
        <w:ind w:left="482" w:leftChars="0"/>
      </w:pPr>
      <w:r>
        <w:t>4.1.9工程的维护和照管</w:t>
      </w:r>
    </w:p>
    <w:p w14:paraId="139BC37A">
      <w:pPr>
        <w:pStyle w:val="11"/>
      </w:pPr>
      <w: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71F4D84">
      <w:pPr>
        <w:pStyle w:val="2"/>
        <w:numPr>
          <w:ilvl w:val="0"/>
          <w:numId w:val="0"/>
        </w:numPr>
        <w:bidi w:val="0"/>
        <w:ind w:left="482" w:leftChars="0"/>
      </w:pPr>
      <w:r>
        <w:t>4.1.10其它义务</w:t>
      </w:r>
    </w:p>
    <w:p w14:paraId="4517C276">
      <w:pPr>
        <w:pStyle w:val="11"/>
      </w:pPr>
      <w:r>
        <w:t>其它义务在专用合同条款中补充约定。</w:t>
      </w:r>
    </w:p>
    <w:p w14:paraId="411F86AF">
      <w:pPr>
        <w:pStyle w:val="2"/>
        <w:numPr>
          <w:ilvl w:val="0"/>
          <w:numId w:val="0"/>
        </w:numPr>
        <w:bidi w:val="0"/>
        <w:ind w:left="482" w:leftChars="0"/>
      </w:pPr>
      <w:bookmarkStart w:id="383" w:name="bookmark1006"/>
      <w:bookmarkStart w:id="384" w:name="bookmark1005"/>
      <w:bookmarkStart w:id="385" w:name="bookmark1004"/>
      <w:bookmarkStart w:id="386" w:name="_Toc14710298"/>
      <w:bookmarkStart w:id="387" w:name="_Toc11535"/>
      <w:r>
        <w:t>4.2履约担保</w:t>
      </w:r>
      <w:bookmarkEnd w:id="383"/>
      <w:bookmarkEnd w:id="384"/>
      <w:bookmarkEnd w:id="385"/>
      <w:bookmarkEnd w:id="386"/>
      <w:bookmarkEnd w:id="387"/>
    </w:p>
    <w:p w14:paraId="38796292">
      <w:pPr>
        <w:pStyle w:val="11"/>
      </w:pPr>
      <w:r>
        <w:t>承包人应保证其履约担保在发包人颁发合同工程完工证书前一直有效。发包人应在合同工程完工证书颁发后28天内将履约担保退还给承包人。</w:t>
      </w:r>
    </w:p>
    <w:p w14:paraId="34D535DA">
      <w:pPr>
        <w:pStyle w:val="2"/>
        <w:numPr>
          <w:ilvl w:val="0"/>
          <w:numId w:val="0"/>
        </w:numPr>
        <w:bidi w:val="0"/>
        <w:ind w:left="482" w:leftChars="0"/>
      </w:pPr>
      <w:bookmarkStart w:id="388" w:name="_Toc31393"/>
      <w:bookmarkStart w:id="389" w:name="bookmark1009"/>
      <w:bookmarkStart w:id="390" w:name="bookmark1007"/>
      <w:bookmarkStart w:id="391" w:name="bookmark1008"/>
      <w:bookmarkStart w:id="392" w:name="_Toc14710299"/>
      <w:r>
        <w:t>4.3分包</w:t>
      </w:r>
      <w:bookmarkEnd w:id="388"/>
      <w:bookmarkEnd w:id="389"/>
      <w:bookmarkEnd w:id="390"/>
      <w:bookmarkEnd w:id="391"/>
      <w:bookmarkEnd w:id="392"/>
    </w:p>
    <w:p w14:paraId="4D24DBAF">
      <w:pPr>
        <w:pStyle w:val="11"/>
      </w:pPr>
      <w:r>
        <w:t>4.3.1承包人不得将其承包的全部工程转包给第三人，或将其承包的全部工程肢解后以分包的名义转包给第三人。</w:t>
      </w:r>
    </w:p>
    <w:p w14:paraId="74017A71">
      <w:pPr>
        <w:pStyle w:val="11"/>
      </w:pPr>
      <w:r>
        <w:t>4.3.2承包人不得将工程主体、关键性工作分包给第三人。除专用合同条款另有约定外，未经发包人同意，承包人不得将工程的其他部分或工作分包给第三人。</w:t>
      </w:r>
    </w:p>
    <w:p w14:paraId="7E7FF656">
      <w:pPr>
        <w:pStyle w:val="11"/>
      </w:pPr>
      <w:r>
        <w:t>4.3.3分包人的资格能力应与其分包工程的标准和规模相适应。</w:t>
      </w:r>
    </w:p>
    <w:p w14:paraId="573991FC">
      <w:pPr>
        <w:pStyle w:val="11"/>
      </w:pPr>
      <w:r>
        <w:t>4.3.4按投标函附录约定分包工程的，承包人应向发包人和监理人提交分包合同 副本。</w:t>
      </w:r>
    </w:p>
    <w:p w14:paraId="576EF487">
      <w:pPr>
        <w:pStyle w:val="11"/>
      </w:pPr>
      <w:r>
        <w:t>4.3.5承包人应与分包人就分包工程向发包人承担连带责任。</w:t>
      </w:r>
    </w:p>
    <w:p w14:paraId="190B3AE1">
      <w:pPr>
        <w:pStyle w:val="11"/>
      </w:pPr>
      <w: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25E32165">
      <w:pPr>
        <w:pStyle w:val="11"/>
      </w:pPr>
      <w:r>
        <w:t>4.3.7在合同实施过程中，如承包人无力在合同规定的期限内完成合同中的应急防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425C817">
      <w:pPr>
        <w:pStyle w:val="11"/>
      </w:pPr>
      <w: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2952DC3">
      <w:pPr>
        <w:pStyle w:val="11"/>
      </w:pPr>
      <w:r>
        <w:t>4.3.9除第4. 3. 7项规定的指定分包外，承包人对其分包项目的实施以及分包人的行为向发包人负全部责任。承包人应对分包项目的工程进度、质量、安全、计量和验收等实施监督和管理。</w:t>
      </w:r>
    </w:p>
    <w:p w14:paraId="3025E768">
      <w:pPr>
        <w:pStyle w:val="11"/>
      </w:pPr>
      <w:bookmarkStart w:id="393" w:name="bookmark1010"/>
      <w:bookmarkEnd w:id="393"/>
      <w:r>
        <w:t>4.3.10分包人应按专用合同条款的约定设立项目管理机构组织管理分包工程的施工 活动。</w:t>
      </w:r>
    </w:p>
    <w:p w14:paraId="36988DC9">
      <w:pPr>
        <w:pStyle w:val="2"/>
        <w:numPr>
          <w:ilvl w:val="0"/>
          <w:numId w:val="0"/>
        </w:numPr>
        <w:bidi w:val="0"/>
        <w:ind w:left="482" w:leftChars="0"/>
      </w:pPr>
      <w:bookmarkStart w:id="394" w:name="bookmark1011"/>
      <w:bookmarkStart w:id="395" w:name="bookmark1012"/>
      <w:bookmarkStart w:id="396" w:name="_Toc14710300"/>
      <w:bookmarkStart w:id="397" w:name="bookmark1013"/>
      <w:bookmarkStart w:id="398" w:name="_Toc27582"/>
      <w:r>
        <w:t>4.4联合体</w:t>
      </w:r>
      <w:bookmarkEnd w:id="394"/>
      <w:bookmarkEnd w:id="395"/>
      <w:bookmarkEnd w:id="396"/>
      <w:bookmarkEnd w:id="397"/>
      <w:bookmarkEnd w:id="398"/>
    </w:p>
    <w:p w14:paraId="1A35C2A3">
      <w:pPr>
        <w:pStyle w:val="11"/>
      </w:pPr>
      <w:bookmarkStart w:id="399" w:name="bookmark1014"/>
      <w:bookmarkEnd w:id="399"/>
      <w:r>
        <w:rPr>
          <w:rFonts w:hint="eastAsia"/>
          <w:b w:val="0"/>
          <w:i w:val="0"/>
          <w:strike w:val="0"/>
          <w:color w:val="000000"/>
          <w:u w:val="none"/>
          <w:lang w:val="en-US" w:eastAsia="zh-CN"/>
        </w:rPr>
        <w:t>4</w:t>
      </w:r>
      <w:r>
        <w:rPr>
          <w:b w:val="0"/>
          <w:i w:val="0"/>
          <w:strike w:val="0"/>
          <w:color w:val="000000"/>
          <w:u w:val="none"/>
        </w:rPr>
        <w:t>.</w:t>
      </w:r>
      <w:r>
        <w:t>4.1联合体各方应共同与发包人签订合同协议书。联合体各方应为履行合同承担连带责任。</w:t>
      </w:r>
    </w:p>
    <w:p w14:paraId="5F0B0523">
      <w:pPr>
        <w:pStyle w:val="11"/>
      </w:pPr>
      <w:r>
        <w:t>4. 4.2联合体协议经发包人确认后作为合同附件。在履行合同过程中，未经发包人同意，不得修改联合体协议。</w:t>
      </w:r>
    </w:p>
    <w:p w14:paraId="7747D9B3">
      <w:pPr>
        <w:pStyle w:val="11"/>
      </w:pPr>
      <w:r>
        <w:t>4.4.3联合体牵头人负责与发包人和监理人联系，并接受指示，负责组织联合体各成员全面履行合同。</w:t>
      </w:r>
    </w:p>
    <w:p w14:paraId="6E4C9198">
      <w:pPr>
        <w:pStyle w:val="2"/>
        <w:numPr>
          <w:ilvl w:val="0"/>
          <w:numId w:val="0"/>
        </w:numPr>
        <w:bidi w:val="0"/>
        <w:ind w:left="482" w:leftChars="0"/>
      </w:pPr>
      <w:bookmarkStart w:id="400" w:name="bookmark1017"/>
      <w:bookmarkStart w:id="401" w:name="_Toc14710301"/>
      <w:bookmarkStart w:id="402" w:name="bookmark1016"/>
      <w:bookmarkStart w:id="403" w:name="bookmark1015"/>
      <w:bookmarkStart w:id="404" w:name="_Toc27934"/>
      <w:r>
        <w:t>4.5承包人项目经理</w:t>
      </w:r>
      <w:bookmarkEnd w:id="400"/>
      <w:bookmarkEnd w:id="401"/>
      <w:bookmarkEnd w:id="402"/>
      <w:bookmarkEnd w:id="403"/>
      <w:bookmarkEnd w:id="404"/>
    </w:p>
    <w:p w14:paraId="0CCA4A66">
      <w:pPr>
        <w:pStyle w:val="11"/>
      </w:pPr>
      <w:r>
        <w:t>4. 5.1承包人应按合同约定指派项目经理，并在约定的期限内到职。承包人更换项目经理应事先征得发包人同意，并应在更换14天前通知发包人和监理人。承包人项目经理短 期离开施工场地，应事先征得监理人同意，并委派代表代行其职责。</w:t>
      </w:r>
    </w:p>
    <w:p w14:paraId="0477FEC8">
      <w:pPr>
        <w:pStyle w:val="11"/>
      </w:pPr>
      <w:r>
        <w:t>4. 5.2承包人项目经理应按合同约定以及监理人按第3. 4款作出的指示，负责组织合同工程的实施。在情况紧急且无法与监理人取得联系时，可采取保证工程和人员生命财产 安全的紧急措施，并在采取措施后24小时内向监理人提交书面报告。</w:t>
      </w:r>
    </w:p>
    <w:p w14:paraId="7CA06E8D">
      <w:pPr>
        <w:pStyle w:val="11"/>
      </w:pPr>
      <w:r>
        <w:t>4. 5. 3承包人为履行合同发出的一切函件均应盖有承包人授权的施工场地管理机构章，并由承包人项目经理或其授权代表签字。</w:t>
      </w:r>
    </w:p>
    <w:p w14:paraId="2EFEC903">
      <w:pPr>
        <w:pStyle w:val="11"/>
      </w:pPr>
      <w:r>
        <w:t>4. 5.4承包人项目经理可以授权其下属人员履行其某项职责，但事先应将这些人员的姓名和授权范围通知监理人。</w:t>
      </w:r>
    </w:p>
    <w:p w14:paraId="131FDC57">
      <w:pPr>
        <w:pStyle w:val="2"/>
        <w:numPr>
          <w:ilvl w:val="0"/>
          <w:numId w:val="0"/>
        </w:numPr>
        <w:bidi w:val="0"/>
        <w:ind w:left="482" w:leftChars="0"/>
      </w:pPr>
      <w:bookmarkStart w:id="405" w:name="bookmark1019"/>
      <w:bookmarkStart w:id="406" w:name="bookmark1020"/>
      <w:bookmarkStart w:id="407" w:name="_Toc14710302"/>
      <w:bookmarkStart w:id="408" w:name="bookmark1018"/>
      <w:bookmarkStart w:id="409" w:name="_Toc1095"/>
      <w:r>
        <w:t>4.6承包人人员的管理</w:t>
      </w:r>
      <w:bookmarkEnd w:id="405"/>
      <w:bookmarkEnd w:id="406"/>
      <w:bookmarkEnd w:id="407"/>
      <w:bookmarkEnd w:id="408"/>
      <w:bookmarkEnd w:id="409"/>
    </w:p>
    <w:p w14:paraId="0781B298">
      <w:pPr>
        <w:pStyle w:val="11"/>
      </w:pPr>
      <w:r>
        <w:t>4. 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256A96F">
      <w:pPr>
        <w:pStyle w:val="11"/>
      </w:pPr>
      <w:r>
        <w:t>4. 6.2为完成合同约定的各项工作，承包人应向施工场地派遣或雇佣足够数量的下列 人员：</w:t>
      </w:r>
    </w:p>
    <w:p w14:paraId="3F663D56">
      <w:pPr>
        <w:pStyle w:val="11"/>
      </w:pPr>
      <w:bookmarkStart w:id="410" w:name="bookmark1021"/>
      <w:bookmarkEnd w:id="410"/>
      <w:r>
        <w:rPr>
          <w:b w:val="0"/>
          <w:i w:val="0"/>
          <w:strike w:val="0"/>
          <w:color w:val="000000"/>
          <w:u w:val="none"/>
        </w:rPr>
        <w:t>(1)</w:t>
      </w:r>
      <w:r>
        <w:t>具有相应资格的专业技工和合格的普工；</w:t>
      </w:r>
    </w:p>
    <w:p w14:paraId="5D41583C">
      <w:pPr>
        <w:pStyle w:val="11"/>
      </w:pPr>
      <w:bookmarkStart w:id="411" w:name="bookmark1022"/>
      <w:bookmarkEnd w:id="411"/>
      <w:r>
        <w:rPr>
          <w:b w:val="0"/>
          <w:i w:val="0"/>
          <w:strike w:val="0"/>
          <w:color w:val="000000"/>
          <w:u w:val="none"/>
        </w:rPr>
        <w:t>(2)</w:t>
      </w:r>
      <w:r>
        <w:t>具有相应施工经验的技术人员；</w:t>
      </w:r>
    </w:p>
    <w:p w14:paraId="1E12AEA1">
      <w:pPr>
        <w:pStyle w:val="11"/>
      </w:pPr>
      <w:bookmarkStart w:id="412" w:name="bookmark1023"/>
      <w:bookmarkEnd w:id="412"/>
      <w:r>
        <w:rPr>
          <w:b w:val="0"/>
          <w:i w:val="0"/>
          <w:strike w:val="0"/>
          <w:color w:val="000000"/>
          <w:u w:val="none"/>
        </w:rPr>
        <w:t>(3)</w:t>
      </w:r>
      <w:r>
        <w:t>具有相应岗位资格的各级管理人员。</w:t>
      </w:r>
    </w:p>
    <w:p w14:paraId="16E35949">
      <w:pPr>
        <w:pStyle w:val="11"/>
      </w:pPr>
      <w:r>
        <w:t>4.6.3承包人安排在施工场地的主要管理人员和技术骨干应相对稳定。承包人更换主要管理人员和技术骨干时，应取得监理人的同意。</w:t>
      </w:r>
    </w:p>
    <w:p w14:paraId="1E51B660">
      <w:pPr>
        <w:pStyle w:val="11"/>
      </w:pPr>
      <w:r>
        <w:t>4. 6.4特殊岗位的工作人员均应持有相应的资格证明，监理人有权随时检查。监理人认为有必要时，可进行现场考核。</w:t>
      </w:r>
    </w:p>
    <w:p w14:paraId="61D3A166">
      <w:pPr>
        <w:pStyle w:val="2"/>
        <w:numPr>
          <w:ilvl w:val="0"/>
          <w:numId w:val="0"/>
        </w:numPr>
        <w:bidi w:val="0"/>
        <w:ind w:left="482" w:leftChars="0"/>
      </w:pPr>
      <w:bookmarkStart w:id="413" w:name="bookmark1025"/>
      <w:bookmarkStart w:id="414" w:name="bookmark1026"/>
      <w:bookmarkStart w:id="415" w:name="_Toc14710303"/>
      <w:bookmarkStart w:id="416" w:name="_Toc24736"/>
      <w:bookmarkStart w:id="417" w:name="bookmark1024"/>
      <w:r>
        <w:t>4.7撤换承包人项目经理和其他人员</w:t>
      </w:r>
      <w:bookmarkEnd w:id="413"/>
      <w:bookmarkEnd w:id="414"/>
      <w:bookmarkEnd w:id="415"/>
      <w:bookmarkEnd w:id="416"/>
      <w:bookmarkEnd w:id="417"/>
    </w:p>
    <w:p w14:paraId="58EE6E21">
      <w:pPr>
        <w:pStyle w:val="11"/>
      </w:pPr>
      <w:r>
        <w:t>承包人应对其项目经理和其他人员进行有效管理。监理人要求撤换不能胜任本职工作、 行为不端或玩忽职守的承包人项目经理和其他人员的，承包人应予以撤换。</w:t>
      </w:r>
    </w:p>
    <w:p w14:paraId="299EDCAE">
      <w:pPr>
        <w:pStyle w:val="2"/>
        <w:numPr>
          <w:ilvl w:val="0"/>
          <w:numId w:val="0"/>
        </w:numPr>
        <w:bidi w:val="0"/>
        <w:ind w:left="482" w:leftChars="0"/>
      </w:pPr>
      <w:bookmarkStart w:id="418" w:name="bookmark1029"/>
      <w:bookmarkStart w:id="419" w:name="bookmark1027"/>
      <w:bookmarkStart w:id="420" w:name="_Toc19207"/>
      <w:bookmarkStart w:id="421" w:name="_Toc14710304"/>
      <w:bookmarkStart w:id="422" w:name="bookmark1028"/>
      <w:r>
        <w:t>4.8保障承包人人员的合法权益</w:t>
      </w:r>
      <w:bookmarkEnd w:id="418"/>
      <w:bookmarkEnd w:id="419"/>
      <w:bookmarkEnd w:id="420"/>
      <w:bookmarkEnd w:id="421"/>
      <w:bookmarkEnd w:id="422"/>
    </w:p>
    <w:p w14:paraId="23905326">
      <w:pPr>
        <w:pStyle w:val="11"/>
      </w:pPr>
      <w:r>
        <w:t>4. 8. 1承包人应与其雇佣的人员签订劳动合同，并按时发放工资。</w:t>
      </w:r>
    </w:p>
    <w:p w14:paraId="3E7111D3">
      <w:pPr>
        <w:pStyle w:val="11"/>
      </w:pPr>
      <w:r>
        <w:t>4. 8. 2承包人应按劳动法的规定安排工作时间，保证其雇佣人员享有休息和休假的权利。因工程施工的特殊需要占用休假日或延长工作时间的，应不超过法律规定的限度，并按法律规定给予补休或付酬。</w:t>
      </w:r>
    </w:p>
    <w:p w14:paraId="64D52417">
      <w:pPr>
        <w:pStyle w:val="11"/>
      </w:pPr>
      <w:r>
        <w:t>4.8.3承包人应为其雇佣人员提供必要的食宿条件，以及符合环境保护和卫生要求的生活环境，在远离城镇的施工场地，还应配备必要的伤病防治和急救的医务人员与医疗设施。</w:t>
      </w:r>
    </w:p>
    <w:p w14:paraId="663EFC8F">
      <w:pPr>
        <w:pStyle w:val="11"/>
      </w:pPr>
      <w:r>
        <w:t>4. 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AD5EE51">
      <w:pPr>
        <w:pStyle w:val="11"/>
      </w:pPr>
      <w:r>
        <w:t>4. 8.5承包人应按有关法律规定和合同约定，为其雇佣人员办理保险。</w:t>
      </w:r>
    </w:p>
    <w:p w14:paraId="75B29C30">
      <w:pPr>
        <w:pStyle w:val="11"/>
      </w:pPr>
      <w:r>
        <w:t>4. 8.6承包人应负责处理其雇佣人员因工伤亡事故的善后事宜。</w:t>
      </w:r>
    </w:p>
    <w:p w14:paraId="1C1490D1">
      <w:pPr>
        <w:pStyle w:val="2"/>
        <w:numPr>
          <w:ilvl w:val="0"/>
          <w:numId w:val="0"/>
        </w:numPr>
        <w:bidi w:val="0"/>
        <w:ind w:left="482" w:leftChars="0"/>
      </w:pPr>
      <w:bookmarkStart w:id="423" w:name="bookmark1030"/>
      <w:bookmarkStart w:id="424" w:name="bookmark1032"/>
      <w:bookmarkStart w:id="425" w:name="_Toc7851"/>
      <w:bookmarkStart w:id="426" w:name="_Toc14710305"/>
      <w:bookmarkStart w:id="427" w:name="bookmark1031"/>
      <w:r>
        <w:t>4.9工程价款应专款专用</w:t>
      </w:r>
      <w:bookmarkEnd w:id="423"/>
      <w:bookmarkEnd w:id="424"/>
      <w:bookmarkEnd w:id="425"/>
      <w:bookmarkEnd w:id="426"/>
      <w:bookmarkEnd w:id="427"/>
    </w:p>
    <w:p w14:paraId="0363FBF9">
      <w:pPr>
        <w:pStyle w:val="11"/>
      </w:pPr>
      <w:r>
        <w:t>发包人按合同约定支付给承包人的各项价款应专用于合同工程。</w:t>
      </w:r>
    </w:p>
    <w:p w14:paraId="593E9903">
      <w:pPr>
        <w:pStyle w:val="2"/>
        <w:numPr>
          <w:ilvl w:val="0"/>
          <w:numId w:val="0"/>
        </w:numPr>
        <w:bidi w:val="0"/>
        <w:ind w:left="482" w:leftChars="0"/>
      </w:pPr>
      <w:bookmarkStart w:id="428" w:name="bookmark1034"/>
      <w:bookmarkStart w:id="429" w:name="bookmark1035"/>
      <w:bookmarkStart w:id="430" w:name="_Toc30630"/>
      <w:bookmarkStart w:id="431" w:name="bookmark1033"/>
      <w:bookmarkStart w:id="432" w:name="_Toc14710306"/>
      <w:r>
        <w:t>4.10承包人现场查勘</w:t>
      </w:r>
      <w:bookmarkEnd w:id="428"/>
      <w:bookmarkEnd w:id="429"/>
      <w:bookmarkEnd w:id="430"/>
      <w:bookmarkEnd w:id="431"/>
      <w:bookmarkEnd w:id="432"/>
    </w:p>
    <w:p w14:paraId="22152D13">
      <w:pPr>
        <w:pStyle w:val="11"/>
      </w:pPr>
      <w:r>
        <w:t>4. 10. 1发包人应将其持有的现场地质勘探资料、水文气象资料提供给承包人，并对其准确性负责。但承包人应对其阅读上述有关资料后所作出的解释和推断负责。</w:t>
      </w:r>
    </w:p>
    <w:p w14:paraId="22433289">
      <w:pPr>
        <w:pStyle w:val="11"/>
      </w:pPr>
      <w:bookmarkStart w:id="433" w:name="bookmark1036"/>
      <w:bookmarkEnd w:id="433"/>
      <w:r>
        <w:t>4. 10. 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62803F0A">
      <w:pPr>
        <w:pStyle w:val="2"/>
        <w:numPr>
          <w:ilvl w:val="0"/>
          <w:numId w:val="0"/>
        </w:numPr>
        <w:bidi w:val="0"/>
        <w:ind w:left="482" w:leftChars="0"/>
      </w:pPr>
      <w:bookmarkStart w:id="434" w:name="bookmark1038"/>
      <w:bookmarkStart w:id="435" w:name="_Toc2993"/>
      <w:bookmarkStart w:id="436" w:name="_Toc14710307"/>
      <w:bookmarkStart w:id="437" w:name="bookmark1039"/>
      <w:bookmarkStart w:id="438" w:name="bookmark1037"/>
      <w:r>
        <w:t>4.11不利物质条件</w:t>
      </w:r>
      <w:bookmarkEnd w:id="434"/>
      <w:bookmarkEnd w:id="435"/>
      <w:bookmarkEnd w:id="436"/>
      <w:bookmarkEnd w:id="437"/>
      <w:bookmarkEnd w:id="438"/>
    </w:p>
    <w:p w14:paraId="345F21ED">
      <w:pPr>
        <w:pStyle w:val="11"/>
      </w:pPr>
      <w:r>
        <w:t>4.11.1除专用合同条款另有约定外，不利的物质条件是指在施工中遭遇不可预见的外界障碍或自然条件造成施工受阻。</w:t>
      </w:r>
    </w:p>
    <w:p w14:paraId="73D6221A">
      <w:pPr>
        <w:pStyle w:val="11"/>
      </w:pPr>
      <w:r>
        <w:t>4.11.2承包人遇到不利物质条件时，应采取适应不利物质条件的合理措施继续施工, 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55D0AD9B">
      <w:pPr>
        <w:pStyle w:val="2"/>
        <w:numPr>
          <w:ilvl w:val="0"/>
          <w:numId w:val="0"/>
        </w:numPr>
        <w:bidi w:val="0"/>
        <w:ind w:left="482" w:leftChars="0"/>
      </w:pPr>
      <w:bookmarkStart w:id="439" w:name="bookmark1042"/>
      <w:bookmarkEnd w:id="439"/>
      <w:bookmarkStart w:id="440" w:name="_Toc14710308"/>
      <w:bookmarkStart w:id="441" w:name="_Toc25230"/>
      <w:bookmarkStart w:id="442" w:name="bookmark1040"/>
      <w:bookmarkStart w:id="443" w:name="bookmark1043"/>
      <w:bookmarkStart w:id="444" w:name="bookmark1041"/>
      <w:r>
        <w:t>5.材料和工程设备</w:t>
      </w:r>
      <w:bookmarkEnd w:id="440"/>
      <w:bookmarkEnd w:id="441"/>
      <w:bookmarkEnd w:id="442"/>
      <w:bookmarkEnd w:id="443"/>
      <w:bookmarkEnd w:id="444"/>
    </w:p>
    <w:p w14:paraId="597E2A80">
      <w:pPr>
        <w:pStyle w:val="2"/>
        <w:numPr>
          <w:ilvl w:val="0"/>
          <w:numId w:val="0"/>
        </w:numPr>
        <w:bidi w:val="0"/>
        <w:ind w:left="482" w:leftChars="0"/>
      </w:pPr>
      <w:bookmarkStart w:id="445" w:name="bookmark1044"/>
      <w:bookmarkStart w:id="446" w:name="_Toc5421"/>
      <w:bookmarkStart w:id="447" w:name="bookmark1045"/>
      <w:bookmarkStart w:id="448" w:name="_Toc14710309"/>
      <w:bookmarkStart w:id="449" w:name="bookmark1046"/>
      <w:r>
        <w:t>5.1承包人提供的材料和工程设备</w:t>
      </w:r>
      <w:bookmarkEnd w:id="445"/>
      <w:bookmarkEnd w:id="446"/>
      <w:bookmarkEnd w:id="447"/>
      <w:bookmarkEnd w:id="448"/>
      <w:bookmarkEnd w:id="449"/>
    </w:p>
    <w:p w14:paraId="1FD79D1B">
      <w:pPr>
        <w:pStyle w:val="11"/>
      </w:pPr>
      <w:bookmarkStart w:id="450" w:name="bookmark1047"/>
      <w:bookmarkEnd w:id="450"/>
      <w:r>
        <w:t>5.1. 1除第5. 2款约定由发包人提供的材料和工程设备外，承包人负责采购、运输和 保管完成本合同工作所需的材料和工程设备。承包人应对其采购的材料和工程设备负责。</w:t>
      </w:r>
    </w:p>
    <w:p w14:paraId="0AC15348">
      <w:pPr>
        <w:pStyle w:val="11"/>
      </w:pPr>
      <w:r>
        <w:t>5.1.2承包人应按专用合同条款的约定，将各项材料和工程设备的供货人及品种、规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703F8D98">
      <w:pPr>
        <w:pStyle w:val="11"/>
      </w:pPr>
      <w:r>
        <w:t>5.1.3对承包人提供的材料和工程设备，承包人应会同监理人进行检验和交货验收,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3730CF10">
      <w:pPr>
        <w:pStyle w:val="2"/>
        <w:numPr>
          <w:ilvl w:val="0"/>
          <w:numId w:val="0"/>
        </w:numPr>
        <w:bidi w:val="0"/>
        <w:ind w:left="482" w:leftChars="0"/>
      </w:pPr>
      <w:bookmarkStart w:id="451" w:name="_Toc14710310"/>
      <w:bookmarkStart w:id="452" w:name="bookmark1048"/>
      <w:bookmarkStart w:id="453" w:name="bookmark1049"/>
      <w:bookmarkStart w:id="454" w:name="_Toc18208"/>
      <w:bookmarkStart w:id="455" w:name="bookmark1050"/>
      <w:r>
        <w:t>5.2发包人提供的材料和工程设备</w:t>
      </w:r>
      <w:bookmarkEnd w:id="451"/>
      <w:bookmarkEnd w:id="452"/>
      <w:bookmarkEnd w:id="453"/>
      <w:bookmarkEnd w:id="454"/>
      <w:bookmarkEnd w:id="455"/>
    </w:p>
    <w:p w14:paraId="3767B53A">
      <w:pPr>
        <w:pStyle w:val="11"/>
      </w:pPr>
      <w:bookmarkStart w:id="456" w:name="bookmark1051"/>
      <w:bookmarkEnd w:id="456"/>
      <w:r>
        <w:t>5. 2.1发包人提供的材料和工程设备，应在专用合同条款中写明材料和工程设备的名称、规格、数量、价格、交货方式、交货地点和计划交货日期等。</w:t>
      </w:r>
    </w:p>
    <w:p w14:paraId="1D1E054E">
      <w:pPr>
        <w:pStyle w:val="11"/>
      </w:pPr>
      <w:r>
        <w:t>5. 2.2承包人应根据合同进度计划的安排，向监理人报送要求发包人交货的日期计划。发包人应按照监理人与合同双方当事人商定的交货日期，向承包人提交材料和工程设备。</w:t>
      </w:r>
    </w:p>
    <w:p w14:paraId="4EF5FE32">
      <w:pPr>
        <w:pStyle w:val="11"/>
      </w:pPr>
      <w: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7B21CDD4">
      <w:pPr>
        <w:pStyle w:val="11"/>
      </w:pPr>
      <w:r>
        <w:t>5. 2.4发包人要求向承包人提前交货的，承包人不得拒绝，但发包人应承担承包人由此增加的费用。</w:t>
      </w:r>
    </w:p>
    <w:p w14:paraId="12CF748D">
      <w:pPr>
        <w:pStyle w:val="11"/>
      </w:pPr>
      <w:r>
        <w:t>5. 2.5承包人要求更改交货日期或地点的，应事先报请监理人批准。由于承包人要求更改交货时间或地点所增加的费用和（或）工期延误由承包人承担。</w:t>
      </w:r>
    </w:p>
    <w:p w14:paraId="07E7AD96">
      <w:pPr>
        <w:pStyle w:val="11"/>
      </w:pPr>
      <w:r>
        <w:t>5. 2.6发包人提供的材料和工程设备的规格、数量或质量不符合合同要求，或由于发包人原因发生交货日期延误及交货地点变更等情况的，发包人应承担由此增加的费用和（或）工期延误，并向承包人支付合理利润。</w:t>
      </w:r>
    </w:p>
    <w:p w14:paraId="199B0DA8">
      <w:pPr>
        <w:pStyle w:val="2"/>
        <w:numPr>
          <w:ilvl w:val="0"/>
          <w:numId w:val="0"/>
        </w:numPr>
        <w:bidi w:val="0"/>
        <w:ind w:left="482" w:leftChars="0"/>
      </w:pPr>
      <w:bookmarkStart w:id="457" w:name="_Toc14710311"/>
      <w:bookmarkStart w:id="458" w:name="bookmark1053"/>
      <w:bookmarkStart w:id="459" w:name="bookmark1054"/>
      <w:bookmarkStart w:id="460" w:name="_Toc17795"/>
      <w:bookmarkStart w:id="461" w:name="bookmark1052"/>
      <w:r>
        <w:t>5.3材料和工程设备专用于合同工程</w:t>
      </w:r>
      <w:bookmarkEnd w:id="457"/>
      <w:bookmarkEnd w:id="458"/>
      <w:bookmarkEnd w:id="459"/>
      <w:bookmarkEnd w:id="460"/>
      <w:bookmarkEnd w:id="461"/>
    </w:p>
    <w:p w14:paraId="70D05981">
      <w:pPr>
        <w:pStyle w:val="11"/>
      </w:pPr>
      <w:r>
        <w:t>5.3.1运入施工场地的材料、工程设备，包括备品备件、安装专用工器具与随机资料，必须专用于合同工程，未经监理人同意，承包人不得运出施工场地或挪作他用。</w:t>
      </w:r>
    </w:p>
    <w:p w14:paraId="1BB82A81">
      <w:pPr>
        <w:pStyle w:val="11"/>
      </w:pPr>
      <w: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369789">
      <w:pPr>
        <w:pStyle w:val="2"/>
        <w:numPr>
          <w:ilvl w:val="0"/>
          <w:numId w:val="0"/>
        </w:numPr>
        <w:bidi w:val="0"/>
        <w:ind w:left="482" w:leftChars="0"/>
      </w:pPr>
      <w:bookmarkStart w:id="462" w:name="bookmark1056"/>
      <w:bookmarkStart w:id="463" w:name="bookmark1055"/>
      <w:bookmarkStart w:id="464" w:name="_Toc14710312"/>
      <w:bookmarkStart w:id="465" w:name="bookmark1057"/>
      <w:bookmarkStart w:id="466" w:name="_Toc30864"/>
      <w:r>
        <w:t>5.4禁止使用不合格的材料和工程设备</w:t>
      </w:r>
      <w:bookmarkEnd w:id="462"/>
      <w:bookmarkEnd w:id="463"/>
      <w:bookmarkEnd w:id="464"/>
      <w:bookmarkEnd w:id="465"/>
      <w:bookmarkEnd w:id="466"/>
    </w:p>
    <w:p w14:paraId="0B590C40">
      <w:pPr>
        <w:pStyle w:val="11"/>
      </w:pPr>
      <w:bookmarkStart w:id="467" w:name="bookmark1058"/>
      <w:bookmarkEnd w:id="467"/>
      <w:r>
        <w:t>5.4.1监理人有权拒绝承包人提供的不合格材料或工程设备，并要求承包人立即进行更换。监理人应在更换后再次进行检查和检验，由此增加的费用和（或）工期延误由承包 人承担。</w:t>
      </w:r>
    </w:p>
    <w:p w14:paraId="174FFB91">
      <w:pPr>
        <w:pStyle w:val="11"/>
      </w:pPr>
      <w:bookmarkStart w:id="468" w:name="bookmark1059"/>
      <w:bookmarkEnd w:id="468"/>
      <w:r>
        <w:t>5.4.2监理人发现承包人使用了不合格的材料和工程设备，应即时发出指示要求承包人立即改正，并禁止在工程中继续使用不合格的材料和工程设备。</w:t>
      </w:r>
    </w:p>
    <w:p w14:paraId="527CC3B2">
      <w:pPr>
        <w:pStyle w:val="11"/>
      </w:pPr>
      <w:r>
        <w:t>5.4.3发包人提供的材料或工程设备不符合合同要求的，承包人有权拒绝，并可要求发包人更换，由此增加的费用和（或）工期延误由发包人承担。</w:t>
      </w:r>
    </w:p>
    <w:p w14:paraId="691F463B">
      <w:pPr>
        <w:pStyle w:val="2"/>
        <w:numPr>
          <w:ilvl w:val="0"/>
          <w:numId w:val="0"/>
        </w:numPr>
        <w:bidi w:val="0"/>
        <w:ind w:left="482" w:leftChars="0"/>
      </w:pPr>
      <w:bookmarkStart w:id="469" w:name="bookmark1062"/>
      <w:bookmarkEnd w:id="469"/>
      <w:bookmarkStart w:id="470" w:name="bookmark1060"/>
      <w:bookmarkStart w:id="471" w:name="_Toc21496"/>
      <w:bookmarkStart w:id="472" w:name="bookmark1061"/>
      <w:bookmarkStart w:id="473" w:name="_Toc14710313"/>
      <w:bookmarkStart w:id="474" w:name="bookmark1063"/>
      <w:r>
        <w:t>6.施工设备和临时设施</w:t>
      </w:r>
      <w:bookmarkEnd w:id="470"/>
      <w:bookmarkEnd w:id="471"/>
      <w:bookmarkEnd w:id="472"/>
      <w:bookmarkEnd w:id="473"/>
      <w:bookmarkEnd w:id="474"/>
    </w:p>
    <w:p w14:paraId="108D4D7B">
      <w:pPr>
        <w:pStyle w:val="2"/>
        <w:numPr>
          <w:ilvl w:val="0"/>
          <w:numId w:val="0"/>
        </w:numPr>
        <w:bidi w:val="0"/>
        <w:ind w:left="482" w:leftChars="0"/>
      </w:pPr>
      <w:bookmarkStart w:id="475" w:name="_Toc9863"/>
      <w:bookmarkStart w:id="476" w:name="bookmark1065"/>
      <w:bookmarkStart w:id="477" w:name="bookmark1066"/>
      <w:bookmarkStart w:id="478" w:name="_Toc14710314"/>
      <w:bookmarkStart w:id="479" w:name="bookmark1064"/>
      <w:r>
        <w:t>6.1承包人提供的施工设备和临时设施</w:t>
      </w:r>
      <w:bookmarkEnd w:id="475"/>
      <w:bookmarkEnd w:id="476"/>
      <w:bookmarkEnd w:id="477"/>
      <w:bookmarkEnd w:id="478"/>
      <w:bookmarkEnd w:id="479"/>
    </w:p>
    <w:p w14:paraId="00315C05">
      <w:pPr>
        <w:pStyle w:val="11"/>
      </w:pPr>
      <w:r>
        <w:t>6.1.1承包人应按合同进度计划的要求，及时配置施工设备和修建临时设施。进入施工场地的承包人设备需经监理人核查后才能投入使用。承包人更换合同约定的承包人设备的，应报监理人批准。</w:t>
      </w:r>
    </w:p>
    <w:p w14:paraId="4C3A7083">
      <w:pPr>
        <w:pStyle w:val="11"/>
      </w:pPr>
      <w:r>
        <w:t>6.1.2除专用合同条款另有约定外，承包人应自行承担修建临时设施的费用，需要临时占地的，应由发包人办理申请手续并承担相应费用。</w:t>
      </w:r>
    </w:p>
    <w:p w14:paraId="735C26E7">
      <w:pPr>
        <w:pStyle w:val="2"/>
        <w:numPr>
          <w:ilvl w:val="0"/>
          <w:numId w:val="0"/>
        </w:numPr>
        <w:bidi w:val="0"/>
        <w:ind w:left="482" w:leftChars="0"/>
      </w:pPr>
      <w:bookmarkStart w:id="480" w:name="_Toc31030"/>
      <w:bookmarkStart w:id="481" w:name="bookmark1067"/>
      <w:bookmarkStart w:id="482" w:name="bookmark1069"/>
      <w:bookmarkStart w:id="483" w:name="bookmark1068"/>
      <w:bookmarkStart w:id="484" w:name="_Toc14710315"/>
      <w:r>
        <w:t>6.2发包人提供的施工设备和临时设施</w:t>
      </w:r>
      <w:bookmarkEnd w:id="480"/>
      <w:bookmarkEnd w:id="481"/>
      <w:bookmarkEnd w:id="482"/>
      <w:bookmarkEnd w:id="483"/>
      <w:bookmarkEnd w:id="484"/>
    </w:p>
    <w:p w14:paraId="2BA458A9">
      <w:pPr>
        <w:pStyle w:val="11"/>
      </w:pPr>
      <w:r>
        <w:t>发包人提供的施工设备或临时设施在专用合同条款中约定。</w:t>
      </w:r>
    </w:p>
    <w:p w14:paraId="6EFA9811">
      <w:pPr>
        <w:pStyle w:val="2"/>
        <w:numPr>
          <w:ilvl w:val="0"/>
          <w:numId w:val="0"/>
        </w:numPr>
        <w:bidi w:val="0"/>
        <w:ind w:left="482" w:leftChars="0"/>
      </w:pPr>
      <w:bookmarkStart w:id="485" w:name="bookmark1072"/>
      <w:bookmarkStart w:id="486" w:name="bookmark1070"/>
      <w:bookmarkStart w:id="487" w:name="_Toc30722"/>
      <w:bookmarkStart w:id="488" w:name="_Toc14710316"/>
      <w:bookmarkStart w:id="489" w:name="bookmark1071"/>
      <w:r>
        <w:t>6.3要求承包人增加或更换施工设备</w:t>
      </w:r>
      <w:bookmarkEnd w:id="485"/>
      <w:bookmarkEnd w:id="486"/>
      <w:bookmarkEnd w:id="487"/>
      <w:bookmarkEnd w:id="488"/>
      <w:bookmarkEnd w:id="489"/>
    </w:p>
    <w:p w14:paraId="569724C8">
      <w:pPr>
        <w:pStyle w:val="11"/>
      </w:pPr>
      <w:r>
        <w:t>承包人使用的施工设备不能满足合同进度计划和（或）质量要求时，监理人有权要求承包人增加或更换施工设备，承包人应及时增加或更换，由此增加的费用和（或）工期延误由承包人承担。</w:t>
      </w:r>
    </w:p>
    <w:p w14:paraId="17948E95">
      <w:pPr>
        <w:pStyle w:val="2"/>
        <w:numPr>
          <w:ilvl w:val="0"/>
          <w:numId w:val="0"/>
        </w:numPr>
        <w:bidi w:val="0"/>
        <w:ind w:left="482" w:leftChars="0"/>
      </w:pPr>
      <w:bookmarkStart w:id="490" w:name="bookmark1074"/>
      <w:bookmarkStart w:id="491" w:name="_Toc14710317"/>
      <w:bookmarkStart w:id="492" w:name="bookmark1073"/>
      <w:bookmarkStart w:id="493" w:name="bookmark1075"/>
      <w:bookmarkStart w:id="494" w:name="_Toc21826"/>
      <w:r>
        <w:t>6.4施工设备和临时设施专用于合同工程</w:t>
      </w:r>
      <w:bookmarkEnd w:id="490"/>
      <w:bookmarkEnd w:id="491"/>
      <w:bookmarkEnd w:id="492"/>
      <w:bookmarkEnd w:id="493"/>
      <w:bookmarkEnd w:id="494"/>
    </w:p>
    <w:p w14:paraId="49FCDECA">
      <w:pPr>
        <w:pStyle w:val="11"/>
      </w:pPr>
      <w:bookmarkStart w:id="495" w:name="bookmark1076"/>
      <w:bookmarkEnd w:id="495"/>
      <w:r>
        <w:t>6.4.1除合同另有约定外，运入施工场地的所有施工设备以及在施工场地建设的临时设施应专用于合同工程。未经监理人同意，不得将上述施工设备和临时设施中的任何部分运出施工场地或挪作他用。</w:t>
      </w:r>
    </w:p>
    <w:p w14:paraId="4AF88BC5">
      <w:pPr>
        <w:pStyle w:val="11"/>
      </w:pPr>
      <w:bookmarkStart w:id="496" w:name="bookmark1077"/>
      <w:bookmarkEnd w:id="496"/>
      <w:r>
        <w:t>6.4.2经监理人同意，承包人可根据合同进度计划撤走闲置的施工设备。</w:t>
      </w:r>
    </w:p>
    <w:p w14:paraId="58FEF656">
      <w:pPr>
        <w:pStyle w:val="2"/>
        <w:numPr>
          <w:ilvl w:val="0"/>
          <w:numId w:val="0"/>
        </w:numPr>
        <w:bidi w:val="0"/>
        <w:ind w:left="482" w:leftChars="0"/>
      </w:pPr>
      <w:bookmarkStart w:id="497" w:name="bookmark1080"/>
      <w:bookmarkEnd w:id="497"/>
      <w:bookmarkStart w:id="498" w:name="_Toc14710318"/>
      <w:bookmarkStart w:id="499" w:name="_Toc13833"/>
      <w:bookmarkStart w:id="500" w:name="bookmark1079"/>
      <w:bookmarkStart w:id="501" w:name="bookmark1078"/>
      <w:bookmarkStart w:id="502" w:name="bookmark1081"/>
      <w:r>
        <w:t>7.交通运输</w:t>
      </w:r>
      <w:bookmarkEnd w:id="498"/>
      <w:bookmarkEnd w:id="499"/>
      <w:bookmarkEnd w:id="500"/>
      <w:bookmarkEnd w:id="501"/>
      <w:bookmarkEnd w:id="502"/>
    </w:p>
    <w:p w14:paraId="1B588F8D">
      <w:pPr>
        <w:pStyle w:val="2"/>
        <w:numPr>
          <w:ilvl w:val="0"/>
          <w:numId w:val="0"/>
        </w:numPr>
        <w:bidi w:val="0"/>
        <w:ind w:left="482" w:leftChars="0"/>
      </w:pPr>
      <w:bookmarkStart w:id="503" w:name="_Toc22987"/>
      <w:bookmarkStart w:id="504" w:name="_Toc14710319"/>
      <w:bookmarkStart w:id="505" w:name="bookmark1083"/>
      <w:bookmarkStart w:id="506" w:name="bookmark1082"/>
      <w:bookmarkStart w:id="507" w:name="bookmark1084"/>
      <w:r>
        <w:t>7.1道路通行权和场外设施</w:t>
      </w:r>
      <w:bookmarkEnd w:id="503"/>
      <w:bookmarkEnd w:id="504"/>
      <w:bookmarkEnd w:id="505"/>
      <w:bookmarkEnd w:id="506"/>
      <w:bookmarkEnd w:id="507"/>
    </w:p>
    <w:p w14:paraId="3721D1B4">
      <w:pPr>
        <w:pStyle w:val="11"/>
      </w:pPr>
      <w: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C199EE0">
      <w:pPr>
        <w:pStyle w:val="2"/>
        <w:numPr>
          <w:ilvl w:val="0"/>
          <w:numId w:val="0"/>
        </w:numPr>
        <w:bidi w:val="0"/>
        <w:ind w:left="482" w:leftChars="0"/>
      </w:pPr>
      <w:bookmarkStart w:id="508" w:name="bookmark1085"/>
      <w:bookmarkStart w:id="509" w:name="bookmark1086"/>
      <w:bookmarkStart w:id="510" w:name="_Toc14710320"/>
      <w:bookmarkStart w:id="511" w:name="_Toc19760"/>
      <w:bookmarkStart w:id="512" w:name="bookmark1087"/>
      <w:r>
        <w:t>7.2场内施工道路</w:t>
      </w:r>
      <w:bookmarkEnd w:id="508"/>
      <w:bookmarkEnd w:id="509"/>
      <w:bookmarkEnd w:id="510"/>
      <w:bookmarkEnd w:id="511"/>
      <w:bookmarkEnd w:id="512"/>
    </w:p>
    <w:p w14:paraId="1F9AAC09">
      <w:pPr>
        <w:pStyle w:val="11"/>
      </w:pPr>
      <w:r>
        <w:t>7.2.1除本合同约定由发包人提供的部分道路和交通设施外，承包人应负责修建、维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4C2243EA">
      <w:pPr>
        <w:pStyle w:val="11"/>
      </w:pPr>
      <w:r>
        <w:t>7.2.2承包人修建的临时道路和交通设施，应免费提供发包人、监理人，以及与本合 同有关的其他承包人使用。</w:t>
      </w:r>
    </w:p>
    <w:p w14:paraId="1D46B69A">
      <w:pPr>
        <w:pStyle w:val="2"/>
        <w:numPr>
          <w:ilvl w:val="0"/>
          <w:numId w:val="0"/>
        </w:numPr>
        <w:bidi w:val="0"/>
        <w:ind w:left="482" w:leftChars="0"/>
      </w:pPr>
      <w:bookmarkStart w:id="513" w:name="_Toc1077"/>
      <w:bookmarkStart w:id="514" w:name="bookmark1088"/>
      <w:bookmarkStart w:id="515" w:name="bookmark1089"/>
      <w:bookmarkStart w:id="516" w:name="_Toc14710321"/>
      <w:bookmarkStart w:id="517" w:name="bookmark1090"/>
      <w:r>
        <w:t>7.3场外交通</w:t>
      </w:r>
      <w:bookmarkEnd w:id="513"/>
      <w:bookmarkEnd w:id="514"/>
      <w:bookmarkEnd w:id="515"/>
      <w:bookmarkEnd w:id="516"/>
      <w:bookmarkEnd w:id="517"/>
    </w:p>
    <w:p w14:paraId="46A9AAF3">
      <w:pPr>
        <w:pStyle w:val="11"/>
      </w:pPr>
      <w:r>
        <w:t>7.3.1承包人车辆外出行驶所需的场外公共道路的通行费、养路费和税款等由承包人承担。</w:t>
      </w:r>
    </w:p>
    <w:p w14:paraId="2F383358">
      <w:pPr>
        <w:pStyle w:val="11"/>
      </w:pPr>
      <w:r>
        <w:t>7.3.2承包人应遵守有关交通法规，严格按照道路和桥梁的限制荷重安全行驶，并服从交通管理部门的检查和监督。</w:t>
      </w:r>
    </w:p>
    <w:p w14:paraId="29A99252">
      <w:pPr>
        <w:pStyle w:val="2"/>
        <w:numPr>
          <w:ilvl w:val="0"/>
          <w:numId w:val="0"/>
        </w:numPr>
        <w:bidi w:val="0"/>
        <w:ind w:left="482" w:leftChars="0"/>
      </w:pPr>
      <w:bookmarkStart w:id="518" w:name="bookmark1091"/>
      <w:bookmarkStart w:id="519" w:name="bookmark1092"/>
      <w:bookmarkStart w:id="520" w:name="bookmark1093"/>
      <w:bookmarkStart w:id="521" w:name="_Toc25595"/>
      <w:bookmarkStart w:id="522" w:name="_Toc14710322"/>
      <w:r>
        <w:t>7.4超大件和超重件的运输</w:t>
      </w:r>
      <w:bookmarkEnd w:id="518"/>
      <w:bookmarkEnd w:id="519"/>
      <w:bookmarkEnd w:id="520"/>
      <w:bookmarkEnd w:id="521"/>
      <w:bookmarkEnd w:id="522"/>
    </w:p>
    <w:p w14:paraId="234A1C68">
      <w:pPr>
        <w:pStyle w:val="11"/>
      </w:pPr>
      <w: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077A1C6E">
      <w:pPr>
        <w:pStyle w:val="2"/>
        <w:numPr>
          <w:ilvl w:val="0"/>
          <w:numId w:val="0"/>
        </w:numPr>
        <w:bidi w:val="0"/>
        <w:ind w:left="482" w:leftChars="0"/>
      </w:pPr>
      <w:bookmarkStart w:id="523" w:name="bookmark1094"/>
      <w:bookmarkStart w:id="524" w:name="bookmark1096"/>
      <w:bookmarkStart w:id="525" w:name="_Toc19673"/>
      <w:bookmarkStart w:id="526" w:name="bookmark1095"/>
      <w:bookmarkStart w:id="527" w:name="_Toc14710323"/>
      <w:r>
        <w:t>7.5道路和桥梁的损坏责任</w:t>
      </w:r>
      <w:bookmarkEnd w:id="523"/>
      <w:bookmarkEnd w:id="524"/>
      <w:bookmarkEnd w:id="525"/>
      <w:bookmarkEnd w:id="526"/>
      <w:bookmarkEnd w:id="527"/>
    </w:p>
    <w:p w14:paraId="0437666B">
      <w:pPr>
        <w:pStyle w:val="11"/>
      </w:pPr>
      <w:r>
        <w:t>因承包人运输造成施工场地内外公共道路和桥梁损坏的，由承包人承担修复损坏的全部费用和可能引起的赔偿。</w:t>
      </w:r>
    </w:p>
    <w:p w14:paraId="3244E984">
      <w:pPr>
        <w:pStyle w:val="2"/>
        <w:numPr>
          <w:ilvl w:val="0"/>
          <w:numId w:val="0"/>
        </w:numPr>
        <w:bidi w:val="0"/>
        <w:ind w:left="482" w:leftChars="0"/>
      </w:pPr>
      <w:bookmarkStart w:id="528" w:name="bookmark1098"/>
      <w:bookmarkStart w:id="529" w:name="bookmark1097"/>
      <w:bookmarkStart w:id="530" w:name="_Toc14710324"/>
      <w:bookmarkStart w:id="531" w:name="_Toc30116"/>
      <w:bookmarkStart w:id="532" w:name="bookmark1099"/>
      <w:r>
        <w:t>7.6水路和航空运输</w:t>
      </w:r>
      <w:bookmarkEnd w:id="528"/>
      <w:bookmarkEnd w:id="529"/>
      <w:bookmarkEnd w:id="530"/>
      <w:bookmarkEnd w:id="531"/>
      <w:bookmarkEnd w:id="532"/>
    </w:p>
    <w:p w14:paraId="14D43EB7">
      <w:pPr>
        <w:pStyle w:val="11"/>
      </w:pPr>
      <w:r>
        <w:t>本条上述各款的内容适用于水路运输和航空运输，其中“道路” 一词的涵义包括河道、 航线、船闸、机场、码头、堤防以及水路或航空运输中其他相似结构物；“车辆” 一词的涵义包括船舶和飞机等。</w:t>
      </w:r>
    </w:p>
    <w:p w14:paraId="61B8C815">
      <w:pPr>
        <w:pStyle w:val="2"/>
        <w:numPr>
          <w:ilvl w:val="0"/>
          <w:numId w:val="0"/>
        </w:numPr>
        <w:bidi w:val="0"/>
        <w:ind w:left="482" w:leftChars="0"/>
      </w:pPr>
      <w:bookmarkStart w:id="533" w:name="bookmark1102"/>
      <w:bookmarkEnd w:id="533"/>
      <w:bookmarkStart w:id="534" w:name="bookmark1103"/>
      <w:bookmarkStart w:id="535" w:name="_Toc14710325"/>
      <w:bookmarkStart w:id="536" w:name="_Toc7491"/>
      <w:bookmarkStart w:id="537" w:name="bookmark1101"/>
      <w:bookmarkStart w:id="538" w:name="bookmark1100"/>
      <w:r>
        <w:t>8.测量放线</w:t>
      </w:r>
      <w:bookmarkEnd w:id="534"/>
      <w:bookmarkEnd w:id="535"/>
      <w:bookmarkEnd w:id="536"/>
      <w:bookmarkEnd w:id="537"/>
      <w:bookmarkEnd w:id="538"/>
    </w:p>
    <w:p w14:paraId="0091E85F">
      <w:pPr>
        <w:pStyle w:val="2"/>
        <w:numPr>
          <w:ilvl w:val="0"/>
          <w:numId w:val="0"/>
        </w:numPr>
        <w:bidi w:val="0"/>
        <w:ind w:left="482" w:leftChars="0"/>
      </w:pPr>
      <w:bookmarkStart w:id="539" w:name="bookmark1104"/>
      <w:bookmarkStart w:id="540" w:name="_Toc7125"/>
      <w:bookmarkStart w:id="541" w:name="bookmark1106"/>
      <w:bookmarkStart w:id="542" w:name="bookmark1105"/>
      <w:bookmarkStart w:id="543" w:name="_Toc14710326"/>
      <w:r>
        <w:t>8.1施工控制网</w:t>
      </w:r>
      <w:bookmarkEnd w:id="539"/>
      <w:bookmarkEnd w:id="540"/>
      <w:bookmarkEnd w:id="541"/>
      <w:bookmarkEnd w:id="542"/>
      <w:bookmarkEnd w:id="543"/>
    </w:p>
    <w:p w14:paraId="67AE68D0">
      <w:pPr>
        <w:pStyle w:val="11"/>
      </w:pPr>
      <w: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5A564101">
      <w:pPr>
        <w:pStyle w:val="11"/>
      </w:pPr>
      <w:r>
        <w:t>8.1.2承包人应负责管理施工控制网点。施工控制网点丢失或损坏的，承包人应及时修复。承包人应承担施工控制网点的管理与修复费用，并在工程竣工后将施工控制网点移交发包人。</w:t>
      </w:r>
    </w:p>
    <w:p w14:paraId="39FF6458">
      <w:pPr>
        <w:pStyle w:val="2"/>
        <w:numPr>
          <w:ilvl w:val="0"/>
          <w:numId w:val="0"/>
        </w:numPr>
        <w:bidi w:val="0"/>
        <w:ind w:left="482" w:leftChars="0"/>
      </w:pPr>
      <w:bookmarkStart w:id="544" w:name="bookmark1109"/>
      <w:bookmarkStart w:id="545" w:name="_Toc14710327"/>
      <w:bookmarkStart w:id="546" w:name="bookmark1107"/>
      <w:bookmarkStart w:id="547" w:name="bookmark1108"/>
      <w:bookmarkStart w:id="548" w:name="_Toc28033"/>
      <w:r>
        <w:t>8.2施工测量</w:t>
      </w:r>
      <w:bookmarkEnd w:id="544"/>
      <w:bookmarkEnd w:id="545"/>
      <w:bookmarkEnd w:id="546"/>
      <w:bookmarkEnd w:id="547"/>
      <w:bookmarkEnd w:id="548"/>
    </w:p>
    <w:p w14:paraId="57F97606">
      <w:pPr>
        <w:pStyle w:val="11"/>
      </w:pPr>
      <w:r>
        <w:t>8.2.1承包人应负责施工过程中的全部施工测量放线工作，并配置合格的人员、仪 器、设备和其他物品。</w:t>
      </w:r>
    </w:p>
    <w:p w14:paraId="51041E5C">
      <w:pPr>
        <w:pStyle w:val="11"/>
      </w:pPr>
      <w:r>
        <w:t>8.2.2监理人可以指示承包人进行抽样复测，当复测中发现错误或出现超过合同约定的误差时，承包人应按监理人指示进行修正或补测，并承担相应的复测费用。</w:t>
      </w:r>
    </w:p>
    <w:p w14:paraId="049FE73E">
      <w:pPr>
        <w:pStyle w:val="2"/>
        <w:numPr>
          <w:ilvl w:val="0"/>
          <w:numId w:val="0"/>
        </w:numPr>
        <w:bidi w:val="0"/>
        <w:ind w:left="482" w:leftChars="0"/>
      </w:pPr>
      <w:bookmarkStart w:id="549" w:name="bookmark1112"/>
      <w:bookmarkStart w:id="550" w:name="_Toc14710328"/>
      <w:bookmarkStart w:id="551" w:name="bookmark1110"/>
      <w:bookmarkStart w:id="552" w:name="_Toc18249"/>
      <w:bookmarkStart w:id="553" w:name="bookmark1111"/>
      <w:r>
        <w:t>8.3基准资料错误的责任</w:t>
      </w:r>
      <w:bookmarkEnd w:id="549"/>
      <w:bookmarkEnd w:id="550"/>
      <w:bookmarkEnd w:id="551"/>
      <w:bookmarkEnd w:id="552"/>
      <w:bookmarkEnd w:id="553"/>
    </w:p>
    <w:p w14:paraId="01BE2AC9">
      <w:pPr>
        <w:pStyle w:val="11"/>
      </w:pPr>
      <w: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90D437B">
      <w:pPr>
        <w:pStyle w:val="2"/>
        <w:numPr>
          <w:ilvl w:val="0"/>
          <w:numId w:val="0"/>
        </w:numPr>
        <w:bidi w:val="0"/>
        <w:ind w:left="482" w:leftChars="0"/>
      </w:pPr>
      <w:bookmarkStart w:id="554" w:name="_Toc26810"/>
      <w:bookmarkStart w:id="555" w:name="bookmark1114"/>
      <w:bookmarkStart w:id="556" w:name="bookmark1115"/>
      <w:bookmarkStart w:id="557" w:name="_Toc14710329"/>
      <w:bookmarkStart w:id="558" w:name="bookmark1113"/>
      <w:r>
        <w:t>8.4监理人使用施工控制网</w:t>
      </w:r>
      <w:bookmarkEnd w:id="554"/>
      <w:bookmarkEnd w:id="555"/>
      <w:bookmarkEnd w:id="556"/>
      <w:bookmarkEnd w:id="557"/>
      <w:bookmarkEnd w:id="558"/>
    </w:p>
    <w:p w14:paraId="43F1C44E">
      <w:pPr>
        <w:pStyle w:val="11"/>
      </w:pPr>
      <w:r>
        <w:t>监理人需要使用施工控制网的，承包人应提供必要的协助，发包人不再为此支付费用。</w:t>
      </w:r>
    </w:p>
    <w:p w14:paraId="2773CA17">
      <w:pPr>
        <w:pStyle w:val="2"/>
        <w:numPr>
          <w:ilvl w:val="0"/>
          <w:numId w:val="0"/>
        </w:numPr>
        <w:bidi w:val="0"/>
        <w:ind w:left="482" w:leftChars="0"/>
      </w:pPr>
      <w:bookmarkStart w:id="559" w:name="bookmark1116"/>
      <w:bookmarkStart w:id="560" w:name="_Toc26237"/>
      <w:bookmarkStart w:id="561" w:name="_Toc14710330"/>
      <w:bookmarkStart w:id="562" w:name="bookmark1117"/>
      <w:bookmarkStart w:id="563" w:name="bookmark1118"/>
      <w:r>
        <w:t>8.5补充地质勘探</w:t>
      </w:r>
      <w:bookmarkEnd w:id="559"/>
      <w:bookmarkEnd w:id="560"/>
      <w:bookmarkEnd w:id="561"/>
      <w:bookmarkEnd w:id="562"/>
      <w:bookmarkEnd w:id="563"/>
    </w:p>
    <w:p w14:paraId="2D2D4387">
      <w:pPr>
        <w:pStyle w:val="11"/>
      </w:pPr>
      <w: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04218E32">
      <w:pPr>
        <w:pStyle w:val="2"/>
        <w:numPr>
          <w:ilvl w:val="0"/>
          <w:numId w:val="0"/>
        </w:numPr>
        <w:bidi w:val="0"/>
        <w:ind w:left="482" w:leftChars="0"/>
      </w:pPr>
      <w:bookmarkStart w:id="564" w:name="bookmark1121"/>
      <w:bookmarkEnd w:id="564"/>
      <w:bookmarkStart w:id="565" w:name="_Toc15267"/>
      <w:bookmarkStart w:id="566" w:name="bookmark1122"/>
      <w:bookmarkStart w:id="567" w:name="bookmark1120"/>
      <w:bookmarkStart w:id="568" w:name="bookmark1119"/>
      <w:bookmarkStart w:id="569" w:name="_Toc14710331"/>
      <w:r>
        <w:t>9.施工安全、治安保卫和环境保护</w:t>
      </w:r>
      <w:bookmarkEnd w:id="565"/>
      <w:bookmarkEnd w:id="566"/>
      <w:bookmarkEnd w:id="567"/>
      <w:bookmarkEnd w:id="568"/>
      <w:bookmarkEnd w:id="569"/>
    </w:p>
    <w:p w14:paraId="07B039DE">
      <w:pPr>
        <w:pStyle w:val="2"/>
        <w:numPr>
          <w:ilvl w:val="0"/>
          <w:numId w:val="0"/>
        </w:numPr>
        <w:bidi w:val="0"/>
        <w:ind w:left="482" w:leftChars="0"/>
      </w:pPr>
      <w:bookmarkStart w:id="570" w:name="bookmark1123"/>
      <w:bookmarkStart w:id="571" w:name="_Toc14710332"/>
      <w:bookmarkStart w:id="572" w:name="bookmark1125"/>
      <w:bookmarkStart w:id="573" w:name="bookmark1124"/>
      <w:bookmarkStart w:id="574" w:name="_Toc13008"/>
      <w:r>
        <w:t>9.1发包人的施工安全责任</w:t>
      </w:r>
      <w:bookmarkEnd w:id="570"/>
      <w:bookmarkEnd w:id="571"/>
      <w:bookmarkEnd w:id="572"/>
      <w:bookmarkEnd w:id="573"/>
      <w:bookmarkEnd w:id="574"/>
    </w:p>
    <w:p w14:paraId="489FACAC">
      <w:pPr>
        <w:pStyle w:val="11"/>
      </w:pPr>
      <w: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14590D7A">
      <w:pPr>
        <w:pStyle w:val="11"/>
      </w:pPr>
      <w:r>
        <w:t>9.1.2发包人应对其现场机构雇佣的全部人员的工伤事故承担责任，但由于承包人原因造成发包人人员工伤的，应由承包人承担责任。</w:t>
      </w:r>
    </w:p>
    <w:p w14:paraId="0EDA6923">
      <w:pPr>
        <w:pStyle w:val="11"/>
      </w:pPr>
      <w:r>
        <w:t>9. 1. 3发包人应负责赔偿以下各种情况造成的第三者人身伤亡和财产损失：</w:t>
      </w:r>
    </w:p>
    <w:p w14:paraId="4C5E48ED">
      <w:pPr>
        <w:pStyle w:val="11"/>
      </w:pPr>
      <w:bookmarkStart w:id="575" w:name="bookmark1126"/>
      <w:bookmarkEnd w:id="575"/>
      <w:r>
        <w:rPr>
          <w:b w:val="0"/>
          <w:i w:val="0"/>
          <w:strike w:val="0"/>
          <w:color w:val="000000"/>
          <w:u w:val="none"/>
        </w:rPr>
        <w:t>(1)</w:t>
      </w:r>
      <w:r>
        <w:t>工程或工程的任何部分对土地的占用所造成的第三者财产损失；</w:t>
      </w:r>
    </w:p>
    <w:p w14:paraId="667C18FC">
      <w:pPr>
        <w:pStyle w:val="11"/>
      </w:pPr>
      <w:bookmarkStart w:id="576" w:name="bookmark1127"/>
      <w:bookmarkEnd w:id="576"/>
      <w:r>
        <w:rPr>
          <w:b w:val="0"/>
          <w:i w:val="0"/>
          <w:strike w:val="0"/>
          <w:color w:val="000000"/>
          <w:u w:val="none"/>
        </w:rPr>
        <w:t>(2)</w:t>
      </w:r>
      <w:r>
        <w:t>由于发包人原因在施工场地及其毗邻地带造成的第三者人身伤亡和财产损失。</w:t>
      </w:r>
    </w:p>
    <w:p w14:paraId="09CE112A">
      <w:pPr>
        <w:pStyle w:val="11"/>
      </w:pPr>
      <w:r>
        <w:t>9.1.4除专用合同条款另有约定外，发包人负责向承包人提供施工现场及施工可能影响的毗邻区域内供水、排水、供电、供气、供热、通信、广播电视等地下管线资料，气象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6D0AFCFC">
      <w:pPr>
        <w:pStyle w:val="11"/>
      </w:pPr>
      <w:r>
        <w:t>9.1.5发包人按照已标价工程量清单所列金额和合同约定的计量支付规定，支付安全作业环境及安全施工措施所需费用。</w:t>
      </w:r>
    </w:p>
    <w:p w14:paraId="1D8BCCA8">
      <w:pPr>
        <w:pStyle w:val="11"/>
      </w:pPr>
      <w:r>
        <w:t>9.1.6发包人负责组织工程参建单位编制保证安全生产的措施方案。工程开工前，就 落实安全生产的措施进行全面系统的布置，进一步明确承包人的安全生产责任。</w:t>
      </w:r>
    </w:p>
    <w:p w14:paraId="69D9DD72">
      <w:pPr>
        <w:pStyle w:val="11"/>
      </w:pPr>
      <w:r>
        <w:t>9. 1. 7发包人负责在拆除工程和爆破工程施工14天前向有关部门或机构报送相关备案资料。</w:t>
      </w:r>
    </w:p>
    <w:p w14:paraId="268FBB94">
      <w:pPr>
        <w:pStyle w:val="2"/>
        <w:numPr>
          <w:ilvl w:val="0"/>
          <w:numId w:val="0"/>
        </w:numPr>
        <w:bidi w:val="0"/>
        <w:ind w:left="482" w:leftChars="0"/>
      </w:pPr>
      <w:bookmarkStart w:id="577" w:name="bookmark1130"/>
      <w:bookmarkStart w:id="578" w:name="_Toc920"/>
      <w:bookmarkStart w:id="579" w:name="_Toc14710333"/>
      <w:bookmarkStart w:id="580" w:name="bookmark1128"/>
      <w:bookmarkStart w:id="581" w:name="bookmark1129"/>
      <w:r>
        <w:t>9.2承包人的施工安全责任</w:t>
      </w:r>
      <w:bookmarkEnd w:id="577"/>
      <w:bookmarkEnd w:id="578"/>
      <w:bookmarkEnd w:id="579"/>
      <w:bookmarkEnd w:id="580"/>
      <w:bookmarkEnd w:id="581"/>
    </w:p>
    <w:p w14:paraId="5BD863C8">
      <w:pPr>
        <w:pStyle w:val="11"/>
      </w:pPr>
      <w:r>
        <w:t>9. 2.1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59CAF1A3">
      <w:pPr>
        <w:pStyle w:val="11"/>
      </w:pPr>
      <w:r>
        <w:t>9. 2.2承包人应加强施工作业安全管理，特别应加强易燃、易爆材料、火工器材、有毒与腐蚀性材料和其他危险品的管理，以及对爆破作业和地下工程施工等危险作业的管理。</w:t>
      </w:r>
    </w:p>
    <w:p w14:paraId="5F976FD5">
      <w:pPr>
        <w:pStyle w:val="11"/>
      </w:pPr>
      <w:r>
        <w:t>9.2.3承包人应严格按照国家安全标准制定施工安全操作规程，配备必要的安全生产 和劳动保护设施，加强对承包人人员的安全教育，并发放安全工作手册和劳动保护用具。</w:t>
      </w:r>
    </w:p>
    <w:p w14:paraId="48E3443E">
      <w:pPr>
        <w:pStyle w:val="11"/>
      </w:pPr>
      <w:r>
        <w:t>9.2.4承包人应按监理人的指示制定应对灾害的紧急预案，报送监理人审批。承包人还应按预案做好安全检查，配置必要的救助物资和器材，切实保护好有关人员的人身和财产安全。</w:t>
      </w:r>
    </w:p>
    <w:p w14:paraId="66826C12">
      <w:pPr>
        <w:pStyle w:val="11"/>
      </w:pPr>
      <w:r>
        <w:t>9. 2.5合同约定的安全作业环境及安全施工措施所需费用应遵守有关规定，并包括在相关工作的合同价格中。因采取合同未约定的安全作业环境及安全施工措施增加的费用，由监理人按第3. 5款商定或确定。</w:t>
      </w:r>
    </w:p>
    <w:p w14:paraId="5814FD30">
      <w:pPr>
        <w:pStyle w:val="11"/>
      </w:pPr>
      <w:r>
        <w:t>9.2.6承包人应对其履行合同所雇佣的全部人员，包括分包人人员的工伤事故承担责任，但由于发包人原因造成承包人人员工伤事故的，应由发包人承担责任。</w:t>
      </w:r>
    </w:p>
    <w:p w14:paraId="08DFCE30">
      <w:pPr>
        <w:pStyle w:val="11"/>
      </w:pPr>
      <w:r>
        <w:t>9.2.7由于承包人原因在施工场地内及其毗邻地带造成的第三者人员伤亡和财产损失，由承包人负责赔偿。</w:t>
      </w:r>
    </w:p>
    <w:p w14:paraId="72E1F0ED">
      <w:pPr>
        <w:pStyle w:val="11"/>
      </w:pPr>
      <w:r>
        <w:t>9.2.8承包人已标价工程量清单应包含工程安全作业环境及安全施工措施所需费用。</w:t>
      </w:r>
    </w:p>
    <w:p w14:paraId="2FC86174">
      <w:pPr>
        <w:pStyle w:val="11"/>
      </w:pPr>
      <w:r>
        <w:t>9.2.9承包人应建立健全安全生产责任制度和安全生产教育培训制度，制定安全生产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4A1A2261">
      <w:pPr>
        <w:pStyle w:val="11"/>
      </w:pPr>
      <w:r>
        <w:t>9.2.10承包人应设立安全生产管理机构，施工现场应有专职安全生产管理人员。</w:t>
      </w:r>
    </w:p>
    <w:p w14:paraId="384F6472">
      <w:pPr>
        <w:pStyle w:val="11"/>
      </w:pPr>
      <w:r>
        <w:t>9.2.11承包人应负责对特种作业人员进行专门的安全作业培训，并保证特种作业人员持证上岗。</w:t>
      </w:r>
    </w:p>
    <w:p w14:paraId="7A3AB818">
      <w:pPr>
        <w:pStyle w:val="11"/>
      </w:pPr>
      <w: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6DD38FCD">
      <w:pPr>
        <w:pStyle w:val="11"/>
      </w:pPr>
      <w:r>
        <w:t>9.2.13承包人在使用施工起重机构和整体提升脚手架、模板等自升式架设设施前, 应组织有关单位进行验收。</w:t>
      </w:r>
    </w:p>
    <w:p w14:paraId="0634049D">
      <w:pPr>
        <w:pStyle w:val="2"/>
        <w:numPr>
          <w:ilvl w:val="0"/>
          <w:numId w:val="0"/>
        </w:numPr>
        <w:bidi w:val="0"/>
        <w:ind w:left="482" w:leftChars="0"/>
      </w:pPr>
      <w:bookmarkStart w:id="582" w:name="bookmark1132"/>
      <w:bookmarkStart w:id="583" w:name="bookmark1133"/>
      <w:bookmarkStart w:id="584" w:name="_Toc24520"/>
      <w:bookmarkStart w:id="585" w:name="bookmark1131"/>
      <w:bookmarkStart w:id="586" w:name="_Toc14710334"/>
      <w:r>
        <w:t>9.3治安保卫</w:t>
      </w:r>
      <w:bookmarkEnd w:id="582"/>
      <w:bookmarkEnd w:id="583"/>
      <w:bookmarkEnd w:id="584"/>
      <w:bookmarkEnd w:id="585"/>
      <w:bookmarkEnd w:id="586"/>
    </w:p>
    <w:p w14:paraId="114F398B">
      <w:pPr>
        <w:pStyle w:val="11"/>
      </w:pPr>
      <w:r>
        <w:t>9.3.1除合同另有约定外，发包人应与当地公安部门协商，在现场建立治安管理机构或联防组织，统一管理施工场地的治安保卫事项，履行合同工程的治安保卫职责。</w:t>
      </w:r>
    </w:p>
    <w:p w14:paraId="233BFB79">
      <w:pPr>
        <w:pStyle w:val="11"/>
      </w:pPr>
      <w:r>
        <w:t>9.3.2发包人和承包人除应协助现场治安管理机构或联防组织维护施工场地的社会治安外，还应做好包括生活区在内的各自管辖区的治安保卫工作。</w:t>
      </w:r>
    </w:p>
    <w:p w14:paraId="6D4512FC">
      <w:pPr>
        <w:pStyle w:val="11"/>
      </w:pPr>
      <w: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7598F40C">
      <w:pPr>
        <w:pStyle w:val="2"/>
        <w:numPr>
          <w:ilvl w:val="0"/>
          <w:numId w:val="0"/>
        </w:numPr>
        <w:bidi w:val="0"/>
        <w:ind w:left="482" w:leftChars="0"/>
      </w:pPr>
      <w:bookmarkStart w:id="587" w:name="bookmark1136"/>
      <w:bookmarkStart w:id="588" w:name="bookmark1134"/>
      <w:bookmarkStart w:id="589" w:name="_Toc19282"/>
      <w:bookmarkStart w:id="590" w:name="_Toc14710335"/>
      <w:bookmarkStart w:id="591" w:name="bookmark1135"/>
      <w:r>
        <w:t>9.4环境保护</w:t>
      </w:r>
      <w:bookmarkEnd w:id="587"/>
      <w:bookmarkEnd w:id="588"/>
      <w:bookmarkEnd w:id="589"/>
      <w:bookmarkEnd w:id="590"/>
      <w:bookmarkEnd w:id="591"/>
    </w:p>
    <w:p w14:paraId="00A735C8">
      <w:pPr>
        <w:pStyle w:val="11"/>
      </w:pPr>
      <w:r>
        <w:t>9.4.1承包人在施工过程中，应遵守有关环境保护的法律，履行合同约定的环境保护义务，并对违反法律和合同约定义务所造成的环境破坏、人身伤害和财产损失负责。</w:t>
      </w:r>
    </w:p>
    <w:p w14:paraId="78B81907">
      <w:pPr>
        <w:pStyle w:val="11"/>
      </w:pPr>
      <w:r>
        <w:t>9.4.2承包人应按合同约定的环保工作内容，编制施工环保措施计划，报送监理人审批。</w:t>
      </w:r>
    </w:p>
    <w:p w14:paraId="771FC6B8">
      <w:pPr>
        <w:pStyle w:val="11"/>
      </w:pPr>
      <w: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02C977">
      <w:pPr>
        <w:pStyle w:val="11"/>
      </w:pPr>
      <w:r>
        <w:t>9.4.4承包人应按合同约定采取有效措施，对施工开挖的边坡及时进行支护，维护排 水设施，并进行水土保护，避免因施工造成的地质灾害。</w:t>
      </w:r>
    </w:p>
    <w:p w14:paraId="09FE0879">
      <w:pPr>
        <w:pStyle w:val="11"/>
      </w:pPr>
      <w:r>
        <w:t>9.4.5承包人应按国家饮用水管理标准定期对饮用水源进行监测，防止施工活动污染</w:t>
      </w:r>
    </w:p>
    <w:p w14:paraId="5B2DD301">
      <w:pPr>
        <w:pStyle w:val="11"/>
      </w:pPr>
      <w:r>
        <w:t>饮用水源。</w:t>
      </w:r>
    </w:p>
    <w:p w14:paraId="52EEFE48">
      <w:pPr>
        <w:pStyle w:val="11"/>
      </w:pPr>
      <w:r>
        <w:t>9.4.6承包人应按合同约定，加强对噪声、粉尘、废气、废水和废油的控制，努力降低噪声，控制粉尘和废气浓度，做好废水和废油的治理和排放。</w:t>
      </w:r>
    </w:p>
    <w:p w14:paraId="20042010">
      <w:pPr>
        <w:pStyle w:val="2"/>
        <w:numPr>
          <w:ilvl w:val="0"/>
          <w:numId w:val="0"/>
        </w:numPr>
        <w:bidi w:val="0"/>
        <w:ind w:left="482" w:leftChars="0"/>
      </w:pPr>
      <w:bookmarkStart w:id="592" w:name="_Toc1363"/>
      <w:bookmarkStart w:id="593" w:name="bookmark1138"/>
      <w:bookmarkStart w:id="594" w:name="bookmark1137"/>
      <w:bookmarkStart w:id="595" w:name="bookmark1139"/>
      <w:bookmarkStart w:id="596" w:name="_Toc14710336"/>
      <w:r>
        <w:t>9.5事故处理</w:t>
      </w:r>
      <w:bookmarkEnd w:id="592"/>
      <w:bookmarkEnd w:id="593"/>
      <w:bookmarkEnd w:id="594"/>
      <w:bookmarkEnd w:id="595"/>
      <w:bookmarkEnd w:id="596"/>
    </w:p>
    <w:p w14:paraId="285A55A0">
      <w:pPr>
        <w:pStyle w:val="11"/>
      </w:pPr>
      <w:r>
        <w:t>9.5.1发包人负责组织参建单位制定本工程的质量与安全事故应急预案，建立质量与安全事故应急处置指挥部。</w:t>
      </w:r>
    </w:p>
    <w:p w14:paraId="5DE87CAB">
      <w:pPr>
        <w:pStyle w:val="11"/>
      </w:pPr>
      <w:r>
        <w:t>9.5.2承包人应对施工现场易发生重大事故的部位、环节的进行监控，配备救援器材、设备，并定期组织演练。</w:t>
      </w:r>
    </w:p>
    <w:p w14:paraId="29960009">
      <w:pPr>
        <w:pStyle w:val="11"/>
      </w:pPr>
      <w:r>
        <w:t>9.5.3工程开工前，承包人应根据本工程特点制定施工现场施工质量与安全事故应急预案，并报发包人备案。</w:t>
      </w:r>
    </w:p>
    <w:p w14:paraId="74DC2D7B">
      <w:pPr>
        <w:pStyle w:val="11"/>
      </w:pPr>
      <w:r>
        <w:t>9.5.4施工过程中发生事故时，发包人、承包人应立即启动应急预案。</w:t>
      </w:r>
    </w:p>
    <w:p w14:paraId="1B5C8079">
      <w:pPr>
        <w:pStyle w:val="11"/>
      </w:pPr>
      <w:r>
        <w:t>9.5.5事故调查处理由发包人按相关规定履行手续，承包人应配合。</w:t>
      </w:r>
    </w:p>
    <w:p w14:paraId="4C5D3D20">
      <w:pPr>
        <w:pStyle w:val="2"/>
        <w:numPr>
          <w:ilvl w:val="0"/>
          <w:numId w:val="0"/>
        </w:numPr>
        <w:bidi w:val="0"/>
        <w:ind w:left="482" w:leftChars="0"/>
      </w:pPr>
      <w:bookmarkStart w:id="597" w:name="bookmark1141"/>
      <w:bookmarkStart w:id="598" w:name="bookmark1142"/>
      <w:bookmarkStart w:id="599" w:name="_Toc10912"/>
      <w:bookmarkStart w:id="600" w:name="bookmark1140"/>
      <w:bookmarkStart w:id="601" w:name="_Toc14710337"/>
      <w:r>
        <w:t>9.6水土保持</w:t>
      </w:r>
      <w:bookmarkEnd w:id="597"/>
      <w:bookmarkEnd w:id="598"/>
      <w:bookmarkEnd w:id="599"/>
      <w:bookmarkEnd w:id="600"/>
      <w:bookmarkEnd w:id="601"/>
    </w:p>
    <w:p w14:paraId="05C40AC5">
      <w:pPr>
        <w:pStyle w:val="11"/>
      </w:pPr>
      <w:r>
        <w:t>9.6.1发包人应及时向承包人提供水土保持方案。</w:t>
      </w:r>
    </w:p>
    <w:p w14:paraId="22E4AA95">
      <w:pPr>
        <w:pStyle w:val="11"/>
      </w:pPr>
      <w:r>
        <w:t>9.6.2承包人在施工过程中，应遵守有关水土保持的法律法规和规章，履行合同约定的水土保持义务，并对其违反法律和合同约定义务所造成的水土流失灾害、人身伤害和财 产损失负责。</w:t>
      </w:r>
    </w:p>
    <w:p w14:paraId="3F93447E">
      <w:pPr>
        <w:pStyle w:val="11"/>
      </w:pPr>
      <w:r>
        <w:t>9.6.3承包人的水土保持措施计划，应满足技术标准和要求（合同技术条款）约定的要求。</w:t>
      </w:r>
    </w:p>
    <w:p w14:paraId="55E33454">
      <w:pPr>
        <w:pStyle w:val="2"/>
        <w:numPr>
          <w:ilvl w:val="0"/>
          <w:numId w:val="0"/>
        </w:numPr>
        <w:bidi w:val="0"/>
        <w:ind w:left="482" w:leftChars="0"/>
      </w:pPr>
      <w:bookmarkStart w:id="602" w:name="_Toc9534"/>
      <w:bookmarkStart w:id="603" w:name="_Toc14710338"/>
      <w:bookmarkStart w:id="604" w:name="bookmark1143"/>
      <w:bookmarkStart w:id="605" w:name="bookmark1144"/>
      <w:bookmarkStart w:id="606" w:name="bookmark1145"/>
      <w:r>
        <w:t>9.7文明工地</w:t>
      </w:r>
      <w:bookmarkEnd w:id="602"/>
      <w:bookmarkEnd w:id="603"/>
      <w:bookmarkEnd w:id="604"/>
      <w:bookmarkEnd w:id="605"/>
      <w:bookmarkEnd w:id="606"/>
    </w:p>
    <w:p w14:paraId="17AE9936">
      <w:pPr>
        <w:pStyle w:val="11"/>
      </w:pPr>
      <w:r>
        <w:t>9.7.1发包人应按专用合同条款的约定，负责建立创建文明建设工地的组织机构，制定创建文明建设工地的规划和办法。</w:t>
      </w:r>
    </w:p>
    <w:p w14:paraId="4604DF7E">
      <w:pPr>
        <w:pStyle w:val="11"/>
      </w:pPr>
      <w:r>
        <w:t>9.7.2承包人应按创建文明建设工地的规划和办法，履行职责，承担相应责任。所需费用应含在已标价工程量清单中。</w:t>
      </w:r>
    </w:p>
    <w:p w14:paraId="33F714C7">
      <w:pPr>
        <w:pStyle w:val="2"/>
        <w:numPr>
          <w:ilvl w:val="0"/>
          <w:numId w:val="0"/>
        </w:numPr>
        <w:bidi w:val="0"/>
        <w:ind w:left="482" w:leftChars="0"/>
      </w:pPr>
      <w:bookmarkStart w:id="607" w:name="_Toc14710339"/>
      <w:bookmarkStart w:id="608" w:name="bookmark1148"/>
      <w:bookmarkStart w:id="609" w:name="bookmark1146"/>
      <w:bookmarkStart w:id="610" w:name="_Toc2182"/>
      <w:bookmarkStart w:id="611" w:name="bookmark1147"/>
      <w:r>
        <w:t>9.8防汛度汛</w:t>
      </w:r>
      <w:bookmarkEnd w:id="607"/>
      <w:bookmarkEnd w:id="608"/>
      <w:bookmarkEnd w:id="609"/>
      <w:bookmarkEnd w:id="610"/>
      <w:bookmarkEnd w:id="611"/>
    </w:p>
    <w:p w14:paraId="76668615">
      <w:pPr>
        <w:pStyle w:val="11"/>
      </w:pPr>
      <w:r>
        <w:t>9.8.1发包人负责组织工程参建单位编制本工程的度汛方案和措施。</w:t>
      </w:r>
    </w:p>
    <w:p w14:paraId="74118158">
      <w:pPr>
        <w:pStyle w:val="11"/>
      </w:pPr>
      <w:r>
        <w:t>9.8.2承包人应根据发包人编制的本工程度汛方案和措施，制定相应的度汛方案，报发包人批准后实施。</w:t>
      </w:r>
    </w:p>
    <w:p w14:paraId="1CBC41DB">
      <w:pPr>
        <w:pStyle w:val="2"/>
        <w:numPr>
          <w:ilvl w:val="0"/>
          <w:numId w:val="0"/>
        </w:numPr>
        <w:bidi w:val="0"/>
        <w:ind w:left="482" w:leftChars="0"/>
      </w:pPr>
      <w:bookmarkStart w:id="612" w:name="_Toc14710340"/>
      <w:bookmarkStart w:id="613" w:name="bookmark1151"/>
      <w:bookmarkStart w:id="614" w:name="bookmark1149"/>
      <w:bookmarkStart w:id="615" w:name="_Toc27960"/>
      <w:bookmarkStart w:id="616" w:name="bookmark1150"/>
      <w:r>
        <w:t>10.进度计划</w:t>
      </w:r>
      <w:bookmarkEnd w:id="612"/>
      <w:bookmarkEnd w:id="613"/>
      <w:bookmarkEnd w:id="614"/>
      <w:bookmarkEnd w:id="615"/>
      <w:bookmarkEnd w:id="616"/>
    </w:p>
    <w:p w14:paraId="7B643FB8">
      <w:pPr>
        <w:pStyle w:val="2"/>
        <w:numPr>
          <w:ilvl w:val="0"/>
          <w:numId w:val="0"/>
        </w:numPr>
        <w:bidi w:val="0"/>
        <w:ind w:left="482" w:leftChars="0"/>
      </w:pPr>
      <w:bookmarkStart w:id="617" w:name="_Toc15277"/>
      <w:bookmarkStart w:id="618" w:name="bookmark1154"/>
      <w:bookmarkStart w:id="619" w:name="bookmark1152"/>
      <w:bookmarkStart w:id="620" w:name="_Toc14710341"/>
      <w:bookmarkStart w:id="621" w:name="bookmark1153"/>
      <w:r>
        <w:t>10.1合同进度计划</w:t>
      </w:r>
      <w:bookmarkEnd w:id="617"/>
      <w:bookmarkEnd w:id="618"/>
      <w:bookmarkEnd w:id="619"/>
      <w:bookmarkEnd w:id="620"/>
      <w:bookmarkEnd w:id="621"/>
    </w:p>
    <w:p w14:paraId="35C9AB4C">
      <w:pPr>
        <w:pStyle w:val="11"/>
      </w:pPr>
      <w: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2008FD7">
      <w:pPr>
        <w:pStyle w:val="2"/>
        <w:numPr>
          <w:ilvl w:val="0"/>
          <w:numId w:val="0"/>
        </w:numPr>
        <w:bidi w:val="0"/>
        <w:ind w:left="482" w:leftChars="0"/>
      </w:pPr>
      <w:bookmarkStart w:id="622" w:name="_Toc8733"/>
      <w:bookmarkStart w:id="623" w:name="bookmark1156"/>
      <w:bookmarkStart w:id="624" w:name="_Toc14710342"/>
      <w:bookmarkStart w:id="625" w:name="bookmark1155"/>
      <w:bookmarkStart w:id="626" w:name="bookmark1157"/>
      <w:r>
        <w:t>10.2合同进度计划的修订</w:t>
      </w:r>
      <w:bookmarkEnd w:id="622"/>
      <w:bookmarkEnd w:id="623"/>
      <w:bookmarkEnd w:id="624"/>
      <w:bookmarkEnd w:id="625"/>
      <w:bookmarkEnd w:id="626"/>
    </w:p>
    <w:p w14:paraId="39EE0752">
      <w:pPr>
        <w:pStyle w:val="11"/>
      </w:pPr>
      <w:r>
        <w:t>不论何种原因造成工程的实际进度与第10. 1款的合同进度计划不符时，承包人均应在 14天内向监理人提交修订合同进度计划的申请报告，并附有关措施和相关资料，报监理人审批；监理人应在收到申请报告后的14天内批复。当监理人认为需要修订合同进度计划 时，承包人应按监理人的指示，在14天内向监理人提交修订的合同进度计划，并附调整计 划的相关资料，提交监理人审批。监理人应在收到进度计划后的14天内批复。</w:t>
      </w:r>
    </w:p>
    <w:p w14:paraId="248045D1">
      <w:pPr>
        <w:pStyle w:val="11"/>
      </w:pPr>
      <w: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 3款的约定办理；由于承包人原因造成施工进度延迟，应按第11. 5款的约定办理。</w:t>
      </w:r>
    </w:p>
    <w:p w14:paraId="55C7DEC2">
      <w:pPr>
        <w:pStyle w:val="2"/>
        <w:numPr>
          <w:ilvl w:val="0"/>
          <w:numId w:val="0"/>
        </w:numPr>
        <w:bidi w:val="0"/>
        <w:ind w:left="482" w:leftChars="0"/>
      </w:pPr>
      <w:bookmarkStart w:id="627" w:name="_Toc25361"/>
      <w:bookmarkStart w:id="628" w:name="bookmark1160"/>
      <w:bookmarkStart w:id="629" w:name="_Toc14710343"/>
      <w:bookmarkStart w:id="630" w:name="bookmark1159"/>
      <w:bookmarkStart w:id="631" w:name="bookmark1158"/>
      <w:r>
        <w:t>10.3单位工程进度计划</w:t>
      </w:r>
      <w:bookmarkEnd w:id="627"/>
      <w:bookmarkEnd w:id="628"/>
      <w:bookmarkEnd w:id="629"/>
      <w:bookmarkEnd w:id="630"/>
      <w:bookmarkEnd w:id="631"/>
    </w:p>
    <w:p w14:paraId="0CEBA4E3">
      <w:pPr>
        <w:pStyle w:val="11"/>
      </w:pPr>
      <w:r>
        <w:t>监理人认为有必要时，承包人应按监理人指示的内容和期限，并根据合同进度计划的进度控制要求，编制单位工程进度计划，提交监理人审批。</w:t>
      </w:r>
    </w:p>
    <w:p w14:paraId="14BDA667">
      <w:pPr>
        <w:pStyle w:val="2"/>
        <w:numPr>
          <w:ilvl w:val="0"/>
          <w:numId w:val="0"/>
        </w:numPr>
        <w:bidi w:val="0"/>
        <w:ind w:left="482" w:leftChars="0"/>
      </w:pPr>
      <w:bookmarkStart w:id="632" w:name="bookmark1161"/>
      <w:bookmarkStart w:id="633" w:name="_Toc18009"/>
      <w:bookmarkStart w:id="634" w:name="_Toc14710344"/>
      <w:bookmarkStart w:id="635" w:name="bookmark1162"/>
      <w:bookmarkStart w:id="636" w:name="bookmark1163"/>
      <w:r>
        <w:t>10.4提交资金流估算表</w:t>
      </w:r>
      <w:bookmarkEnd w:id="632"/>
      <w:bookmarkEnd w:id="633"/>
      <w:bookmarkEnd w:id="634"/>
      <w:bookmarkEnd w:id="635"/>
      <w:bookmarkEnd w:id="636"/>
    </w:p>
    <w:p w14:paraId="62E196C7">
      <w:pPr>
        <w:pStyle w:val="11"/>
      </w:pPr>
      <w:r>
        <w:t>承包人应在按第10. 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3F0ABD1B">
      <w:pPr>
        <w:pStyle w:val="11"/>
      </w:pPr>
      <w:r>
        <w:t>资金流估算表（参考格式）</w:t>
      </w:r>
      <w:r>
        <w:tab/>
      </w:r>
      <w:r>
        <w:t>金额单位</w:t>
      </w:r>
    </w:p>
    <w:tbl>
      <w:tblPr>
        <w:tblStyle w:val="22"/>
        <w:tblW w:w="0" w:type="auto"/>
        <w:jc w:val="center"/>
        <w:tblLayout w:type="fixed"/>
        <w:tblCellMar>
          <w:top w:w="0" w:type="dxa"/>
          <w:left w:w="10" w:type="dxa"/>
          <w:bottom w:w="0" w:type="dxa"/>
          <w:right w:w="10" w:type="dxa"/>
        </w:tblCellMar>
      </w:tblPr>
      <w:tblGrid>
        <w:gridCol w:w="458"/>
        <w:gridCol w:w="336"/>
        <w:gridCol w:w="1022"/>
        <w:gridCol w:w="1416"/>
        <w:gridCol w:w="1022"/>
        <w:gridCol w:w="1018"/>
        <w:gridCol w:w="1022"/>
        <w:gridCol w:w="451"/>
        <w:gridCol w:w="682"/>
        <w:gridCol w:w="1142"/>
      </w:tblGrid>
      <w:tr w14:paraId="1005AFBA">
        <w:tblPrEx>
          <w:tblCellMar>
            <w:top w:w="0" w:type="dxa"/>
            <w:left w:w="10" w:type="dxa"/>
            <w:bottom w:w="0" w:type="dxa"/>
            <w:right w:w="10" w:type="dxa"/>
          </w:tblCellMar>
        </w:tblPrEx>
        <w:trPr>
          <w:trHeight w:val="1003" w:hRule="exact"/>
          <w:jc w:val="center"/>
        </w:trPr>
        <w:tc>
          <w:tcPr>
            <w:tcW w:w="458" w:type="dxa"/>
            <w:tcBorders>
              <w:top w:val="single" w:color="auto" w:sz="4" w:space="0"/>
              <w:left w:val="single" w:color="auto" w:sz="4" w:space="0"/>
            </w:tcBorders>
            <w:shd w:val="clear" w:color="auto" w:fill="FFFFFF"/>
            <w:noWrap w:val="0"/>
            <w:vAlign w:val="center"/>
          </w:tcPr>
          <w:p w14:paraId="2533CF18">
            <w:pPr>
              <w:pStyle w:val="38"/>
              <w:spacing w:line="440" w:lineRule="exact"/>
              <w:ind w:firstLine="0"/>
              <w:rPr>
                <w:sz w:val="21"/>
                <w:szCs w:val="21"/>
              </w:rPr>
            </w:pPr>
            <w:r>
              <w:rPr>
                <w:rFonts w:hint="eastAsia"/>
                <w:sz w:val="21"/>
                <w:szCs w:val="21"/>
              </w:rPr>
              <w:t>年</w:t>
            </w:r>
          </w:p>
        </w:tc>
        <w:tc>
          <w:tcPr>
            <w:tcW w:w="336" w:type="dxa"/>
            <w:tcBorders>
              <w:top w:val="single" w:color="auto" w:sz="4" w:space="0"/>
              <w:left w:val="single" w:color="auto" w:sz="4" w:space="0"/>
            </w:tcBorders>
            <w:shd w:val="clear" w:color="auto" w:fill="FFFFFF"/>
            <w:noWrap w:val="0"/>
            <w:vAlign w:val="center"/>
          </w:tcPr>
          <w:p w14:paraId="429E1D4B">
            <w:pPr>
              <w:pStyle w:val="38"/>
              <w:spacing w:line="440" w:lineRule="exact"/>
              <w:ind w:firstLine="0"/>
              <w:rPr>
                <w:sz w:val="21"/>
                <w:szCs w:val="21"/>
              </w:rPr>
            </w:pPr>
            <w:r>
              <w:rPr>
                <w:rFonts w:hint="eastAsia"/>
                <w:sz w:val="21"/>
                <w:szCs w:val="21"/>
              </w:rPr>
              <w:t>月</w:t>
            </w:r>
          </w:p>
        </w:tc>
        <w:tc>
          <w:tcPr>
            <w:tcW w:w="1022" w:type="dxa"/>
            <w:tcBorders>
              <w:top w:val="single" w:color="auto" w:sz="4" w:space="0"/>
              <w:left w:val="single" w:color="auto" w:sz="4" w:space="0"/>
            </w:tcBorders>
            <w:shd w:val="clear" w:color="auto" w:fill="FFFFFF"/>
            <w:noWrap w:val="0"/>
            <w:vAlign w:val="center"/>
          </w:tcPr>
          <w:p w14:paraId="4836DA78">
            <w:pPr>
              <w:pStyle w:val="38"/>
              <w:spacing w:line="440" w:lineRule="exact"/>
              <w:ind w:firstLine="0"/>
              <w:rPr>
                <w:sz w:val="21"/>
                <w:szCs w:val="21"/>
              </w:rPr>
            </w:pPr>
            <w:r>
              <w:rPr>
                <w:rFonts w:hint="eastAsia"/>
                <w:sz w:val="21"/>
                <w:szCs w:val="21"/>
              </w:rPr>
              <w:t>工程预付款</w:t>
            </w:r>
          </w:p>
        </w:tc>
        <w:tc>
          <w:tcPr>
            <w:tcW w:w="1416" w:type="dxa"/>
            <w:tcBorders>
              <w:top w:val="single" w:color="auto" w:sz="4" w:space="0"/>
              <w:left w:val="single" w:color="auto" w:sz="4" w:space="0"/>
            </w:tcBorders>
            <w:shd w:val="clear" w:color="auto" w:fill="FFFFFF"/>
            <w:noWrap w:val="0"/>
            <w:vAlign w:val="center"/>
          </w:tcPr>
          <w:p w14:paraId="1BBE03CE">
            <w:pPr>
              <w:pStyle w:val="38"/>
              <w:spacing w:line="440" w:lineRule="exact"/>
              <w:ind w:firstLine="0"/>
              <w:rPr>
                <w:sz w:val="21"/>
                <w:szCs w:val="21"/>
              </w:rPr>
            </w:pPr>
            <w:r>
              <w:rPr>
                <w:rFonts w:hint="eastAsia"/>
                <w:sz w:val="21"/>
                <w:szCs w:val="21"/>
              </w:rPr>
              <w:t>完成工作量付款</w:t>
            </w:r>
          </w:p>
        </w:tc>
        <w:tc>
          <w:tcPr>
            <w:tcW w:w="1022" w:type="dxa"/>
            <w:tcBorders>
              <w:top w:val="single" w:color="auto" w:sz="4" w:space="0"/>
              <w:left w:val="single" w:color="auto" w:sz="4" w:space="0"/>
            </w:tcBorders>
            <w:shd w:val="clear" w:color="auto" w:fill="FFFFFF"/>
            <w:noWrap w:val="0"/>
            <w:vAlign w:val="center"/>
          </w:tcPr>
          <w:p w14:paraId="2C783DDD">
            <w:pPr>
              <w:pStyle w:val="38"/>
              <w:spacing w:line="440" w:lineRule="exact"/>
              <w:ind w:firstLine="0"/>
              <w:rPr>
                <w:sz w:val="21"/>
                <w:szCs w:val="21"/>
              </w:rPr>
            </w:pPr>
            <w:r>
              <w:rPr>
                <w:rFonts w:hint="eastAsia"/>
                <w:sz w:val="21"/>
                <w:szCs w:val="21"/>
              </w:rPr>
              <w:t>保留金扣留</w:t>
            </w:r>
          </w:p>
        </w:tc>
        <w:tc>
          <w:tcPr>
            <w:tcW w:w="1018" w:type="dxa"/>
            <w:tcBorders>
              <w:top w:val="single" w:color="auto" w:sz="4" w:space="0"/>
              <w:left w:val="single" w:color="auto" w:sz="4" w:space="0"/>
            </w:tcBorders>
            <w:shd w:val="clear" w:color="auto" w:fill="FFFFFF"/>
            <w:noWrap w:val="0"/>
            <w:vAlign w:val="center"/>
          </w:tcPr>
          <w:p w14:paraId="09DCC61B">
            <w:pPr>
              <w:pStyle w:val="38"/>
              <w:spacing w:line="440" w:lineRule="exact"/>
              <w:ind w:firstLine="0"/>
              <w:rPr>
                <w:sz w:val="21"/>
                <w:szCs w:val="21"/>
              </w:rPr>
            </w:pPr>
            <w:r>
              <w:rPr>
                <w:rFonts w:hint="eastAsia"/>
                <w:sz w:val="21"/>
                <w:szCs w:val="21"/>
              </w:rPr>
              <w:t>材料款扣除</w:t>
            </w:r>
          </w:p>
        </w:tc>
        <w:tc>
          <w:tcPr>
            <w:tcW w:w="1022" w:type="dxa"/>
            <w:tcBorders>
              <w:top w:val="single" w:color="auto" w:sz="4" w:space="0"/>
              <w:left w:val="single" w:color="auto" w:sz="4" w:space="0"/>
            </w:tcBorders>
            <w:shd w:val="clear" w:color="auto" w:fill="FFFFFF"/>
            <w:noWrap w:val="0"/>
            <w:vAlign w:val="center"/>
          </w:tcPr>
          <w:p w14:paraId="70D210F8">
            <w:pPr>
              <w:pStyle w:val="38"/>
              <w:spacing w:line="440" w:lineRule="exact"/>
              <w:ind w:firstLine="0"/>
              <w:rPr>
                <w:sz w:val="21"/>
                <w:szCs w:val="21"/>
              </w:rPr>
            </w:pPr>
            <w:r>
              <w:rPr>
                <w:rFonts w:hint="eastAsia"/>
                <w:sz w:val="21"/>
                <w:szCs w:val="21"/>
              </w:rPr>
              <w:t>预付款扣还</w:t>
            </w:r>
          </w:p>
        </w:tc>
        <w:tc>
          <w:tcPr>
            <w:tcW w:w="451" w:type="dxa"/>
            <w:tcBorders>
              <w:top w:val="single" w:color="auto" w:sz="4" w:space="0"/>
              <w:left w:val="single" w:color="auto" w:sz="4" w:space="0"/>
            </w:tcBorders>
            <w:shd w:val="clear" w:color="auto" w:fill="FFFFFF"/>
            <w:noWrap w:val="0"/>
            <w:vAlign w:val="center"/>
          </w:tcPr>
          <w:p w14:paraId="1657DA51">
            <w:pPr>
              <w:pStyle w:val="38"/>
              <w:spacing w:line="440" w:lineRule="exact"/>
              <w:ind w:firstLine="0"/>
              <w:rPr>
                <w:sz w:val="21"/>
                <w:szCs w:val="21"/>
              </w:rPr>
            </w:pPr>
            <w:r>
              <w:rPr>
                <w:rFonts w:hint="eastAsia"/>
                <w:sz w:val="21"/>
                <w:szCs w:val="21"/>
              </w:rPr>
              <w:t>其他</w:t>
            </w:r>
          </w:p>
        </w:tc>
        <w:tc>
          <w:tcPr>
            <w:tcW w:w="682" w:type="dxa"/>
            <w:tcBorders>
              <w:top w:val="single" w:color="auto" w:sz="4" w:space="0"/>
              <w:left w:val="single" w:color="auto" w:sz="4" w:space="0"/>
            </w:tcBorders>
            <w:shd w:val="clear" w:color="auto" w:fill="FFFFFF"/>
            <w:noWrap w:val="0"/>
            <w:vAlign w:val="center"/>
          </w:tcPr>
          <w:p w14:paraId="327F71C0">
            <w:pPr>
              <w:pStyle w:val="38"/>
              <w:spacing w:line="440" w:lineRule="exact"/>
              <w:ind w:firstLine="0"/>
              <w:rPr>
                <w:sz w:val="21"/>
                <w:szCs w:val="21"/>
              </w:rPr>
            </w:pPr>
            <w:r>
              <w:rPr>
                <w:rFonts w:hint="eastAsia"/>
                <w:sz w:val="21"/>
                <w:szCs w:val="21"/>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25A31FAD">
            <w:pPr>
              <w:pStyle w:val="38"/>
              <w:spacing w:line="440" w:lineRule="exact"/>
              <w:ind w:firstLine="0"/>
              <w:rPr>
                <w:sz w:val="21"/>
                <w:szCs w:val="21"/>
              </w:rPr>
            </w:pPr>
            <w:r>
              <w:rPr>
                <w:rFonts w:hint="eastAsia"/>
                <w:sz w:val="21"/>
                <w:szCs w:val="21"/>
              </w:rPr>
              <w:t>累计应收款</w:t>
            </w:r>
          </w:p>
        </w:tc>
      </w:tr>
      <w:tr w14:paraId="47E8EDBE">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69E24CB6">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5A456B4B">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3C29F485">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171989F2">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539C6D3C">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0D1465E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42DA2512">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59F61627">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4B6C85F3">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791A82A3">
            <w:pPr>
              <w:spacing w:line="440" w:lineRule="exact"/>
              <w:jc w:val="left"/>
              <w:rPr>
                <w:rFonts w:ascii="宋体" w:hAnsi="宋体" w:cs="宋体"/>
                <w:szCs w:val="21"/>
              </w:rPr>
            </w:pPr>
          </w:p>
        </w:tc>
      </w:tr>
      <w:tr w14:paraId="7EF77919">
        <w:tblPrEx>
          <w:tblCellMar>
            <w:top w:w="0" w:type="dxa"/>
            <w:left w:w="10" w:type="dxa"/>
            <w:bottom w:w="0" w:type="dxa"/>
            <w:right w:w="10" w:type="dxa"/>
          </w:tblCellMar>
        </w:tblPrEx>
        <w:trPr>
          <w:trHeight w:val="456" w:hRule="exact"/>
          <w:jc w:val="center"/>
        </w:trPr>
        <w:tc>
          <w:tcPr>
            <w:tcW w:w="458" w:type="dxa"/>
            <w:tcBorders>
              <w:top w:val="single" w:color="auto" w:sz="4" w:space="0"/>
              <w:left w:val="single" w:color="auto" w:sz="4" w:space="0"/>
            </w:tcBorders>
            <w:shd w:val="clear" w:color="auto" w:fill="FFFFFF"/>
            <w:noWrap w:val="0"/>
            <w:vAlign w:val="top"/>
          </w:tcPr>
          <w:p w14:paraId="2582BCB8">
            <w:pPr>
              <w:spacing w:line="440" w:lineRule="exact"/>
              <w:jc w:val="left"/>
              <w:rPr>
                <w:rFonts w:ascii="宋体" w:hAnsi="宋体" w:cs="宋体"/>
                <w:szCs w:val="21"/>
              </w:rPr>
            </w:pPr>
          </w:p>
        </w:tc>
        <w:tc>
          <w:tcPr>
            <w:tcW w:w="336" w:type="dxa"/>
            <w:tcBorders>
              <w:top w:val="single" w:color="auto" w:sz="4" w:space="0"/>
              <w:left w:val="single" w:color="auto" w:sz="4" w:space="0"/>
            </w:tcBorders>
            <w:shd w:val="clear" w:color="auto" w:fill="FFFFFF"/>
            <w:noWrap w:val="0"/>
            <w:vAlign w:val="top"/>
          </w:tcPr>
          <w:p w14:paraId="38E92FD8">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4A702B9">
            <w:pPr>
              <w:spacing w:line="440" w:lineRule="exact"/>
              <w:jc w:val="left"/>
              <w:rPr>
                <w:rFonts w:ascii="宋体" w:hAnsi="宋体" w:cs="宋体"/>
                <w:szCs w:val="21"/>
              </w:rPr>
            </w:pPr>
          </w:p>
        </w:tc>
        <w:tc>
          <w:tcPr>
            <w:tcW w:w="1416" w:type="dxa"/>
            <w:tcBorders>
              <w:top w:val="single" w:color="auto" w:sz="4" w:space="0"/>
              <w:left w:val="single" w:color="auto" w:sz="4" w:space="0"/>
            </w:tcBorders>
            <w:shd w:val="clear" w:color="auto" w:fill="FFFFFF"/>
            <w:noWrap w:val="0"/>
            <w:vAlign w:val="top"/>
          </w:tcPr>
          <w:p w14:paraId="25168B5A">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2593B581">
            <w:pPr>
              <w:spacing w:line="440" w:lineRule="exact"/>
              <w:jc w:val="left"/>
              <w:rPr>
                <w:rFonts w:ascii="宋体" w:hAnsi="宋体" w:cs="宋体"/>
                <w:szCs w:val="21"/>
              </w:rPr>
            </w:pPr>
          </w:p>
        </w:tc>
        <w:tc>
          <w:tcPr>
            <w:tcW w:w="1018" w:type="dxa"/>
            <w:tcBorders>
              <w:top w:val="single" w:color="auto" w:sz="4" w:space="0"/>
              <w:left w:val="single" w:color="auto" w:sz="4" w:space="0"/>
            </w:tcBorders>
            <w:shd w:val="clear" w:color="auto" w:fill="FFFFFF"/>
            <w:noWrap w:val="0"/>
            <w:vAlign w:val="top"/>
          </w:tcPr>
          <w:p w14:paraId="44977321">
            <w:pPr>
              <w:spacing w:line="440" w:lineRule="exact"/>
              <w:jc w:val="left"/>
              <w:rPr>
                <w:rFonts w:ascii="宋体" w:hAnsi="宋体" w:cs="宋体"/>
                <w:szCs w:val="21"/>
              </w:rPr>
            </w:pPr>
          </w:p>
        </w:tc>
        <w:tc>
          <w:tcPr>
            <w:tcW w:w="1022" w:type="dxa"/>
            <w:tcBorders>
              <w:top w:val="single" w:color="auto" w:sz="4" w:space="0"/>
              <w:left w:val="single" w:color="auto" w:sz="4" w:space="0"/>
            </w:tcBorders>
            <w:shd w:val="clear" w:color="auto" w:fill="FFFFFF"/>
            <w:noWrap w:val="0"/>
            <w:vAlign w:val="top"/>
          </w:tcPr>
          <w:p w14:paraId="6AF4ECCB">
            <w:pPr>
              <w:spacing w:line="440" w:lineRule="exact"/>
              <w:jc w:val="left"/>
              <w:rPr>
                <w:rFonts w:ascii="宋体" w:hAnsi="宋体" w:cs="宋体"/>
                <w:szCs w:val="21"/>
              </w:rPr>
            </w:pPr>
          </w:p>
        </w:tc>
        <w:tc>
          <w:tcPr>
            <w:tcW w:w="451" w:type="dxa"/>
            <w:tcBorders>
              <w:top w:val="single" w:color="auto" w:sz="4" w:space="0"/>
              <w:left w:val="single" w:color="auto" w:sz="4" w:space="0"/>
            </w:tcBorders>
            <w:shd w:val="clear" w:color="auto" w:fill="FFFFFF"/>
            <w:noWrap w:val="0"/>
            <w:vAlign w:val="top"/>
          </w:tcPr>
          <w:p w14:paraId="2A2CAAB1">
            <w:pPr>
              <w:spacing w:line="440" w:lineRule="exact"/>
              <w:jc w:val="left"/>
              <w:rPr>
                <w:rFonts w:ascii="宋体" w:hAnsi="宋体" w:cs="宋体"/>
                <w:szCs w:val="21"/>
              </w:rPr>
            </w:pPr>
          </w:p>
        </w:tc>
        <w:tc>
          <w:tcPr>
            <w:tcW w:w="682" w:type="dxa"/>
            <w:tcBorders>
              <w:top w:val="single" w:color="auto" w:sz="4" w:space="0"/>
              <w:left w:val="single" w:color="auto" w:sz="4" w:space="0"/>
            </w:tcBorders>
            <w:shd w:val="clear" w:color="auto" w:fill="FFFFFF"/>
            <w:noWrap w:val="0"/>
            <w:vAlign w:val="top"/>
          </w:tcPr>
          <w:p w14:paraId="03EC06B1">
            <w:pPr>
              <w:spacing w:line="440" w:lineRule="exact"/>
              <w:jc w:val="left"/>
              <w:rPr>
                <w:rFonts w:ascii="宋体" w:hAnsi="宋体" w:cs="宋体"/>
                <w:szCs w:val="21"/>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6CC1C297">
            <w:pPr>
              <w:spacing w:line="440" w:lineRule="exact"/>
              <w:jc w:val="left"/>
              <w:rPr>
                <w:rFonts w:ascii="宋体" w:hAnsi="宋体" w:cs="宋体"/>
                <w:szCs w:val="21"/>
              </w:rPr>
            </w:pPr>
          </w:p>
        </w:tc>
      </w:tr>
      <w:tr w14:paraId="37B9BE52">
        <w:tblPrEx>
          <w:tblCellMar>
            <w:top w:w="0" w:type="dxa"/>
            <w:left w:w="10" w:type="dxa"/>
            <w:bottom w:w="0" w:type="dxa"/>
            <w:right w:w="10" w:type="dxa"/>
          </w:tblCellMar>
        </w:tblPrEx>
        <w:trPr>
          <w:trHeight w:val="461" w:hRule="exact"/>
          <w:jc w:val="center"/>
        </w:trPr>
        <w:tc>
          <w:tcPr>
            <w:tcW w:w="458" w:type="dxa"/>
            <w:tcBorders>
              <w:top w:val="single" w:color="auto" w:sz="4" w:space="0"/>
              <w:left w:val="single" w:color="auto" w:sz="4" w:space="0"/>
              <w:bottom w:val="single" w:color="auto" w:sz="4" w:space="0"/>
            </w:tcBorders>
            <w:shd w:val="clear" w:color="auto" w:fill="FFFFFF"/>
            <w:noWrap w:val="0"/>
            <w:vAlign w:val="top"/>
          </w:tcPr>
          <w:p w14:paraId="5BB32F2A">
            <w:pPr>
              <w:spacing w:line="440" w:lineRule="exact"/>
              <w:jc w:val="left"/>
              <w:rPr>
                <w:rFonts w:ascii="宋体" w:hAnsi="宋体" w:cs="宋体"/>
                <w:szCs w:val="21"/>
              </w:rPr>
            </w:pPr>
          </w:p>
        </w:tc>
        <w:tc>
          <w:tcPr>
            <w:tcW w:w="336" w:type="dxa"/>
            <w:tcBorders>
              <w:top w:val="single" w:color="auto" w:sz="4" w:space="0"/>
              <w:left w:val="single" w:color="auto" w:sz="4" w:space="0"/>
              <w:bottom w:val="single" w:color="auto" w:sz="4" w:space="0"/>
            </w:tcBorders>
            <w:shd w:val="clear" w:color="auto" w:fill="FFFFFF"/>
            <w:noWrap w:val="0"/>
            <w:vAlign w:val="top"/>
          </w:tcPr>
          <w:p w14:paraId="22C20A4F">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8DBE2ED">
            <w:pPr>
              <w:spacing w:line="440" w:lineRule="exact"/>
              <w:jc w:val="left"/>
              <w:rPr>
                <w:rFonts w:ascii="宋体" w:hAnsi="宋体" w:cs="宋体"/>
                <w:szCs w:val="21"/>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252AEC0D">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0F3433CB">
            <w:pPr>
              <w:spacing w:line="440" w:lineRule="exact"/>
              <w:jc w:val="left"/>
              <w:rPr>
                <w:rFonts w:ascii="宋体" w:hAnsi="宋体" w:cs="宋体"/>
                <w:szCs w:val="21"/>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349875C8">
            <w:pPr>
              <w:spacing w:line="440" w:lineRule="exact"/>
              <w:jc w:val="left"/>
              <w:rPr>
                <w:rFonts w:ascii="宋体" w:hAnsi="宋体" w:cs="宋体"/>
                <w:szCs w:val="21"/>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5B2C95E5">
            <w:pPr>
              <w:spacing w:line="440" w:lineRule="exact"/>
              <w:jc w:val="left"/>
              <w:rPr>
                <w:rFonts w:ascii="宋体" w:hAnsi="宋体" w:cs="宋体"/>
                <w:szCs w:val="21"/>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206C9424">
            <w:pPr>
              <w:spacing w:line="440" w:lineRule="exact"/>
              <w:jc w:val="left"/>
              <w:rPr>
                <w:rFonts w:ascii="宋体" w:hAnsi="宋体" w:cs="宋体"/>
                <w:szCs w:val="21"/>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2E622CB6">
            <w:pPr>
              <w:spacing w:line="440" w:lineRule="exact"/>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DCB4B49">
            <w:pPr>
              <w:spacing w:line="440" w:lineRule="exact"/>
              <w:jc w:val="left"/>
              <w:rPr>
                <w:rFonts w:ascii="宋体" w:hAnsi="宋体" w:cs="宋体"/>
                <w:szCs w:val="21"/>
              </w:rPr>
            </w:pPr>
          </w:p>
        </w:tc>
      </w:tr>
    </w:tbl>
    <w:p w14:paraId="440888B9">
      <w:pPr>
        <w:pStyle w:val="2"/>
        <w:numPr>
          <w:ilvl w:val="0"/>
          <w:numId w:val="0"/>
        </w:numPr>
        <w:bidi w:val="0"/>
        <w:ind w:left="482" w:leftChars="0"/>
      </w:pPr>
      <w:bookmarkStart w:id="637" w:name="bookmark1166"/>
      <w:bookmarkEnd w:id="637"/>
      <w:bookmarkStart w:id="638" w:name="bookmark1167"/>
      <w:bookmarkStart w:id="639" w:name="bookmark1165"/>
      <w:bookmarkStart w:id="640" w:name="bookmark1164"/>
      <w:bookmarkStart w:id="641" w:name="_Toc24903"/>
      <w:bookmarkStart w:id="642" w:name="_Toc14710345"/>
      <w:r>
        <w:t>11. 开工和竣工（完工）</w:t>
      </w:r>
      <w:bookmarkEnd w:id="638"/>
      <w:bookmarkEnd w:id="639"/>
      <w:bookmarkEnd w:id="640"/>
      <w:bookmarkEnd w:id="641"/>
      <w:bookmarkEnd w:id="642"/>
    </w:p>
    <w:p w14:paraId="6C4CAD1F">
      <w:pPr>
        <w:pStyle w:val="2"/>
        <w:numPr>
          <w:ilvl w:val="0"/>
          <w:numId w:val="0"/>
        </w:numPr>
        <w:bidi w:val="0"/>
        <w:ind w:left="482" w:leftChars="0"/>
      </w:pPr>
      <w:bookmarkStart w:id="643" w:name="bookmark1169"/>
      <w:bookmarkStart w:id="644" w:name="bookmark1168"/>
      <w:bookmarkStart w:id="645" w:name="_Toc14710346"/>
      <w:bookmarkStart w:id="646" w:name="_Toc23713"/>
      <w:bookmarkStart w:id="647" w:name="bookmark1170"/>
      <w:r>
        <w:t>11.1 开工</w:t>
      </w:r>
      <w:bookmarkEnd w:id="643"/>
      <w:bookmarkEnd w:id="644"/>
      <w:bookmarkEnd w:id="645"/>
      <w:bookmarkEnd w:id="646"/>
      <w:bookmarkEnd w:id="647"/>
    </w:p>
    <w:p w14:paraId="78B87EF0">
      <w:pPr>
        <w:pStyle w:val="11"/>
      </w:pPr>
      <w:r>
        <w:t>11.1.1监理人应在开工日期7天前向承包人发出开工通知。监理人在发出开工通知前应获得发包人同意。工期自监理人发出的开工通知中载明的开工日期起计算。承包人应 在开工日期后尽快施工。</w:t>
      </w:r>
    </w:p>
    <w:p w14:paraId="7859395D">
      <w:pPr>
        <w:pStyle w:val="11"/>
      </w:pPr>
      <w:r>
        <w:t>11.1.2承包人应按第10. 1款约定的合同进度计划，向监理人提交工程开工报审表,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0F04A25F">
      <w:pPr>
        <w:pStyle w:val="11"/>
      </w:pPr>
      <w:r>
        <w:t>11.1.3若发包人未能按合同约定向承包人提供开工的必要条件，承包人有权要求延 长工期。监理人应在收到承包人的书面要求后，按第3. 5款的约定，与合同双方商定或确定增加的费用和延长的工期。</w:t>
      </w:r>
    </w:p>
    <w:p w14:paraId="303A8D8B">
      <w:pPr>
        <w:pStyle w:val="11"/>
      </w:pPr>
      <w: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621A8D6B">
      <w:pPr>
        <w:pStyle w:val="2"/>
        <w:numPr>
          <w:ilvl w:val="0"/>
          <w:numId w:val="0"/>
        </w:numPr>
        <w:bidi w:val="0"/>
        <w:ind w:left="482" w:leftChars="0"/>
      </w:pPr>
      <w:bookmarkStart w:id="648" w:name="_Toc14710347"/>
      <w:bookmarkStart w:id="649" w:name="bookmark1173"/>
      <w:bookmarkStart w:id="650" w:name="bookmark1172"/>
      <w:bookmarkStart w:id="651" w:name="bookmark1171"/>
      <w:bookmarkStart w:id="652" w:name="_Toc29025"/>
      <w:r>
        <w:t>11.2竣工(完工)</w:t>
      </w:r>
      <w:bookmarkEnd w:id="648"/>
      <w:bookmarkEnd w:id="649"/>
      <w:bookmarkEnd w:id="650"/>
      <w:bookmarkEnd w:id="651"/>
      <w:bookmarkEnd w:id="652"/>
    </w:p>
    <w:p w14:paraId="51BC016A">
      <w:pPr>
        <w:pStyle w:val="11"/>
      </w:pPr>
      <w:r>
        <w:t>承包人应在第1.1. 4. 3目约定的期限内完成合同工程。合同工程实际完工时间在合同工程完工证书中明确（以完工验收鉴定书或竣工验收鉴定书标明的验收日期为准，没有标明验收日期的则以印发鉴定书的日期为准）。</w:t>
      </w:r>
    </w:p>
    <w:p w14:paraId="41884CCD">
      <w:pPr>
        <w:pStyle w:val="2"/>
        <w:numPr>
          <w:ilvl w:val="0"/>
          <w:numId w:val="0"/>
        </w:numPr>
        <w:bidi w:val="0"/>
        <w:ind w:left="482" w:leftChars="0"/>
      </w:pPr>
      <w:bookmarkStart w:id="653" w:name="_Toc14710348"/>
      <w:bookmarkStart w:id="654" w:name="_Toc7284"/>
      <w:bookmarkStart w:id="655" w:name="bookmark1175"/>
      <w:bookmarkStart w:id="656" w:name="bookmark1176"/>
      <w:bookmarkStart w:id="657" w:name="bookmark1174"/>
      <w:r>
        <w:t>11.3发包人的工期延误</w:t>
      </w:r>
      <w:bookmarkEnd w:id="653"/>
      <w:bookmarkEnd w:id="654"/>
      <w:bookmarkEnd w:id="655"/>
      <w:bookmarkEnd w:id="656"/>
      <w:bookmarkEnd w:id="657"/>
    </w:p>
    <w:p w14:paraId="22A43591">
      <w:pPr>
        <w:pStyle w:val="11"/>
      </w:pPr>
      <w:r>
        <w:t>在履行合同过程中，由于发包人的下列原因造成工期延误的，承包人有权要求发包人延长工期和(或)增加费用，并支付合理利润。需要修订合同进度计划的，按照第10. 2款的约定办理。</w:t>
      </w:r>
    </w:p>
    <w:p w14:paraId="0409C38C">
      <w:pPr>
        <w:pStyle w:val="11"/>
      </w:pPr>
      <w:r>
        <w:rPr>
          <w:b w:val="0"/>
          <w:i w:val="0"/>
          <w:strike w:val="0"/>
          <w:color w:val="000000"/>
          <w:u w:val="none"/>
        </w:rPr>
        <w:t>(1)</w:t>
      </w:r>
      <w:r>
        <w:t>增加合同工作内容；</w:t>
      </w:r>
    </w:p>
    <w:p w14:paraId="047FDD48">
      <w:pPr>
        <w:pStyle w:val="11"/>
      </w:pPr>
      <w:r>
        <w:rPr>
          <w:b w:val="0"/>
          <w:i w:val="0"/>
          <w:strike w:val="0"/>
          <w:color w:val="000000"/>
          <w:u w:val="none"/>
        </w:rPr>
        <w:t>(2)</w:t>
      </w:r>
      <w:r>
        <w:t>改变合同中任何一项工作的质量要求或其他特性；</w:t>
      </w:r>
    </w:p>
    <w:p w14:paraId="53CDA2E7">
      <w:pPr>
        <w:pStyle w:val="11"/>
      </w:pPr>
      <w:r>
        <w:rPr>
          <w:b w:val="0"/>
          <w:i w:val="0"/>
          <w:strike w:val="0"/>
          <w:color w:val="000000"/>
          <w:u w:val="none"/>
        </w:rPr>
        <w:t>(3)</w:t>
      </w:r>
      <w:r>
        <w:t>发包人迟延提供材料、工程设备或变更交货地点的；</w:t>
      </w:r>
    </w:p>
    <w:p w14:paraId="565B7567">
      <w:pPr>
        <w:pStyle w:val="11"/>
      </w:pPr>
      <w:r>
        <w:rPr>
          <w:b w:val="0"/>
          <w:i w:val="0"/>
          <w:strike w:val="0"/>
          <w:color w:val="000000"/>
          <w:u w:val="none"/>
        </w:rPr>
        <w:t>(4)</w:t>
      </w:r>
      <w:r>
        <w:t>因发包人原因导致的暂停施工；</w:t>
      </w:r>
    </w:p>
    <w:p w14:paraId="3DD26290">
      <w:pPr>
        <w:pStyle w:val="11"/>
      </w:pPr>
      <w:r>
        <w:rPr>
          <w:b w:val="0"/>
          <w:i w:val="0"/>
          <w:strike w:val="0"/>
          <w:color w:val="000000"/>
          <w:u w:val="none"/>
        </w:rPr>
        <w:t>(5)</w:t>
      </w:r>
      <w:r>
        <w:t>提供图纸延误；</w:t>
      </w:r>
    </w:p>
    <w:p w14:paraId="09C45C6A">
      <w:pPr>
        <w:pStyle w:val="11"/>
      </w:pPr>
      <w:r>
        <w:rPr>
          <w:b w:val="0"/>
          <w:i w:val="0"/>
          <w:strike w:val="0"/>
          <w:color w:val="000000"/>
          <w:u w:val="none"/>
        </w:rPr>
        <w:t>(6)</w:t>
      </w:r>
      <w:r>
        <w:t>未按合同约定及时支付预付款、进度款；</w:t>
      </w:r>
    </w:p>
    <w:p w14:paraId="0DA7ECE5">
      <w:pPr>
        <w:pStyle w:val="11"/>
      </w:pPr>
      <w:r>
        <w:rPr>
          <w:b w:val="0"/>
          <w:i w:val="0"/>
          <w:strike w:val="0"/>
          <w:color w:val="000000"/>
          <w:u w:val="none"/>
        </w:rPr>
        <w:t>(7)</w:t>
      </w:r>
      <w:r>
        <w:t>发包人造成工期延误的其他原因。</w:t>
      </w:r>
    </w:p>
    <w:p w14:paraId="4D606B58">
      <w:pPr>
        <w:pStyle w:val="2"/>
        <w:numPr>
          <w:ilvl w:val="0"/>
          <w:numId w:val="0"/>
        </w:numPr>
        <w:bidi w:val="0"/>
        <w:ind w:left="482" w:leftChars="0"/>
      </w:pPr>
      <w:bookmarkStart w:id="658" w:name="_Toc10371"/>
      <w:bookmarkStart w:id="659" w:name="bookmark1184"/>
      <w:bookmarkStart w:id="660" w:name="_Toc14710349"/>
      <w:bookmarkStart w:id="661" w:name="bookmark1186"/>
      <w:bookmarkStart w:id="662" w:name="bookmark1185"/>
      <w:r>
        <w:t>11.4异常恶劣的气候条件</w:t>
      </w:r>
      <w:bookmarkEnd w:id="658"/>
      <w:bookmarkEnd w:id="659"/>
      <w:bookmarkEnd w:id="660"/>
      <w:bookmarkEnd w:id="661"/>
      <w:bookmarkEnd w:id="662"/>
    </w:p>
    <w:p w14:paraId="04E8AAC7">
      <w:pPr>
        <w:pStyle w:val="11"/>
      </w:pPr>
      <w: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6B95A716">
      <w:pPr>
        <w:pStyle w:val="11"/>
      </w:pPr>
      <w:r>
        <w:t>11.4.2异常恶劣气候条件造成的工期延误和工程损坏，应由发包人与承包人参照本合同通用合同条款第21. 3款的约定共同协商处理。</w:t>
      </w:r>
    </w:p>
    <w:p w14:paraId="749DB8C6">
      <w:pPr>
        <w:pStyle w:val="11"/>
      </w:pPr>
      <w:r>
        <w:t>11.4.3本合同工程界定异常恶劣气候条件的范围在专用合同条款中约定。</w:t>
      </w:r>
    </w:p>
    <w:p w14:paraId="443BE768">
      <w:pPr>
        <w:pStyle w:val="2"/>
        <w:numPr>
          <w:ilvl w:val="0"/>
          <w:numId w:val="0"/>
        </w:numPr>
        <w:bidi w:val="0"/>
        <w:ind w:left="482" w:leftChars="0"/>
      </w:pPr>
      <w:bookmarkStart w:id="663" w:name="_Toc1075"/>
      <w:bookmarkStart w:id="664" w:name="bookmark1187"/>
      <w:bookmarkStart w:id="665" w:name="_Toc14710350"/>
      <w:bookmarkStart w:id="666" w:name="bookmark1189"/>
      <w:bookmarkStart w:id="667" w:name="bookmark1188"/>
      <w:r>
        <w:t>11.5承包人工期延误</w:t>
      </w:r>
      <w:bookmarkEnd w:id="663"/>
      <w:bookmarkEnd w:id="664"/>
      <w:bookmarkEnd w:id="665"/>
      <w:bookmarkEnd w:id="666"/>
      <w:bookmarkEnd w:id="667"/>
    </w:p>
    <w:p w14:paraId="4A693CC6">
      <w:pPr>
        <w:pStyle w:val="11"/>
      </w:pPr>
      <w: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7018268C">
      <w:pPr>
        <w:pStyle w:val="2"/>
        <w:numPr>
          <w:ilvl w:val="0"/>
          <w:numId w:val="0"/>
        </w:numPr>
        <w:bidi w:val="0"/>
        <w:ind w:left="482" w:leftChars="0"/>
      </w:pPr>
      <w:bookmarkStart w:id="668" w:name="_Toc14969"/>
      <w:bookmarkStart w:id="669" w:name="bookmark1192"/>
      <w:bookmarkStart w:id="670" w:name="_Toc14710351"/>
      <w:bookmarkStart w:id="671" w:name="bookmark1191"/>
      <w:bookmarkStart w:id="672" w:name="bookmark1190"/>
      <w:r>
        <w:t>11.6工期提前</w:t>
      </w:r>
      <w:bookmarkEnd w:id="668"/>
      <w:bookmarkEnd w:id="669"/>
      <w:bookmarkEnd w:id="670"/>
      <w:bookmarkEnd w:id="671"/>
      <w:bookmarkEnd w:id="672"/>
    </w:p>
    <w:p w14:paraId="59DD8795">
      <w:pPr>
        <w:pStyle w:val="11"/>
      </w:pPr>
      <w: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5CC12D5B">
      <w:pPr>
        <w:pStyle w:val="11"/>
      </w:pPr>
      <w:r>
        <w:t>发包人要求提前完工的，双方协商一致后应签订提前完工协议，协议内容包括：</w:t>
      </w:r>
    </w:p>
    <w:p w14:paraId="53104BD6">
      <w:pPr>
        <w:pStyle w:val="11"/>
      </w:pPr>
      <w:bookmarkStart w:id="673" w:name="bookmark1193"/>
      <w:bookmarkEnd w:id="673"/>
      <w:r>
        <w:rPr>
          <w:b w:val="0"/>
          <w:i w:val="0"/>
          <w:strike w:val="0"/>
          <w:color w:val="000000"/>
          <w:u w:val="none"/>
        </w:rPr>
        <w:t>(1)</w:t>
      </w:r>
      <w:r>
        <w:t>提前的时间和修订后的进度计划。</w:t>
      </w:r>
    </w:p>
    <w:p w14:paraId="4A6F604A">
      <w:pPr>
        <w:pStyle w:val="11"/>
      </w:pPr>
      <w:bookmarkStart w:id="674" w:name="bookmark1194"/>
      <w:bookmarkEnd w:id="674"/>
      <w:r>
        <w:rPr>
          <w:b w:val="0"/>
          <w:i w:val="0"/>
          <w:strike w:val="0"/>
          <w:color w:val="000000"/>
          <w:u w:val="none"/>
        </w:rPr>
        <w:t>(2)</w:t>
      </w:r>
      <w:r>
        <w:t>承包人的赶工措施。</w:t>
      </w:r>
    </w:p>
    <w:p w14:paraId="562431C7">
      <w:pPr>
        <w:pStyle w:val="11"/>
      </w:pPr>
      <w:r>
        <w:rPr>
          <w:b w:val="0"/>
          <w:i w:val="0"/>
          <w:strike w:val="0"/>
          <w:color w:val="000000"/>
          <w:u w:val="none"/>
        </w:rPr>
        <w:t>(3)</w:t>
      </w:r>
      <w:r>
        <w:t>发包人为赶工提供的条件。</w:t>
      </w:r>
    </w:p>
    <w:p w14:paraId="25D73B0C">
      <w:pPr>
        <w:pStyle w:val="11"/>
      </w:pPr>
      <w:bookmarkStart w:id="675" w:name="bookmark1196"/>
      <w:bookmarkEnd w:id="675"/>
      <w:r>
        <w:rPr>
          <w:b w:val="0"/>
          <w:i w:val="0"/>
          <w:strike w:val="0"/>
          <w:color w:val="000000"/>
          <w:u w:val="none"/>
        </w:rPr>
        <w:t>(4)</w:t>
      </w:r>
      <w:r>
        <w:t>赶工费用(包括利润和奖金)</w:t>
      </w:r>
    </w:p>
    <w:p w14:paraId="708A5D04">
      <w:pPr>
        <w:pStyle w:val="2"/>
        <w:numPr>
          <w:ilvl w:val="0"/>
          <w:numId w:val="0"/>
        </w:numPr>
        <w:bidi w:val="0"/>
        <w:ind w:left="482" w:leftChars="0"/>
      </w:pPr>
      <w:bookmarkStart w:id="676" w:name="bookmark1197"/>
      <w:bookmarkStart w:id="677" w:name="bookmark1198"/>
      <w:bookmarkStart w:id="678" w:name="_Toc8400"/>
      <w:bookmarkStart w:id="679" w:name="_Toc14710352"/>
      <w:bookmarkStart w:id="680" w:name="bookmark1199"/>
      <w:r>
        <w:t>12.暂停施工</w:t>
      </w:r>
      <w:bookmarkEnd w:id="676"/>
      <w:bookmarkEnd w:id="677"/>
      <w:bookmarkEnd w:id="678"/>
      <w:bookmarkEnd w:id="679"/>
      <w:bookmarkEnd w:id="680"/>
    </w:p>
    <w:p w14:paraId="1CA4D9CC">
      <w:pPr>
        <w:pStyle w:val="2"/>
        <w:numPr>
          <w:ilvl w:val="0"/>
          <w:numId w:val="0"/>
        </w:numPr>
        <w:bidi w:val="0"/>
        <w:ind w:left="482" w:leftChars="0"/>
      </w:pPr>
      <w:bookmarkStart w:id="681" w:name="bookmark1201"/>
      <w:bookmarkStart w:id="682" w:name="bookmark1202"/>
      <w:bookmarkStart w:id="683" w:name="_Toc25279"/>
      <w:bookmarkStart w:id="684" w:name="bookmark1200"/>
      <w:bookmarkStart w:id="685" w:name="_Toc14710353"/>
      <w:r>
        <w:t>12.1承包人暂停施工的责任</w:t>
      </w:r>
      <w:bookmarkEnd w:id="681"/>
      <w:bookmarkEnd w:id="682"/>
      <w:bookmarkEnd w:id="683"/>
      <w:bookmarkEnd w:id="684"/>
      <w:bookmarkEnd w:id="685"/>
    </w:p>
    <w:p w14:paraId="3FBF8A63">
      <w:pPr>
        <w:pStyle w:val="11"/>
      </w:pPr>
      <w:r>
        <w:t>因下列暂停施工增加的费用和(或)工期延误由承包人承担：</w:t>
      </w:r>
    </w:p>
    <w:p w14:paraId="5A596D35">
      <w:pPr>
        <w:pStyle w:val="11"/>
      </w:pPr>
      <w:bookmarkStart w:id="686" w:name="bookmark1203"/>
      <w:bookmarkEnd w:id="686"/>
      <w:r>
        <w:rPr>
          <w:b w:val="0"/>
          <w:i w:val="0"/>
          <w:strike w:val="0"/>
          <w:color w:val="000000"/>
          <w:u w:val="none"/>
        </w:rPr>
        <w:t>(1)</w:t>
      </w:r>
      <w:r>
        <w:t>承包人违约引起的暂停施工；</w:t>
      </w:r>
    </w:p>
    <w:p w14:paraId="70E56D12">
      <w:pPr>
        <w:pStyle w:val="11"/>
      </w:pPr>
      <w:bookmarkStart w:id="687" w:name="bookmark1204"/>
      <w:bookmarkEnd w:id="687"/>
      <w:r>
        <w:rPr>
          <w:b w:val="0"/>
          <w:i w:val="0"/>
          <w:strike w:val="0"/>
          <w:color w:val="000000"/>
          <w:u w:val="none"/>
        </w:rPr>
        <w:t>(2)</w:t>
      </w:r>
      <w:r>
        <w:t>由于承包人原因为工程合理施工和安全保障所必需的暂停施工；</w:t>
      </w:r>
    </w:p>
    <w:p w14:paraId="1FDCE8F4">
      <w:pPr>
        <w:pStyle w:val="11"/>
      </w:pPr>
      <w:bookmarkStart w:id="688" w:name="bookmark1205"/>
      <w:bookmarkEnd w:id="688"/>
      <w:r>
        <w:rPr>
          <w:b w:val="0"/>
          <w:i w:val="0"/>
          <w:strike w:val="0"/>
          <w:color w:val="000000"/>
          <w:u w:val="none"/>
        </w:rPr>
        <w:t>(3)</w:t>
      </w:r>
      <w:r>
        <w:t>承包人擅自暂停施工；</w:t>
      </w:r>
    </w:p>
    <w:p w14:paraId="4379EF37">
      <w:pPr>
        <w:pStyle w:val="11"/>
      </w:pPr>
      <w:bookmarkStart w:id="689" w:name="bookmark1206"/>
      <w:bookmarkEnd w:id="689"/>
      <w:r>
        <w:rPr>
          <w:b w:val="0"/>
          <w:i w:val="0"/>
          <w:strike w:val="0"/>
          <w:color w:val="000000"/>
          <w:u w:val="none"/>
        </w:rPr>
        <w:t>(4)</w:t>
      </w:r>
      <w:r>
        <w:t>承包人其他原因引起的暂停施工；</w:t>
      </w:r>
    </w:p>
    <w:p w14:paraId="7BD2A371">
      <w:pPr>
        <w:pStyle w:val="11"/>
      </w:pPr>
      <w:bookmarkStart w:id="690" w:name="bookmark1207"/>
      <w:bookmarkEnd w:id="690"/>
      <w:r>
        <w:rPr>
          <w:b w:val="0"/>
          <w:i w:val="0"/>
          <w:strike w:val="0"/>
          <w:color w:val="000000"/>
          <w:u w:val="none"/>
        </w:rPr>
        <w:t>(5)</w:t>
      </w:r>
      <w:r>
        <w:t>专用合同条款约定由承包人承担的其他暂停施工。</w:t>
      </w:r>
    </w:p>
    <w:p w14:paraId="189E39A1">
      <w:pPr>
        <w:pStyle w:val="2"/>
        <w:numPr>
          <w:ilvl w:val="0"/>
          <w:numId w:val="0"/>
        </w:numPr>
        <w:bidi w:val="0"/>
        <w:ind w:left="482" w:leftChars="0"/>
      </w:pPr>
      <w:bookmarkStart w:id="691" w:name="_Toc19655"/>
      <w:bookmarkStart w:id="692" w:name="_Toc14710354"/>
      <w:bookmarkStart w:id="693" w:name="bookmark1210"/>
      <w:bookmarkStart w:id="694" w:name="bookmark1209"/>
      <w:bookmarkStart w:id="695" w:name="bookmark1208"/>
      <w:r>
        <w:t>12.2发包人暂停施工的责任</w:t>
      </w:r>
      <w:bookmarkEnd w:id="691"/>
      <w:bookmarkEnd w:id="692"/>
      <w:bookmarkEnd w:id="693"/>
      <w:bookmarkEnd w:id="694"/>
      <w:bookmarkEnd w:id="695"/>
    </w:p>
    <w:p w14:paraId="61664F9E">
      <w:pPr>
        <w:pStyle w:val="11"/>
      </w:pPr>
      <w:r>
        <w:t>由于发包人原因引起的暂停施工造成工期延误的，承包人有权要求发包人延长工期和 (或)增加费用，并支付合理利润。属于下列任何一种情况引起的暂停施工，均为发包人的责任：</w:t>
      </w:r>
    </w:p>
    <w:p w14:paraId="3051C34C">
      <w:pPr>
        <w:pStyle w:val="11"/>
      </w:pPr>
      <w:bookmarkStart w:id="696" w:name="bookmark1211"/>
      <w:bookmarkEnd w:id="696"/>
      <w:r>
        <w:rPr>
          <w:b w:val="0"/>
          <w:i w:val="0"/>
          <w:strike w:val="0"/>
          <w:color w:val="000000"/>
          <w:u w:val="none"/>
        </w:rPr>
        <w:t>(1)</w:t>
      </w:r>
      <w:r>
        <w:t>由于发包人违约引起的暂停施工。</w:t>
      </w:r>
    </w:p>
    <w:p w14:paraId="52A86A46">
      <w:pPr>
        <w:pStyle w:val="11"/>
      </w:pPr>
      <w:bookmarkStart w:id="697" w:name="bookmark1212"/>
      <w:bookmarkEnd w:id="697"/>
      <w:r>
        <w:rPr>
          <w:b w:val="0"/>
          <w:i w:val="0"/>
          <w:strike w:val="0"/>
          <w:color w:val="000000"/>
          <w:u w:val="none"/>
        </w:rPr>
        <w:t>(2)</w:t>
      </w:r>
      <w:r>
        <w:t>由于不可抗力的自然或社会因素引起的暂停施工。</w:t>
      </w:r>
    </w:p>
    <w:p w14:paraId="293D3A4D">
      <w:pPr>
        <w:pStyle w:val="11"/>
      </w:pPr>
      <w:bookmarkStart w:id="698" w:name="bookmark1213"/>
      <w:bookmarkEnd w:id="698"/>
      <w:r>
        <w:rPr>
          <w:b w:val="0"/>
          <w:i w:val="0"/>
          <w:strike w:val="0"/>
          <w:color w:val="000000"/>
          <w:u w:val="none"/>
        </w:rPr>
        <w:t>(3)</w:t>
      </w:r>
      <w:r>
        <w:t>专用合同条款中约定的其它由于发包人原因引起的暂停施工。</w:t>
      </w:r>
    </w:p>
    <w:p w14:paraId="5F38DD83">
      <w:pPr>
        <w:pStyle w:val="2"/>
        <w:numPr>
          <w:ilvl w:val="0"/>
          <w:numId w:val="0"/>
        </w:numPr>
        <w:bidi w:val="0"/>
        <w:ind w:left="482" w:leftChars="0"/>
      </w:pPr>
      <w:bookmarkStart w:id="699" w:name="bookmark1214"/>
      <w:bookmarkStart w:id="700" w:name="_Toc4901"/>
      <w:bookmarkStart w:id="701" w:name="bookmark1215"/>
      <w:bookmarkStart w:id="702" w:name="_Toc14710355"/>
      <w:bookmarkStart w:id="703" w:name="bookmark1216"/>
      <w:r>
        <w:t>12.3监理人暂停施工指示</w:t>
      </w:r>
      <w:bookmarkEnd w:id="699"/>
      <w:bookmarkEnd w:id="700"/>
      <w:bookmarkEnd w:id="701"/>
      <w:bookmarkEnd w:id="702"/>
      <w:bookmarkEnd w:id="703"/>
    </w:p>
    <w:p w14:paraId="34A134B2">
      <w:pPr>
        <w:pStyle w:val="11"/>
      </w:pPr>
      <w:r>
        <w:t>12.3.1监理人认为有必要时，可向承包人作出暂停施工的指示，承包人应按监理人指示暂停施工。不论由于何种原因引起的暂停施工，暂停施工期间承包人应负责妥善保护工程并提供安全保障。</w:t>
      </w:r>
    </w:p>
    <w:p w14:paraId="12FA82FA">
      <w:pPr>
        <w:pStyle w:val="11"/>
      </w:pPr>
      <w: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6F6C0D4">
      <w:pPr>
        <w:pStyle w:val="2"/>
        <w:numPr>
          <w:ilvl w:val="0"/>
          <w:numId w:val="0"/>
        </w:numPr>
        <w:bidi w:val="0"/>
        <w:ind w:left="482" w:leftChars="0"/>
      </w:pPr>
      <w:bookmarkStart w:id="704" w:name="_Toc14048"/>
      <w:bookmarkStart w:id="705" w:name="bookmark1218"/>
      <w:bookmarkStart w:id="706" w:name="_Toc14710356"/>
      <w:bookmarkStart w:id="707" w:name="bookmark1219"/>
      <w:bookmarkStart w:id="708" w:name="bookmark1217"/>
      <w:r>
        <w:t>12.4暂停施工后的复工</w:t>
      </w:r>
      <w:bookmarkEnd w:id="704"/>
      <w:bookmarkEnd w:id="705"/>
      <w:bookmarkEnd w:id="706"/>
      <w:bookmarkEnd w:id="707"/>
      <w:bookmarkEnd w:id="708"/>
    </w:p>
    <w:p w14:paraId="558B1E3C">
      <w:pPr>
        <w:pStyle w:val="11"/>
      </w:pPr>
      <w:bookmarkStart w:id="709" w:name="bookmark1220"/>
      <w:bookmarkEnd w:id="709"/>
      <w: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45E20162">
      <w:pPr>
        <w:pStyle w:val="11"/>
      </w:pPr>
      <w:bookmarkStart w:id="710" w:name="bookmark1221"/>
      <w:bookmarkEnd w:id="710"/>
      <w:r>
        <w:t>12.4. 2承包人无故拖延和拒绝复工的，由此增加的费用和工期延误由承包人承担；因发包人原因无法按时复工的，承包人有权要求发包人延长工期和(或)增加费用，并支付合理利润。</w:t>
      </w:r>
    </w:p>
    <w:p w14:paraId="5D86FF77">
      <w:pPr>
        <w:pStyle w:val="2"/>
        <w:numPr>
          <w:ilvl w:val="0"/>
          <w:numId w:val="0"/>
        </w:numPr>
        <w:bidi w:val="0"/>
        <w:ind w:left="482" w:leftChars="0"/>
      </w:pPr>
      <w:bookmarkStart w:id="711" w:name="bookmark1195"/>
      <w:bookmarkEnd w:id="711"/>
      <w:bookmarkStart w:id="712" w:name="bookmark1224"/>
      <w:bookmarkStart w:id="713" w:name="bookmark1222"/>
      <w:bookmarkStart w:id="714" w:name="_Toc6811"/>
      <w:bookmarkStart w:id="715" w:name="bookmark1223"/>
      <w:bookmarkStart w:id="716" w:name="_Toc14710357"/>
      <w:r>
        <w:t>12.5暂停施工持续56天以上</w:t>
      </w:r>
      <w:bookmarkEnd w:id="712"/>
      <w:bookmarkEnd w:id="713"/>
      <w:bookmarkEnd w:id="714"/>
      <w:bookmarkEnd w:id="715"/>
      <w:bookmarkEnd w:id="716"/>
    </w:p>
    <w:p w14:paraId="3F60C078">
      <w:pPr>
        <w:pStyle w:val="11"/>
      </w:pPr>
      <w:r>
        <w:t>12.5.1监理人发出暂停施工指示后56天内未向承包人发出复工通知，除了该项停工属于第12.1款的情况外，承包人可向监理人提交书面通知，要求监理人在收到书面通知后 28天内准许已暂停施工的工程或其中一部分工程继续施工。如监理人逾期不予批准，则承包人可以通知监理人，将工程受影响的部分视为按第15.1 (1)项的可取消工作。如暂停 施工影响到整个工程，可视为发包人违约，应按第22. 2款的约定办理。</w:t>
      </w:r>
    </w:p>
    <w:p w14:paraId="69F208FE">
      <w:pPr>
        <w:pStyle w:val="11"/>
      </w:pPr>
      <w:r>
        <w:t>12.5.2由于承包人责任引起的暂停施工，如承包人在收到监理人暂停施工指示后56 天内不认真采取有效的复工措施，造成工期延误，可视为承包人违约，应按第22.1款的约定办理。</w:t>
      </w:r>
    </w:p>
    <w:p w14:paraId="377A7F68">
      <w:pPr>
        <w:pStyle w:val="2"/>
        <w:numPr>
          <w:ilvl w:val="0"/>
          <w:numId w:val="0"/>
        </w:numPr>
        <w:bidi w:val="0"/>
        <w:ind w:left="482" w:leftChars="0"/>
      </w:pPr>
      <w:bookmarkStart w:id="717" w:name="bookmark1226"/>
      <w:bookmarkStart w:id="718" w:name="_Toc14710358"/>
      <w:bookmarkStart w:id="719" w:name="bookmark1225"/>
      <w:bookmarkStart w:id="720" w:name="bookmark1227"/>
      <w:bookmarkStart w:id="721" w:name="_Toc10322"/>
      <w:r>
        <w:t>13.工程质量</w:t>
      </w:r>
      <w:bookmarkEnd w:id="717"/>
      <w:bookmarkEnd w:id="718"/>
      <w:bookmarkEnd w:id="719"/>
      <w:bookmarkEnd w:id="720"/>
      <w:bookmarkEnd w:id="721"/>
    </w:p>
    <w:p w14:paraId="47F5D14E">
      <w:pPr>
        <w:pStyle w:val="2"/>
        <w:numPr>
          <w:ilvl w:val="0"/>
          <w:numId w:val="0"/>
        </w:numPr>
        <w:bidi w:val="0"/>
        <w:ind w:left="482" w:leftChars="0"/>
      </w:pPr>
      <w:bookmarkStart w:id="722" w:name="bookmark1229"/>
      <w:bookmarkStart w:id="723" w:name="_Toc9064"/>
      <w:bookmarkStart w:id="724" w:name="bookmark1230"/>
      <w:bookmarkStart w:id="725" w:name="_Toc14710359"/>
      <w:bookmarkStart w:id="726" w:name="bookmark1228"/>
      <w:r>
        <w:t>13.1工程质量要求</w:t>
      </w:r>
      <w:bookmarkEnd w:id="722"/>
      <w:bookmarkEnd w:id="723"/>
      <w:bookmarkEnd w:id="724"/>
      <w:bookmarkEnd w:id="725"/>
      <w:bookmarkEnd w:id="726"/>
    </w:p>
    <w:p w14:paraId="2F0A9856">
      <w:pPr>
        <w:pStyle w:val="11"/>
      </w:pPr>
      <w:bookmarkStart w:id="727" w:name="bookmark1231"/>
      <w:bookmarkEnd w:id="727"/>
      <w:r>
        <w:t>13.1.1工程质量验收按合同约定验收标准执行。</w:t>
      </w:r>
    </w:p>
    <w:p w14:paraId="779B234D">
      <w:pPr>
        <w:pStyle w:val="11"/>
      </w:pPr>
      <w:r>
        <w:t>13.1.2因承包人原因造成工程质量达不到合同约定验收标准的，监理人有权要求承包人返工直至符合合同要求为止，由此造成的费用增加和（或）工期延误由承包人承担。</w:t>
      </w:r>
    </w:p>
    <w:p w14:paraId="7DC0DDD7">
      <w:pPr>
        <w:pStyle w:val="11"/>
      </w:pPr>
      <w:r>
        <w:t>13.1.3因发包人原因造成工程质量达不到合同约定验收标准的，发包人应承担由于承包人返工造成的费用增加和（或）工期延误，并支付承包人合理利润。</w:t>
      </w:r>
    </w:p>
    <w:p w14:paraId="3601BF7E">
      <w:pPr>
        <w:pStyle w:val="2"/>
        <w:numPr>
          <w:ilvl w:val="0"/>
          <w:numId w:val="0"/>
        </w:numPr>
        <w:bidi w:val="0"/>
        <w:ind w:left="482" w:leftChars="0"/>
      </w:pPr>
      <w:bookmarkStart w:id="728" w:name="_Toc14710360"/>
      <w:bookmarkStart w:id="729" w:name="bookmark1234"/>
      <w:bookmarkStart w:id="730" w:name="_Toc6308"/>
      <w:bookmarkStart w:id="731" w:name="bookmark1232"/>
      <w:bookmarkStart w:id="732" w:name="bookmark1233"/>
      <w:r>
        <w:t>13.2承包人的质量管理</w:t>
      </w:r>
      <w:bookmarkEnd w:id="728"/>
      <w:bookmarkEnd w:id="729"/>
      <w:bookmarkEnd w:id="730"/>
      <w:bookmarkEnd w:id="731"/>
      <w:bookmarkEnd w:id="732"/>
    </w:p>
    <w:p w14:paraId="11840574">
      <w:pPr>
        <w:pStyle w:val="11"/>
      </w:pPr>
      <w:r>
        <w:t>13.2.1承包人应在施工场地设置专门的质量检查机构，配备专职质量检查人员，建立完善的质量检查制度。承包人应按技术标准和要求（合同技术条款）约定的内容和期限,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394E5EA8">
      <w:pPr>
        <w:pStyle w:val="11"/>
      </w:pPr>
      <w:bookmarkStart w:id="733" w:name="bookmark1235"/>
      <w:bookmarkEnd w:id="733"/>
      <w:r>
        <w:t>13.2. 2承包人应加强对施工人员的质量教育和技术培训，定期考核施工人员的劳动 技能，严格执行规范和操作规程。</w:t>
      </w:r>
    </w:p>
    <w:p w14:paraId="35016632">
      <w:pPr>
        <w:pStyle w:val="2"/>
        <w:numPr>
          <w:ilvl w:val="0"/>
          <w:numId w:val="0"/>
        </w:numPr>
        <w:bidi w:val="0"/>
        <w:ind w:left="482" w:leftChars="0"/>
      </w:pPr>
      <w:bookmarkStart w:id="734" w:name="bookmark1236"/>
      <w:bookmarkStart w:id="735" w:name="_Toc14710361"/>
      <w:bookmarkStart w:id="736" w:name="bookmark1238"/>
      <w:bookmarkStart w:id="737" w:name="_Toc19429"/>
      <w:bookmarkStart w:id="738" w:name="bookmark1237"/>
      <w:r>
        <w:t>13.3承包人的质量检查</w:t>
      </w:r>
      <w:bookmarkEnd w:id="734"/>
      <w:bookmarkEnd w:id="735"/>
      <w:bookmarkEnd w:id="736"/>
      <w:bookmarkEnd w:id="737"/>
      <w:bookmarkEnd w:id="738"/>
    </w:p>
    <w:p w14:paraId="3EC6D91C">
      <w:pPr>
        <w:pStyle w:val="11"/>
      </w:pPr>
      <w:r>
        <w:t>承包人应按合同约定对材料、工程设备以及工程的所有部位及其施工工艺进行全过程的质量检查和检验，并作详细记录，编制工程质量报表，报送监理人审查。</w:t>
      </w:r>
    </w:p>
    <w:p w14:paraId="73040FD0">
      <w:pPr>
        <w:pStyle w:val="2"/>
        <w:numPr>
          <w:ilvl w:val="0"/>
          <w:numId w:val="0"/>
        </w:numPr>
        <w:bidi w:val="0"/>
        <w:ind w:left="482" w:leftChars="0"/>
      </w:pPr>
      <w:bookmarkStart w:id="739" w:name="bookmark1240"/>
      <w:bookmarkStart w:id="740" w:name="bookmark1239"/>
      <w:bookmarkStart w:id="741" w:name="bookmark1241"/>
      <w:bookmarkStart w:id="742" w:name="_Toc26103"/>
      <w:bookmarkStart w:id="743" w:name="_Toc14710362"/>
      <w:r>
        <w:t>13.4监理人的质量检查</w:t>
      </w:r>
      <w:bookmarkEnd w:id="739"/>
      <w:bookmarkEnd w:id="740"/>
      <w:bookmarkEnd w:id="741"/>
      <w:bookmarkEnd w:id="742"/>
      <w:bookmarkEnd w:id="743"/>
    </w:p>
    <w:p w14:paraId="625A82EE">
      <w:pPr>
        <w:pStyle w:val="11"/>
      </w:pPr>
      <w: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7F0EECF">
      <w:pPr>
        <w:pStyle w:val="2"/>
        <w:numPr>
          <w:ilvl w:val="0"/>
          <w:numId w:val="0"/>
        </w:numPr>
        <w:bidi w:val="0"/>
        <w:ind w:left="482" w:leftChars="0"/>
      </w:pPr>
      <w:bookmarkStart w:id="744" w:name="bookmark1243"/>
      <w:bookmarkStart w:id="745" w:name="bookmark1242"/>
      <w:bookmarkStart w:id="746" w:name="_Toc30255"/>
      <w:bookmarkStart w:id="747" w:name="bookmark1244"/>
      <w:bookmarkStart w:id="748" w:name="_Toc14710363"/>
      <w:r>
        <w:t>13.5工程隐蔽部位覆盖前的检查</w:t>
      </w:r>
      <w:bookmarkEnd w:id="744"/>
      <w:bookmarkEnd w:id="745"/>
      <w:bookmarkEnd w:id="746"/>
      <w:bookmarkEnd w:id="747"/>
      <w:bookmarkEnd w:id="748"/>
    </w:p>
    <w:p w14:paraId="11EE4DD8">
      <w:pPr>
        <w:pStyle w:val="2"/>
        <w:numPr>
          <w:ilvl w:val="0"/>
          <w:numId w:val="0"/>
        </w:numPr>
        <w:bidi w:val="0"/>
        <w:ind w:left="482" w:leftChars="0"/>
      </w:pPr>
      <w:bookmarkStart w:id="749" w:name="bookmark1245"/>
      <w:bookmarkEnd w:id="749"/>
      <w:r>
        <w:t>13.5. 1通知监理人检查</w:t>
      </w:r>
    </w:p>
    <w:p w14:paraId="7853BE5C">
      <w:pPr>
        <w:pStyle w:val="11"/>
      </w:pPr>
      <w: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B27F416">
      <w:pPr>
        <w:pStyle w:val="2"/>
        <w:numPr>
          <w:ilvl w:val="0"/>
          <w:numId w:val="0"/>
        </w:numPr>
        <w:bidi w:val="0"/>
        <w:ind w:left="482" w:leftChars="0"/>
      </w:pPr>
      <w:r>
        <w:t>13.5.2监理人未到场检查</w:t>
      </w:r>
    </w:p>
    <w:p w14:paraId="25FD380B">
      <w:pPr>
        <w:pStyle w:val="11"/>
      </w:pPr>
      <w: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148FF1E">
      <w:pPr>
        <w:pStyle w:val="2"/>
        <w:numPr>
          <w:ilvl w:val="0"/>
          <w:numId w:val="0"/>
        </w:numPr>
        <w:bidi w:val="0"/>
        <w:ind w:left="482" w:leftChars="0"/>
      </w:pPr>
      <w:r>
        <w:t>13.5.3监理人重新检查</w:t>
      </w:r>
    </w:p>
    <w:p w14:paraId="76CA7A4E">
      <w:pPr>
        <w:pStyle w:val="11"/>
      </w:pPr>
      <w:r>
        <w:t>承包人按第13. 5. 1项或第13. 5. 2项覆盖工程隐蔽部位后，监理人对质量有疑问的，可要求承包人对已覆盖的部位进行钻孔探测或揭开重新检验，承包人应遵照执行，并在检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4669669">
      <w:pPr>
        <w:pStyle w:val="2"/>
        <w:numPr>
          <w:ilvl w:val="0"/>
          <w:numId w:val="0"/>
        </w:numPr>
        <w:bidi w:val="0"/>
        <w:ind w:left="482" w:leftChars="0"/>
      </w:pPr>
      <w:r>
        <w:t>13.5.4承包人私自覆盖</w:t>
      </w:r>
    </w:p>
    <w:p w14:paraId="5E542E54">
      <w:pPr>
        <w:pStyle w:val="11"/>
      </w:pPr>
      <w:r>
        <w:t>承包人未通知监理人到场检查，私自将工程隐蔽部位覆盖的，监理人有权指示承包人钻孔探测或揭开检查，由此增加的费用和（或）工期延误由承包人承担。</w:t>
      </w:r>
    </w:p>
    <w:p w14:paraId="28E5C17E">
      <w:pPr>
        <w:pStyle w:val="2"/>
        <w:numPr>
          <w:ilvl w:val="0"/>
          <w:numId w:val="0"/>
        </w:numPr>
        <w:bidi w:val="0"/>
        <w:ind w:left="482" w:leftChars="0"/>
      </w:pPr>
      <w:bookmarkStart w:id="750" w:name="bookmark1248"/>
      <w:bookmarkStart w:id="751" w:name="_Toc31851"/>
      <w:bookmarkStart w:id="752" w:name="bookmark1246"/>
      <w:bookmarkStart w:id="753" w:name="_Toc14710364"/>
      <w:bookmarkStart w:id="754" w:name="bookmark1247"/>
      <w:r>
        <w:t>13.6清除不合格工程</w:t>
      </w:r>
      <w:bookmarkEnd w:id="750"/>
      <w:bookmarkEnd w:id="751"/>
      <w:bookmarkEnd w:id="752"/>
      <w:bookmarkEnd w:id="753"/>
      <w:bookmarkEnd w:id="754"/>
    </w:p>
    <w:p w14:paraId="0D98B65C">
      <w:pPr>
        <w:pStyle w:val="11"/>
      </w:pPr>
      <w:r>
        <w:t>13.6.1承包人使用不合格材料、工程设备，或采用不适当的施工工艺，或施工不当，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4F130047">
      <w:pPr>
        <w:pStyle w:val="11"/>
      </w:pPr>
      <w:r>
        <w:t>13.6.2由于发包人提供的材料或工程设备不合格造成的工程不合格，需要承包人采取措施补救的，发包人应承担由此增加的费用和（或）工期延误，并支付承包人合理利润。</w:t>
      </w:r>
    </w:p>
    <w:p w14:paraId="34B492E0">
      <w:pPr>
        <w:pStyle w:val="2"/>
        <w:numPr>
          <w:ilvl w:val="0"/>
          <w:numId w:val="0"/>
        </w:numPr>
        <w:bidi w:val="0"/>
        <w:ind w:left="482" w:leftChars="0"/>
      </w:pPr>
      <w:bookmarkStart w:id="755" w:name="_Toc3708"/>
      <w:bookmarkStart w:id="756" w:name="_Toc14710365"/>
      <w:r>
        <w:t>13.7质量评定</w:t>
      </w:r>
      <w:bookmarkEnd w:id="755"/>
      <w:bookmarkEnd w:id="756"/>
    </w:p>
    <w:p w14:paraId="036147DB">
      <w:pPr>
        <w:pStyle w:val="11"/>
      </w:pPr>
      <w:r>
        <w:t>13.7.1发包人应组织承包人进行工程项目划分，并确定单位工程、主要分部工程、重要隐蔽单元工程和关键部位单元工程。</w:t>
      </w:r>
    </w:p>
    <w:p w14:paraId="35B2E0B2">
      <w:pPr>
        <w:pStyle w:val="11"/>
      </w:pPr>
      <w:r>
        <w:t>13.7.2工程实施过程中，单位工程、主要分部工程、重要隐蔽单元工程和关键部位单元工程的项目划分需要调整时，承包人应报发包人确认。</w:t>
      </w:r>
    </w:p>
    <w:p w14:paraId="6535BB99">
      <w:pPr>
        <w:pStyle w:val="11"/>
      </w:pPr>
      <w:r>
        <w:t>13.7.3承包人应在单元（工序）工程质量自评合格后，报监理人核定质量等级并签证认可。</w:t>
      </w:r>
    </w:p>
    <w:p w14:paraId="0C334FCF">
      <w:pPr>
        <w:pStyle w:val="11"/>
      </w:pPr>
      <w: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1C319D39">
      <w:pPr>
        <w:pStyle w:val="11"/>
      </w:pPr>
      <w:r>
        <w:t>13.7.5承包人应在分部工程质量自评合格后，报监理人复核和发包人认定。发包人负责按有关规定完成分部工程质量结论报工程质量监督机构核备（核定）手续。</w:t>
      </w:r>
    </w:p>
    <w:p w14:paraId="6230D233">
      <w:pPr>
        <w:pStyle w:val="11"/>
      </w:pPr>
      <w:r>
        <w:t>13.7.6承包人应在单位工程质量自评合格后，报监理人复核和发包人认定。发包人负责按有关规定完成单位工程质量结论报工程质量监督机构核定手续。</w:t>
      </w:r>
    </w:p>
    <w:p w14:paraId="511697C5">
      <w:pPr>
        <w:pStyle w:val="11"/>
      </w:pPr>
      <w:r>
        <w:t>13.7.7除专用合同条款另有约定外，工程质量等级分为合格和优良，应分别达到约定的标准。</w:t>
      </w:r>
    </w:p>
    <w:p w14:paraId="439C6FF7">
      <w:pPr>
        <w:pStyle w:val="2"/>
        <w:numPr>
          <w:ilvl w:val="0"/>
          <w:numId w:val="0"/>
        </w:numPr>
        <w:bidi w:val="0"/>
        <w:ind w:left="482" w:leftChars="0"/>
      </w:pPr>
      <w:bookmarkStart w:id="757" w:name="_Toc14710366"/>
      <w:bookmarkStart w:id="758" w:name="bookmark1251"/>
      <w:bookmarkStart w:id="759" w:name="bookmark1250"/>
      <w:bookmarkStart w:id="760" w:name="bookmark1249"/>
      <w:bookmarkStart w:id="761" w:name="_Toc19883"/>
      <w:r>
        <w:t>13.8质量事故处理</w:t>
      </w:r>
      <w:bookmarkEnd w:id="757"/>
      <w:bookmarkEnd w:id="758"/>
      <w:bookmarkEnd w:id="759"/>
      <w:bookmarkEnd w:id="760"/>
      <w:bookmarkEnd w:id="761"/>
    </w:p>
    <w:p w14:paraId="4B242631">
      <w:pPr>
        <w:pStyle w:val="11"/>
      </w:pPr>
      <w:r>
        <w:t>13.8.1发生质量事故时，承包人应及时向发包人和监理人报告。</w:t>
      </w:r>
    </w:p>
    <w:p w14:paraId="2042D812">
      <w:pPr>
        <w:pStyle w:val="11"/>
      </w:pPr>
      <w:r>
        <w:t>13.8.2质量事故调查处理由发包人按相关规定履行手续，承包人应配合。</w:t>
      </w:r>
    </w:p>
    <w:p w14:paraId="57E48EFC">
      <w:pPr>
        <w:pStyle w:val="11"/>
      </w:pPr>
      <w:r>
        <w:t>13.8.3承包人应对质量缺陷进行备案。发包人委托监理人对质量缺陷备案情况进行监督检查并履行相关手续。</w:t>
      </w:r>
    </w:p>
    <w:p w14:paraId="4E5D5EAD">
      <w:pPr>
        <w:pStyle w:val="11"/>
      </w:pPr>
      <w:r>
        <w:t>13.8.4除专用合同条款另有约定外，工程竣工验收时，发包人负责向竣工验收委员会汇报并提交历次质量缺陷处理的备案资料。</w:t>
      </w:r>
    </w:p>
    <w:p w14:paraId="062F9C36">
      <w:pPr>
        <w:pStyle w:val="2"/>
        <w:numPr>
          <w:ilvl w:val="0"/>
          <w:numId w:val="0"/>
        </w:numPr>
        <w:bidi w:val="0"/>
        <w:ind w:left="482" w:leftChars="0"/>
      </w:pPr>
      <w:bookmarkStart w:id="762" w:name="bookmark1253"/>
      <w:bookmarkStart w:id="763" w:name="_Toc17645"/>
      <w:bookmarkStart w:id="764" w:name="bookmark1252"/>
      <w:bookmarkStart w:id="765" w:name="bookmark1254"/>
      <w:bookmarkStart w:id="766" w:name="_Toc14710367"/>
      <w:r>
        <w:t>14 .试验和检验</w:t>
      </w:r>
      <w:bookmarkEnd w:id="762"/>
      <w:bookmarkEnd w:id="763"/>
      <w:bookmarkEnd w:id="764"/>
      <w:bookmarkEnd w:id="765"/>
      <w:bookmarkEnd w:id="766"/>
    </w:p>
    <w:p w14:paraId="216D766B">
      <w:pPr>
        <w:pStyle w:val="2"/>
        <w:numPr>
          <w:ilvl w:val="0"/>
          <w:numId w:val="0"/>
        </w:numPr>
        <w:bidi w:val="0"/>
        <w:ind w:left="482" w:leftChars="0"/>
      </w:pPr>
      <w:bookmarkStart w:id="767" w:name="_Toc16875"/>
      <w:bookmarkStart w:id="768" w:name="_Toc14710368"/>
      <w:bookmarkStart w:id="769" w:name="bookmark1255"/>
      <w:bookmarkStart w:id="770" w:name="bookmark1257"/>
      <w:bookmarkStart w:id="771" w:name="bookmark1256"/>
      <w:r>
        <w:t>14.1材料、工程设备和工程的试验和检验</w:t>
      </w:r>
      <w:bookmarkEnd w:id="767"/>
      <w:bookmarkEnd w:id="768"/>
      <w:bookmarkEnd w:id="769"/>
      <w:bookmarkEnd w:id="770"/>
      <w:bookmarkEnd w:id="771"/>
    </w:p>
    <w:p w14:paraId="65371204">
      <w:pPr>
        <w:pStyle w:val="11"/>
      </w:pPr>
      <w:bookmarkStart w:id="772" w:name="bookmark1258"/>
      <w:bookmarkEnd w:id="772"/>
      <w: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FE59DFC">
      <w:pPr>
        <w:pStyle w:val="11"/>
      </w:pPr>
      <w:r>
        <w:t>14.1.2监理人未按合同约定派员参加试验和检验的，除监理人另有指示外，承包人可自行试验和检验，并应立即将试验和检验结果报送监理人，监理人应签字确认。</w:t>
      </w:r>
    </w:p>
    <w:p w14:paraId="108DFA26">
      <w:pPr>
        <w:pStyle w:val="11"/>
      </w:pPr>
      <w: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9EE36B3">
      <w:pPr>
        <w:pStyle w:val="11"/>
      </w:pPr>
      <w:r>
        <w:t>14.1.4承包人应按相关规定和标准对水泥、钢材等原材料与中间产品质量进行检验, 并报监理人复核。</w:t>
      </w:r>
    </w:p>
    <w:p w14:paraId="1C52D6BB">
      <w:pPr>
        <w:pStyle w:val="11"/>
      </w:pPr>
      <w: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64EA109">
      <w:pPr>
        <w:pStyle w:val="11"/>
      </w:pPr>
      <w:r>
        <w:t>14.1.6对专用合同条款约定的试块、试件及有关材料，监理人实行见证取样。见证取样资料由承包人制备，记录应真实齐全，监理人、承包人等参与见证取样人员均应在相关文件上签字。</w:t>
      </w:r>
    </w:p>
    <w:p w14:paraId="66D9148F">
      <w:pPr>
        <w:pStyle w:val="2"/>
        <w:numPr>
          <w:ilvl w:val="0"/>
          <w:numId w:val="0"/>
        </w:numPr>
        <w:bidi w:val="0"/>
        <w:ind w:left="482" w:leftChars="0"/>
      </w:pPr>
      <w:bookmarkStart w:id="773" w:name="bookmark1260"/>
      <w:bookmarkStart w:id="774" w:name="_Toc24338"/>
      <w:bookmarkStart w:id="775" w:name="bookmark1259"/>
      <w:bookmarkStart w:id="776" w:name="bookmark1261"/>
      <w:bookmarkStart w:id="777" w:name="_Toc14710369"/>
      <w:r>
        <w:t>14.2现场材料试验</w:t>
      </w:r>
      <w:bookmarkEnd w:id="773"/>
      <w:bookmarkEnd w:id="774"/>
      <w:bookmarkEnd w:id="775"/>
      <w:bookmarkEnd w:id="776"/>
      <w:bookmarkEnd w:id="777"/>
    </w:p>
    <w:p w14:paraId="20E64F5B">
      <w:pPr>
        <w:pStyle w:val="11"/>
      </w:pPr>
      <w:bookmarkStart w:id="778" w:name="bookmark1262"/>
      <w:bookmarkEnd w:id="778"/>
      <w:r>
        <w:t>14.2.1承包人根据合同约定或监理人指示进行的现场材料试验，应由承包人提供试 验场所、试验人员、试验设备器材以及其他必要的试验条件。</w:t>
      </w:r>
    </w:p>
    <w:p w14:paraId="40013149">
      <w:pPr>
        <w:pStyle w:val="11"/>
      </w:pPr>
      <w:bookmarkStart w:id="779" w:name="bookmark1263"/>
      <w:bookmarkEnd w:id="779"/>
      <w:r>
        <w:t>14.2.2监理人在必要时可以使用承包人的试验场所、试验设备器材以及其他试验条件，进行以工程质量检查为目的的复核性材料试验，承包人应予以协助。</w:t>
      </w:r>
    </w:p>
    <w:p w14:paraId="0804F31C">
      <w:pPr>
        <w:pStyle w:val="2"/>
        <w:numPr>
          <w:ilvl w:val="0"/>
          <w:numId w:val="0"/>
        </w:numPr>
        <w:bidi w:val="0"/>
        <w:ind w:left="482" w:leftChars="0"/>
      </w:pPr>
      <w:bookmarkStart w:id="780" w:name="bookmark1266"/>
      <w:bookmarkStart w:id="781" w:name="bookmark1264"/>
      <w:bookmarkStart w:id="782" w:name="bookmark1265"/>
      <w:bookmarkStart w:id="783" w:name="_Toc14710370"/>
      <w:bookmarkStart w:id="784" w:name="_Toc21991"/>
      <w:r>
        <w:t>14.3现场工艺试验</w:t>
      </w:r>
      <w:bookmarkEnd w:id="780"/>
      <w:bookmarkEnd w:id="781"/>
      <w:bookmarkEnd w:id="782"/>
      <w:bookmarkEnd w:id="783"/>
      <w:bookmarkEnd w:id="784"/>
    </w:p>
    <w:p w14:paraId="78B3613E">
      <w:pPr>
        <w:pStyle w:val="11"/>
      </w:pPr>
      <w:r>
        <w:t>承包人应按合同约定或监理人指示进行现场工艺试验。对大型的现场工艺试验，监理人认为必要时，应由承包人根据监理人提出的工艺试验要求，编制工艺试验措施计划，报送监理人审批。</w:t>
      </w:r>
    </w:p>
    <w:p w14:paraId="366DC35F">
      <w:pPr>
        <w:pStyle w:val="2"/>
        <w:numPr>
          <w:ilvl w:val="0"/>
          <w:numId w:val="0"/>
        </w:numPr>
        <w:bidi w:val="0"/>
        <w:ind w:left="482" w:leftChars="0"/>
      </w:pPr>
      <w:bookmarkStart w:id="785" w:name="bookmark1269"/>
      <w:bookmarkStart w:id="786" w:name="_Toc14710371"/>
      <w:bookmarkStart w:id="787" w:name="_Toc9858"/>
      <w:bookmarkStart w:id="788" w:name="bookmark1267"/>
      <w:bookmarkStart w:id="789" w:name="bookmark1268"/>
      <w:r>
        <w:t>15.变更</w:t>
      </w:r>
      <w:bookmarkEnd w:id="785"/>
      <w:bookmarkEnd w:id="786"/>
      <w:bookmarkEnd w:id="787"/>
    </w:p>
    <w:p w14:paraId="745D3F75">
      <w:pPr>
        <w:pStyle w:val="2"/>
        <w:numPr>
          <w:ilvl w:val="0"/>
          <w:numId w:val="0"/>
        </w:numPr>
        <w:bidi w:val="0"/>
        <w:ind w:left="482" w:leftChars="0"/>
      </w:pPr>
      <w:bookmarkStart w:id="790" w:name="_Toc14710372"/>
      <w:bookmarkStart w:id="791" w:name="bookmark1270"/>
      <w:bookmarkStart w:id="792" w:name="_Toc30097"/>
      <w:r>
        <w:t>15.1变更的范围和内容</w:t>
      </w:r>
      <w:bookmarkEnd w:id="788"/>
      <w:bookmarkEnd w:id="789"/>
      <w:bookmarkEnd w:id="790"/>
      <w:bookmarkEnd w:id="791"/>
      <w:bookmarkEnd w:id="792"/>
    </w:p>
    <w:p w14:paraId="50F8B8A2">
      <w:pPr>
        <w:pStyle w:val="11"/>
      </w:pPr>
      <w:r>
        <w:t>在履行合同中发生以下情形之一，应按照本条规定进行变更。</w:t>
      </w:r>
    </w:p>
    <w:p w14:paraId="6511C534">
      <w:pPr>
        <w:pStyle w:val="11"/>
      </w:pPr>
      <w:bookmarkStart w:id="793" w:name="bookmark1271"/>
      <w:bookmarkEnd w:id="793"/>
      <w:r>
        <w:rPr>
          <w:b w:val="0"/>
          <w:i w:val="0"/>
          <w:strike w:val="0"/>
          <w:color w:val="000000"/>
          <w:u w:val="none"/>
        </w:rPr>
        <w:t>(1)</w:t>
      </w:r>
      <w:r>
        <w:t>取消合同中任何一项工作，但被取消的工作不能转由发包人或其它人实施；</w:t>
      </w:r>
    </w:p>
    <w:p w14:paraId="039216A5">
      <w:pPr>
        <w:pStyle w:val="11"/>
      </w:pPr>
      <w:bookmarkStart w:id="794" w:name="bookmark1272"/>
      <w:bookmarkEnd w:id="794"/>
      <w:r>
        <w:rPr>
          <w:b w:val="0"/>
          <w:i w:val="0"/>
          <w:strike w:val="0"/>
          <w:color w:val="000000"/>
          <w:u w:val="none"/>
        </w:rPr>
        <w:t>(2)</w:t>
      </w:r>
      <w:r>
        <w:t>改变合同中任何一项工作的质量或其它特性；</w:t>
      </w:r>
    </w:p>
    <w:p w14:paraId="31D3552A">
      <w:pPr>
        <w:pStyle w:val="11"/>
      </w:pPr>
      <w:bookmarkStart w:id="795" w:name="bookmark1273"/>
      <w:bookmarkEnd w:id="795"/>
      <w:r>
        <w:rPr>
          <w:b w:val="0"/>
          <w:i w:val="0"/>
          <w:strike w:val="0"/>
          <w:color w:val="000000"/>
          <w:u w:val="none"/>
        </w:rPr>
        <w:t>(3)</w:t>
      </w:r>
      <w:r>
        <w:t>改变合同工程的基线、标高、位置或尺寸；</w:t>
      </w:r>
    </w:p>
    <w:p w14:paraId="62EB1BFB">
      <w:pPr>
        <w:pStyle w:val="11"/>
      </w:pPr>
      <w:bookmarkStart w:id="796" w:name="bookmark1274"/>
      <w:bookmarkEnd w:id="796"/>
      <w:r>
        <w:rPr>
          <w:b w:val="0"/>
          <w:i w:val="0"/>
          <w:strike w:val="0"/>
          <w:color w:val="000000"/>
          <w:u w:val="none"/>
        </w:rPr>
        <w:t>(4)</w:t>
      </w:r>
      <w:r>
        <w:t>改变合同中任何一项工作的施工时间或改变已批准的施工工艺或顺序；</w:t>
      </w:r>
    </w:p>
    <w:p w14:paraId="3F31F586">
      <w:pPr>
        <w:pStyle w:val="11"/>
      </w:pPr>
      <w:bookmarkStart w:id="797" w:name="bookmark1275"/>
      <w:bookmarkEnd w:id="797"/>
      <w:r>
        <w:rPr>
          <w:b w:val="0"/>
          <w:i w:val="0"/>
          <w:strike w:val="0"/>
          <w:color w:val="000000"/>
          <w:u w:val="none"/>
        </w:rPr>
        <w:t>(5)</w:t>
      </w:r>
      <w:r>
        <w:t>为完成工程需要追加的额外工作；</w:t>
      </w:r>
    </w:p>
    <w:p w14:paraId="4215626C">
      <w:pPr>
        <w:pStyle w:val="11"/>
      </w:pPr>
      <w:bookmarkStart w:id="798" w:name="bookmark1276"/>
      <w:bookmarkEnd w:id="798"/>
      <w:r>
        <w:rPr>
          <w:b w:val="0"/>
          <w:i w:val="0"/>
          <w:strike w:val="0"/>
          <w:color w:val="000000"/>
          <w:u w:val="none"/>
        </w:rPr>
        <w:t>(6)</w:t>
      </w:r>
      <w:r>
        <w:t>增加或减少专用合同条款中约定的关键项目工程量超过其工程总量的一定数量的百分比。</w:t>
      </w:r>
    </w:p>
    <w:p w14:paraId="16114A48">
      <w:pPr>
        <w:pStyle w:val="11"/>
      </w:pPr>
      <w:r>
        <w:t>上述第(1) ~ (6)目的变更内容引起工程施工组织和进度计划发生实质性变动和影响其原定的价格时，才予调整该项目的单价。第(6)目情形下单价调整方式在专用合同条款中约定。</w:t>
      </w:r>
    </w:p>
    <w:p w14:paraId="397EB432">
      <w:pPr>
        <w:pStyle w:val="2"/>
        <w:numPr>
          <w:ilvl w:val="0"/>
          <w:numId w:val="0"/>
        </w:numPr>
        <w:bidi w:val="0"/>
        <w:ind w:left="482" w:leftChars="0"/>
      </w:pPr>
      <w:bookmarkStart w:id="799" w:name="_Toc25903"/>
      <w:bookmarkStart w:id="800" w:name="bookmark1279"/>
      <w:bookmarkStart w:id="801" w:name="_Toc14710373"/>
      <w:bookmarkStart w:id="802" w:name="bookmark1278"/>
      <w:bookmarkStart w:id="803" w:name="bookmark1277"/>
      <w:r>
        <w:t>15.2变更权</w:t>
      </w:r>
      <w:bookmarkEnd w:id="799"/>
      <w:bookmarkEnd w:id="800"/>
      <w:bookmarkEnd w:id="801"/>
      <w:bookmarkEnd w:id="802"/>
      <w:bookmarkEnd w:id="803"/>
    </w:p>
    <w:p w14:paraId="43686455">
      <w:pPr>
        <w:pStyle w:val="11"/>
      </w:pPr>
      <w:r>
        <w:t>在履行合同过程中，经发包人同意，监理人可按第15. 3款约定的变更程序向承包人作出变更指示，承包人应遵照执行。没有监理人的变更指示，承包人不得擅自变更。</w:t>
      </w:r>
    </w:p>
    <w:p w14:paraId="16CDE76F">
      <w:pPr>
        <w:pStyle w:val="2"/>
        <w:numPr>
          <w:ilvl w:val="0"/>
          <w:numId w:val="0"/>
        </w:numPr>
        <w:bidi w:val="0"/>
        <w:ind w:left="482" w:leftChars="0"/>
      </w:pPr>
      <w:bookmarkStart w:id="804" w:name="_Toc14710374"/>
      <w:bookmarkStart w:id="805" w:name="bookmark1282"/>
      <w:bookmarkStart w:id="806" w:name="_Toc24991"/>
      <w:bookmarkStart w:id="807" w:name="bookmark1281"/>
      <w:bookmarkStart w:id="808" w:name="bookmark1280"/>
      <w:r>
        <w:t>15.3变更程序</w:t>
      </w:r>
      <w:bookmarkEnd w:id="804"/>
      <w:bookmarkEnd w:id="805"/>
      <w:bookmarkEnd w:id="806"/>
      <w:bookmarkEnd w:id="807"/>
      <w:bookmarkEnd w:id="808"/>
    </w:p>
    <w:p w14:paraId="2C1B96C0">
      <w:pPr>
        <w:pStyle w:val="2"/>
        <w:numPr>
          <w:ilvl w:val="0"/>
          <w:numId w:val="0"/>
        </w:numPr>
        <w:bidi w:val="0"/>
        <w:ind w:left="482" w:leftChars="0"/>
      </w:pPr>
      <w:r>
        <w:t>15.3.1变更的提出</w:t>
      </w:r>
    </w:p>
    <w:p w14:paraId="227917F2">
      <w:pPr>
        <w:pStyle w:val="11"/>
      </w:pPr>
      <w:bookmarkStart w:id="809" w:name="bookmark1283"/>
      <w:bookmarkEnd w:id="809"/>
      <w:r>
        <w:rPr>
          <w:b w:val="0"/>
          <w:i w:val="0"/>
          <w:strike w:val="0"/>
          <w:color w:val="000000"/>
          <w:u w:val="none"/>
        </w:rPr>
        <w:t>(1)</w:t>
      </w:r>
      <w: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 3. 3项约定发出变更指示。</w:t>
      </w:r>
    </w:p>
    <w:p w14:paraId="54907F38">
      <w:pPr>
        <w:pStyle w:val="11"/>
      </w:pPr>
      <w:bookmarkStart w:id="810" w:name="bookmark1284"/>
      <w:bookmarkEnd w:id="810"/>
      <w:r>
        <w:rPr>
          <w:b w:val="0"/>
          <w:i w:val="0"/>
          <w:strike w:val="0"/>
          <w:color w:val="000000"/>
          <w:u w:val="none"/>
        </w:rPr>
        <w:t>(2)</w:t>
      </w:r>
      <w:r>
        <w:t>在合同履行过程中，发生第15. 1款约定情形的，监理人应按照第15. 3. 3项约定向承包人发出变更指示。</w:t>
      </w:r>
    </w:p>
    <w:p w14:paraId="2045D07A">
      <w:pPr>
        <w:pStyle w:val="11"/>
      </w:pPr>
      <w:bookmarkStart w:id="811" w:name="bookmark1285"/>
      <w:bookmarkEnd w:id="811"/>
      <w:r>
        <w:rPr>
          <w:b w:val="0"/>
          <w:i w:val="0"/>
          <w:strike w:val="0"/>
          <w:color w:val="000000"/>
          <w:u w:val="none"/>
        </w:rPr>
        <w:t>(3)</w:t>
      </w:r>
      <w:r>
        <w:t>承包人收到监理人按合同约定发出的图纸和文件，经检查认为其中存在第15. 1款 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18579951">
      <w:pPr>
        <w:pStyle w:val="11"/>
      </w:pPr>
      <w:bookmarkStart w:id="812" w:name="bookmark1286"/>
      <w:bookmarkEnd w:id="812"/>
      <w:r>
        <w:rPr>
          <w:b w:val="0"/>
          <w:i w:val="0"/>
          <w:strike w:val="0"/>
          <w:color w:val="000000"/>
          <w:u w:val="none"/>
        </w:rPr>
        <w:t>(4)</w:t>
      </w:r>
      <w:r>
        <w:t>若承包人收到监理人的变更意向书后认为难以实施此项变更，应立即通知监理人, 说明原因并附详细依据。监理人与承包人和发包人协商后确定撤销、改变或不改变原变更 意向书。</w:t>
      </w:r>
    </w:p>
    <w:p w14:paraId="2DF09B56">
      <w:pPr>
        <w:pStyle w:val="2"/>
        <w:numPr>
          <w:ilvl w:val="0"/>
          <w:numId w:val="0"/>
        </w:numPr>
        <w:bidi w:val="0"/>
        <w:ind w:left="482" w:leftChars="0"/>
      </w:pPr>
      <w:r>
        <w:t>15.3.2变更估价</w:t>
      </w:r>
    </w:p>
    <w:p w14:paraId="1BE06C4D">
      <w:pPr>
        <w:pStyle w:val="11"/>
      </w:pPr>
      <w:bookmarkStart w:id="813" w:name="bookmark1287"/>
      <w:bookmarkEnd w:id="813"/>
      <w:r>
        <w:rPr>
          <w:b w:val="0"/>
          <w:i w:val="0"/>
          <w:strike w:val="0"/>
          <w:color w:val="000000"/>
          <w:u w:val="none"/>
        </w:rPr>
        <w:t>(1)</w:t>
      </w:r>
      <w:r>
        <w:t>除专用合同条款对期限另有约定外，承包人应在收到变更指示或变更意向书后的14天内，向监理人提交变更报价书，报价内容应根据第15. 4款约定的估价原则，详细开列变更工作的价格组成及其依据，并附必要的施工方法说明和有关图纸。</w:t>
      </w:r>
    </w:p>
    <w:p w14:paraId="620D4A49">
      <w:pPr>
        <w:pStyle w:val="11"/>
      </w:pPr>
      <w:bookmarkStart w:id="814" w:name="bookmark1288"/>
      <w:bookmarkEnd w:id="814"/>
      <w:r>
        <w:rPr>
          <w:b w:val="0"/>
          <w:i w:val="0"/>
          <w:strike w:val="0"/>
          <w:color w:val="000000"/>
          <w:u w:val="none"/>
        </w:rPr>
        <w:t>(2)</w:t>
      </w:r>
      <w:r>
        <w:t>变更工作影响工期的，承包人应提出调整工期的具体细节。监理人认为有必要时, 可要求承包人提交要求提前或延长工期的施工进度计划及相应施工措施等详细资料。</w:t>
      </w:r>
    </w:p>
    <w:p w14:paraId="6D86025D">
      <w:pPr>
        <w:pStyle w:val="11"/>
      </w:pPr>
      <w:bookmarkStart w:id="815" w:name="bookmark1289"/>
      <w:bookmarkEnd w:id="815"/>
      <w:r>
        <w:rPr>
          <w:b w:val="0"/>
          <w:i w:val="0"/>
          <w:strike w:val="0"/>
          <w:color w:val="000000"/>
          <w:u w:val="none"/>
        </w:rPr>
        <w:t>(3)</w:t>
      </w:r>
      <w:r>
        <w:t>除专用合同条款对期限另有约定外，监理人收到承包人变更报价书后的14天内，根据第15. 4款约定的估价原则，按照第3. 5款商定或确定变更价格。</w:t>
      </w:r>
    </w:p>
    <w:p w14:paraId="6291D9E0">
      <w:pPr>
        <w:pStyle w:val="2"/>
        <w:numPr>
          <w:ilvl w:val="0"/>
          <w:numId w:val="0"/>
        </w:numPr>
        <w:bidi w:val="0"/>
        <w:ind w:left="482" w:leftChars="0"/>
      </w:pPr>
      <w:r>
        <w:t>15.3.3变更指示</w:t>
      </w:r>
    </w:p>
    <w:p w14:paraId="62E1638B">
      <w:pPr>
        <w:pStyle w:val="11"/>
      </w:pPr>
      <w:bookmarkStart w:id="816" w:name="bookmark1290"/>
      <w:bookmarkEnd w:id="816"/>
      <w:r>
        <w:rPr>
          <w:b w:val="0"/>
          <w:i w:val="0"/>
          <w:strike w:val="0"/>
          <w:color w:val="000000"/>
          <w:u w:val="none"/>
        </w:rPr>
        <w:t>(1)</w:t>
      </w:r>
      <w:r>
        <w:t>变更指示只能由监理人发出。</w:t>
      </w:r>
    </w:p>
    <w:p w14:paraId="28D1A5A4">
      <w:pPr>
        <w:pStyle w:val="11"/>
      </w:pPr>
      <w:bookmarkStart w:id="817" w:name="bookmark1291"/>
      <w:bookmarkEnd w:id="817"/>
      <w:r>
        <w:rPr>
          <w:b w:val="0"/>
          <w:i w:val="0"/>
          <w:strike w:val="0"/>
          <w:color w:val="000000"/>
          <w:u w:val="none"/>
        </w:rPr>
        <w:t>(2)</w:t>
      </w:r>
      <w:r>
        <w:t>变更指示应说明变更的目的、范围、变更内容以及变更的工程量及其进度和技术要求，并附有关图纸和文件。承包人收到变更指示后，应按变更指示进行变更工作。</w:t>
      </w:r>
    </w:p>
    <w:p w14:paraId="1BB1275E">
      <w:pPr>
        <w:pStyle w:val="2"/>
        <w:numPr>
          <w:ilvl w:val="0"/>
          <w:numId w:val="0"/>
        </w:numPr>
        <w:bidi w:val="0"/>
        <w:ind w:left="482" w:leftChars="0"/>
      </w:pPr>
      <w:bookmarkStart w:id="818" w:name="bookmark1292"/>
      <w:bookmarkStart w:id="819" w:name="_Toc9569"/>
      <w:bookmarkStart w:id="820" w:name="bookmark1293"/>
      <w:bookmarkStart w:id="821" w:name="_Toc14710375"/>
      <w:bookmarkStart w:id="822" w:name="bookmark1294"/>
      <w:r>
        <w:t>15.4变更的估价原则</w:t>
      </w:r>
      <w:bookmarkEnd w:id="818"/>
      <w:bookmarkEnd w:id="819"/>
      <w:bookmarkEnd w:id="820"/>
      <w:bookmarkEnd w:id="821"/>
      <w:bookmarkEnd w:id="822"/>
    </w:p>
    <w:p w14:paraId="2FE7232D">
      <w:pPr>
        <w:pStyle w:val="11"/>
      </w:pPr>
      <w:r>
        <w:t>除专用合同条款另有约定外，因变更引起的价格调整按照本款约定处理。</w:t>
      </w:r>
    </w:p>
    <w:p w14:paraId="0293510F">
      <w:pPr>
        <w:pStyle w:val="11"/>
      </w:pPr>
      <w:r>
        <w:t>15.4.1已标价工程量清单中有适用于变更工作的子目的，采用该子目的单价。</w:t>
      </w:r>
    </w:p>
    <w:p w14:paraId="2BAAA260">
      <w:pPr>
        <w:pStyle w:val="11"/>
      </w:pPr>
      <w:r>
        <w:t>15.4.2已标价工程量清单中无适用于变更工作的子目，但有类似子目的，可在合理范围内参照类似子目的单价，由监理人按第3. 5款商定或确定变更工作的单价。</w:t>
      </w:r>
    </w:p>
    <w:p w14:paraId="42A0A7F4">
      <w:pPr>
        <w:pStyle w:val="11"/>
      </w:pPr>
      <w:r>
        <w:t>15.4.3已标价工程量清单中无适用或类似子目的单价，可按照成本加利润的原则，由监理人按第3. 5款商定或确定变更工作的单价。</w:t>
      </w:r>
    </w:p>
    <w:p w14:paraId="1A1CEC82">
      <w:pPr>
        <w:pStyle w:val="2"/>
        <w:numPr>
          <w:ilvl w:val="0"/>
          <w:numId w:val="0"/>
        </w:numPr>
        <w:bidi w:val="0"/>
        <w:ind w:left="482" w:leftChars="0"/>
      </w:pPr>
      <w:bookmarkStart w:id="823" w:name="bookmark1297"/>
      <w:bookmarkStart w:id="824" w:name="bookmark1295"/>
      <w:bookmarkStart w:id="825" w:name="bookmark1296"/>
      <w:r>
        <w:t>15.5承包人的合理化建议</w:t>
      </w:r>
      <w:bookmarkEnd w:id="823"/>
      <w:bookmarkEnd w:id="824"/>
      <w:bookmarkEnd w:id="825"/>
    </w:p>
    <w:p w14:paraId="3E03533E">
      <w:pPr>
        <w:pStyle w:val="11"/>
      </w:pPr>
      <w:bookmarkStart w:id="826" w:name="bookmark1298"/>
      <w:bookmarkEnd w:id="826"/>
      <w:r>
        <w:t>15.5. 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 3. 3项约定向承包人发出变更指示。</w:t>
      </w:r>
    </w:p>
    <w:p w14:paraId="1A5C10F9">
      <w:pPr>
        <w:pStyle w:val="11"/>
      </w:pPr>
      <w:r>
        <w:t>15.5.2承包人提出的合理化建议降低了合同价格、缩短了工期或者提高了工程经济效益的，发包人可按国家有关规定在专用合同条款中约定给予奖励。</w:t>
      </w:r>
    </w:p>
    <w:p w14:paraId="033FC89D">
      <w:pPr>
        <w:pStyle w:val="2"/>
        <w:numPr>
          <w:ilvl w:val="0"/>
          <w:numId w:val="0"/>
        </w:numPr>
        <w:bidi w:val="0"/>
        <w:ind w:left="482" w:leftChars="0"/>
      </w:pPr>
      <w:bookmarkStart w:id="827" w:name="bookmark1299"/>
      <w:bookmarkStart w:id="828" w:name="bookmark1301"/>
      <w:bookmarkStart w:id="829" w:name="bookmark1300"/>
      <w:bookmarkStart w:id="830" w:name="_Toc7702"/>
      <w:bookmarkStart w:id="831" w:name="_Toc14710376"/>
      <w:r>
        <w:t>15.6暂列金额</w:t>
      </w:r>
      <w:bookmarkEnd w:id="827"/>
      <w:bookmarkEnd w:id="828"/>
      <w:bookmarkEnd w:id="829"/>
      <w:bookmarkEnd w:id="830"/>
      <w:bookmarkEnd w:id="831"/>
    </w:p>
    <w:p w14:paraId="5B0CC5F0">
      <w:pPr>
        <w:pStyle w:val="11"/>
      </w:pPr>
      <w:r>
        <w:t>暂列金额只能按照监理人的指示使用，并对合同价格进行相应调整。</w:t>
      </w:r>
    </w:p>
    <w:p w14:paraId="595458E7">
      <w:pPr>
        <w:pStyle w:val="2"/>
        <w:numPr>
          <w:ilvl w:val="0"/>
          <w:numId w:val="0"/>
        </w:numPr>
        <w:bidi w:val="0"/>
        <w:ind w:left="482" w:leftChars="0"/>
      </w:pPr>
      <w:bookmarkStart w:id="832" w:name="bookmark1303"/>
      <w:bookmarkStart w:id="833" w:name="_Toc23161"/>
      <w:bookmarkStart w:id="834" w:name="bookmark1302"/>
      <w:bookmarkStart w:id="835" w:name="bookmark1304"/>
      <w:bookmarkStart w:id="836" w:name="_Toc14710377"/>
      <w:r>
        <w:t>15.7计日工</w:t>
      </w:r>
      <w:bookmarkEnd w:id="832"/>
      <w:bookmarkEnd w:id="833"/>
      <w:bookmarkEnd w:id="834"/>
      <w:bookmarkEnd w:id="835"/>
      <w:bookmarkEnd w:id="836"/>
    </w:p>
    <w:p w14:paraId="018E84FC">
      <w:pPr>
        <w:pStyle w:val="11"/>
      </w:pPr>
      <w:r>
        <w:t>15.7.1发包人认为有必要时，由监理人通知承包人以计日工方式实施变更的零星工作。其价款按列入已标价工程量清单中的计日工计价子目及其单价进行计算。</w:t>
      </w:r>
    </w:p>
    <w:p w14:paraId="12ED1108">
      <w:pPr>
        <w:pStyle w:val="11"/>
      </w:pPr>
      <w:r>
        <w:t>15.7.2采用计日工计价的任何一项变更工作，应从暂列金额中支付，承包人应在该项变更的实施过程中，每天提交以下报表和有关凭证报送监理人审批：</w:t>
      </w:r>
    </w:p>
    <w:p w14:paraId="0FE471E6">
      <w:pPr>
        <w:pStyle w:val="11"/>
      </w:pPr>
      <w:bookmarkStart w:id="837" w:name="bookmark1305"/>
      <w:bookmarkEnd w:id="837"/>
      <w:r>
        <w:rPr>
          <w:b w:val="0"/>
          <w:i w:val="0"/>
          <w:strike w:val="0"/>
          <w:color w:val="000000"/>
          <w:u w:val="none"/>
        </w:rPr>
        <w:t>(1)</w:t>
      </w:r>
      <w:r>
        <w:t>工作名称、内容和数量；</w:t>
      </w:r>
    </w:p>
    <w:p w14:paraId="78861C96">
      <w:pPr>
        <w:pStyle w:val="11"/>
      </w:pPr>
      <w:bookmarkStart w:id="838" w:name="bookmark1306"/>
      <w:bookmarkEnd w:id="838"/>
      <w:r>
        <w:rPr>
          <w:b w:val="0"/>
          <w:i w:val="0"/>
          <w:strike w:val="0"/>
          <w:color w:val="000000"/>
          <w:u w:val="none"/>
        </w:rPr>
        <w:t>(2)</w:t>
      </w:r>
      <w:r>
        <w:t>投入该工作所有人员的姓名、工种、级别和耗用工时；</w:t>
      </w:r>
    </w:p>
    <w:p w14:paraId="00F0AD9A">
      <w:pPr>
        <w:pStyle w:val="11"/>
      </w:pPr>
      <w:bookmarkStart w:id="839" w:name="bookmark1307"/>
      <w:bookmarkEnd w:id="839"/>
      <w:r>
        <w:rPr>
          <w:b w:val="0"/>
          <w:i w:val="0"/>
          <w:strike w:val="0"/>
          <w:color w:val="000000"/>
          <w:u w:val="none"/>
        </w:rPr>
        <w:t>(3)</w:t>
      </w:r>
      <w:r>
        <w:t>投入该工作的材料类别和数量；</w:t>
      </w:r>
    </w:p>
    <w:p w14:paraId="5A6169A3">
      <w:pPr>
        <w:pStyle w:val="11"/>
      </w:pPr>
      <w:bookmarkStart w:id="840" w:name="bookmark1308"/>
      <w:bookmarkEnd w:id="840"/>
      <w:r>
        <w:rPr>
          <w:b w:val="0"/>
          <w:i w:val="0"/>
          <w:strike w:val="0"/>
          <w:color w:val="000000"/>
          <w:u w:val="none"/>
        </w:rPr>
        <w:t>(4)</w:t>
      </w:r>
      <w:r>
        <w:t>投入该工作的施工设备型号、台数和耗用台时；</w:t>
      </w:r>
    </w:p>
    <w:p w14:paraId="5D625B8B">
      <w:pPr>
        <w:pStyle w:val="11"/>
      </w:pPr>
      <w:bookmarkStart w:id="841" w:name="bookmark1309"/>
      <w:bookmarkEnd w:id="841"/>
      <w:r>
        <w:rPr>
          <w:b w:val="0"/>
          <w:i w:val="0"/>
          <w:strike w:val="0"/>
          <w:color w:val="000000"/>
          <w:u w:val="none"/>
        </w:rPr>
        <w:t>(5)</w:t>
      </w:r>
      <w:r>
        <w:t>监理人要求提交的其他资料和凭证。</w:t>
      </w:r>
    </w:p>
    <w:p w14:paraId="5C963911">
      <w:pPr>
        <w:pStyle w:val="11"/>
      </w:pPr>
      <w:r>
        <w:t>15.7.3计日工由承包人汇总后，按第17.3.2项的约定列入进度付款申请单，由监理人复核并经发包人同意后列入进度付款。</w:t>
      </w:r>
    </w:p>
    <w:p w14:paraId="57A2F1CF">
      <w:pPr>
        <w:pStyle w:val="2"/>
        <w:numPr>
          <w:ilvl w:val="0"/>
          <w:numId w:val="0"/>
        </w:numPr>
        <w:bidi w:val="0"/>
        <w:ind w:left="482" w:leftChars="0"/>
      </w:pPr>
      <w:bookmarkStart w:id="842" w:name="bookmark1310"/>
      <w:bookmarkStart w:id="843" w:name="bookmark1311"/>
      <w:bookmarkStart w:id="844" w:name="bookmark1312"/>
      <w:bookmarkStart w:id="845" w:name="_Toc6776"/>
      <w:bookmarkStart w:id="846" w:name="_Toc14710378"/>
      <w:r>
        <w:t>15.8暂估价</w:t>
      </w:r>
      <w:bookmarkEnd w:id="842"/>
      <w:bookmarkEnd w:id="843"/>
      <w:bookmarkEnd w:id="844"/>
      <w:bookmarkEnd w:id="845"/>
      <w:bookmarkEnd w:id="846"/>
    </w:p>
    <w:p w14:paraId="4C0BB48E">
      <w:pPr>
        <w:pStyle w:val="11"/>
      </w:pPr>
      <w:bookmarkStart w:id="847" w:name="bookmark1313"/>
      <w:bookmarkEnd w:id="847"/>
      <w: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成交金额与工程 量清单中所列金额差以及相应的税金等其他费用列入合同价格。必须招标的暂估价项目招标组织形式、发包人和承包人组织招标时双方的权利义务关系在专用合同条款中约定。</w:t>
      </w:r>
    </w:p>
    <w:p w14:paraId="792893BF">
      <w:pPr>
        <w:pStyle w:val="11"/>
      </w:pPr>
      <w:bookmarkStart w:id="848" w:name="bookmark1314"/>
      <w:bookmarkEnd w:id="848"/>
      <w: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C78176F">
      <w:pPr>
        <w:pStyle w:val="11"/>
      </w:pPr>
      <w:bookmarkStart w:id="849" w:name="bookmark1315"/>
      <w:bookmarkEnd w:id="849"/>
      <w: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290F8C49">
      <w:pPr>
        <w:pStyle w:val="2"/>
        <w:numPr>
          <w:ilvl w:val="0"/>
          <w:numId w:val="0"/>
        </w:numPr>
        <w:bidi w:val="0"/>
        <w:ind w:left="482" w:leftChars="0"/>
      </w:pPr>
      <w:bookmarkStart w:id="850" w:name="bookmark1317"/>
      <w:bookmarkStart w:id="851" w:name="bookmark1318"/>
      <w:bookmarkStart w:id="852" w:name="_Toc242"/>
      <w:bookmarkStart w:id="853" w:name="bookmark1316"/>
      <w:bookmarkStart w:id="854" w:name="_Toc14710379"/>
      <w:r>
        <w:t>16 .价格调整</w:t>
      </w:r>
      <w:bookmarkEnd w:id="850"/>
      <w:bookmarkEnd w:id="851"/>
      <w:bookmarkEnd w:id="852"/>
      <w:bookmarkEnd w:id="853"/>
      <w:bookmarkEnd w:id="854"/>
    </w:p>
    <w:p w14:paraId="22B79E87">
      <w:pPr>
        <w:pStyle w:val="2"/>
        <w:numPr>
          <w:ilvl w:val="0"/>
          <w:numId w:val="0"/>
        </w:numPr>
        <w:bidi w:val="0"/>
        <w:ind w:left="482" w:leftChars="0"/>
      </w:pPr>
      <w:bookmarkStart w:id="855" w:name="_Toc2131"/>
      <w:bookmarkStart w:id="856" w:name="bookmark1319"/>
      <w:bookmarkStart w:id="857" w:name="bookmark1320"/>
      <w:bookmarkStart w:id="858" w:name="_Toc14710380"/>
      <w:bookmarkStart w:id="859" w:name="bookmark1321"/>
      <w:r>
        <w:t>16.1物价波动引起的价格调整</w:t>
      </w:r>
      <w:bookmarkEnd w:id="855"/>
      <w:bookmarkEnd w:id="856"/>
      <w:bookmarkEnd w:id="857"/>
      <w:bookmarkEnd w:id="858"/>
      <w:bookmarkEnd w:id="859"/>
    </w:p>
    <w:p w14:paraId="258E276E">
      <w:pPr>
        <w:pStyle w:val="11"/>
      </w:pPr>
      <w:r>
        <w:t>由于物价波动原因引起合同价格需要调整的，其价格调整方式在专用合同条款中约定；除专用合同条款另有约定外，因物价波动引起的价格调整按照本款约定处理。</w:t>
      </w:r>
    </w:p>
    <w:p w14:paraId="3683745F">
      <w:pPr>
        <w:pStyle w:val="2"/>
        <w:numPr>
          <w:ilvl w:val="0"/>
          <w:numId w:val="0"/>
        </w:numPr>
        <w:bidi w:val="0"/>
        <w:ind w:left="482" w:leftChars="0"/>
      </w:pPr>
      <w:bookmarkStart w:id="860" w:name="bookmark1322"/>
      <w:bookmarkEnd w:id="860"/>
      <w:r>
        <w:t>16.1.1采用价格指数调整价格差额</w:t>
      </w:r>
    </w:p>
    <w:p w14:paraId="6F1CFBD8">
      <w:pPr>
        <w:pStyle w:val="2"/>
        <w:numPr>
          <w:ilvl w:val="0"/>
          <w:numId w:val="0"/>
        </w:numPr>
        <w:bidi w:val="0"/>
        <w:ind w:left="482" w:leftChars="0"/>
      </w:pPr>
      <w:bookmarkStart w:id="861" w:name="bookmark1323"/>
      <w:bookmarkEnd w:id="861"/>
      <w:r>
        <w:t>16.1.1.1价格调整公式</w:t>
      </w:r>
    </w:p>
    <w:p w14:paraId="702EDCE4">
      <w:pPr>
        <w:pStyle w:val="11"/>
      </w:pPr>
      <w:r>
        <w:t>因人工、材料和设备等价格波动影响合同价格时，根据投标函附录中的价格指数和权重表约定的数据，按以下公式计算差额并调整合同价格。</w:t>
      </w:r>
    </w:p>
    <w:p w14:paraId="4A3FFBE9">
      <w:pPr>
        <w:pStyle w:val="36"/>
        <w:spacing w:line="440" w:lineRule="exact"/>
        <w:ind w:firstLine="420"/>
        <w:rPr>
          <w:sz w:val="21"/>
          <w:szCs w:val="21"/>
          <w:lang w:val="en-US"/>
        </w:rPr>
      </w:pPr>
      <w:r>
        <w:rPr>
          <w:rFonts w:hint="eastAsia"/>
          <w:position w:val="-34"/>
          <w:sz w:val="21"/>
          <w:szCs w:val="21"/>
        </w:rPr>
        <w:object>
          <v:shape id="_x0000_i1025" o:spt="75" type="#_x0000_t75" style="height:49.5pt;width:324pt;" o:ole="t" filled="f" o:preferrelative="t" stroked="f" coordsize="21600,21600">
            <v:path/>
            <v:fill on="f" focussize="0,0"/>
            <v:stroke on="f"/>
            <v:imagedata r:id="rId14" o:title=""/>
            <o:lock v:ext="edit" aspectratio="t"/>
            <w10:wrap type="none"/>
            <w10:anchorlock/>
          </v:shape>
          <o:OLEObject Type="Embed" ProgID="Equations" ShapeID="_x0000_i1025" DrawAspect="Content" ObjectID="_1468075725" r:id="rId13">
            <o:LockedField>false</o:LockedField>
          </o:OLEObject>
        </w:object>
      </w:r>
    </w:p>
    <w:p w14:paraId="38D6621F">
      <w:pPr>
        <w:pStyle w:val="11"/>
      </w:pPr>
      <w:r>
        <w:t>式中： △P -- 需调整的价格差额；</w:t>
      </w:r>
    </w:p>
    <w:p w14:paraId="5D72E784">
      <w:pPr>
        <w:pStyle w:val="11"/>
      </w:pPr>
      <w: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2F232DA3">
      <w:pPr>
        <w:pStyle w:val="11"/>
      </w:pPr>
      <w:bookmarkStart w:id="862" w:name="_Toc152042495"/>
      <w:bookmarkStart w:id="863" w:name="_Toc144974686"/>
      <w:r>
        <w:t>A -- 定值权重(即不调部分的权重)；</w:t>
      </w:r>
      <w:bookmarkEnd w:id="862"/>
      <w:bookmarkEnd w:id="863"/>
    </w:p>
    <w:p w14:paraId="5A05170A">
      <w:pPr>
        <w:pStyle w:val="11"/>
      </w:pPr>
      <w:r>
        <w:t>B1；B2；B3·····Bn -- 各可调因子的变值权重(即可调部分的权重)为各可调因子在投标函投标总报价中所占的比例；</w:t>
      </w:r>
    </w:p>
    <w:p w14:paraId="14E3DB0B">
      <w:pPr>
        <w:pStyle w:val="11"/>
      </w:pPr>
      <w:r>
        <w:t>Ft1；Ft2；Ft3·····Ftn -- 各可调因子的现行价格指数，指第17.3.3项、第17.5.2项和第17.6.2项约定的付款证书相关周期最后一天的前42天的各可调因子的价格指数；</w:t>
      </w:r>
    </w:p>
    <w:p w14:paraId="2590A4B9">
      <w:pPr>
        <w:pStyle w:val="11"/>
      </w:pPr>
      <w:r>
        <w:t>Fo1；Fo2; Fo3·····Fon -- 各可调因子的基本价格指数，指基准日期的各可调因子的价格指数。</w:t>
      </w:r>
    </w:p>
    <w:p w14:paraId="79E14530">
      <w:pPr>
        <w:pStyle w:val="11"/>
      </w:pPr>
      <w: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8549B7F">
      <w:pPr>
        <w:pStyle w:val="2"/>
        <w:numPr>
          <w:ilvl w:val="0"/>
          <w:numId w:val="0"/>
        </w:numPr>
        <w:bidi w:val="0"/>
        <w:ind w:left="482" w:leftChars="0"/>
      </w:pPr>
      <w:r>
        <w:t>16.1.1.2暂时确定调整差额</w:t>
      </w:r>
    </w:p>
    <w:p w14:paraId="0FB47273">
      <w:pPr>
        <w:pStyle w:val="11"/>
      </w:pPr>
      <w:r>
        <w:t>在计算调整差额时得不到现行价格指数的，可暂用上一次价格指数计算，并在以后的付款中再按实际价格指数进行调整。</w:t>
      </w:r>
    </w:p>
    <w:p w14:paraId="2898D593">
      <w:pPr>
        <w:pStyle w:val="2"/>
        <w:numPr>
          <w:ilvl w:val="0"/>
          <w:numId w:val="0"/>
        </w:numPr>
        <w:bidi w:val="0"/>
        <w:ind w:left="482" w:leftChars="0"/>
      </w:pPr>
      <w:r>
        <w:t>16.1.1.3权重的调整</w:t>
      </w:r>
    </w:p>
    <w:p w14:paraId="03CE7076">
      <w:pPr>
        <w:pStyle w:val="11"/>
      </w:pPr>
      <w:r>
        <w:t>按第15. 1款约定的变更导致原定合同中的权重不合理时，由监理人与承包人和发包人协商后进行调整。</w:t>
      </w:r>
    </w:p>
    <w:p w14:paraId="45C82067">
      <w:pPr>
        <w:pStyle w:val="2"/>
        <w:numPr>
          <w:ilvl w:val="0"/>
          <w:numId w:val="0"/>
        </w:numPr>
        <w:bidi w:val="0"/>
        <w:ind w:left="482" w:leftChars="0"/>
      </w:pPr>
      <w:r>
        <w:t>16.1.1.4承包人工期延误后的价格调整</w:t>
      </w:r>
    </w:p>
    <w:p w14:paraId="03FD5151">
      <w:pPr>
        <w:pStyle w:val="11"/>
      </w:pPr>
      <w:r>
        <w:t>由于承包人原因未在约定的工期内竣工的，则对原约定竣工日期后继续施工的工程, 在使用第16. 1. 1. 1目价格调整公式时，应采用原约定竣工日期与实际竣工日期的两个价格指数中较低的一个作为现行价格指数。</w:t>
      </w:r>
    </w:p>
    <w:p w14:paraId="18E93DF5">
      <w:pPr>
        <w:pStyle w:val="2"/>
        <w:numPr>
          <w:ilvl w:val="0"/>
          <w:numId w:val="0"/>
        </w:numPr>
        <w:bidi w:val="0"/>
        <w:ind w:left="482" w:leftChars="0"/>
      </w:pPr>
      <w:bookmarkStart w:id="864" w:name="bookmark1325"/>
      <w:bookmarkEnd w:id="864"/>
      <w:r>
        <w:t>16.1.2采用造价信息调整价格差额</w:t>
      </w:r>
    </w:p>
    <w:p w14:paraId="5C38EDB7">
      <w:pPr>
        <w:pStyle w:val="11"/>
      </w:pPr>
      <w: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988D6C5">
      <w:pPr>
        <w:pStyle w:val="11"/>
      </w:pPr>
      <w:r>
        <w:t>工程造价信息的来源以及价格调整的项目和系数在专用合同条款中约定。</w:t>
      </w:r>
    </w:p>
    <w:p w14:paraId="5E65F9EE">
      <w:pPr>
        <w:pStyle w:val="2"/>
        <w:numPr>
          <w:ilvl w:val="0"/>
          <w:numId w:val="0"/>
        </w:numPr>
        <w:bidi w:val="0"/>
        <w:ind w:left="482" w:leftChars="0"/>
      </w:pPr>
      <w:bookmarkStart w:id="865" w:name="_Toc14710381"/>
      <w:bookmarkStart w:id="866" w:name="bookmark1328"/>
      <w:bookmarkStart w:id="867" w:name="bookmark1327"/>
      <w:bookmarkStart w:id="868" w:name="bookmark1326"/>
      <w:bookmarkStart w:id="869" w:name="_Toc30516"/>
      <w:r>
        <w:t>16.2法律变化引起的价格调整</w:t>
      </w:r>
      <w:bookmarkEnd w:id="865"/>
      <w:bookmarkEnd w:id="866"/>
      <w:bookmarkEnd w:id="867"/>
      <w:bookmarkEnd w:id="868"/>
      <w:bookmarkEnd w:id="869"/>
    </w:p>
    <w:p w14:paraId="39145035">
      <w:pPr>
        <w:pStyle w:val="11"/>
      </w:pPr>
      <w:r>
        <w:t>在基准日后，因法律变化导致承包人在合同履行中所需要的工程费用发生除第16. 1款约定以外的增减时，监理人应根据法律、国家或省、自治区、直辖市有关部门的规定，按第3. 5款商定或确定需调整的合同价款。</w:t>
      </w:r>
    </w:p>
    <w:p w14:paraId="48A12C24">
      <w:pPr>
        <w:pStyle w:val="2"/>
        <w:numPr>
          <w:ilvl w:val="0"/>
          <w:numId w:val="0"/>
        </w:numPr>
        <w:bidi w:val="0"/>
        <w:ind w:left="482" w:leftChars="0"/>
      </w:pPr>
      <w:bookmarkStart w:id="870" w:name="_Toc15158"/>
      <w:bookmarkStart w:id="871" w:name="_Toc14710382"/>
      <w:bookmarkStart w:id="872" w:name="bookmark1331"/>
      <w:bookmarkStart w:id="873" w:name="bookmark1329"/>
      <w:bookmarkStart w:id="874" w:name="bookmark1330"/>
      <w:r>
        <w:t>17.计量与支付</w:t>
      </w:r>
      <w:bookmarkEnd w:id="870"/>
      <w:bookmarkEnd w:id="871"/>
      <w:bookmarkEnd w:id="872"/>
      <w:bookmarkEnd w:id="873"/>
      <w:bookmarkEnd w:id="874"/>
    </w:p>
    <w:p w14:paraId="5725D67E">
      <w:pPr>
        <w:pStyle w:val="2"/>
        <w:numPr>
          <w:ilvl w:val="0"/>
          <w:numId w:val="0"/>
        </w:numPr>
        <w:bidi w:val="0"/>
        <w:ind w:left="482" w:leftChars="0"/>
      </w:pPr>
      <w:bookmarkStart w:id="875" w:name="_Toc7733"/>
      <w:bookmarkStart w:id="876" w:name="bookmark1334"/>
      <w:bookmarkStart w:id="877" w:name="_Toc14710383"/>
      <w:bookmarkStart w:id="878" w:name="bookmark1333"/>
      <w:bookmarkStart w:id="879" w:name="bookmark1332"/>
      <w:r>
        <w:t>17.1计量</w:t>
      </w:r>
      <w:bookmarkEnd w:id="875"/>
      <w:bookmarkEnd w:id="876"/>
      <w:bookmarkEnd w:id="877"/>
      <w:bookmarkEnd w:id="878"/>
      <w:bookmarkEnd w:id="879"/>
    </w:p>
    <w:p w14:paraId="57123A4D">
      <w:pPr>
        <w:pStyle w:val="2"/>
        <w:numPr>
          <w:ilvl w:val="0"/>
          <w:numId w:val="0"/>
        </w:numPr>
        <w:bidi w:val="0"/>
        <w:ind w:left="482" w:leftChars="0"/>
      </w:pPr>
      <w:bookmarkStart w:id="880" w:name="bookmark1335"/>
      <w:bookmarkEnd w:id="880"/>
      <w:r>
        <w:t>17.1.1计量单位</w:t>
      </w:r>
    </w:p>
    <w:p w14:paraId="74E59E3F">
      <w:pPr>
        <w:pStyle w:val="11"/>
      </w:pPr>
      <w:r>
        <w:t>计量采用国家法定的计量单位。</w:t>
      </w:r>
    </w:p>
    <w:p w14:paraId="54EC1554">
      <w:pPr>
        <w:pStyle w:val="2"/>
        <w:numPr>
          <w:ilvl w:val="0"/>
          <w:numId w:val="0"/>
        </w:numPr>
        <w:bidi w:val="0"/>
        <w:ind w:left="482" w:leftChars="0"/>
      </w:pPr>
      <w:bookmarkStart w:id="881" w:name="bookmark1336"/>
      <w:bookmarkEnd w:id="881"/>
      <w:r>
        <w:t>17.1.2计量方法</w:t>
      </w:r>
    </w:p>
    <w:p w14:paraId="669F3D01">
      <w:pPr>
        <w:pStyle w:val="11"/>
      </w:pPr>
      <w:r>
        <w:t>结算工程量应按工程量清单中约定的方法计算。</w:t>
      </w:r>
    </w:p>
    <w:p w14:paraId="0282B7A0">
      <w:pPr>
        <w:pStyle w:val="2"/>
        <w:numPr>
          <w:ilvl w:val="0"/>
          <w:numId w:val="0"/>
        </w:numPr>
        <w:bidi w:val="0"/>
        <w:ind w:left="482" w:leftChars="0"/>
      </w:pPr>
      <w:r>
        <w:t>17.1.3计量周期</w:t>
      </w:r>
    </w:p>
    <w:p w14:paraId="219D7B89">
      <w:pPr>
        <w:pStyle w:val="11"/>
      </w:pPr>
      <w:r>
        <w:t>除专用合同条款另有约定外，单价子目已完成工程量按月计量，总价子目的计量周期 按批准的支付分解报告确定。</w:t>
      </w:r>
    </w:p>
    <w:p w14:paraId="5F95B091">
      <w:pPr>
        <w:pStyle w:val="2"/>
        <w:numPr>
          <w:ilvl w:val="0"/>
          <w:numId w:val="0"/>
        </w:numPr>
        <w:bidi w:val="0"/>
        <w:ind w:left="482" w:leftChars="0"/>
      </w:pPr>
      <w:r>
        <w:t>17.1.4单价子目的计量</w:t>
      </w:r>
    </w:p>
    <w:p w14:paraId="4674272B">
      <w:pPr>
        <w:pStyle w:val="11"/>
      </w:pPr>
      <w:bookmarkStart w:id="882" w:name="bookmark1337"/>
      <w:bookmarkEnd w:id="882"/>
      <w:r>
        <w:rPr>
          <w:b w:val="0"/>
          <w:i w:val="0"/>
          <w:strike w:val="0"/>
          <w:color w:val="000000"/>
          <w:u w:val="none"/>
        </w:rPr>
        <w:t>(1)</w:t>
      </w:r>
      <w:r>
        <w:t>已标价工程量清单中的单价子目工程量为估算工程量。结算工程量是承包人实际完成的，并按合同约定的计量方法进行计量的工程量。</w:t>
      </w:r>
    </w:p>
    <w:p w14:paraId="390F3C36">
      <w:pPr>
        <w:pStyle w:val="11"/>
      </w:pPr>
      <w:bookmarkStart w:id="883" w:name="bookmark1338"/>
      <w:bookmarkEnd w:id="883"/>
      <w:r>
        <w:rPr>
          <w:b w:val="0"/>
          <w:i w:val="0"/>
          <w:strike w:val="0"/>
          <w:color w:val="000000"/>
          <w:u w:val="none"/>
        </w:rPr>
        <w:t>(2)</w:t>
      </w:r>
      <w:r>
        <w:t>承包人对已完成的工程进行计量，向监理人提交进度付款申请单、已完成工程量报表和有关计量资料。</w:t>
      </w:r>
    </w:p>
    <w:p w14:paraId="5F530CC6">
      <w:pPr>
        <w:pStyle w:val="11"/>
      </w:pPr>
      <w:r>
        <w:rPr>
          <w:b w:val="0"/>
          <w:i w:val="0"/>
          <w:strike w:val="0"/>
          <w:color w:val="000000"/>
          <w:u w:val="none"/>
        </w:rPr>
        <w:t>(3)</w:t>
      </w:r>
      <w:r>
        <w:t>监理人对承包人提交的工程量报表进行复核，以确定实际完成的工程量。对数量</w:t>
      </w:r>
      <w:bookmarkStart w:id="884" w:name="bookmark1339"/>
      <w:bookmarkEnd w:id="884"/>
      <w:r>
        <w:t>有异议的，可要求承包人按第8. 2款约定进行共同复核和抽样复测。承包人应协助监理人进行复核并按监理人要求提供补充计量资料。承包人未按监理人要求参加复核，监理人复核或修正的工程量视为承包人实际完成的工程量。</w:t>
      </w:r>
    </w:p>
    <w:p w14:paraId="01C1CA3E">
      <w:pPr>
        <w:pStyle w:val="11"/>
      </w:pPr>
      <w:bookmarkStart w:id="885" w:name="bookmark1340"/>
      <w:bookmarkEnd w:id="885"/>
      <w:r>
        <w:rPr>
          <w:b w:val="0"/>
          <w:i w:val="0"/>
          <w:strike w:val="0"/>
          <w:color w:val="000000"/>
          <w:u w:val="none"/>
        </w:rPr>
        <w:t>(4)</w:t>
      </w:r>
      <w:r>
        <w:t>监理人认为有必要时，可通知承包人共同进行联合测量、计量，承包人应遵照执行。</w:t>
      </w:r>
    </w:p>
    <w:p w14:paraId="34EAF0D5">
      <w:pPr>
        <w:pStyle w:val="11"/>
      </w:pPr>
      <w:bookmarkStart w:id="886" w:name="bookmark1341"/>
      <w:bookmarkEnd w:id="886"/>
      <w:r>
        <w:rPr>
          <w:b w:val="0"/>
          <w:i w:val="0"/>
          <w:strike w:val="0"/>
          <w:color w:val="000000"/>
          <w:u w:val="none"/>
        </w:rPr>
        <w:t>(5)</w:t>
      </w:r>
      <w: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425893E7">
      <w:pPr>
        <w:pStyle w:val="11"/>
      </w:pPr>
      <w:bookmarkStart w:id="887" w:name="bookmark1342"/>
      <w:bookmarkEnd w:id="887"/>
      <w:r>
        <w:rPr>
          <w:b w:val="0"/>
          <w:i w:val="0"/>
          <w:strike w:val="0"/>
          <w:color w:val="000000"/>
          <w:u w:val="none"/>
        </w:rPr>
        <w:t>(6)</w:t>
      </w:r>
      <w:r>
        <w:t>监理人应在收到承包人提交的工程量报表后的7天内进行复核，监理人未在约定时间内复核的，承包人提交的工程量报表中的工程量视为承包人实际完成的工程量，据此计算工程价款。</w:t>
      </w:r>
    </w:p>
    <w:p w14:paraId="50487B5D">
      <w:pPr>
        <w:pStyle w:val="2"/>
        <w:numPr>
          <w:ilvl w:val="0"/>
          <w:numId w:val="0"/>
        </w:numPr>
        <w:bidi w:val="0"/>
        <w:ind w:left="482" w:leftChars="0"/>
      </w:pPr>
      <w:r>
        <w:t>17.1.5总价子目的计量</w:t>
      </w:r>
    </w:p>
    <w:p w14:paraId="16982B42">
      <w:pPr>
        <w:pStyle w:val="11"/>
      </w:pPr>
      <w:r>
        <w:t>总价子目的分解和计量按照下述约定进行。</w:t>
      </w:r>
    </w:p>
    <w:p w14:paraId="50328C19">
      <w:pPr>
        <w:pStyle w:val="11"/>
      </w:pPr>
      <w:bookmarkStart w:id="888" w:name="bookmark1343"/>
      <w:bookmarkEnd w:id="888"/>
      <w:r>
        <w:rPr>
          <w:b w:val="0"/>
          <w:i w:val="0"/>
          <w:strike w:val="0"/>
          <w:color w:val="000000"/>
          <w:u w:val="none"/>
        </w:rPr>
        <w:t>(1)</w:t>
      </w:r>
      <w:r>
        <w:t>总价子目的计量和支付应以总价为基础，不因第16.1款中的因素而进行调整。承包人实际完成的工程量，是进行工程目标管理和控制进度支付的依据。</w:t>
      </w:r>
    </w:p>
    <w:p w14:paraId="6072CF27">
      <w:pPr>
        <w:pStyle w:val="11"/>
      </w:pPr>
      <w:bookmarkStart w:id="889" w:name="bookmark1344"/>
      <w:bookmarkEnd w:id="889"/>
      <w:r>
        <w:rPr>
          <w:b w:val="0"/>
          <w:i w:val="0"/>
          <w:strike w:val="0"/>
          <w:color w:val="000000"/>
          <w:u w:val="none"/>
        </w:rPr>
        <w:t>(2)</w:t>
      </w:r>
      <w: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78FAFAF">
      <w:pPr>
        <w:pStyle w:val="11"/>
      </w:pPr>
      <w:bookmarkStart w:id="890" w:name="bookmark1345"/>
      <w:bookmarkEnd w:id="890"/>
      <w:r>
        <w:rPr>
          <w:b w:val="0"/>
          <w:i w:val="0"/>
          <w:strike w:val="0"/>
          <w:color w:val="000000"/>
          <w:u w:val="none"/>
        </w:rPr>
        <w:t>(3)</w:t>
      </w:r>
      <w:r>
        <w:t>监理人对承包人提交的上述资料进行复核，以确定分阶段实际完成的工程量和工程形象目标。对其有异议的，可要求承包人按第8. 2款约定进行共同复核和抽样复测。</w:t>
      </w:r>
    </w:p>
    <w:p w14:paraId="186C9B64">
      <w:pPr>
        <w:pStyle w:val="11"/>
      </w:pPr>
      <w:bookmarkStart w:id="891" w:name="bookmark1346"/>
      <w:bookmarkEnd w:id="891"/>
      <w:r>
        <w:rPr>
          <w:b w:val="0"/>
          <w:i w:val="0"/>
          <w:strike w:val="0"/>
          <w:color w:val="000000"/>
          <w:u w:val="none"/>
        </w:rPr>
        <w:t>(4)</w:t>
      </w:r>
      <w:r>
        <w:t>除按照第15条约定的变更外，总价子目的工程量是承包人用于结算的最终工程量。</w:t>
      </w:r>
    </w:p>
    <w:p w14:paraId="1D3FC3A7">
      <w:pPr>
        <w:pStyle w:val="2"/>
        <w:numPr>
          <w:ilvl w:val="0"/>
          <w:numId w:val="0"/>
        </w:numPr>
        <w:bidi w:val="0"/>
        <w:ind w:left="482" w:leftChars="0"/>
      </w:pPr>
      <w:bookmarkStart w:id="892" w:name="bookmark1348"/>
      <w:bookmarkStart w:id="893" w:name="_Toc1366"/>
      <w:bookmarkStart w:id="894" w:name="_Toc14710384"/>
      <w:bookmarkStart w:id="895" w:name="bookmark1347"/>
      <w:bookmarkStart w:id="896" w:name="bookmark1349"/>
      <w:r>
        <w:t>17.2预付款</w:t>
      </w:r>
      <w:bookmarkEnd w:id="892"/>
      <w:bookmarkEnd w:id="893"/>
      <w:bookmarkEnd w:id="894"/>
      <w:bookmarkEnd w:id="895"/>
      <w:bookmarkEnd w:id="896"/>
    </w:p>
    <w:p w14:paraId="601F8805">
      <w:pPr>
        <w:pStyle w:val="2"/>
        <w:numPr>
          <w:ilvl w:val="0"/>
          <w:numId w:val="0"/>
        </w:numPr>
        <w:bidi w:val="0"/>
        <w:ind w:left="482" w:leftChars="0"/>
      </w:pPr>
      <w:r>
        <w:t>17.2.1预付款</w:t>
      </w:r>
    </w:p>
    <w:p w14:paraId="6FAAA381">
      <w:pPr>
        <w:pStyle w:val="11"/>
      </w:pPr>
      <w: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7D058880">
      <w:pPr>
        <w:pStyle w:val="2"/>
        <w:numPr>
          <w:ilvl w:val="0"/>
          <w:numId w:val="0"/>
        </w:numPr>
        <w:bidi w:val="0"/>
        <w:ind w:left="482" w:leftChars="0"/>
      </w:pPr>
      <w:r>
        <w:t>17.2.2预付款保函(担保)</w:t>
      </w:r>
    </w:p>
    <w:p w14:paraId="11F5F8D5">
      <w:pPr>
        <w:pStyle w:val="11"/>
      </w:pPr>
      <w:bookmarkStart w:id="897" w:name="bookmark1350"/>
      <w:bookmarkEnd w:id="897"/>
      <w:r>
        <w:rPr>
          <w:b w:val="0"/>
          <w:i w:val="0"/>
          <w:strike w:val="0"/>
          <w:color w:val="000000"/>
          <w:u w:val="none"/>
        </w:rPr>
        <w:t>(1)</w:t>
      </w:r>
      <w:r>
        <w:t>承包人应在收到第一次工程预付款的同时向发包人提交工程预付款担保，担保金额应与第一次工程预付款金额相同，工程预付款担保在第一次工程预付款被发包人扣回前一直有效。</w:t>
      </w:r>
    </w:p>
    <w:p w14:paraId="70893AA0">
      <w:pPr>
        <w:pStyle w:val="11"/>
      </w:pPr>
      <w:bookmarkStart w:id="898" w:name="bookmark1351"/>
      <w:bookmarkEnd w:id="898"/>
      <w:r>
        <w:rPr>
          <w:b w:val="0"/>
          <w:i w:val="0"/>
          <w:strike w:val="0"/>
          <w:color w:val="000000"/>
          <w:u w:val="none"/>
        </w:rPr>
        <w:t>(2)</w:t>
      </w:r>
      <w:r>
        <w:t>工程材料预付款的担保在专用合同条款中约定。</w:t>
      </w:r>
    </w:p>
    <w:p w14:paraId="3C5F6913">
      <w:pPr>
        <w:pStyle w:val="11"/>
      </w:pPr>
      <w:bookmarkStart w:id="899" w:name="bookmark1352"/>
      <w:bookmarkEnd w:id="899"/>
      <w:r>
        <w:rPr>
          <w:b w:val="0"/>
          <w:i w:val="0"/>
          <w:strike w:val="0"/>
          <w:color w:val="000000"/>
          <w:u w:val="none"/>
        </w:rPr>
        <w:t>(3)</w:t>
      </w:r>
      <w:r>
        <w:t>预付款担保的担保金额可根据预付款扣回的金额相应递减。</w:t>
      </w:r>
    </w:p>
    <w:p w14:paraId="66FB6C52">
      <w:pPr>
        <w:pStyle w:val="2"/>
        <w:numPr>
          <w:ilvl w:val="0"/>
          <w:numId w:val="0"/>
        </w:numPr>
        <w:bidi w:val="0"/>
        <w:ind w:left="482" w:leftChars="0"/>
      </w:pPr>
      <w:r>
        <w:t>17.2.3预付款的扣回与还清</w:t>
      </w:r>
    </w:p>
    <w:p w14:paraId="0AE4DEAB">
      <w:pPr>
        <w:pStyle w:val="11"/>
      </w:pPr>
      <w: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30B0C774">
      <w:pPr>
        <w:pStyle w:val="2"/>
        <w:numPr>
          <w:ilvl w:val="0"/>
          <w:numId w:val="0"/>
        </w:numPr>
        <w:bidi w:val="0"/>
        <w:ind w:left="482" w:leftChars="0"/>
      </w:pPr>
      <w:bookmarkStart w:id="900" w:name="bookmark1353"/>
      <w:bookmarkStart w:id="901" w:name="bookmark1354"/>
      <w:bookmarkStart w:id="902" w:name="bookmark1355"/>
      <w:bookmarkStart w:id="903" w:name="_Toc14710385"/>
      <w:bookmarkStart w:id="904" w:name="_Toc2053"/>
      <w:r>
        <w:t>17.3工程进度付款</w:t>
      </w:r>
      <w:bookmarkEnd w:id="900"/>
      <w:bookmarkEnd w:id="901"/>
      <w:bookmarkEnd w:id="902"/>
      <w:bookmarkEnd w:id="903"/>
      <w:bookmarkEnd w:id="904"/>
    </w:p>
    <w:p w14:paraId="75F4730A">
      <w:pPr>
        <w:pStyle w:val="2"/>
        <w:numPr>
          <w:ilvl w:val="0"/>
          <w:numId w:val="0"/>
        </w:numPr>
        <w:bidi w:val="0"/>
        <w:ind w:left="482" w:leftChars="0"/>
      </w:pPr>
      <w:r>
        <w:t>17.3.1付款周期</w:t>
      </w:r>
    </w:p>
    <w:p w14:paraId="48D7DA49">
      <w:pPr>
        <w:pStyle w:val="11"/>
      </w:pPr>
      <w:r>
        <w:t>付款周期同计量周期。</w:t>
      </w:r>
    </w:p>
    <w:p w14:paraId="73ED5BAA">
      <w:pPr>
        <w:pStyle w:val="2"/>
        <w:numPr>
          <w:ilvl w:val="0"/>
          <w:numId w:val="0"/>
        </w:numPr>
        <w:bidi w:val="0"/>
        <w:ind w:left="482" w:leftChars="0"/>
      </w:pPr>
      <w:r>
        <w:t>17.3.2进度付款申请单</w:t>
      </w:r>
    </w:p>
    <w:p w14:paraId="4591C117">
      <w:pPr>
        <w:pStyle w:val="11"/>
      </w:pPr>
      <w:r>
        <w:t>承包人应在每个付款周期末，按监理人批准的格式和专用合同条款约定的份数，向监理人提交进度付款申请单，并附相应的支持性证明文件。除专用合同条款另有约定外，进度付款申请单应包括下列内容：</w:t>
      </w:r>
    </w:p>
    <w:p w14:paraId="024D08E6">
      <w:pPr>
        <w:pStyle w:val="11"/>
      </w:pPr>
      <w:bookmarkStart w:id="905" w:name="bookmark1356"/>
      <w:bookmarkEnd w:id="905"/>
      <w:r>
        <w:rPr>
          <w:b w:val="0"/>
          <w:i w:val="0"/>
          <w:strike w:val="0"/>
          <w:color w:val="000000"/>
          <w:u w:val="none"/>
        </w:rPr>
        <w:t>(1)</w:t>
      </w:r>
      <w:r>
        <w:t>截至本次付款周期末已实施工程的价款；</w:t>
      </w:r>
    </w:p>
    <w:p w14:paraId="5F9E3873">
      <w:pPr>
        <w:pStyle w:val="11"/>
      </w:pPr>
      <w:bookmarkStart w:id="906" w:name="bookmark1357"/>
      <w:bookmarkEnd w:id="906"/>
      <w:r>
        <w:rPr>
          <w:b w:val="0"/>
          <w:i w:val="0"/>
          <w:strike w:val="0"/>
          <w:color w:val="000000"/>
          <w:u w:val="none"/>
        </w:rPr>
        <w:t>(2)</w:t>
      </w:r>
      <w:r>
        <w:t>根据第15条应增加和扣减的变更金额；</w:t>
      </w:r>
    </w:p>
    <w:p w14:paraId="1783E6E0">
      <w:pPr>
        <w:pStyle w:val="11"/>
      </w:pPr>
      <w:bookmarkStart w:id="907" w:name="bookmark1358"/>
      <w:bookmarkEnd w:id="907"/>
      <w:r>
        <w:rPr>
          <w:b w:val="0"/>
          <w:i w:val="0"/>
          <w:strike w:val="0"/>
          <w:color w:val="000000"/>
          <w:u w:val="none"/>
        </w:rPr>
        <w:t>(3)</w:t>
      </w:r>
      <w:r>
        <w:t>根据第23条应增加和扣减的索赔金额；</w:t>
      </w:r>
    </w:p>
    <w:p w14:paraId="6C125F81">
      <w:pPr>
        <w:pStyle w:val="11"/>
      </w:pPr>
      <w:bookmarkStart w:id="908" w:name="bookmark1359"/>
      <w:bookmarkEnd w:id="908"/>
      <w:r>
        <w:rPr>
          <w:b w:val="0"/>
          <w:i w:val="0"/>
          <w:strike w:val="0"/>
          <w:color w:val="000000"/>
          <w:u w:val="none"/>
        </w:rPr>
        <w:t>(4)</w:t>
      </w:r>
      <w:r>
        <w:t>根据第17. 2款约定应支付的预付款和扣减的返还预付款；</w:t>
      </w:r>
    </w:p>
    <w:p w14:paraId="3120F318">
      <w:pPr>
        <w:pStyle w:val="11"/>
      </w:pPr>
      <w:bookmarkStart w:id="909" w:name="bookmark1360"/>
      <w:bookmarkEnd w:id="909"/>
      <w:r>
        <w:rPr>
          <w:b w:val="0"/>
          <w:i w:val="0"/>
          <w:strike w:val="0"/>
          <w:color w:val="000000"/>
          <w:u w:val="none"/>
        </w:rPr>
        <w:t>(5)</w:t>
      </w:r>
      <w:r>
        <w:t>根据第17.4. 1项约定应扣减的质量保证金；</w:t>
      </w:r>
    </w:p>
    <w:p w14:paraId="2B784B22">
      <w:pPr>
        <w:pStyle w:val="11"/>
      </w:pPr>
      <w:bookmarkStart w:id="910" w:name="bookmark1361"/>
      <w:bookmarkEnd w:id="910"/>
      <w:r>
        <w:rPr>
          <w:b w:val="0"/>
          <w:i w:val="0"/>
          <w:strike w:val="0"/>
          <w:color w:val="000000"/>
          <w:u w:val="none"/>
        </w:rPr>
        <w:t>(6)</w:t>
      </w:r>
      <w:r>
        <w:t>根据合同应增加和扣减的其他金额。</w:t>
      </w:r>
    </w:p>
    <w:p w14:paraId="587C12EB">
      <w:pPr>
        <w:pStyle w:val="2"/>
        <w:numPr>
          <w:ilvl w:val="0"/>
          <w:numId w:val="0"/>
        </w:numPr>
        <w:bidi w:val="0"/>
        <w:ind w:left="482" w:leftChars="0"/>
      </w:pPr>
      <w:r>
        <w:t>17.3.3进度付款证书和支付时间</w:t>
      </w:r>
    </w:p>
    <w:p w14:paraId="16C3FD4F">
      <w:pPr>
        <w:pStyle w:val="11"/>
      </w:pPr>
      <w:bookmarkStart w:id="911" w:name="bookmark1362"/>
      <w:bookmarkEnd w:id="911"/>
      <w:r>
        <w:rPr>
          <w:b w:val="0"/>
          <w:i w:val="0"/>
          <w:strike w:val="0"/>
          <w:color w:val="000000"/>
          <w:u w:val="none"/>
        </w:rPr>
        <w:t>(1)</w:t>
      </w:r>
      <w: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124247A">
      <w:pPr>
        <w:pStyle w:val="11"/>
      </w:pPr>
      <w:bookmarkStart w:id="912" w:name="bookmark1363"/>
      <w:bookmarkEnd w:id="912"/>
      <w:r>
        <w:rPr>
          <w:b w:val="0"/>
          <w:i w:val="0"/>
          <w:strike w:val="0"/>
          <w:color w:val="000000"/>
          <w:u w:val="none"/>
        </w:rPr>
        <w:t>(2)</w:t>
      </w:r>
      <w:r>
        <w:t>发包人应在监理人收到进度付款申请单后的28天内，将进度应付款支付给承包人。发包人不按期支付的，按专用合同条款的约定支付逾期付款违约金。</w:t>
      </w:r>
    </w:p>
    <w:p w14:paraId="71E77590">
      <w:pPr>
        <w:pStyle w:val="11"/>
      </w:pPr>
      <w:bookmarkStart w:id="913" w:name="bookmark1364"/>
      <w:bookmarkEnd w:id="913"/>
      <w:r>
        <w:rPr>
          <w:b w:val="0"/>
          <w:i w:val="0"/>
          <w:strike w:val="0"/>
          <w:color w:val="000000"/>
          <w:u w:val="none"/>
        </w:rPr>
        <w:t>(3)</w:t>
      </w:r>
      <w:r>
        <w:t>监理人出具进度付款证书，不应视为监理人已同意、批准或接受了承包人完成的该部分工作。</w:t>
      </w:r>
    </w:p>
    <w:p w14:paraId="14F9E00B">
      <w:pPr>
        <w:pStyle w:val="11"/>
      </w:pPr>
      <w:bookmarkStart w:id="914" w:name="bookmark1365"/>
      <w:bookmarkEnd w:id="914"/>
      <w:r>
        <w:rPr>
          <w:b w:val="0"/>
          <w:i w:val="0"/>
          <w:strike w:val="0"/>
          <w:color w:val="000000"/>
          <w:u w:val="none"/>
        </w:rPr>
        <w:t>(4)</w:t>
      </w:r>
      <w:r>
        <w:t>进度付款涉及政府投资资金的，按照国库集中支付等国家相关规定和专用合同条款的约定办理。</w:t>
      </w:r>
    </w:p>
    <w:p w14:paraId="4DC88245">
      <w:pPr>
        <w:pStyle w:val="2"/>
        <w:numPr>
          <w:ilvl w:val="0"/>
          <w:numId w:val="0"/>
        </w:numPr>
        <w:bidi w:val="0"/>
        <w:ind w:left="482" w:leftChars="0"/>
      </w:pPr>
      <w:r>
        <w:t>17.3.4工程进度付款的修正</w:t>
      </w:r>
    </w:p>
    <w:p w14:paraId="6A42729B">
      <w:pPr>
        <w:pStyle w:val="11"/>
      </w:pPr>
      <w:r>
        <w:t>在对以往历次已签发的进度付款证书进行汇总和复核中发现错、漏或重复的，监理人有权予以修正，承包人也有权提出修正申请。经双方复核同意的修正，应在本次进度付款中支付或扣除。</w:t>
      </w:r>
    </w:p>
    <w:p w14:paraId="56D163E9">
      <w:pPr>
        <w:pStyle w:val="2"/>
        <w:numPr>
          <w:ilvl w:val="0"/>
          <w:numId w:val="0"/>
        </w:numPr>
        <w:bidi w:val="0"/>
        <w:ind w:left="482" w:leftChars="0"/>
      </w:pPr>
      <w:bookmarkStart w:id="915" w:name="_Toc24179"/>
      <w:bookmarkStart w:id="916" w:name="_Toc14710386"/>
      <w:bookmarkStart w:id="917" w:name="bookmark1366"/>
      <w:bookmarkStart w:id="918" w:name="bookmark1368"/>
      <w:bookmarkStart w:id="919" w:name="bookmark1367"/>
      <w:r>
        <w:t>17.4质量保证金</w:t>
      </w:r>
      <w:bookmarkEnd w:id="915"/>
      <w:bookmarkEnd w:id="916"/>
      <w:bookmarkEnd w:id="917"/>
      <w:bookmarkEnd w:id="918"/>
      <w:bookmarkEnd w:id="919"/>
    </w:p>
    <w:p w14:paraId="7C6BFB59">
      <w:pPr>
        <w:pStyle w:val="11"/>
      </w:pPr>
      <w: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C58C3BF">
      <w:pPr>
        <w:pStyle w:val="11"/>
      </w:pPr>
      <w:r>
        <w:t>17.4.2竣工验收鉴定书签署后14天内，发包人将质量保证金总额的一半支付给承包人。在第1.1. 4. 5目约定的缺陷责任期(工程质量保修期)满时，发包人将在30个工作日内会同承包人按照合同约定的内容核实承包人是否完成保修责任。如无异议，发包人应当在核实后将剩余的质量保证金支付给承包人。</w:t>
      </w:r>
    </w:p>
    <w:p w14:paraId="20098B11">
      <w:pPr>
        <w:pStyle w:val="11"/>
      </w:pPr>
      <w:r>
        <w:t>17.4.3在第1.1. 4. 5目约定的缺陷责任期满时，承包人没有完成缺陷责任的，发包人有权扣留与未履行责任剩余工作所需金额相应的质量保证金余额，并有权根据第19. 3款约定要求延长缺陷责任期，直至完成剩余工作为止。</w:t>
      </w:r>
    </w:p>
    <w:p w14:paraId="2C80A102">
      <w:pPr>
        <w:pStyle w:val="2"/>
        <w:numPr>
          <w:ilvl w:val="0"/>
          <w:numId w:val="0"/>
        </w:numPr>
        <w:bidi w:val="0"/>
        <w:ind w:left="482" w:leftChars="0"/>
      </w:pPr>
      <w:bookmarkStart w:id="920" w:name="bookmark1369"/>
      <w:bookmarkStart w:id="921" w:name="_Toc14710387"/>
      <w:bookmarkStart w:id="922" w:name="bookmark1370"/>
      <w:bookmarkStart w:id="923" w:name="bookmark1371"/>
      <w:bookmarkStart w:id="924" w:name="_Toc27561"/>
      <w:r>
        <w:t>17.5竣工结算(完工结算)</w:t>
      </w:r>
      <w:bookmarkEnd w:id="920"/>
      <w:bookmarkEnd w:id="921"/>
      <w:bookmarkEnd w:id="922"/>
      <w:bookmarkEnd w:id="923"/>
      <w:bookmarkEnd w:id="924"/>
    </w:p>
    <w:p w14:paraId="28EF1247">
      <w:pPr>
        <w:pStyle w:val="2"/>
        <w:numPr>
          <w:ilvl w:val="0"/>
          <w:numId w:val="0"/>
        </w:numPr>
        <w:bidi w:val="0"/>
        <w:ind w:left="482" w:leftChars="0"/>
      </w:pPr>
      <w:r>
        <w:t>17.5.1竣工(完工)付款申请单</w:t>
      </w:r>
    </w:p>
    <w:p w14:paraId="4FD3EF6B">
      <w:pPr>
        <w:pStyle w:val="11"/>
      </w:pPr>
      <w:bookmarkStart w:id="925" w:name="bookmark1372"/>
      <w:bookmarkEnd w:id="925"/>
      <w:r>
        <w:rPr>
          <w:b w:val="0"/>
          <w:i w:val="0"/>
          <w:strike w:val="0"/>
          <w:color w:val="000000"/>
          <w:u w:val="none"/>
        </w:rPr>
        <w:t>(1)</w:t>
      </w:r>
      <w: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012A407B">
      <w:pPr>
        <w:pStyle w:val="11"/>
      </w:pPr>
      <w:bookmarkStart w:id="926" w:name="bookmark1373"/>
      <w:bookmarkEnd w:id="926"/>
      <w:r>
        <w:rPr>
          <w:b w:val="0"/>
          <w:i w:val="0"/>
          <w:strike w:val="0"/>
          <w:color w:val="000000"/>
          <w:u w:val="none"/>
        </w:rPr>
        <w:t>(2)</w:t>
      </w:r>
      <w:r>
        <w:t>监理人对完工付款申请单有异议的，有权要求承包人进行修正和提供补充资料。经监理人和承包人协商后，由承包人向监理人提交修正后的完工付款申请单。</w:t>
      </w:r>
    </w:p>
    <w:p w14:paraId="37081678">
      <w:pPr>
        <w:pStyle w:val="2"/>
        <w:numPr>
          <w:ilvl w:val="0"/>
          <w:numId w:val="0"/>
        </w:numPr>
        <w:bidi w:val="0"/>
        <w:ind w:left="482" w:leftChars="0"/>
      </w:pPr>
      <w:r>
        <w:t>17.5.2竣工(完工)付款证书及支付时间</w:t>
      </w:r>
    </w:p>
    <w:p w14:paraId="25FE97F3">
      <w:pPr>
        <w:pStyle w:val="11"/>
      </w:pPr>
      <w:bookmarkStart w:id="927" w:name="bookmark1374"/>
      <w:bookmarkEnd w:id="927"/>
      <w:r>
        <w:rPr>
          <w:b w:val="0"/>
          <w:i w:val="0"/>
          <w:strike w:val="0"/>
          <w:color w:val="000000"/>
          <w:u w:val="none"/>
        </w:rPr>
        <w:t>(1)</w:t>
      </w:r>
      <w: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7A065D27">
      <w:pPr>
        <w:pStyle w:val="11"/>
      </w:pPr>
      <w:bookmarkStart w:id="928" w:name="bookmark1375"/>
      <w:bookmarkEnd w:id="928"/>
      <w:r>
        <w:rPr>
          <w:b w:val="0"/>
          <w:i w:val="0"/>
          <w:strike w:val="0"/>
          <w:color w:val="000000"/>
          <w:u w:val="none"/>
        </w:rPr>
        <w:t>(2)</w:t>
      </w:r>
      <w:r>
        <w:t>发包人应在监理人出具完工付款证书后的14天内，将应支付款支付给承包人。发包人不按期支付的，按第17.3.3 (2)目的约定，将逾期付款违约金支付给承包人。</w:t>
      </w:r>
    </w:p>
    <w:p w14:paraId="5348D777">
      <w:pPr>
        <w:pStyle w:val="11"/>
      </w:pPr>
      <w:bookmarkStart w:id="929" w:name="bookmark1376"/>
      <w:bookmarkEnd w:id="929"/>
      <w:r>
        <w:rPr>
          <w:b w:val="0"/>
          <w:i w:val="0"/>
          <w:strike w:val="0"/>
          <w:color w:val="000000"/>
          <w:u w:val="none"/>
        </w:rPr>
        <w:t>(3)</w:t>
      </w:r>
      <w:r>
        <w:t>承包人对发包人签认的完工付款证书有异议的，发包人可出具完工付款申请单中承包人已同意部分的临时付款证书。存在争议的部分，按第24条的约定办理。</w:t>
      </w:r>
    </w:p>
    <w:p w14:paraId="7A4CFD4D">
      <w:pPr>
        <w:pStyle w:val="11"/>
      </w:pPr>
      <w:bookmarkStart w:id="930" w:name="bookmark1377"/>
      <w:bookmarkEnd w:id="930"/>
      <w:r>
        <w:rPr>
          <w:b w:val="0"/>
          <w:i w:val="0"/>
          <w:strike w:val="0"/>
          <w:color w:val="000000"/>
          <w:u w:val="none"/>
        </w:rPr>
        <w:t>(4)</w:t>
      </w:r>
      <w:r>
        <w:t>完工付款涉及政府投资资金的，按第17.3.3 (4)目的约定办理。</w:t>
      </w:r>
    </w:p>
    <w:p w14:paraId="55CE199A">
      <w:pPr>
        <w:pStyle w:val="2"/>
        <w:numPr>
          <w:ilvl w:val="0"/>
          <w:numId w:val="0"/>
        </w:numPr>
        <w:bidi w:val="0"/>
        <w:ind w:left="482" w:leftChars="0"/>
      </w:pPr>
      <w:bookmarkStart w:id="931" w:name="bookmark1380"/>
      <w:bookmarkStart w:id="932" w:name="bookmark1379"/>
      <w:bookmarkStart w:id="933" w:name="bookmark1378"/>
      <w:bookmarkStart w:id="934" w:name="_Toc14710388"/>
      <w:bookmarkStart w:id="935" w:name="_Toc20149"/>
      <w:r>
        <w:t>17.6最终结清</w:t>
      </w:r>
      <w:bookmarkEnd w:id="931"/>
      <w:bookmarkEnd w:id="932"/>
      <w:bookmarkEnd w:id="933"/>
      <w:bookmarkEnd w:id="934"/>
      <w:bookmarkEnd w:id="935"/>
    </w:p>
    <w:p w14:paraId="29B083B7">
      <w:pPr>
        <w:pStyle w:val="2"/>
        <w:numPr>
          <w:ilvl w:val="0"/>
          <w:numId w:val="0"/>
        </w:numPr>
        <w:bidi w:val="0"/>
        <w:ind w:left="482" w:leftChars="0"/>
      </w:pPr>
      <w:r>
        <w:t>17.6.1最终结清申请单</w:t>
      </w:r>
    </w:p>
    <w:p w14:paraId="205FFED9">
      <w:pPr>
        <w:pStyle w:val="11"/>
      </w:pPr>
      <w:bookmarkStart w:id="936" w:name="bookmark1381"/>
      <w:bookmarkEnd w:id="936"/>
      <w:r>
        <w:rPr>
          <w:b w:val="0"/>
          <w:i w:val="0"/>
          <w:strike w:val="0"/>
          <w:color w:val="000000"/>
          <w:u w:val="none"/>
        </w:rPr>
        <w:t>(1)</w:t>
      </w:r>
      <w:r>
        <w:t>工程质量保修责任终止证书签发后，承包人应按监理人批准的格式提交最终结清申请单。提交最终结清申请单的份数在专用合同条款中约定。</w:t>
      </w:r>
    </w:p>
    <w:p w14:paraId="0F3CFB71">
      <w:pPr>
        <w:pStyle w:val="11"/>
      </w:pPr>
      <w:bookmarkStart w:id="937" w:name="bookmark1382"/>
      <w:bookmarkEnd w:id="937"/>
      <w:r>
        <w:rPr>
          <w:b w:val="0"/>
          <w:i w:val="0"/>
          <w:strike w:val="0"/>
          <w:color w:val="000000"/>
          <w:u w:val="none"/>
        </w:rPr>
        <w:t>(2)</w:t>
      </w:r>
      <w:r>
        <w:t>发包人对最终结清申请单内容有异议的，有权要求承包人进行修正和提供补充资料，由承包人向监理人提交修正后的最终结清申请单。</w:t>
      </w:r>
    </w:p>
    <w:p w14:paraId="526D0996">
      <w:pPr>
        <w:pStyle w:val="2"/>
        <w:numPr>
          <w:ilvl w:val="0"/>
          <w:numId w:val="0"/>
        </w:numPr>
        <w:bidi w:val="0"/>
        <w:ind w:left="482" w:leftChars="0"/>
      </w:pPr>
      <w:r>
        <w:t>17.6.2最终结清证书和支付时间</w:t>
      </w:r>
    </w:p>
    <w:p w14:paraId="30F33855">
      <w:pPr>
        <w:pStyle w:val="11"/>
      </w:pPr>
      <w:bookmarkStart w:id="938" w:name="bookmark1383"/>
      <w:bookmarkEnd w:id="938"/>
      <w:r>
        <w:rPr>
          <w:b w:val="0"/>
          <w:i w:val="0"/>
          <w:strike w:val="0"/>
          <w:color w:val="000000"/>
          <w:u w:val="none"/>
        </w:rPr>
        <w:t>(1)</w:t>
      </w:r>
      <w: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D4D79B6">
      <w:pPr>
        <w:pStyle w:val="11"/>
      </w:pPr>
      <w:bookmarkStart w:id="939" w:name="bookmark1384"/>
      <w:bookmarkEnd w:id="939"/>
      <w:r>
        <w:rPr>
          <w:b w:val="0"/>
          <w:i w:val="0"/>
          <w:strike w:val="0"/>
          <w:color w:val="000000"/>
          <w:u w:val="none"/>
        </w:rPr>
        <w:t>(2)</w:t>
      </w:r>
      <w:r>
        <w:t>发包人应在监理人出具最终结清证书后的14天内，将应支付款支付给承包人。发包人不按期支付的，按第17.3.3 (2)目的约定，将逾期付款违约金支付给承包人。</w:t>
      </w:r>
    </w:p>
    <w:p w14:paraId="38CBA633">
      <w:pPr>
        <w:pStyle w:val="11"/>
      </w:pPr>
      <w:bookmarkStart w:id="940" w:name="bookmark1385"/>
      <w:bookmarkEnd w:id="940"/>
      <w:r>
        <w:rPr>
          <w:b w:val="0"/>
          <w:i w:val="0"/>
          <w:strike w:val="0"/>
          <w:color w:val="000000"/>
          <w:u w:val="none"/>
        </w:rPr>
        <w:t>(3)</w:t>
      </w:r>
      <w:r>
        <w:t>承包人对发包人签认的最终结清证书有异议的，按第24条的约定办理。</w:t>
      </w:r>
    </w:p>
    <w:p w14:paraId="370F31CB">
      <w:pPr>
        <w:pStyle w:val="11"/>
      </w:pPr>
      <w:bookmarkStart w:id="941" w:name="bookmark1386"/>
      <w:bookmarkEnd w:id="941"/>
      <w:r>
        <w:rPr>
          <w:b w:val="0"/>
          <w:i w:val="0"/>
          <w:strike w:val="0"/>
          <w:color w:val="000000"/>
          <w:u w:val="none"/>
        </w:rPr>
        <w:t>(4)</w:t>
      </w:r>
      <w:r>
        <w:t>最终结清付款涉及政府投资资金的，按第17.3.3 (4)目的约定办理。</w:t>
      </w:r>
    </w:p>
    <w:p w14:paraId="60E4EE70">
      <w:pPr>
        <w:pStyle w:val="2"/>
        <w:numPr>
          <w:ilvl w:val="0"/>
          <w:numId w:val="0"/>
        </w:numPr>
        <w:bidi w:val="0"/>
        <w:ind w:left="482" w:leftChars="0"/>
      </w:pPr>
      <w:bookmarkStart w:id="942" w:name="bookmark1387"/>
      <w:bookmarkStart w:id="943" w:name="bookmark1388"/>
      <w:bookmarkStart w:id="944" w:name="bookmark1389"/>
      <w:bookmarkStart w:id="945" w:name="_Toc4347"/>
      <w:bookmarkStart w:id="946" w:name="_Toc14710389"/>
      <w:r>
        <w:t>17.7竣工财务决算</w:t>
      </w:r>
      <w:bookmarkEnd w:id="942"/>
      <w:bookmarkEnd w:id="943"/>
      <w:bookmarkEnd w:id="944"/>
      <w:bookmarkEnd w:id="945"/>
      <w:bookmarkEnd w:id="946"/>
    </w:p>
    <w:p w14:paraId="5BBD097F">
      <w:pPr>
        <w:pStyle w:val="11"/>
      </w:pPr>
      <w:r>
        <w:t>发包人负责编制本工程项目竣工财务决算，承包人应按专用合同条款的约定提供竣工财务决算编制所需的相关材料。</w:t>
      </w:r>
    </w:p>
    <w:p w14:paraId="2738A2DF">
      <w:pPr>
        <w:pStyle w:val="2"/>
        <w:numPr>
          <w:ilvl w:val="0"/>
          <w:numId w:val="0"/>
        </w:numPr>
        <w:bidi w:val="0"/>
        <w:ind w:left="482" w:leftChars="0"/>
      </w:pPr>
      <w:bookmarkStart w:id="947" w:name="bookmark1391"/>
      <w:bookmarkStart w:id="948" w:name="bookmark1392"/>
      <w:bookmarkStart w:id="949" w:name="bookmark1390"/>
      <w:bookmarkStart w:id="950" w:name="_Toc14710390"/>
      <w:bookmarkStart w:id="951" w:name="_Toc9623"/>
      <w:r>
        <w:t>17.8竣工审计</w:t>
      </w:r>
      <w:bookmarkEnd w:id="947"/>
      <w:bookmarkEnd w:id="948"/>
      <w:bookmarkEnd w:id="949"/>
      <w:bookmarkEnd w:id="950"/>
      <w:bookmarkEnd w:id="951"/>
    </w:p>
    <w:p w14:paraId="474DBF2A">
      <w:pPr>
        <w:pStyle w:val="11"/>
      </w:pPr>
      <w:r>
        <w:t>发包人负责完成本工程竣工审计手续，承包人应完成相关配合工作。</w:t>
      </w:r>
    </w:p>
    <w:p w14:paraId="5AB10260">
      <w:pPr>
        <w:pStyle w:val="2"/>
        <w:numPr>
          <w:ilvl w:val="0"/>
          <w:numId w:val="0"/>
        </w:numPr>
        <w:bidi w:val="0"/>
        <w:ind w:left="482" w:leftChars="0"/>
      </w:pPr>
      <w:bookmarkStart w:id="952" w:name="bookmark1393"/>
      <w:bookmarkStart w:id="953" w:name="_Toc15468"/>
      <w:bookmarkStart w:id="954" w:name="bookmark1395"/>
      <w:bookmarkStart w:id="955" w:name="_Toc14710391"/>
      <w:bookmarkStart w:id="956" w:name="bookmark1394"/>
      <w:r>
        <w:t>18.竣工验收（验收）</w:t>
      </w:r>
      <w:bookmarkEnd w:id="952"/>
      <w:bookmarkEnd w:id="953"/>
      <w:bookmarkEnd w:id="954"/>
      <w:bookmarkEnd w:id="955"/>
      <w:bookmarkEnd w:id="956"/>
    </w:p>
    <w:p w14:paraId="4DD17B5A">
      <w:pPr>
        <w:pStyle w:val="2"/>
        <w:numPr>
          <w:ilvl w:val="0"/>
          <w:numId w:val="0"/>
        </w:numPr>
        <w:bidi w:val="0"/>
        <w:ind w:left="482" w:leftChars="0"/>
      </w:pPr>
      <w:bookmarkStart w:id="957" w:name="_Toc1314"/>
      <w:bookmarkStart w:id="958" w:name="bookmark1398"/>
      <w:bookmarkStart w:id="959" w:name="bookmark1397"/>
      <w:bookmarkStart w:id="960" w:name="_Toc14710392"/>
      <w:bookmarkStart w:id="961" w:name="bookmark1396"/>
      <w:r>
        <w:t>18.1验收工作分类</w:t>
      </w:r>
      <w:bookmarkEnd w:id="957"/>
      <w:bookmarkEnd w:id="958"/>
      <w:bookmarkEnd w:id="959"/>
      <w:bookmarkEnd w:id="960"/>
      <w:bookmarkEnd w:id="961"/>
    </w:p>
    <w:p w14:paraId="18B076F8">
      <w:pPr>
        <w:pStyle w:val="11"/>
      </w:pPr>
      <w: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7BE22690">
      <w:pPr>
        <w:pStyle w:val="2"/>
        <w:numPr>
          <w:ilvl w:val="0"/>
          <w:numId w:val="0"/>
        </w:numPr>
        <w:bidi w:val="0"/>
        <w:ind w:left="482" w:leftChars="0"/>
      </w:pPr>
      <w:bookmarkStart w:id="962" w:name="_Toc8655"/>
      <w:bookmarkStart w:id="963" w:name="_Toc14710393"/>
      <w:bookmarkStart w:id="964" w:name="bookmark1401"/>
      <w:bookmarkStart w:id="965" w:name="bookmark1399"/>
      <w:bookmarkStart w:id="966" w:name="bookmark1400"/>
      <w:r>
        <w:t>18.2分部工程验收</w:t>
      </w:r>
      <w:bookmarkEnd w:id="962"/>
      <w:bookmarkEnd w:id="963"/>
      <w:bookmarkEnd w:id="964"/>
      <w:bookmarkEnd w:id="965"/>
      <w:bookmarkEnd w:id="966"/>
    </w:p>
    <w:p w14:paraId="715443D0">
      <w:pPr>
        <w:pStyle w:val="11"/>
      </w:pPr>
      <w:r>
        <w:t>18.2.1分部工程具备验收条件时，承包人应向发包人提交验收申请报告，发包人应在收到验收申请报告之日起10个工作日内决定是否同意进行验收。</w:t>
      </w:r>
    </w:p>
    <w:p w14:paraId="5DB08953">
      <w:pPr>
        <w:pStyle w:val="11"/>
      </w:pPr>
      <w:r>
        <w:t>18.2.2除专用合同条款另有约定外，监理人主持分部工程验收，承包人应派符合条件的代表参加验收工作组。</w:t>
      </w:r>
    </w:p>
    <w:p w14:paraId="4A5117D1">
      <w:pPr>
        <w:pStyle w:val="11"/>
      </w:pPr>
      <w:r>
        <w:t>18.2.3分部工程验收通过后，发包人向承包人发送分部工程验收鉴定书。承包人应及时完成分部工程验收鉴定书载明应由承包人处理的遗留问题。</w:t>
      </w:r>
    </w:p>
    <w:p w14:paraId="632B295C">
      <w:pPr>
        <w:pStyle w:val="2"/>
        <w:numPr>
          <w:ilvl w:val="0"/>
          <w:numId w:val="0"/>
        </w:numPr>
        <w:bidi w:val="0"/>
        <w:ind w:left="482" w:leftChars="0"/>
      </w:pPr>
      <w:bookmarkStart w:id="967" w:name="_Toc14710394"/>
      <w:bookmarkStart w:id="968" w:name="bookmark1404"/>
      <w:bookmarkStart w:id="969" w:name="bookmark1403"/>
      <w:bookmarkStart w:id="970" w:name="_Toc19460"/>
      <w:bookmarkStart w:id="971" w:name="bookmark1402"/>
      <w:r>
        <w:t>18.3单位工程验收</w:t>
      </w:r>
      <w:bookmarkEnd w:id="967"/>
      <w:bookmarkEnd w:id="968"/>
      <w:bookmarkEnd w:id="969"/>
      <w:bookmarkEnd w:id="970"/>
      <w:bookmarkEnd w:id="971"/>
    </w:p>
    <w:p w14:paraId="08EB0F68">
      <w:pPr>
        <w:pStyle w:val="11"/>
      </w:pPr>
      <w:r>
        <w:t>18.3.1单位工程具备验收条件时，承包人应向发包人提交验收申请报告，发包人应在收到验收申请报告之日起10个工作日内决定是否同意进行验收。</w:t>
      </w:r>
    </w:p>
    <w:p w14:paraId="42A90D81">
      <w:pPr>
        <w:pStyle w:val="11"/>
      </w:pPr>
      <w:r>
        <w:t>18.3.2发包人主持单位工程验收，承包人应派符合条件的代表参加验收工作组。</w:t>
      </w:r>
    </w:p>
    <w:p w14:paraId="03AAFF47">
      <w:pPr>
        <w:pStyle w:val="11"/>
      </w:pPr>
      <w:r>
        <w:t>18.3.3单位工程验收通过后，发包人向承包人发送单位工程验收鉴定书。承包人应及时完成单位工程验收鉴定书载明应由承包人处理的遗留问题。</w:t>
      </w:r>
    </w:p>
    <w:p w14:paraId="6737577F">
      <w:pPr>
        <w:pStyle w:val="11"/>
      </w:pPr>
      <w:r>
        <w:t>18.3.4需提前投入使用的单位工程在专用合同条款中明确。</w:t>
      </w:r>
    </w:p>
    <w:p w14:paraId="70E95081">
      <w:pPr>
        <w:pStyle w:val="2"/>
        <w:numPr>
          <w:ilvl w:val="0"/>
          <w:numId w:val="0"/>
        </w:numPr>
        <w:bidi w:val="0"/>
        <w:ind w:left="482" w:leftChars="0"/>
      </w:pPr>
      <w:bookmarkStart w:id="972" w:name="bookmark1405"/>
      <w:bookmarkStart w:id="973" w:name="bookmark1407"/>
      <w:bookmarkStart w:id="974" w:name="_Toc24227"/>
      <w:bookmarkStart w:id="975" w:name="_Toc14710395"/>
      <w:bookmarkStart w:id="976" w:name="bookmark1406"/>
      <w:r>
        <w:t>18.4合同工程完工验收</w:t>
      </w:r>
      <w:bookmarkEnd w:id="972"/>
      <w:bookmarkEnd w:id="973"/>
      <w:bookmarkEnd w:id="974"/>
      <w:bookmarkEnd w:id="975"/>
      <w:bookmarkEnd w:id="976"/>
    </w:p>
    <w:p w14:paraId="6C7FA51A">
      <w:pPr>
        <w:pStyle w:val="11"/>
      </w:pPr>
      <w:r>
        <w:t>18.4.1合同工程具备验收条件时，承包人应向发包人提交验收申请报告，发包人应在收到验收申请报告之日起20个工作日内决定是否同意进行验收。</w:t>
      </w:r>
    </w:p>
    <w:p w14:paraId="3658BE6B">
      <w:pPr>
        <w:pStyle w:val="11"/>
      </w:pPr>
      <w:r>
        <w:t>18.4.2发包人主持合同工程完工验收，承包人应派项目经理参加验收工作组。</w:t>
      </w:r>
    </w:p>
    <w:p w14:paraId="37ACCE8F">
      <w:pPr>
        <w:pStyle w:val="11"/>
      </w:pPr>
      <w:r>
        <w:t>18.4.3合同工程完工验收通过后，发包人向承包人发送合同工程完工验收鉴定书。承包人应及时完成合同工程完工验收鉴定书载明应由承包人处理的遗留问题。</w:t>
      </w:r>
    </w:p>
    <w:p w14:paraId="4298128F">
      <w:pPr>
        <w:pStyle w:val="11"/>
      </w:pPr>
      <w:r>
        <w:t>18.4.4合同工程完工验收通过后，发包人与承包人应在30个工作日内组织专人负责工程交接，双方交接负责人应在交接记录上签字。承包人应按验收鉴定书约定的时间及时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递交了工程质量保修书、完成施工场地清理以及提交有关资料后，发包人应30个工作日内 向承包人颁发合同工程完工证书。</w:t>
      </w:r>
    </w:p>
    <w:p w14:paraId="216968E3">
      <w:pPr>
        <w:pStyle w:val="2"/>
        <w:numPr>
          <w:ilvl w:val="0"/>
          <w:numId w:val="0"/>
        </w:numPr>
        <w:bidi w:val="0"/>
        <w:ind w:left="482" w:leftChars="0"/>
      </w:pPr>
      <w:bookmarkStart w:id="977" w:name="_Toc14710396"/>
      <w:bookmarkStart w:id="978" w:name="bookmark1408"/>
      <w:bookmarkStart w:id="979" w:name="_Toc32064"/>
      <w:bookmarkStart w:id="980" w:name="bookmark1410"/>
      <w:bookmarkStart w:id="981" w:name="bookmark1409"/>
      <w:r>
        <w:t>18.5阶段验收</w:t>
      </w:r>
      <w:bookmarkEnd w:id="977"/>
      <w:bookmarkEnd w:id="978"/>
      <w:bookmarkEnd w:id="979"/>
      <w:bookmarkEnd w:id="980"/>
      <w:bookmarkEnd w:id="981"/>
    </w:p>
    <w:p w14:paraId="1A57FF1D">
      <w:pPr>
        <w:pStyle w:val="11"/>
      </w:pPr>
      <w:r>
        <w:t>18.5.1工程建设具备阶段验收条件时，发包人负责提出阶段验收申请报告。承包人应派代表参加阶段验收，并作为被验收单位在验收鉴定书上签字。阶段验收的具体类别在专用合同条款中约定。</w:t>
      </w:r>
    </w:p>
    <w:p w14:paraId="66B14A2C">
      <w:pPr>
        <w:pStyle w:val="11"/>
      </w:pPr>
      <w:r>
        <w:t>18.5. 2承包人应及时完成阶段验收鉴定书载明应由承包人处理的遗留问题。</w:t>
      </w:r>
    </w:p>
    <w:p w14:paraId="63FE6CBB">
      <w:pPr>
        <w:pStyle w:val="2"/>
        <w:numPr>
          <w:ilvl w:val="0"/>
          <w:numId w:val="0"/>
        </w:numPr>
        <w:bidi w:val="0"/>
        <w:ind w:left="482" w:leftChars="0"/>
      </w:pPr>
      <w:bookmarkStart w:id="982" w:name="_Toc16235"/>
      <w:bookmarkStart w:id="983" w:name="bookmark1413"/>
      <w:bookmarkStart w:id="984" w:name="_Toc14710397"/>
      <w:bookmarkStart w:id="985" w:name="bookmark1412"/>
      <w:bookmarkStart w:id="986" w:name="bookmark1414"/>
      <w:r>
        <w:t>18.6专项验收</w:t>
      </w:r>
      <w:bookmarkEnd w:id="982"/>
      <w:bookmarkEnd w:id="983"/>
      <w:bookmarkEnd w:id="984"/>
      <w:bookmarkEnd w:id="985"/>
      <w:bookmarkEnd w:id="986"/>
    </w:p>
    <w:p w14:paraId="1F11B2C4">
      <w:pPr>
        <w:pStyle w:val="11"/>
      </w:pPr>
      <w:r>
        <w:t>18.6.1发包人负责提出专项验收申请报告。承包人应按专项验收的相关规定参加专项验收。专项验收的具体类别在专用合同条款中约定。</w:t>
      </w:r>
    </w:p>
    <w:p w14:paraId="03A089A3">
      <w:pPr>
        <w:pStyle w:val="11"/>
      </w:pPr>
      <w:r>
        <w:t>18.6.2承包应及时完成专项验收成果性文件载明应由承包人处理的遗留问题。</w:t>
      </w:r>
    </w:p>
    <w:p w14:paraId="2F57B129">
      <w:pPr>
        <w:pStyle w:val="2"/>
        <w:numPr>
          <w:ilvl w:val="0"/>
          <w:numId w:val="0"/>
        </w:numPr>
        <w:bidi w:val="0"/>
        <w:ind w:left="482" w:leftChars="0"/>
      </w:pPr>
      <w:bookmarkStart w:id="987" w:name="bookmark1417"/>
      <w:bookmarkStart w:id="988" w:name="bookmark1415"/>
      <w:bookmarkStart w:id="989" w:name="bookmark1416"/>
      <w:bookmarkStart w:id="990" w:name="_Toc14710398"/>
      <w:bookmarkStart w:id="991" w:name="_Toc31377"/>
      <w:r>
        <w:t>18.7竣工验收</w:t>
      </w:r>
      <w:bookmarkEnd w:id="987"/>
      <w:bookmarkEnd w:id="988"/>
      <w:bookmarkEnd w:id="989"/>
      <w:bookmarkEnd w:id="990"/>
      <w:bookmarkEnd w:id="991"/>
    </w:p>
    <w:p w14:paraId="08C6972D">
      <w:pPr>
        <w:pStyle w:val="11"/>
      </w:pPr>
      <w:r>
        <w:t>18.7.1申请竣工验收前，发包人组织竣工验收自查，承包人应派项目经理或技术负责人参加。</w:t>
      </w:r>
    </w:p>
    <w:p w14:paraId="5244BFE5">
      <w:pPr>
        <w:pStyle w:val="11"/>
      </w:pPr>
      <w:r>
        <w:t>18.7.2竣工验收分为竣工技术预验收和竣工验收两个阶段，发包人应通知承包人派法定代表人或项目经理参加技术预验收和竣工验收。</w:t>
      </w:r>
    </w:p>
    <w:p w14:paraId="480C02FD">
      <w:pPr>
        <w:pStyle w:val="11"/>
      </w:pPr>
      <w:r>
        <w:t>18.7.3专用合同条款约定工程需要进行技术鉴定的，承包人应提交有关资料并完成配合工作。</w:t>
      </w:r>
    </w:p>
    <w:p w14:paraId="530725B3">
      <w:pPr>
        <w:pStyle w:val="11"/>
      </w:pPr>
      <w:r>
        <w:t>18.7.4竣工验收需要进行质量检测的，所需费用由发包人承担，但因承包人原因造成质量不合格的除外。</w:t>
      </w:r>
    </w:p>
    <w:p w14:paraId="655F5B14">
      <w:pPr>
        <w:pStyle w:val="11"/>
      </w:pPr>
      <w:r>
        <w:t>18.7.5工程质量保修期满以及竣工验收遗留问题和尾工处理完成并通过验收后，发包人负责将处理情况和验收成果报送竣工验收主持单位，申请领取工程竣工证书，并发送承包人。</w:t>
      </w:r>
    </w:p>
    <w:p w14:paraId="183D4D3E">
      <w:pPr>
        <w:pStyle w:val="2"/>
        <w:numPr>
          <w:ilvl w:val="0"/>
          <w:numId w:val="0"/>
        </w:numPr>
        <w:bidi w:val="0"/>
        <w:ind w:left="482" w:leftChars="0"/>
      </w:pPr>
      <w:bookmarkStart w:id="992" w:name="_Toc28956"/>
      <w:bookmarkStart w:id="993" w:name="bookmark1420"/>
      <w:bookmarkStart w:id="994" w:name="bookmark1419"/>
      <w:bookmarkStart w:id="995" w:name="bookmark1418"/>
      <w:bookmarkStart w:id="996" w:name="_Toc14710399"/>
      <w:r>
        <w:t>18.8施工期运行</w:t>
      </w:r>
      <w:bookmarkEnd w:id="992"/>
      <w:bookmarkEnd w:id="993"/>
      <w:bookmarkEnd w:id="994"/>
      <w:bookmarkEnd w:id="995"/>
      <w:bookmarkEnd w:id="996"/>
    </w:p>
    <w:p w14:paraId="2E763C69">
      <w:pPr>
        <w:pStyle w:val="11"/>
      </w:pPr>
      <w:r>
        <w:t>18.8.1施工期运行是指合同工程尚未全部完工，其中某单位工程或部分工程已完工, 需要投入施工期运行的，经发包人按第18. 2款或第18. 3款的约定验收合格，证明能确保安全后，才能在施工期投入运行。需要在施工期运行的单位工程或部分工程在专用合同条款中约定。</w:t>
      </w:r>
    </w:p>
    <w:p w14:paraId="6A75549F">
      <w:pPr>
        <w:pStyle w:val="11"/>
      </w:pPr>
      <w:r>
        <w:t>18.8.2在施工期运行中发现工程或工程设备损坏或存在缺陷的，由承包人按第19. 2 款约定进行修复。</w:t>
      </w:r>
    </w:p>
    <w:p w14:paraId="3AE40342">
      <w:pPr>
        <w:pStyle w:val="2"/>
        <w:numPr>
          <w:ilvl w:val="0"/>
          <w:numId w:val="0"/>
        </w:numPr>
        <w:bidi w:val="0"/>
        <w:ind w:left="482" w:leftChars="0"/>
      </w:pPr>
      <w:bookmarkStart w:id="997" w:name="bookmark1421"/>
      <w:bookmarkStart w:id="998" w:name="_Toc14710400"/>
      <w:bookmarkStart w:id="999" w:name="_Toc20150"/>
      <w:bookmarkStart w:id="1000" w:name="bookmark1423"/>
      <w:bookmarkStart w:id="1001" w:name="bookmark1422"/>
      <w:r>
        <w:t>18.9试运行</w:t>
      </w:r>
      <w:bookmarkEnd w:id="997"/>
      <w:bookmarkEnd w:id="998"/>
      <w:bookmarkEnd w:id="999"/>
      <w:bookmarkEnd w:id="1000"/>
      <w:bookmarkEnd w:id="1001"/>
    </w:p>
    <w:p w14:paraId="672AC419">
      <w:pPr>
        <w:pStyle w:val="11"/>
      </w:pPr>
      <w:r>
        <w:t>18.9.1除专用合同条款另有约定外，承包人应按规定进行工程及工程设备试运行, 负责提供试运行所需的人员、器材和必要的条件，并承担全部试运行费用。</w:t>
      </w:r>
    </w:p>
    <w:p w14:paraId="6665E729">
      <w:pPr>
        <w:pStyle w:val="11"/>
      </w:pPr>
      <w:r>
        <w:t>18.9.2由于承包人的原因导致试运行失败的，承包人应采取措施保证试运行合格,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1002" w:name="bookmark1411"/>
      <w:bookmarkEnd w:id="1002"/>
    </w:p>
    <w:p w14:paraId="79CC2E8E">
      <w:pPr>
        <w:pStyle w:val="2"/>
        <w:numPr>
          <w:ilvl w:val="0"/>
          <w:numId w:val="0"/>
        </w:numPr>
        <w:bidi w:val="0"/>
        <w:ind w:left="482" w:leftChars="0"/>
      </w:pPr>
      <w:bookmarkStart w:id="1003" w:name="bookmark1426"/>
      <w:bookmarkStart w:id="1004" w:name="bookmark1424"/>
      <w:bookmarkStart w:id="1005" w:name="_Toc1706"/>
      <w:bookmarkStart w:id="1006" w:name="_Toc14710401"/>
      <w:bookmarkStart w:id="1007" w:name="bookmark1425"/>
      <w:r>
        <w:t>18.10竣工（完工）清场</w:t>
      </w:r>
      <w:bookmarkEnd w:id="1003"/>
      <w:bookmarkEnd w:id="1004"/>
      <w:bookmarkEnd w:id="1005"/>
      <w:bookmarkEnd w:id="1006"/>
      <w:bookmarkEnd w:id="1007"/>
    </w:p>
    <w:p w14:paraId="42145979">
      <w:pPr>
        <w:pStyle w:val="11"/>
      </w:pPr>
      <w:r>
        <w:t>18.10.1工程项目竣工（完工）清场的工作范围和内容在技术标准和要求（合同技术条款）中约定。</w:t>
      </w:r>
    </w:p>
    <w:p w14:paraId="6497C469">
      <w:pPr>
        <w:pStyle w:val="11"/>
      </w:pPr>
      <w:r>
        <w:t>18.10.2承包未按监理人的要求恢复临时占地，或者场地清理未达到合同约定的，发包人有权委托其它人恢复或清理，所发生的金额从拟支付给承包人的款项中扣除。</w:t>
      </w:r>
    </w:p>
    <w:p w14:paraId="2A09FF10">
      <w:pPr>
        <w:pStyle w:val="2"/>
        <w:numPr>
          <w:ilvl w:val="0"/>
          <w:numId w:val="0"/>
        </w:numPr>
        <w:bidi w:val="0"/>
        <w:ind w:left="482" w:leftChars="0"/>
      </w:pPr>
      <w:bookmarkStart w:id="1008" w:name="bookmark1429"/>
      <w:bookmarkStart w:id="1009" w:name="_Toc14710402"/>
      <w:bookmarkStart w:id="1010" w:name="bookmark1427"/>
      <w:bookmarkStart w:id="1011" w:name="_Toc28474"/>
      <w:bookmarkStart w:id="1012" w:name="bookmark1428"/>
      <w:r>
        <w:t>18.11施工队伍的撤离</w:t>
      </w:r>
      <w:bookmarkEnd w:id="1008"/>
      <w:bookmarkEnd w:id="1009"/>
      <w:bookmarkEnd w:id="1010"/>
      <w:bookmarkEnd w:id="1011"/>
      <w:bookmarkEnd w:id="1012"/>
    </w:p>
    <w:p w14:paraId="4488D334">
      <w:pPr>
        <w:pStyle w:val="11"/>
      </w:pPr>
      <w: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2462415D">
      <w:pPr>
        <w:pStyle w:val="2"/>
        <w:numPr>
          <w:ilvl w:val="0"/>
          <w:numId w:val="0"/>
        </w:numPr>
        <w:bidi w:val="0"/>
        <w:ind w:left="482" w:leftChars="0"/>
      </w:pPr>
      <w:bookmarkStart w:id="1013" w:name="bookmark1430"/>
      <w:bookmarkStart w:id="1014" w:name="bookmark1431"/>
      <w:bookmarkStart w:id="1015" w:name="_Toc14710403"/>
      <w:bookmarkStart w:id="1016" w:name="bookmark1432"/>
      <w:bookmarkStart w:id="1017" w:name="_Toc15410"/>
      <w:r>
        <w:t>19.缺陷责任与保修责任</w:t>
      </w:r>
      <w:bookmarkEnd w:id="1013"/>
      <w:bookmarkEnd w:id="1014"/>
      <w:bookmarkEnd w:id="1015"/>
      <w:bookmarkEnd w:id="1016"/>
      <w:bookmarkEnd w:id="1017"/>
    </w:p>
    <w:p w14:paraId="494BEF84">
      <w:pPr>
        <w:pStyle w:val="2"/>
        <w:numPr>
          <w:ilvl w:val="0"/>
          <w:numId w:val="0"/>
        </w:numPr>
        <w:bidi w:val="0"/>
        <w:ind w:left="482" w:leftChars="0"/>
      </w:pPr>
      <w:bookmarkStart w:id="1018" w:name="bookmark1434"/>
      <w:bookmarkStart w:id="1019" w:name="_Toc22913"/>
      <w:bookmarkStart w:id="1020" w:name="bookmark1435"/>
      <w:bookmarkStart w:id="1021" w:name="_Toc14710404"/>
      <w:bookmarkStart w:id="1022" w:name="bookmark1433"/>
      <w:r>
        <w:t>19.1缺陷责任期（工程质量保修期）的起算时间</w:t>
      </w:r>
      <w:bookmarkEnd w:id="1018"/>
      <w:bookmarkEnd w:id="1019"/>
      <w:bookmarkEnd w:id="1020"/>
      <w:bookmarkEnd w:id="1021"/>
      <w:bookmarkEnd w:id="1022"/>
    </w:p>
    <w:p w14:paraId="32E940E2">
      <w:pPr>
        <w:pStyle w:val="11"/>
      </w:pPr>
      <w: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39FCA87C">
      <w:pPr>
        <w:pStyle w:val="2"/>
        <w:numPr>
          <w:ilvl w:val="0"/>
          <w:numId w:val="0"/>
        </w:numPr>
        <w:bidi w:val="0"/>
        <w:ind w:left="482" w:leftChars="0"/>
      </w:pPr>
      <w:bookmarkStart w:id="1023" w:name="bookmark1438"/>
      <w:bookmarkStart w:id="1024" w:name="_Toc14710405"/>
      <w:bookmarkStart w:id="1025" w:name="bookmark1437"/>
      <w:bookmarkStart w:id="1026" w:name="bookmark1436"/>
      <w:bookmarkStart w:id="1027" w:name="_Toc27743"/>
      <w:r>
        <w:t>19.2缺陷责任</w:t>
      </w:r>
      <w:bookmarkEnd w:id="1023"/>
      <w:bookmarkEnd w:id="1024"/>
      <w:bookmarkEnd w:id="1025"/>
      <w:bookmarkEnd w:id="1026"/>
      <w:bookmarkEnd w:id="1027"/>
    </w:p>
    <w:p w14:paraId="68607520">
      <w:pPr>
        <w:pStyle w:val="11"/>
      </w:pPr>
      <w:bookmarkStart w:id="1028" w:name="bookmark1439"/>
      <w:bookmarkEnd w:id="1028"/>
      <w:r>
        <w:t>19.2.1承包人应在缺陷责任期内对已交付使用的工程承担缺陷责任。</w:t>
      </w:r>
    </w:p>
    <w:p w14:paraId="4A88B74E">
      <w:pPr>
        <w:pStyle w:val="11"/>
      </w:pPr>
      <w:r>
        <w:t>19.2.2缺陷责任期内，发包人对已接收使用的工程负责日常维护工作。发包人在使用过程中，发现已接收的工程存在新的缺陷或已修复的缺陷部位或部件又遭损坏的，承包人应负责修复，直至检验合格为止。</w:t>
      </w:r>
    </w:p>
    <w:p w14:paraId="0B296A09">
      <w:pPr>
        <w:pStyle w:val="11"/>
      </w:pPr>
      <w: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AC6A322">
      <w:pPr>
        <w:pStyle w:val="11"/>
      </w:pPr>
      <w:r>
        <w:t>19.2.4承包人不能在合理时间内修复缺陷的，发包人可自行修复或委托其他人修复, 所需费用和利润的承担，按第19. 2. 3项约定办理。</w:t>
      </w:r>
    </w:p>
    <w:p w14:paraId="583E4AB6">
      <w:pPr>
        <w:pStyle w:val="2"/>
        <w:numPr>
          <w:ilvl w:val="0"/>
          <w:numId w:val="0"/>
        </w:numPr>
        <w:bidi w:val="0"/>
        <w:ind w:left="482" w:leftChars="0"/>
      </w:pPr>
      <w:bookmarkStart w:id="1029" w:name="_Toc14710406"/>
      <w:bookmarkStart w:id="1030" w:name="bookmark1440"/>
      <w:bookmarkStart w:id="1031" w:name="bookmark1442"/>
      <w:bookmarkStart w:id="1032" w:name="bookmark1441"/>
      <w:bookmarkStart w:id="1033" w:name="_Toc19734"/>
      <w:r>
        <w:t>19.3缺陷责任期的延长</w:t>
      </w:r>
      <w:bookmarkEnd w:id="1029"/>
      <w:bookmarkEnd w:id="1030"/>
      <w:bookmarkEnd w:id="1031"/>
      <w:bookmarkEnd w:id="1032"/>
      <w:bookmarkEnd w:id="1033"/>
    </w:p>
    <w:p w14:paraId="4D6416C8">
      <w:pPr>
        <w:pStyle w:val="11"/>
      </w:pPr>
      <w:r>
        <w:t>由于承包人原因造成某项缺陷或损坏使某项工程或工程设备不能按原定目标使用而需要再次检查、检验和修复的，发包人有权要求承包人相应延长缺陷责任期，但缺陷责任期最长不超过2年。</w:t>
      </w:r>
    </w:p>
    <w:p w14:paraId="5B437657">
      <w:pPr>
        <w:pStyle w:val="2"/>
        <w:numPr>
          <w:ilvl w:val="0"/>
          <w:numId w:val="0"/>
        </w:numPr>
        <w:bidi w:val="0"/>
        <w:ind w:left="482" w:leftChars="0"/>
      </w:pPr>
      <w:bookmarkStart w:id="1034" w:name="_Toc14710407"/>
      <w:bookmarkStart w:id="1035" w:name="bookmark1443"/>
      <w:bookmarkStart w:id="1036" w:name="bookmark1445"/>
      <w:bookmarkStart w:id="1037" w:name="_Toc4593"/>
      <w:bookmarkStart w:id="1038" w:name="bookmark1444"/>
      <w:r>
        <w:t>19.4进一步试验和试运行</w:t>
      </w:r>
      <w:bookmarkEnd w:id="1034"/>
      <w:bookmarkEnd w:id="1035"/>
      <w:bookmarkEnd w:id="1036"/>
      <w:bookmarkEnd w:id="1037"/>
      <w:bookmarkEnd w:id="1038"/>
    </w:p>
    <w:p w14:paraId="0352FFA3">
      <w:pPr>
        <w:pStyle w:val="11"/>
      </w:pPr>
      <w:r>
        <w:t>任何一项缺陷或损坏修复后，经检查证明其影响了工程或工程设备的使用性能，承包人应重新进行合同约定的试验和试运行，试验和试运行的全部费用应由责任方承担。</w:t>
      </w:r>
    </w:p>
    <w:p w14:paraId="75E94345">
      <w:pPr>
        <w:pStyle w:val="2"/>
        <w:numPr>
          <w:ilvl w:val="0"/>
          <w:numId w:val="0"/>
        </w:numPr>
        <w:bidi w:val="0"/>
        <w:ind w:left="482" w:leftChars="0"/>
      </w:pPr>
      <w:bookmarkStart w:id="1039" w:name="_Toc13710"/>
      <w:bookmarkStart w:id="1040" w:name="bookmark1448"/>
      <w:bookmarkStart w:id="1041" w:name="_Toc14710408"/>
      <w:bookmarkStart w:id="1042" w:name="bookmark1447"/>
      <w:bookmarkStart w:id="1043" w:name="bookmark1446"/>
      <w:r>
        <w:t>19.5承包人的进入权</w:t>
      </w:r>
      <w:bookmarkEnd w:id="1039"/>
      <w:bookmarkEnd w:id="1040"/>
      <w:bookmarkEnd w:id="1041"/>
      <w:bookmarkEnd w:id="1042"/>
      <w:bookmarkEnd w:id="1043"/>
    </w:p>
    <w:p w14:paraId="05C1D2BF">
      <w:pPr>
        <w:pStyle w:val="11"/>
      </w:pPr>
      <w:r>
        <w:t>缺陷责任期内承包人为缺陷修复工作需要，有权进入工程现场，但应遵守发包人的保安和保密规定。</w:t>
      </w:r>
    </w:p>
    <w:p w14:paraId="6D2A9FB0">
      <w:pPr>
        <w:pStyle w:val="2"/>
        <w:numPr>
          <w:ilvl w:val="0"/>
          <w:numId w:val="0"/>
        </w:numPr>
        <w:bidi w:val="0"/>
        <w:ind w:left="482" w:leftChars="0"/>
      </w:pPr>
      <w:bookmarkStart w:id="1044" w:name="_Toc16024"/>
      <w:bookmarkStart w:id="1045" w:name="bookmark1449"/>
      <w:bookmarkStart w:id="1046" w:name="bookmark1451"/>
      <w:bookmarkStart w:id="1047" w:name="_Toc14710409"/>
      <w:bookmarkStart w:id="1048" w:name="bookmark1450"/>
      <w:r>
        <w:t>19.6缺陷责任期终止证书（工程质量保修责任终止证书）</w:t>
      </w:r>
      <w:bookmarkEnd w:id="1044"/>
      <w:bookmarkEnd w:id="1045"/>
      <w:bookmarkEnd w:id="1046"/>
      <w:bookmarkEnd w:id="1047"/>
      <w:bookmarkEnd w:id="1048"/>
    </w:p>
    <w:p w14:paraId="489C0693">
      <w:pPr>
        <w:pStyle w:val="11"/>
      </w:pPr>
      <w:r>
        <w:t>合同工程完工验收后，发包人与承包人应办理工程交接手续，承包人应向发包人递交工程质量保修书。</w:t>
      </w:r>
    </w:p>
    <w:p w14:paraId="4BBCC4E9">
      <w:pPr>
        <w:pStyle w:val="11"/>
      </w:pPr>
      <w:r>
        <w:t>缺陷责任期（工程质量保修期）满后30个工作日内，发包人应向承包人颁发工程质量保修责任终止证书，并退还剩余的质量保证金，但保修责任范围内的质量缺陷未处理完成的应除外。</w:t>
      </w:r>
    </w:p>
    <w:p w14:paraId="2FDFD46B">
      <w:pPr>
        <w:pStyle w:val="2"/>
        <w:numPr>
          <w:ilvl w:val="0"/>
          <w:numId w:val="0"/>
        </w:numPr>
        <w:bidi w:val="0"/>
        <w:ind w:left="482" w:leftChars="0"/>
      </w:pPr>
      <w:bookmarkStart w:id="1049" w:name="bookmark1453"/>
      <w:bookmarkStart w:id="1050" w:name="_Toc14710410"/>
      <w:bookmarkStart w:id="1051" w:name="bookmark1454"/>
      <w:bookmarkStart w:id="1052" w:name="bookmark1452"/>
      <w:bookmarkStart w:id="1053" w:name="_Toc10377"/>
      <w:r>
        <w:t>19.7保修责任</w:t>
      </w:r>
      <w:bookmarkEnd w:id="1049"/>
      <w:bookmarkEnd w:id="1050"/>
      <w:bookmarkEnd w:id="1051"/>
      <w:bookmarkEnd w:id="1052"/>
      <w:bookmarkEnd w:id="1053"/>
    </w:p>
    <w:p w14:paraId="46A6C177">
      <w:pPr>
        <w:pStyle w:val="11"/>
      </w:pPr>
      <w: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129BD31D">
      <w:pPr>
        <w:pStyle w:val="2"/>
        <w:numPr>
          <w:ilvl w:val="0"/>
          <w:numId w:val="0"/>
        </w:numPr>
        <w:bidi w:val="0"/>
        <w:ind w:left="482" w:leftChars="0"/>
      </w:pPr>
      <w:bookmarkStart w:id="1054" w:name="bookmark1457"/>
      <w:bookmarkStart w:id="1055" w:name="_Toc14710411"/>
      <w:bookmarkStart w:id="1056" w:name="_Toc31099"/>
      <w:bookmarkStart w:id="1057" w:name="bookmark1456"/>
      <w:bookmarkStart w:id="1058" w:name="bookmark1455"/>
      <w:r>
        <w:t>20.保险</w:t>
      </w:r>
      <w:bookmarkEnd w:id="1054"/>
      <w:bookmarkEnd w:id="1055"/>
      <w:bookmarkEnd w:id="1056"/>
    </w:p>
    <w:p w14:paraId="68414968">
      <w:pPr>
        <w:pStyle w:val="2"/>
        <w:numPr>
          <w:ilvl w:val="0"/>
          <w:numId w:val="0"/>
        </w:numPr>
        <w:bidi w:val="0"/>
        <w:ind w:left="482" w:leftChars="0"/>
      </w:pPr>
      <w:bookmarkStart w:id="1059" w:name="_Toc16520"/>
      <w:bookmarkStart w:id="1060" w:name="bookmark1458"/>
      <w:bookmarkStart w:id="1061" w:name="_Toc14710412"/>
      <w:r>
        <w:t>20.1工程保险</w:t>
      </w:r>
      <w:bookmarkEnd w:id="1057"/>
      <w:bookmarkEnd w:id="1058"/>
      <w:bookmarkEnd w:id="1059"/>
      <w:bookmarkEnd w:id="1060"/>
      <w:bookmarkEnd w:id="1061"/>
    </w:p>
    <w:p w14:paraId="65B66C01">
      <w:pPr>
        <w:pStyle w:val="11"/>
      </w:pPr>
      <w: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2A841C57">
      <w:pPr>
        <w:pStyle w:val="2"/>
        <w:numPr>
          <w:ilvl w:val="0"/>
          <w:numId w:val="0"/>
        </w:numPr>
        <w:bidi w:val="0"/>
        <w:ind w:left="482" w:leftChars="0"/>
      </w:pPr>
      <w:bookmarkStart w:id="1062" w:name="bookmark1459"/>
      <w:bookmarkStart w:id="1063" w:name="bookmark1460"/>
      <w:bookmarkStart w:id="1064" w:name="bookmark1461"/>
      <w:bookmarkStart w:id="1065" w:name="_Toc19236"/>
      <w:bookmarkStart w:id="1066" w:name="_Toc14710413"/>
      <w:r>
        <w:t>20.2人员工伤事故的保险</w:t>
      </w:r>
      <w:bookmarkEnd w:id="1062"/>
      <w:bookmarkEnd w:id="1063"/>
      <w:bookmarkEnd w:id="1064"/>
      <w:bookmarkEnd w:id="1065"/>
      <w:bookmarkEnd w:id="1066"/>
    </w:p>
    <w:p w14:paraId="48B57B8B">
      <w:pPr>
        <w:pStyle w:val="2"/>
        <w:numPr>
          <w:ilvl w:val="0"/>
          <w:numId w:val="0"/>
        </w:numPr>
        <w:bidi w:val="0"/>
        <w:ind w:left="482" w:leftChars="0"/>
      </w:pPr>
      <w:bookmarkStart w:id="1067" w:name="bookmark1462"/>
      <w:bookmarkEnd w:id="1067"/>
      <w:r>
        <w:t>20.2.1承包人员工伤事故的保险</w:t>
      </w:r>
    </w:p>
    <w:p w14:paraId="37DFD6D7">
      <w:pPr>
        <w:pStyle w:val="11"/>
      </w:pPr>
      <w:r>
        <w:t>承包人应依照有关法律规定参加工伤保险，为其履行合同所雇佣的全部人员，缴纳工 伤保险费，并要求其分包人也进行此项保险。</w:t>
      </w:r>
    </w:p>
    <w:p w14:paraId="14850002">
      <w:pPr>
        <w:pStyle w:val="2"/>
        <w:numPr>
          <w:ilvl w:val="0"/>
          <w:numId w:val="0"/>
        </w:numPr>
        <w:bidi w:val="0"/>
        <w:ind w:left="482" w:leftChars="0"/>
      </w:pPr>
      <w:r>
        <w:t>20.2.2发包人员工伤事故的保险</w:t>
      </w:r>
    </w:p>
    <w:p w14:paraId="6E7B9FA5">
      <w:pPr>
        <w:pStyle w:val="11"/>
      </w:pPr>
      <w:r>
        <w:t>发包人应依照有关法律规定参加工伤保险，为其现场机构雇佣的全部人员，缴纳工伤保险费，并要求其监理人也进行此项保险。</w:t>
      </w:r>
    </w:p>
    <w:p w14:paraId="39D473A7">
      <w:pPr>
        <w:pStyle w:val="2"/>
        <w:numPr>
          <w:ilvl w:val="0"/>
          <w:numId w:val="0"/>
        </w:numPr>
        <w:bidi w:val="0"/>
        <w:ind w:left="482" w:leftChars="0"/>
      </w:pPr>
      <w:bookmarkStart w:id="1068" w:name="_Toc9146"/>
      <w:bookmarkStart w:id="1069" w:name="_Toc14710414"/>
      <w:bookmarkStart w:id="1070" w:name="bookmark1463"/>
      <w:bookmarkStart w:id="1071" w:name="bookmark1465"/>
      <w:bookmarkStart w:id="1072" w:name="bookmark1464"/>
      <w:r>
        <w:t>20.3人身意外伤害险</w:t>
      </w:r>
      <w:bookmarkEnd w:id="1068"/>
      <w:bookmarkEnd w:id="1069"/>
      <w:bookmarkEnd w:id="1070"/>
      <w:bookmarkEnd w:id="1071"/>
      <w:bookmarkEnd w:id="1072"/>
    </w:p>
    <w:p w14:paraId="3954D12B">
      <w:pPr>
        <w:pStyle w:val="11"/>
      </w:pPr>
      <w:r>
        <w:t>20.3.1发包人应在整个施工期间为其现场机构雇用的全部人员，投保人身意外伤害险，缴纳保险费，并要求其监理人也进行此项保险。</w:t>
      </w:r>
    </w:p>
    <w:p w14:paraId="0F373B39">
      <w:pPr>
        <w:pStyle w:val="11"/>
      </w:pPr>
      <w:r>
        <w:t>20.3.2承包人应在整个施工期间为其现场机构雇用的全部人员，投保人身意外伤害险，缴纳保险费，并要求其分包人也进行此项保险。</w:t>
      </w:r>
    </w:p>
    <w:p w14:paraId="54711A3A">
      <w:pPr>
        <w:pStyle w:val="2"/>
        <w:numPr>
          <w:ilvl w:val="0"/>
          <w:numId w:val="0"/>
        </w:numPr>
        <w:bidi w:val="0"/>
        <w:ind w:left="482" w:leftChars="0"/>
      </w:pPr>
      <w:bookmarkStart w:id="1073" w:name="bookmark1468"/>
      <w:bookmarkStart w:id="1074" w:name="_Toc10666"/>
      <w:bookmarkStart w:id="1075" w:name="_Toc14710415"/>
      <w:bookmarkStart w:id="1076" w:name="bookmark1466"/>
      <w:bookmarkStart w:id="1077" w:name="bookmark1467"/>
      <w:r>
        <w:t>20.4第三者责任险</w:t>
      </w:r>
      <w:bookmarkEnd w:id="1073"/>
      <w:bookmarkEnd w:id="1074"/>
      <w:bookmarkEnd w:id="1075"/>
      <w:bookmarkEnd w:id="1076"/>
      <w:bookmarkEnd w:id="1077"/>
    </w:p>
    <w:p w14:paraId="52E75ACB">
      <w:pPr>
        <w:pStyle w:val="11"/>
      </w:pPr>
      <w: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25755ECC">
      <w:pPr>
        <w:pStyle w:val="11"/>
      </w:pPr>
      <w:r>
        <w:t>20.4.2在缺陷责任期终止证书颁发前，承包人应以承包人和发包人的共同名义，投保第20. 4.1项约定的第三者责任险，其保险费率、保险金额等有关内容在专用合同条款中约定。</w:t>
      </w:r>
    </w:p>
    <w:p w14:paraId="66C581C7">
      <w:pPr>
        <w:pStyle w:val="2"/>
        <w:numPr>
          <w:ilvl w:val="0"/>
          <w:numId w:val="0"/>
        </w:numPr>
        <w:bidi w:val="0"/>
        <w:ind w:left="482" w:leftChars="0"/>
      </w:pPr>
      <w:bookmarkStart w:id="1078" w:name="_Toc15855"/>
      <w:bookmarkStart w:id="1079" w:name="_Toc14710416"/>
      <w:bookmarkStart w:id="1080" w:name="bookmark1470"/>
      <w:bookmarkStart w:id="1081" w:name="bookmark1471"/>
      <w:bookmarkStart w:id="1082" w:name="bookmark1469"/>
      <w:r>
        <w:t>20.5其他保险</w:t>
      </w:r>
      <w:bookmarkEnd w:id="1078"/>
      <w:bookmarkEnd w:id="1079"/>
      <w:bookmarkEnd w:id="1080"/>
      <w:bookmarkEnd w:id="1081"/>
      <w:bookmarkEnd w:id="1082"/>
    </w:p>
    <w:p w14:paraId="7E1A1D8C">
      <w:pPr>
        <w:pStyle w:val="11"/>
      </w:pPr>
      <w:r>
        <w:t>除专用合同条款另有约定外，承包人应为其施工设备、进场的材料和工程设备等办理保险。</w:t>
      </w:r>
    </w:p>
    <w:p w14:paraId="3DC7180F">
      <w:pPr>
        <w:pStyle w:val="2"/>
        <w:numPr>
          <w:ilvl w:val="0"/>
          <w:numId w:val="0"/>
        </w:numPr>
        <w:bidi w:val="0"/>
        <w:ind w:left="482" w:leftChars="0"/>
      </w:pPr>
      <w:bookmarkStart w:id="1083" w:name="bookmark1472"/>
      <w:bookmarkStart w:id="1084" w:name="bookmark1473"/>
      <w:bookmarkStart w:id="1085" w:name="_Toc14710417"/>
      <w:bookmarkStart w:id="1086" w:name="_Toc20306"/>
      <w:bookmarkStart w:id="1087" w:name="bookmark1474"/>
      <w:r>
        <w:t>20.6对各项保险的一般要求</w:t>
      </w:r>
      <w:bookmarkEnd w:id="1083"/>
      <w:bookmarkEnd w:id="1084"/>
      <w:bookmarkEnd w:id="1085"/>
      <w:bookmarkEnd w:id="1086"/>
      <w:bookmarkEnd w:id="1087"/>
    </w:p>
    <w:p w14:paraId="1DA8175D">
      <w:pPr>
        <w:pStyle w:val="2"/>
        <w:numPr>
          <w:ilvl w:val="0"/>
          <w:numId w:val="0"/>
        </w:numPr>
        <w:bidi w:val="0"/>
        <w:ind w:left="482" w:leftChars="0"/>
      </w:pPr>
      <w:r>
        <w:t>20.6.1保险凭证</w:t>
      </w:r>
    </w:p>
    <w:p w14:paraId="00037316">
      <w:pPr>
        <w:pStyle w:val="11"/>
      </w:pPr>
      <w:r>
        <w:t>承包人应在专用合同条款约定的期限内向发包人提交各项保险生效的证据和保险单副本，保险单必须与专用合同条款约定的条件保持一致。</w:t>
      </w:r>
    </w:p>
    <w:p w14:paraId="08E87269">
      <w:pPr>
        <w:pStyle w:val="2"/>
        <w:numPr>
          <w:ilvl w:val="0"/>
          <w:numId w:val="0"/>
        </w:numPr>
        <w:bidi w:val="0"/>
        <w:ind w:left="482" w:leftChars="0"/>
      </w:pPr>
      <w:r>
        <w:t>20.6.2保险合同条款的变动</w:t>
      </w:r>
    </w:p>
    <w:p w14:paraId="3E76D994">
      <w:pPr>
        <w:pStyle w:val="11"/>
      </w:pPr>
      <w:r>
        <w:t>承包人需要变动保险合同条款时，应事先征得发包人同意，并通知监理人。保险人作出变动的，承包人应在收到保险人通知后立即通知发包人和监理人。</w:t>
      </w:r>
    </w:p>
    <w:p w14:paraId="78D84CE1">
      <w:pPr>
        <w:pStyle w:val="2"/>
        <w:numPr>
          <w:ilvl w:val="0"/>
          <w:numId w:val="0"/>
        </w:numPr>
        <w:bidi w:val="0"/>
        <w:ind w:left="482" w:leftChars="0"/>
      </w:pPr>
      <w:r>
        <w:t>20.6.3持续保险</w:t>
      </w:r>
    </w:p>
    <w:p w14:paraId="346FCECB">
      <w:pPr>
        <w:pStyle w:val="11"/>
      </w:pPr>
      <w:r>
        <w:t>承包人应与保险人保持联系，使保险人能够随时了解工程实施中的变动，并确保按保险合同条款要求持续保险。</w:t>
      </w:r>
    </w:p>
    <w:p w14:paraId="6E57DE3E">
      <w:pPr>
        <w:pStyle w:val="2"/>
        <w:numPr>
          <w:ilvl w:val="0"/>
          <w:numId w:val="0"/>
        </w:numPr>
        <w:bidi w:val="0"/>
        <w:ind w:left="482" w:leftChars="0"/>
      </w:pPr>
      <w:r>
        <w:t>20.6.4保险金不足的补偿</w:t>
      </w:r>
    </w:p>
    <w:p w14:paraId="39E53E3F">
      <w:pPr>
        <w:pStyle w:val="11"/>
      </w:pPr>
      <w:r>
        <w:t>保险金不足以补偿损失时，应由承包人和发包人各自负责补偿的范围和金额在专用合 同条款中约定。</w:t>
      </w:r>
    </w:p>
    <w:p w14:paraId="49DD8F37">
      <w:pPr>
        <w:pStyle w:val="2"/>
        <w:numPr>
          <w:ilvl w:val="0"/>
          <w:numId w:val="0"/>
        </w:numPr>
        <w:bidi w:val="0"/>
        <w:ind w:left="482" w:leftChars="0"/>
      </w:pPr>
      <w:r>
        <w:t>20.6.5未按约定投保的补救</w:t>
      </w:r>
    </w:p>
    <w:p w14:paraId="78FE8BBF">
      <w:pPr>
        <w:pStyle w:val="11"/>
      </w:pPr>
      <w:bookmarkStart w:id="1088" w:name="bookmark1475"/>
      <w:bookmarkEnd w:id="1088"/>
      <w:r>
        <w:rPr>
          <w:b w:val="0"/>
          <w:i w:val="0"/>
          <w:strike w:val="0"/>
          <w:color w:val="000000"/>
          <w:u w:val="none"/>
        </w:rPr>
        <w:t>(1)</w:t>
      </w:r>
      <w:r>
        <w:t>由于负有投保义务的一方当事人未按合同约定办理保险，或未能使保险持续有效的，另一方当事人可代为办理，所需费用由对方当事人承担。</w:t>
      </w:r>
    </w:p>
    <w:p w14:paraId="740DDDEC">
      <w:pPr>
        <w:pStyle w:val="11"/>
      </w:pPr>
      <w:bookmarkStart w:id="1089" w:name="bookmark1476"/>
      <w:bookmarkEnd w:id="1089"/>
      <w:r>
        <w:rPr>
          <w:b w:val="0"/>
          <w:i w:val="0"/>
          <w:strike w:val="0"/>
          <w:color w:val="000000"/>
          <w:u w:val="none"/>
        </w:rPr>
        <w:t>(2)</w:t>
      </w:r>
      <w:r>
        <w:t>由于负有投保义务的一方当事人未按合同约定办理某项保险，导致受益人未能得到保险人的赔偿，原应从该项保险得到的保险金应由负有投保义务的一方当事人支付。</w:t>
      </w:r>
    </w:p>
    <w:p w14:paraId="121CC2C2">
      <w:pPr>
        <w:pStyle w:val="2"/>
        <w:numPr>
          <w:ilvl w:val="0"/>
          <w:numId w:val="0"/>
        </w:numPr>
        <w:bidi w:val="0"/>
        <w:ind w:left="482" w:leftChars="0"/>
      </w:pPr>
      <w:r>
        <w:t>20.6.6报告义务</w:t>
      </w:r>
    </w:p>
    <w:p w14:paraId="6F57AAE9">
      <w:pPr>
        <w:pStyle w:val="11"/>
      </w:pPr>
      <w:r>
        <w:t>当保险事故发生时，投保人应按照保险单规定的条件和期限及时向保险人报告。</w:t>
      </w:r>
    </w:p>
    <w:p w14:paraId="796CF8C7">
      <w:pPr>
        <w:pStyle w:val="2"/>
        <w:numPr>
          <w:ilvl w:val="0"/>
          <w:numId w:val="0"/>
        </w:numPr>
        <w:bidi w:val="0"/>
        <w:ind w:left="482" w:leftChars="0"/>
      </w:pPr>
      <w:bookmarkStart w:id="1090" w:name="_Toc12103"/>
      <w:bookmarkStart w:id="1091" w:name="_Toc14710418"/>
      <w:bookmarkStart w:id="1092" w:name="bookmark1477"/>
      <w:bookmarkStart w:id="1093" w:name="bookmark1479"/>
      <w:bookmarkStart w:id="1094" w:name="bookmark1478"/>
      <w:r>
        <w:t>20.7风险责任的转移</w:t>
      </w:r>
      <w:bookmarkEnd w:id="1090"/>
      <w:bookmarkEnd w:id="1091"/>
      <w:bookmarkEnd w:id="1092"/>
      <w:bookmarkEnd w:id="1093"/>
      <w:bookmarkEnd w:id="1094"/>
    </w:p>
    <w:p w14:paraId="7389A9F3">
      <w:pPr>
        <w:pStyle w:val="11"/>
      </w:pPr>
      <w:r>
        <w:t>工程通过合同工程完工验收并移交给发包人后，原由承包人应承担的风险责任，以及保险的责任、权利和义务同时转移给发包人，但承包人在缺陷责任期(工程质量保修期) 前造成损失和损坏情形除外。</w:t>
      </w:r>
    </w:p>
    <w:p w14:paraId="51A12A50">
      <w:pPr>
        <w:pStyle w:val="2"/>
        <w:numPr>
          <w:ilvl w:val="0"/>
          <w:numId w:val="0"/>
        </w:numPr>
        <w:bidi w:val="0"/>
        <w:ind w:left="482" w:leftChars="0"/>
      </w:pPr>
      <w:bookmarkStart w:id="1095" w:name="bookmark1481"/>
      <w:bookmarkStart w:id="1096" w:name="_Toc14710419"/>
      <w:bookmarkStart w:id="1097" w:name="_Toc5879"/>
      <w:bookmarkStart w:id="1098" w:name="bookmark1482"/>
      <w:bookmarkStart w:id="1099" w:name="bookmark1480"/>
      <w:r>
        <w:t>21.不可抗力</w:t>
      </w:r>
      <w:bookmarkEnd w:id="1095"/>
      <w:bookmarkEnd w:id="1096"/>
      <w:bookmarkEnd w:id="1097"/>
      <w:bookmarkEnd w:id="1098"/>
      <w:bookmarkEnd w:id="1099"/>
    </w:p>
    <w:p w14:paraId="697732DF">
      <w:pPr>
        <w:pStyle w:val="2"/>
        <w:numPr>
          <w:ilvl w:val="0"/>
          <w:numId w:val="0"/>
        </w:numPr>
        <w:bidi w:val="0"/>
        <w:ind w:left="482" w:leftChars="0"/>
      </w:pPr>
      <w:bookmarkStart w:id="1100" w:name="_Toc15722"/>
      <w:bookmarkStart w:id="1101" w:name="_Toc14710420"/>
      <w:bookmarkStart w:id="1102" w:name="bookmark1483"/>
      <w:bookmarkStart w:id="1103" w:name="bookmark1484"/>
      <w:bookmarkStart w:id="1104" w:name="bookmark1485"/>
      <w:r>
        <w:t>21.1不可抗力的确认</w:t>
      </w:r>
      <w:bookmarkEnd w:id="1100"/>
      <w:bookmarkEnd w:id="1101"/>
      <w:bookmarkEnd w:id="1102"/>
      <w:bookmarkEnd w:id="1103"/>
      <w:bookmarkEnd w:id="1104"/>
    </w:p>
    <w:p w14:paraId="05A34B9A">
      <w:pPr>
        <w:pStyle w:val="11"/>
      </w:pPr>
      <w:r>
        <w:t>21.1.1不可抗力是指承包人和发包人在订立合同时不可预见，在工程施工过程中不可避免发生并不能克服的自然灾害和社会性突发事件，如地震、海啸、瘟疫、水灾、骚乱、 暴动、战争和专用合同条款约定的其他情形。</w:t>
      </w:r>
    </w:p>
    <w:p w14:paraId="28486ECB">
      <w:pPr>
        <w:pStyle w:val="11"/>
      </w:pPr>
      <w:r>
        <w:t>21.1.2不可抗力发生后，发包人和承包人应及时认真统计所造成的损失，收集不可抗力造成损失的证据。合同双方对是否属于不可抗力或其损失的意见不一致的，由监理人按第3. 5款商定或确定。发生争议时，按第24条的约定办理。</w:t>
      </w:r>
    </w:p>
    <w:p w14:paraId="02CC793B">
      <w:pPr>
        <w:pStyle w:val="2"/>
        <w:numPr>
          <w:ilvl w:val="0"/>
          <w:numId w:val="0"/>
        </w:numPr>
        <w:bidi w:val="0"/>
        <w:ind w:left="482" w:leftChars="0"/>
      </w:pPr>
      <w:bookmarkStart w:id="1105" w:name="_Toc14710421"/>
      <w:bookmarkStart w:id="1106" w:name="bookmark1488"/>
      <w:bookmarkStart w:id="1107" w:name="_Toc5372"/>
      <w:bookmarkStart w:id="1108" w:name="bookmark1487"/>
      <w:bookmarkStart w:id="1109" w:name="bookmark1486"/>
      <w:r>
        <w:t>21.2不可抗力的通知</w:t>
      </w:r>
      <w:bookmarkEnd w:id="1105"/>
      <w:bookmarkEnd w:id="1106"/>
      <w:bookmarkEnd w:id="1107"/>
      <w:bookmarkEnd w:id="1108"/>
      <w:bookmarkEnd w:id="1109"/>
    </w:p>
    <w:p w14:paraId="0DF15C30">
      <w:pPr>
        <w:pStyle w:val="11"/>
      </w:pPr>
      <w:r>
        <w:t>21.2.1合同一方当事人遇到不可抗力事件，使其履行合同义务受到阻碍时，应立即通知合同另一方当事人和监理人，书面说明不可抗力和受阻碍的详细情况，并提供必要的证明。</w:t>
      </w:r>
    </w:p>
    <w:p w14:paraId="45F544B3">
      <w:pPr>
        <w:pStyle w:val="11"/>
      </w:pPr>
      <w:r>
        <w:t>21.2.2如不可抗力持续发生，合同一方当事人应及时向合同另一方当事人和监理人提交中间报告，说明不可抗力和履行合同受阻的情况，并于不可抗力事件结束后28天内提交最终报告及有关资料。</w:t>
      </w:r>
    </w:p>
    <w:p w14:paraId="5126CB48">
      <w:pPr>
        <w:pStyle w:val="2"/>
        <w:numPr>
          <w:ilvl w:val="0"/>
          <w:numId w:val="0"/>
        </w:numPr>
        <w:bidi w:val="0"/>
        <w:ind w:left="482" w:leftChars="0"/>
      </w:pPr>
      <w:bookmarkStart w:id="1110" w:name="bookmark1491"/>
      <w:bookmarkStart w:id="1111" w:name="bookmark1489"/>
      <w:bookmarkStart w:id="1112" w:name="bookmark1490"/>
      <w:bookmarkStart w:id="1113" w:name="_Toc17208"/>
      <w:bookmarkStart w:id="1114" w:name="_Toc14710422"/>
      <w:r>
        <w:t>21.3不可抗力后果及其处理</w:t>
      </w:r>
      <w:bookmarkEnd w:id="1110"/>
      <w:bookmarkEnd w:id="1111"/>
      <w:bookmarkEnd w:id="1112"/>
      <w:bookmarkEnd w:id="1113"/>
      <w:bookmarkEnd w:id="1114"/>
    </w:p>
    <w:p w14:paraId="7C6D9A55">
      <w:pPr>
        <w:pStyle w:val="2"/>
        <w:numPr>
          <w:ilvl w:val="0"/>
          <w:numId w:val="0"/>
        </w:numPr>
        <w:bidi w:val="0"/>
        <w:ind w:left="482" w:leftChars="0"/>
      </w:pPr>
      <w:r>
        <w:t>21.3.1不可抗力造成损害的责任</w:t>
      </w:r>
    </w:p>
    <w:p w14:paraId="74518CFD">
      <w:pPr>
        <w:pStyle w:val="11"/>
      </w:pPr>
      <w:r>
        <w:t>除专用合同条款另有约定外，不可抗力导致的人员伤亡、财产损失、费用增加和(或) 工期延误等后果，由合同双方按以下原则承担：</w:t>
      </w:r>
    </w:p>
    <w:p w14:paraId="0570C8E4">
      <w:pPr>
        <w:pStyle w:val="11"/>
      </w:pPr>
      <w:bookmarkStart w:id="1115" w:name="bookmark1492"/>
      <w:bookmarkEnd w:id="1115"/>
      <w:r>
        <w:rPr>
          <w:b w:val="0"/>
          <w:i w:val="0"/>
          <w:strike w:val="0"/>
          <w:color w:val="000000"/>
          <w:u w:val="none"/>
        </w:rPr>
        <w:t>(1)</w:t>
      </w:r>
      <w:r>
        <w:t>永久工程，包括已运至施工场地的材料和工程设备的损害，以及因工程损害造成的第三者人员伤亡和财产损失由发包人承担；</w:t>
      </w:r>
    </w:p>
    <w:p w14:paraId="04F6768D">
      <w:pPr>
        <w:pStyle w:val="11"/>
      </w:pPr>
      <w:bookmarkStart w:id="1116" w:name="bookmark1493"/>
      <w:bookmarkEnd w:id="1116"/>
      <w:r>
        <w:rPr>
          <w:b w:val="0"/>
          <w:i w:val="0"/>
          <w:strike w:val="0"/>
          <w:color w:val="000000"/>
          <w:u w:val="none"/>
        </w:rPr>
        <w:t>(2)</w:t>
      </w:r>
      <w:r>
        <w:t>承包人设备的损坏由承包人承担；</w:t>
      </w:r>
    </w:p>
    <w:p w14:paraId="70E818A0">
      <w:pPr>
        <w:pStyle w:val="11"/>
      </w:pPr>
      <w:bookmarkStart w:id="1117" w:name="bookmark1494"/>
      <w:bookmarkEnd w:id="1117"/>
      <w:r>
        <w:rPr>
          <w:b w:val="0"/>
          <w:i w:val="0"/>
          <w:strike w:val="0"/>
          <w:color w:val="000000"/>
          <w:u w:val="none"/>
        </w:rPr>
        <w:t>(3)</w:t>
      </w:r>
      <w:r>
        <w:t>发包人和承包人各自承担其人员伤亡和其他财产损失及其相关费用；</w:t>
      </w:r>
    </w:p>
    <w:p w14:paraId="1A107565">
      <w:pPr>
        <w:pStyle w:val="11"/>
      </w:pPr>
      <w:bookmarkStart w:id="1118" w:name="bookmark1495"/>
      <w:bookmarkEnd w:id="1118"/>
      <w:r>
        <w:rPr>
          <w:b w:val="0"/>
          <w:i w:val="0"/>
          <w:strike w:val="0"/>
          <w:color w:val="000000"/>
          <w:u w:val="none"/>
        </w:rPr>
        <w:t>(4)</w:t>
      </w:r>
      <w:r>
        <w:t>承包人的停工损失由承包人承担，但停工期间应监理人要求照管工程和清理、修复工程的金额由发包人承担；</w:t>
      </w:r>
    </w:p>
    <w:p w14:paraId="5ECC0108">
      <w:pPr>
        <w:pStyle w:val="11"/>
      </w:pPr>
      <w:bookmarkStart w:id="1119" w:name="bookmark1496"/>
      <w:bookmarkEnd w:id="1119"/>
      <w:r>
        <w:rPr>
          <w:b w:val="0"/>
          <w:i w:val="0"/>
          <w:strike w:val="0"/>
          <w:color w:val="000000"/>
          <w:u w:val="none"/>
        </w:rPr>
        <w:t>(5)</w:t>
      </w:r>
      <w:r>
        <w:t>不能按期竣工的，应合理延长工期，承包人不需支付逾期竣工违约金。发包人要求赶工的，承包人应采取赶工措施，赶工费用由发包人承担。</w:t>
      </w:r>
    </w:p>
    <w:p w14:paraId="3E8D7B83">
      <w:pPr>
        <w:pStyle w:val="2"/>
        <w:numPr>
          <w:ilvl w:val="0"/>
          <w:numId w:val="0"/>
        </w:numPr>
        <w:bidi w:val="0"/>
        <w:ind w:left="482" w:leftChars="0"/>
      </w:pPr>
      <w:r>
        <w:t>21.3.2延迟履行期间发生的不可抗力</w:t>
      </w:r>
    </w:p>
    <w:p w14:paraId="1D8B168E">
      <w:pPr>
        <w:pStyle w:val="11"/>
      </w:pPr>
      <w:r>
        <w:t>合同一方当事人延迟履行，在延迟履行期间发生不可抗力的，不免除其责任。</w:t>
      </w:r>
    </w:p>
    <w:p w14:paraId="4F1584F8">
      <w:pPr>
        <w:pStyle w:val="2"/>
        <w:numPr>
          <w:ilvl w:val="0"/>
          <w:numId w:val="0"/>
        </w:numPr>
        <w:bidi w:val="0"/>
        <w:ind w:left="482" w:leftChars="0"/>
      </w:pPr>
      <w:r>
        <w:t>21.3.3避免和减少不可抗力损失</w:t>
      </w:r>
    </w:p>
    <w:p w14:paraId="70F51EF8">
      <w:pPr>
        <w:pStyle w:val="11"/>
      </w:pPr>
      <w:r>
        <w:t>不可抗力发生后，发包人和承包人均应采取措施尽量避免和减少损失的扩大，任何一 方没有采取有效措施导致损失扩大的，应对扩大的损失承担责任。</w:t>
      </w:r>
    </w:p>
    <w:p w14:paraId="287B9519">
      <w:pPr>
        <w:pStyle w:val="2"/>
        <w:numPr>
          <w:ilvl w:val="0"/>
          <w:numId w:val="0"/>
        </w:numPr>
        <w:bidi w:val="0"/>
        <w:ind w:left="482" w:leftChars="0"/>
      </w:pPr>
      <w:r>
        <w:t>21.3.4因不可抗力解除合同</w:t>
      </w:r>
    </w:p>
    <w:p w14:paraId="2DE3F2F7">
      <w:pPr>
        <w:pStyle w:val="11"/>
      </w:pPr>
      <w: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 因未及时退货造成的损失由责任方承担。合同解除后的付款，参照第22. 2.4项约定，由监理人按第3. 5款商定或确定。</w:t>
      </w:r>
    </w:p>
    <w:p w14:paraId="1BD812B6">
      <w:pPr>
        <w:pStyle w:val="2"/>
        <w:numPr>
          <w:ilvl w:val="0"/>
          <w:numId w:val="0"/>
        </w:numPr>
        <w:bidi w:val="0"/>
        <w:ind w:left="482" w:leftChars="0"/>
      </w:pPr>
      <w:bookmarkStart w:id="1120" w:name="bookmark1499"/>
      <w:bookmarkStart w:id="1121" w:name="_Toc6299"/>
      <w:bookmarkStart w:id="1122" w:name="_Toc14710423"/>
      <w:bookmarkStart w:id="1123" w:name="bookmark1497"/>
      <w:bookmarkStart w:id="1124" w:name="bookmark1498"/>
      <w:r>
        <w:t>22.违约</w:t>
      </w:r>
      <w:bookmarkEnd w:id="1120"/>
      <w:bookmarkEnd w:id="1121"/>
      <w:bookmarkEnd w:id="1122"/>
    </w:p>
    <w:p w14:paraId="6C0B096F">
      <w:pPr>
        <w:pStyle w:val="2"/>
        <w:numPr>
          <w:ilvl w:val="0"/>
          <w:numId w:val="0"/>
        </w:numPr>
        <w:bidi w:val="0"/>
        <w:ind w:left="482" w:leftChars="0"/>
      </w:pPr>
      <w:bookmarkStart w:id="1125" w:name="_Toc14710424"/>
      <w:bookmarkStart w:id="1126" w:name="bookmark1500"/>
      <w:bookmarkStart w:id="1127" w:name="_Toc15198"/>
      <w:r>
        <w:t>22.1承包人违约</w:t>
      </w:r>
      <w:bookmarkEnd w:id="1123"/>
      <w:bookmarkEnd w:id="1124"/>
      <w:bookmarkEnd w:id="1125"/>
      <w:bookmarkEnd w:id="1126"/>
      <w:bookmarkEnd w:id="1127"/>
    </w:p>
    <w:p w14:paraId="16C2F668">
      <w:pPr>
        <w:pStyle w:val="2"/>
        <w:numPr>
          <w:ilvl w:val="0"/>
          <w:numId w:val="0"/>
        </w:numPr>
        <w:bidi w:val="0"/>
        <w:ind w:left="482" w:leftChars="0"/>
      </w:pPr>
      <w:r>
        <w:t>22.1.1承包人违约的情形</w:t>
      </w:r>
    </w:p>
    <w:p w14:paraId="7B3BE2FA">
      <w:pPr>
        <w:pStyle w:val="11"/>
      </w:pPr>
      <w:r>
        <w:t>在履行合同过程中发生的下列情况属承包人违约：</w:t>
      </w:r>
    </w:p>
    <w:p w14:paraId="6DE0F155">
      <w:pPr>
        <w:pStyle w:val="11"/>
      </w:pPr>
      <w:bookmarkStart w:id="1128" w:name="bookmark1501"/>
      <w:bookmarkEnd w:id="1128"/>
      <w:r>
        <w:rPr>
          <w:b w:val="0"/>
          <w:i w:val="0"/>
          <w:strike w:val="0"/>
          <w:color w:val="000000"/>
          <w:u w:val="none"/>
        </w:rPr>
        <w:t>(1)</w:t>
      </w:r>
      <w:r>
        <w:t>承包人违反第1.8款或第4. 3款的约定，私自将合同的全部或部分权利转让给其他人，或私自将合同的全部或部分义务转移给其他人；</w:t>
      </w:r>
    </w:p>
    <w:p w14:paraId="1D1FF4E7">
      <w:pPr>
        <w:pStyle w:val="11"/>
      </w:pPr>
      <w:bookmarkStart w:id="1129" w:name="bookmark1502"/>
      <w:bookmarkEnd w:id="1129"/>
      <w:r>
        <w:rPr>
          <w:b w:val="0"/>
          <w:i w:val="0"/>
          <w:strike w:val="0"/>
          <w:color w:val="000000"/>
          <w:u w:val="none"/>
        </w:rPr>
        <w:t>(2)</w:t>
      </w:r>
      <w:r>
        <w:t>承包人违反第5. 3款或第6. 4款的约定，未经监理人批准，私自将已按合同约定进入施工场地的施工设备、临时设施或材料撤离施工场地；</w:t>
      </w:r>
    </w:p>
    <w:p w14:paraId="6C97F42C">
      <w:pPr>
        <w:pStyle w:val="11"/>
      </w:pPr>
      <w:bookmarkStart w:id="1130" w:name="bookmark1503"/>
      <w:bookmarkEnd w:id="1130"/>
      <w:r>
        <w:rPr>
          <w:b w:val="0"/>
          <w:i w:val="0"/>
          <w:strike w:val="0"/>
          <w:color w:val="000000"/>
          <w:u w:val="none"/>
        </w:rPr>
        <w:t>(3)</w:t>
      </w:r>
      <w:r>
        <w:t>承包人违反第5. 4款的约定使用了不合格材料或工程设备，工程质量达不到标准要求，又拒绝清除不合格工程；</w:t>
      </w:r>
    </w:p>
    <w:p w14:paraId="394830A0">
      <w:pPr>
        <w:pStyle w:val="11"/>
      </w:pPr>
      <w:bookmarkStart w:id="1131" w:name="bookmark1504"/>
      <w:bookmarkEnd w:id="1131"/>
      <w:r>
        <w:rPr>
          <w:b w:val="0"/>
          <w:i w:val="0"/>
          <w:strike w:val="0"/>
          <w:color w:val="000000"/>
          <w:u w:val="none"/>
        </w:rPr>
        <w:t>(4)</w:t>
      </w:r>
      <w:r>
        <w:t>承包人未能按合同进度计划及时完成合同约定的工作，已造成或预期造成工期延误；</w:t>
      </w:r>
    </w:p>
    <w:p w14:paraId="41009C5B">
      <w:pPr>
        <w:pStyle w:val="11"/>
      </w:pPr>
      <w:bookmarkStart w:id="1132" w:name="bookmark1505"/>
      <w:bookmarkEnd w:id="1132"/>
      <w:r>
        <w:rPr>
          <w:b w:val="0"/>
          <w:i w:val="0"/>
          <w:strike w:val="0"/>
          <w:color w:val="000000"/>
          <w:u w:val="none"/>
        </w:rPr>
        <w:t>(5)</w:t>
      </w:r>
      <w:r>
        <w:t>承包人在缺陷责任期(工程质量保修期)内，未能对合同工程完工验收鉴定书中所列的缺陷清单的内容或缺陷责任期(工程质量保修期)内发生的缺陷进行修复，而又拒绝按监理人指示再进行修补；</w:t>
      </w:r>
    </w:p>
    <w:p w14:paraId="6484C404">
      <w:pPr>
        <w:pStyle w:val="11"/>
      </w:pPr>
      <w:bookmarkStart w:id="1133" w:name="bookmark1506"/>
      <w:bookmarkEnd w:id="1133"/>
      <w:r>
        <w:rPr>
          <w:b w:val="0"/>
          <w:i w:val="0"/>
          <w:strike w:val="0"/>
          <w:color w:val="000000"/>
          <w:u w:val="none"/>
        </w:rPr>
        <w:t>(6)</w:t>
      </w:r>
      <w:r>
        <w:t>承包人无法继续履行或明确表示不履行或实质上已停止履行合同；</w:t>
      </w:r>
    </w:p>
    <w:p w14:paraId="294FDF69">
      <w:pPr>
        <w:pStyle w:val="11"/>
      </w:pPr>
      <w:bookmarkStart w:id="1134" w:name="bookmark1507"/>
      <w:bookmarkEnd w:id="1134"/>
      <w:r>
        <w:rPr>
          <w:b w:val="0"/>
          <w:i w:val="0"/>
          <w:strike w:val="0"/>
          <w:color w:val="000000"/>
          <w:u w:val="none"/>
        </w:rPr>
        <w:t>(7)</w:t>
      </w:r>
      <w:r>
        <w:t>承包人不按合同约定履行义务的其他情况。</w:t>
      </w:r>
    </w:p>
    <w:p w14:paraId="5B0715C0">
      <w:pPr>
        <w:pStyle w:val="2"/>
        <w:numPr>
          <w:ilvl w:val="0"/>
          <w:numId w:val="0"/>
        </w:numPr>
        <w:bidi w:val="0"/>
        <w:ind w:left="482" w:leftChars="0"/>
      </w:pPr>
      <w:r>
        <w:t>22.1.2对承包人违约的处理</w:t>
      </w:r>
    </w:p>
    <w:p w14:paraId="10F802CD">
      <w:pPr>
        <w:pStyle w:val="11"/>
      </w:pPr>
      <w:bookmarkStart w:id="1135" w:name="bookmark1508"/>
      <w:bookmarkEnd w:id="1135"/>
      <w:r>
        <w:rPr>
          <w:b w:val="0"/>
          <w:i w:val="0"/>
          <w:strike w:val="0"/>
          <w:color w:val="000000"/>
          <w:u w:val="none"/>
        </w:rPr>
        <w:t>(1)</w:t>
      </w:r>
      <w:r>
        <w:t>承包人发生第22.1.1 (6)目约定的违约情况时，发包人可通知承包人立即解除合同，并按有关法律处理。</w:t>
      </w:r>
    </w:p>
    <w:p w14:paraId="343F1937">
      <w:pPr>
        <w:pStyle w:val="11"/>
      </w:pPr>
      <w:bookmarkStart w:id="1136" w:name="bookmark1509"/>
      <w:bookmarkEnd w:id="1136"/>
      <w:r>
        <w:rPr>
          <w:b w:val="0"/>
          <w:i w:val="0"/>
          <w:strike w:val="0"/>
          <w:color w:val="000000"/>
          <w:u w:val="none"/>
        </w:rPr>
        <w:t>(2)</w:t>
      </w:r>
      <w:r>
        <w:t>承包人发生除第22. 1. 1 (6)目约定以外的其他违约情况时，监理人可向承包人发出整改通知，要求其在指定的期限内改正。承包人应承担其违约所引起的费用增加和 (或)工期延误。</w:t>
      </w:r>
    </w:p>
    <w:p w14:paraId="7C8C104B">
      <w:pPr>
        <w:pStyle w:val="11"/>
      </w:pPr>
      <w:bookmarkStart w:id="1137" w:name="bookmark1510"/>
      <w:bookmarkEnd w:id="1137"/>
      <w:r>
        <w:rPr>
          <w:b w:val="0"/>
          <w:i w:val="0"/>
          <w:strike w:val="0"/>
          <w:color w:val="000000"/>
          <w:u w:val="none"/>
        </w:rPr>
        <w:t>(3)</w:t>
      </w:r>
      <w:r>
        <w:t>经检查证明承包人已采取了有效措施纠正违约行为，具备复工条件的，可由监理人签发复工通知复工。</w:t>
      </w:r>
    </w:p>
    <w:p w14:paraId="78F913E0">
      <w:pPr>
        <w:pStyle w:val="2"/>
        <w:numPr>
          <w:ilvl w:val="0"/>
          <w:numId w:val="0"/>
        </w:numPr>
        <w:bidi w:val="0"/>
        <w:ind w:left="482" w:leftChars="0"/>
      </w:pPr>
      <w:r>
        <w:t>22.1.3承包人违约解除合同</w:t>
      </w:r>
    </w:p>
    <w:p w14:paraId="505C7274">
      <w:pPr>
        <w:pStyle w:val="11"/>
      </w:pPr>
      <w: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70F2B754">
      <w:pPr>
        <w:pStyle w:val="2"/>
        <w:numPr>
          <w:ilvl w:val="0"/>
          <w:numId w:val="0"/>
        </w:numPr>
        <w:bidi w:val="0"/>
        <w:ind w:left="482" w:leftChars="0"/>
      </w:pPr>
      <w:r>
        <w:t>22.1.4合同解除后的估价、付款和结清</w:t>
      </w:r>
    </w:p>
    <w:p w14:paraId="44A70E80">
      <w:pPr>
        <w:pStyle w:val="11"/>
      </w:pPr>
      <w:bookmarkStart w:id="1138" w:name="bookmark1511"/>
      <w:bookmarkEnd w:id="1138"/>
      <w:r>
        <w:rPr>
          <w:b w:val="0"/>
          <w:i w:val="0"/>
          <w:strike w:val="0"/>
          <w:color w:val="000000"/>
          <w:u w:val="none"/>
        </w:rPr>
        <w:t>(1)</w:t>
      </w:r>
      <w:r>
        <w:t>合同解除后，监理人按第3. 5款商定或确定承包人实际完成工作的价值，以及承包人已提供的材料、施工设备、工程设备和临时工程等的价值。</w:t>
      </w:r>
    </w:p>
    <w:p w14:paraId="1B2769E8">
      <w:pPr>
        <w:pStyle w:val="11"/>
      </w:pPr>
      <w:bookmarkStart w:id="1139" w:name="bookmark1512"/>
      <w:bookmarkEnd w:id="1139"/>
      <w:r>
        <w:rPr>
          <w:b w:val="0"/>
          <w:i w:val="0"/>
          <w:strike w:val="0"/>
          <w:color w:val="000000"/>
          <w:u w:val="none"/>
        </w:rPr>
        <w:t>(2)</w:t>
      </w:r>
      <w:r>
        <w:t>合同解除后，发包人应暂停对承包人的一切付款，查清各项付款和已扣款金额, 包括承包人应支付的违约金。</w:t>
      </w:r>
    </w:p>
    <w:p w14:paraId="7F4219DF">
      <w:pPr>
        <w:pStyle w:val="11"/>
      </w:pPr>
      <w:bookmarkStart w:id="1140" w:name="bookmark1513"/>
      <w:bookmarkEnd w:id="1140"/>
      <w:r>
        <w:rPr>
          <w:b w:val="0"/>
          <w:i w:val="0"/>
          <w:strike w:val="0"/>
          <w:color w:val="000000"/>
          <w:u w:val="none"/>
        </w:rPr>
        <w:t>(3)</w:t>
      </w:r>
      <w:r>
        <w:t>合同解除后，发包人应按第23. 4款的约定向承包人索赔由于解除合同给发包人造成的损失。</w:t>
      </w:r>
    </w:p>
    <w:p w14:paraId="6D07544B">
      <w:pPr>
        <w:pStyle w:val="11"/>
      </w:pPr>
      <w:bookmarkStart w:id="1141" w:name="bookmark1514"/>
      <w:bookmarkEnd w:id="1141"/>
      <w:r>
        <w:rPr>
          <w:b w:val="0"/>
          <w:i w:val="0"/>
          <w:strike w:val="0"/>
          <w:color w:val="000000"/>
          <w:u w:val="none"/>
        </w:rPr>
        <w:t>(4)</w:t>
      </w:r>
      <w:r>
        <w:t>合同双方确认上述往来款项后，出具最终结清付款证书，结清全部合同款项。</w:t>
      </w:r>
    </w:p>
    <w:p w14:paraId="079CEDEE">
      <w:pPr>
        <w:pStyle w:val="11"/>
      </w:pPr>
      <w:bookmarkStart w:id="1142" w:name="bookmark1515"/>
      <w:bookmarkEnd w:id="1142"/>
      <w:r>
        <w:rPr>
          <w:b w:val="0"/>
          <w:i w:val="0"/>
          <w:strike w:val="0"/>
          <w:color w:val="000000"/>
          <w:u w:val="none"/>
        </w:rPr>
        <w:t>(5)</w:t>
      </w:r>
      <w:r>
        <w:t>发包人和承包人未能就解除合同后的结清达成一致而形成争议的，按第24条的约定办理。</w:t>
      </w:r>
    </w:p>
    <w:p w14:paraId="1001A2B7">
      <w:pPr>
        <w:pStyle w:val="2"/>
        <w:numPr>
          <w:ilvl w:val="0"/>
          <w:numId w:val="0"/>
        </w:numPr>
        <w:bidi w:val="0"/>
        <w:ind w:left="482" w:leftChars="0"/>
      </w:pPr>
      <w:r>
        <w:t>22.1.5协议利益的转让</w:t>
      </w:r>
    </w:p>
    <w:p w14:paraId="3956E681">
      <w:pPr>
        <w:pStyle w:val="11"/>
      </w:pPr>
      <w:r>
        <w:t>因承包人违约解除合同的，发包人有权要求承包人将其为实施合同而签订的材料和设备的订货协议或任何服务协议利益转让给发包人，并在解除合同后的14天内，依法办理转让手续。</w:t>
      </w:r>
    </w:p>
    <w:p w14:paraId="121B84FC">
      <w:pPr>
        <w:pStyle w:val="2"/>
        <w:numPr>
          <w:ilvl w:val="0"/>
          <w:numId w:val="0"/>
        </w:numPr>
        <w:bidi w:val="0"/>
        <w:ind w:left="482" w:leftChars="0"/>
      </w:pPr>
      <w:bookmarkStart w:id="1143" w:name="bookmark1516"/>
      <w:bookmarkEnd w:id="1143"/>
      <w:r>
        <w:t>22.1.6紧急情况下无能力或不愿进行抢救</w:t>
      </w:r>
    </w:p>
    <w:p w14:paraId="2D553EDE">
      <w:pPr>
        <w:pStyle w:val="11"/>
      </w:pPr>
      <w: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6F09AB0">
      <w:pPr>
        <w:pStyle w:val="2"/>
        <w:numPr>
          <w:ilvl w:val="0"/>
          <w:numId w:val="0"/>
        </w:numPr>
        <w:bidi w:val="0"/>
        <w:ind w:left="482" w:leftChars="0"/>
      </w:pPr>
      <w:bookmarkStart w:id="1144" w:name="_Toc24772"/>
      <w:bookmarkStart w:id="1145" w:name="bookmark1517"/>
      <w:bookmarkStart w:id="1146" w:name="_Toc14710425"/>
      <w:bookmarkStart w:id="1147" w:name="bookmark1519"/>
      <w:bookmarkStart w:id="1148" w:name="bookmark1518"/>
      <w:r>
        <w:t>22.2发包人违约</w:t>
      </w:r>
      <w:bookmarkEnd w:id="1144"/>
      <w:bookmarkEnd w:id="1145"/>
      <w:bookmarkEnd w:id="1146"/>
      <w:bookmarkEnd w:id="1147"/>
      <w:bookmarkEnd w:id="1148"/>
    </w:p>
    <w:p w14:paraId="69DA5DBF">
      <w:pPr>
        <w:pStyle w:val="2"/>
        <w:numPr>
          <w:ilvl w:val="0"/>
          <w:numId w:val="0"/>
        </w:numPr>
        <w:bidi w:val="0"/>
        <w:ind w:left="482" w:leftChars="0"/>
      </w:pPr>
      <w:r>
        <w:t>22.2.1发包人违约的情形</w:t>
      </w:r>
    </w:p>
    <w:p w14:paraId="7EDB5805">
      <w:pPr>
        <w:pStyle w:val="11"/>
      </w:pPr>
      <w:r>
        <w:t>在履行合同过程中发生的下列情形，属发包人违约：</w:t>
      </w:r>
    </w:p>
    <w:p w14:paraId="4E2D7103">
      <w:pPr>
        <w:pStyle w:val="11"/>
      </w:pPr>
      <w:bookmarkStart w:id="1149" w:name="bookmark1520"/>
      <w:bookmarkEnd w:id="1149"/>
      <w:r>
        <w:rPr>
          <w:b w:val="0"/>
          <w:i w:val="0"/>
          <w:strike w:val="0"/>
          <w:color w:val="000000"/>
          <w:u w:val="none"/>
        </w:rPr>
        <w:t>(1)</w:t>
      </w:r>
      <w:r>
        <w:t>发包人未能按合同约定支付预付款或合同价款，或拖延、拒绝批准付款申请和支付凭证，导致付款延误的；</w:t>
      </w:r>
    </w:p>
    <w:p w14:paraId="69B40122">
      <w:pPr>
        <w:pStyle w:val="11"/>
      </w:pPr>
      <w:bookmarkStart w:id="1150" w:name="bookmark1521"/>
      <w:bookmarkEnd w:id="1150"/>
      <w:r>
        <w:rPr>
          <w:b w:val="0"/>
          <w:i w:val="0"/>
          <w:strike w:val="0"/>
          <w:color w:val="000000"/>
          <w:u w:val="none"/>
        </w:rPr>
        <w:t>(2)</w:t>
      </w:r>
      <w:r>
        <w:t>发包人原因造成停工的；</w:t>
      </w:r>
    </w:p>
    <w:p w14:paraId="063F687D">
      <w:pPr>
        <w:pStyle w:val="11"/>
      </w:pPr>
      <w:bookmarkStart w:id="1151" w:name="bookmark1522"/>
      <w:bookmarkEnd w:id="1151"/>
      <w:r>
        <w:rPr>
          <w:b w:val="0"/>
          <w:i w:val="0"/>
          <w:strike w:val="0"/>
          <w:color w:val="000000"/>
          <w:u w:val="none"/>
        </w:rPr>
        <w:t>(3)</w:t>
      </w:r>
      <w:r>
        <w:t>监理人无正当理由没有在约定期限内发出复工指示，导致承包人无法复工的；</w:t>
      </w:r>
    </w:p>
    <w:p w14:paraId="7538270A">
      <w:pPr>
        <w:pStyle w:val="11"/>
      </w:pPr>
      <w:bookmarkStart w:id="1152" w:name="bookmark1523"/>
      <w:bookmarkEnd w:id="1152"/>
      <w:r>
        <w:rPr>
          <w:b w:val="0"/>
          <w:i w:val="0"/>
          <w:strike w:val="0"/>
          <w:color w:val="000000"/>
          <w:u w:val="none"/>
        </w:rPr>
        <w:t>(4)</w:t>
      </w:r>
      <w:r>
        <w:t>发包人无法继续履行或明确表示不履行或实质上已停止履行合同的；</w:t>
      </w:r>
    </w:p>
    <w:p w14:paraId="123F7689">
      <w:pPr>
        <w:pStyle w:val="11"/>
      </w:pPr>
      <w:bookmarkStart w:id="1153" w:name="bookmark1524"/>
      <w:bookmarkEnd w:id="1153"/>
      <w:r>
        <w:rPr>
          <w:b w:val="0"/>
          <w:i w:val="0"/>
          <w:strike w:val="0"/>
          <w:color w:val="000000"/>
          <w:u w:val="none"/>
        </w:rPr>
        <w:t>(5)</w:t>
      </w:r>
      <w:r>
        <w:t>发包人不履行合同约定其他义务的。</w:t>
      </w:r>
    </w:p>
    <w:p w14:paraId="51A66E48">
      <w:pPr>
        <w:pStyle w:val="2"/>
        <w:numPr>
          <w:ilvl w:val="0"/>
          <w:numId w:val="0"/>
        </w:numPr>
        <w:bidi w:val="0"/>
        <w:ind w:left="482" w:leftChars="0"/>
      </w:pPr>
      <w:r>
        <w:t>22.2.2承包人有权暂停施工</w:t>
      </w:r>
    </w:p>
    <w:p w14:paraId="680135D7">
      <w:pPr>
        <w:pStyle w:val="11"/>
      </w:pPr>
      <w:r>
        <w:t>发包人发生除第22.2.1 (4)目以外的违约情况时，承包人可向发包人发出通知，要求发包人采取有效措施纠正违约行为。发包人收到承包人通知后的28天内仍不履行合同义 务，承包人有权暂停施工，并通知监理人，发包人应承担由此增加的费用和(或)工期延误，并支付承包人合理利润。</w:t>
      </w:r>
    </w:p>
    <w:p w14:paraId="550B2D37">
      <w:pPr>
        <w:pStyle w:val="2"/>
        <w:numPr>
          <w:ilvl w:val="0"/>
          <w:numId w:val="0"/>
        </w:numPr>
        <w:bidi w:val="0"/>
        <w:ind w:left="482" w:leftChars="0"/>
      </w:pPr>
      <w:r>
        <w:t>22.2.3发包人违约解除合同</w:t>
      </w:r>
    </w:p>
    <w:p w14:paraId="4E8CB7D0">
      <w:pPr>
        <w:pStyle w:val="11"/>
      </w:pPr>
      <w:bookmarkStart w:id="1154" w:name="bookmark1525"/>
      <w:bookmarkEnd w:id="1154"/>
      <w:r>
        <w:rPr>
          <w:b w:val="0"/>
          <w:i w:val="0"/>
          <w:strike w:val="0"/>
          <w:color w:val="000000"/>
          <w:u w:val="none"/>
        </w:rPr>
        <w:t>(1)</w:t>
      </w:r>
      <w:r>
        <w:t>发生第22.2.1 (4)目的违约情况时，承包人可书面通知发包人解除合同。</w:t>
      </w:r>
    </w:p>
    <w:p w14:paraId="68B8EB79">
      <w:pPr>
        <w:pStyle w:val="11"/>
      </w:pPr>
      <w:bookmarkStart w:id="1155" w:name="bookmark1526"/>
      <w:bookmarkEnd w:id="1155"/>
      <w:r>
        <w:rPr>
          <w:b w:val="0"/>
          <w:i w:val="0"/>
          <w:strike w:val="0"/>
          <w:color w:val="000000"/>
          <w:u w:val="none"/>
        </w:rPr>
        <w:t>(2)</w:t>
      </w:r>
      <w:r>
        <w:t>承包人按22. 2. 2项暂停施工28天后，发包人仍不纠正违约行为的，承包人可向发包人发出解除合同通知。但承包人的这一行动不免除发包人承担的违约责任，也不影响承包人根据合同约定享有的索赔权利。</w:t>
      </w:r>
    </w:p>
    <w:p w14:paraId="555AA19A">
      <w:pPr>
        <w:pStyle w:val="2"/>
        <w:numPr>
          <w:ilvl w:val="0"/>
          <w:numId w:val="0"/>
        </w:numPr>
        <w:bidi w:val="0"/>
        <w:ind w:left="482" w:leftChars="0"/>
      </w:pPr>
      <w:r>
        <w:t>22.2.4解除合同后的付款</w:t>
      </w:r>
    </w:p>
    <w:p w14:paraId="0FF5DE57">
      <w:pPr>
        <w:pStyle w:val="11"/>
      </w:pPr>
      <w:r>
        <w:t>因发包人违约解除合同的，发包人应在解除合同后28天内向承包人支付下列金额，承包人应在此期限内及时向发包人提交要求支付下列金额的有关资料和凭证：</w:t>
      </w:r>
    </w:p>
    <w:p w14:paraId="4758CD8E">
      <w:pPr>
        <w:pStyle w:val="11"/>
      </w:pPr>
      <w:bookmarkStart w:id="1156" w:name="bookmark1527"/>
      <w:bookmarkEnd w:id="1156"/>
      <w:r>
        <w:rPr>
          <w:b w:val="0"/>
          <w:i w:val="0"/>
          <w:strike w:val="0"/>
          <w:color w:val="000000"/>
          <w:u w:val="none"/>
        </w:rPr>
        <w:t>(1)</w:t>
      </w:r>
      <w:r>
        <w:t>合同解除日以前所完成工作的价款；</w:t>
      </w:r>
    </w:p>
    <w:p w14:paraId="502F29A8">
      <w:pPr>
        <w:pStyle w:val="11"/>
      </w:pPr>
      <w:bookmarkStart w:id="1157" w:name="bookmark1528"/>
      <w:bookmarkEnd w:id="1157"/>
      <w:r>
        <w:rPr>
          <w:b w:val="0"/>
          <w:i w:val="0"/>
          <w:strike w:val="0"/>
          <w:color w:val="000000"/>
          <w:u w:val="none"/>
        </w:rPr>
        <w:t>(2)</w:t>
      </w:r>
      <w:r>
        <w:t>承包人为该工程施工订购并已付款的材料、工程设备和其他物品的金额。发包人付还后，该材料、工程设备和其他物品归发包人所有；</w:t>
      </w:r>
    </w:p>
    <w:p w14:paraId="1584445D">
      <w:pPr>
        <w:pStyle w:val="11"/>
      </w:pPr>
      <w:bookmarkStart w:id="1158" w:name="bookmark1529"/>
      <w:bookmarkEnd w:id="1158"/>
      <w:r>
        <w:rPr>
          <w:b w:val="0"/>
          <w:i w:val="0"/>
          <w:strike w:val="0"/>
          <w:color w:val="000000"/>
          <w:u w:val="none"/>
        </w:rPr>
        <w:t>(3)</w:t>
      </w:r>
      <w:r>
        <w:t>承包人为完成工程所发生的，而发包人未支付的金额；</w:t>
      </w:r>
    </w:p>
    <w:p w14:paraId="75BB1EE5">
      <w:pPr>
        <w:pStyle w:val="11"/>
      </w:pPr>
      <w:bookmarkStart w:id="1159" w:name="bookmark1530"/>
      <w:bookmarkEnd w:id="1159"/>
      <w:r>
        <w:rPr>
          <w:b w:val="0"/>
          <w:i w:val="0"/>
          <w:strike w:val="0"/>
          <w:color w:val="000000"/>
          <w:u w:val="none"/>
        </w:rPr>
        <w:t>(4)</w:t>
      </w:r>
      <w:r>
        <w:t>承包人撤离施工场地以及遣散承包人人员的金额；</w:t>
      </w:r>
    </w:p>
    <w:p w14:paraId="3A3DD7D9">
      <w:pPr>
        <w:pStyle w:val="11"/>
      </w:pPr>
      <w:bookmarkStart w:id="1160" w:name="bookmark1531"/>
      <w:bookmarkEnd w:id="1160"/>
      <w:r>
        <w:rPr>
          <w:b w:val="0"/>
          <w:i w:val="0"/>
          <w:strike w:val="0"/>
          <w:color w:val="000000"/>
          <w:u w:val="none"/>
        </w:rPr>
        <w:t>(5)</w:t>
      </w:r>
      <w:r>
        <w:t>由于解除合同应赔偿的承包人损失；</w:t>
      </w:r>
    </w:p>
    <w:p w14:paraId="3360C835">
      <w:pPr>
        <w:pStyle w:val="11"/>
      </w:pPr>
      <w:bookmarkStart w:id="1161" w:name="bookmark1532"/>
      <w:bookmarkEnd w:id="1161"/>
      <w:r>
        <w:rPr>
          <w:b w:val="0"/>
          <w:i w:val="0"/>
          <w:strike w:val="0"/>
          <w:color w:val="000000"/>
          <w:u w:val="none"/>
        </w:rPr>
        <w:t>(6)</w:t>
      </w:r>
      <w:r>
        <w:t>按合同约定在合同解除日前应支付给承包人的其他金额。</w:t>
      </w:r>
    </w:p>
    <w:p w14:paraId="62FD3827">
      <w:pPr>
        <w:pStyle w:val="11"/>
      </w:pPr>
      <w:r>
        <w:t>发包人应按本项约定支付上述金额并退还质量保证金和履约担保，但有权要求承包人支付应偿还给发包人的各项金额。</w:t>
      </w:r>
    </w:p>
    <w:p w14:paraId="367B1DA2">
      <w:pPr>
        <w:pStyle w:val="2"/>
        <w:numPr>
          <w:ilvl w:val="0"/>
          <w:numId w:val="0"/>
        </w:numPr>
        <w:bidi w:val="0"/>
        <w:ind w:left="482" w:leftChars="0"/>
      </w:pPr>
      <w:r>
        <w:t>22.2.5解除合同后的承包人撤离</w:t>
      </w:r>
    </w:p>
    <w:p w14:paraId="049E81AF">
      <w:pPr>
        <w:pStyle w:val="11"/>
      </w:pPr>
      <w:r>
        <w:t>因发包人违约而解除合同后，承包人应妥善做好已竣工工程和已购材料、设备的保护和移交工作，按发包人要求将承包人设备和人员撤出施工场地。承包人撤出施工场地应遵 守第18. 7. 1项的约定，发包人应为承包人撤出提供必要条件。</w:t>
      </w:r>
    </w:p>
    <w:p w14:paraId="304D5AF0">
      <w:pPr>
        <w:pStyle w:val="2"/>
        <w:numPr>
          <w:ilvl w:val="0"/>
          <w:numId w:val="0"/>
        </w:numPr>
        <w:bidi w:val="0"/>
        <w:ind w:left="482" w:leftChars="0"/>
      </w:pPr>
      <w:bookmarkStart w:id="1162" w:name="bookmark1533"/>
      <w:bookmarkStart w:id="1163" w:name="bookmark1535"/>
      <w:bookmarkStart w:id="1164" w:name="bookmark1534"/>
      <w:bookmarkStart w:id="1165" w:name="_Toc14710426"/>
      <w:bookmarkStart w:id="1166" w:name="_Toc9266"/>
      <w:r>
        <w:t>22.3第三人造成的违约</w:t>
      </w:r>
      <w:bookmarkEnd w:id="1162"/>
      <w:bookmarkEnd w:id="1163"/>
      <w:bookmarkEnd w:id="1164"/>
      <w:bookmarkEnd w:id="1165"/>
      <w:bookmarkEnd w:id="1166"/>
    </w:p>
    <w:p w14:paraId="15943285">
      <w:pPr>
        <w:pStyle w:val="11"/>
      </w:pPr>
      <w:r>
        <w:t>在履行合同过程中，一方当事人因第三人的原因造成违约的，应当向对方当事人承担违约责任。一方当事人和第三人之间的纠纷，依照法律规定或者按照约定解决。</w:t>
      </w:r>
    </w:p>
    <w:p w14:paraId="126A9BEA">
      <w:pPr>
        <w:pStyle w:val="2"/>
        <w:numPr>
          <w:ilvl w:val="0"/>
          <w:numId w:val="0"/>
        </w:numPr>
        <w:bidi w:val="0"/>
        <w:ind w:left="482" w:leftChars="0"/>
      </w:pPr>
      <w:bookmarkStart w:id="1167" w:name="_Toc26868"/>
      <w:bookmarkStart w:id="1168" w:name="_Toc14710427"/>
      <w:r>
        <w:t>23.索赔</w:t>
      </w:r>
      <w:bookmarkEnd w:id="1167"/>
      <w:bookmarkEnd w:id="1168"/>
    </w:p>
    <w:p w14:paraId="19A706B7">
      <w:pPr>
        <w:pStyle w:val="2"/>
        <w:numPr>
          <w:ilvl w:val="0"/>
          <w:numId w:val="0"/>
        </w:numPr>
        <w:bidi w:val="0"/>
        <w:ind w:left="482" w:leftChars="0"/>
      </w:pPr>
      <w:bookmarkStart w:id="1169" w:name="bookmark1538"/>
      <w:bookmarkStart w:id="1170" w:name="_Toc14710428"/>
      <w:bookmarkStart w:id="1171" w:name="bookmark1537"/>
      <w:bookmarkStart w:id="1172" w:name="_Toc12223"/>
      <w:bookmarkStart w:id="1173" w:name="bookmark1536"/>
      <w:r>
        <w:t>23.1承包人索赔的提出</w:t>
      </w:r>
      <w:bookmarkEnd w:id="1169"/>
      <w:bookmarkEnd w:id="1170"/>
      <w:bookmarkEnd w:id="1171"/>
      <w:bookmarkEnd w:id="1172"/>
      <w:bookmarkEnd w:id="1173"/>
    </w:p>
    <w:p w14:paraId="76810609">
      <w:pPr>
        <w:pStyle w:val="11"/>
      </w:pPr>
      <w:r>
        <w:t>根据合同约定，承包人认为有权得到追加付款和(或)延长工期的，应按以下程序向发包人提出索赔：</w:t>
      </w:r>
    </w:p>
    <w:p w14:paraId="2FBE9A08">
      <w:pPr>
        <w:pStyle w:val="11"/>
      </w:pPr>
      <w:bookmarkStart w:id="1174" w:name="bookmark1539"/>
      <w:bookmarkEnd w:id="1174"/>
      <w:r>
        <w:rPr>
          <w:b w:val="0"/>
          <w:i w:val="0"/>
          <w:strike w:val="0"/>
          <w:color w:val="000000"/>
          <w:u w:val="none"/>
        </w:rPr>
        <w:t>(1)</w:t>
      </w:r>
      <w:r>
        <w:t>承包人应在知道或应当知道索赔事件发生后28天内，向监理人递交索赔意向通知书，并说明发生索赔事件的事由。承包人未在前述28天内发出索赔意向通知书的，丧失要求追加付款和(或)延长工期的权利；</w:t>
      </w:r>
    </w:p>
    <w:p w14:paraId="3A7597BE">
      <w:pPr>
        <w:pStyle w:val="11"/>
      </w:pPr>
      <w:bookmarkStart w:id="1175" w:name="bookmark1540"/>
      <w:bookmarkEnd w:id="1175"/>
      <w:r>
        <w:rPr>
          <w:b w:val="0"/>
          <w:i w:val="0"/>
          <w:strike w:val="0"/>
          <w:color w:val="000000"/>
          <w:u w:val="none"/>
        </w:rPr>
        <w:t>(2)</w:t>
      </w:r>
      <w:r>
        <w:t>承包人应在发出索赔意向通知书后28天内，向监理人正式递交索赔通知书。索赔通知书应详细说明索赔理由以及要求追加的付款金额和(或)延长的工期，并附必要的记 录和证明材料；</w:t>
      </w:r>
    </w:p>
    <w:p w14:paraId="3759F8D1">
      <w:pPr>
        <w:pStyle w:val="11"/>
      </w:pPr>
      <w:bookmarkStart w:id="1176" w:name="bookmark1541"/>
      <w:bookmarkEnd w:id="1176"/>
      <w:r>
        <w:rPr>
          <w:b w:val="0"/>
          <w:i w:val="0"/>
          <w:strike w:val="0"/>
          <w:color w:val="000000"/>
          <w:u w:val="none"/>
        </w:rPr>
        <w:t>(3)</w:t>
      </w:r>
      <w:r>
        <w:t>索赔事件具有连续影响的，承包人应按合理时间间隔继续递交延续索赔通知，说明连续影响的实际情况和记录，列出累计的追加付款金额和(或)工期延长天数；</w:t>
      </w:r>
    </w:p>
    <w:p w14:paraId="0E0187D6">
      <w:pPr>
        <w:pStyle w:val="11"/>
      </w:pPr>
      <w:bookmarkStart w:id="1177" w:name="bookmark1542"/>
      <w:bookmarkEnd w:id="1177"/>
      <w:r>
        <w:rPr>
          <w:b w:val="0"/>
          <w:i w:val="0"/>
          <w:strike w:val="0"/>
          <w:color w:val="000000"/>
          <w:u w:val="none"/>
        </w:rPr>
        <w:t>(4)</w:t>
      </w:r>
      <w:r>
        <w:t>在索赔事件影响结束后的28天内，承包人应向监理人递交最终索赔通知书，说明最终要求索赔的追加付款金额和延长的工期，并附必要的记录和证明材料。</w:t>
      </w:r>
    </w:p>
    <w:p w14:paraId="78584A92">
      <w:pPr>
        <w:pStyle w:val="2"/>
        <w:numPr>
          <w:ilvl w:val="0"/>
          <w:numId w:val="0"/>
        </w:numPr>
        <w:bidi w:val="0"/>
        <w:ind w:left="482" w:leftChars="0"/>
      </w:pPr>
      <w:bookmarkStart w:id="1178" w:name="_Toc5534"/>
      <w:bookmarkStart w:id="1179" w:name="bookmark1545"/>
      <w:bookmarkStart w:id="1180" w:name="bookmark1543"/>
      <w:bookmarkStart w:id="1181" w:name="bookmark1544"/>
      <w:bookmarkStart w:id="1182" w:name="_Toc14710429"/>
      <w:r>
        <w:t>23.2承包人索赔处理程序</w:t>
      </w:r>
      <w:bookmarkEnd w:id="1178"/>
      <w:bookmarkEnd w:id="1179"/>
      <w:bookmarkEnd w:id="1180"/>
      <w:bookmarkEnd w:id="1181"/>
      <w:bookmarkEnd w:id="1182"/>
    </w:p>
    <w:p w14:paraId="2A79C9ED">
      <w:pPr>
        <w:pStyle w:val="11"/>
      </w:pPr>
      <w:bookmarkStart w:id="1183" w:name="bookmark1546"/>
      <w:bookmarkEnd w:id="1183"/>
      <w:r>
        <w:rPr>
          <w:b w:val="0"/>
          <w:i w:val="0"/>
          <w:strike w:val="0"/>
          <w:color w:val="000000"/>
          <w:u w:val="none"/>
        </w:rPr>
        <w:t>(1)</w:t>
      </w:r>
      <w:r>
        <w:t>监理人收到承包人提交的索赔通知书后，应及时审查索赔通知书的内容、查验承包人的记录和证明材料，必要时监理人可要求承包人提交全部原始记录副本。</w:t>
      </w:r>
    </w:p>
    <w:p w14:paraId="31B84EFD">
      <w:pPr>
        <w:pStyle w:val="11"/>
      </w:pPr>
      <w:bookmarkStart w:id="1184" w:name="bookmark1547"/>
      <w:bookmarkEnd w:id="1184"/>
      <w:r>
        <w:rPr>
          <w:b w:val="0"/>
          <w:i w:val="0"/>
          <w:strike w:val="0"/>
          <w:color w:val="000000"/>
          <w:u w:val="none"/>
        </w:rPr>
        <w:t>(2)</w:t>
      </w:r>
      <w:r>
        <w:t>监理人应按第3. 5款商定或确定追加的付款和(或)延长的工期，并在收到上述索赔通知书或有关索赔的进一步证明材料后的42天内，将索赔处理结果答复承包人。</w:t>
      </w:r>
    </w:p>
    <w:p w14:paraId="3A25AED7">
      <w:pPr>
        <w:pStyle w:val="11"/>
      </w:pPr>
      <w:bookmarkStart w:id="1185" w:name="bookmark1548"/>
      <w:bookmarkEnd w:id="1185"/>
      <w:r>
        <w:rPr>
          <w:b w:val="0"/>
          <w:i w:val="0"/>
          <w:strike w:val="0"/>
          <w:color w:val="000000"/>
          <w:u w:val="none"/>
        </w:rPr>
        <w:t>(3)</w:t>
      </w:r>
      <w:r>
        <w:t>承包人接受索赔处理结果的，发包人应在作出索赔处理结果答复后28天内完成赔付。承包人不接受索赔处理结果的，按第24条的约定办理。</w:t>
      </w:r>
    </w:p>
    <w:p w14:paraId="0C9FA7D2">
      <w:pPr>
        <w:pStyle w:val="2"/>
        <w:numPr>
          <w:ilvl w:val="0"/>
          <w:numId w:val="0"/>
        </w:numPr>
        <w:bidi w:val="0"/>
        <w:ind w:left="482" w:leftChars="0"/>
      </w:pPr>
      <w:bookmarkStart w:id="1186" w:name="_Toc14710430"/>
      <w:bookmarkStart w:id="1187" w:name="bookmark1551"/>
      <w:bookmarkStart w:id="1188" w:name="bookmark1550"/>
      <w:bookmarkStart w:id="1189" w:name="bookmark1549"/>
      <w:bookmarkStart w:id="1190" w:name="_Toc2285"/>
      <w:r>
        <w:t>23.3承包人提出索赔的期限</w:t>
      </w:r>
      <w:bookmarkEnd w:id="1186"/>
      <w:bookmarkEnd w:id="1187"/>
      <w:bookmarkEnd w:id="1188"/>
      <w:bookmarkEnd w:id="1189"/>
      <w:bookmarkEnd w:id="1190"/>
    </w:p>
    <w:p w14:paraId="3CB485A6">
      <w:pPr>
        <w:pStyle w:val="11"/>
      </w:pPr>
      <w:bookmarkStart w:id="1191" w:name="bookmark1552"/>
      <w:bookmarkEnd w:id="1191"/>
      <w:r>
        <w:rPr>
          <w:b w:val="0"/>
          <w:i w:val="0"/>
          <w:strike w:val="0"/>
          <w:color w:val="000000"/>
          <w:u w:val="none"/>
        </w:rPr>
        <w:t>22.</w:t>
      </w:r>
      <w:r>
        <w:t>3.1承包人按第17. 5款的约定接受了完工付款证书后，应被认为已无权再提出在合同工程完工证书颁发前所发生的任何索赔。</w:t>
      </w:r>
    </w:p>
    <w:p w14:paraId="0B4D2974">
      <w:pPr>
        <w:pStyle w:val="11"/>
      </w:pPr>
      <w:r>
        <w:t>23.3.2承包人按第17. 6款的约定提交的最终结清申请单中，只限于提出合同工程完工证书颁发后发生的索赔。提出索赔的期限自接受最终结清证书时终止。</w:t>
      </w:r>
    </w:p>
    <w:p w14:paraId="41624E45">
      <w:pPr>
        <w:pStyle w:val="2"/>
        <w:numPr>
          <w:ilvl w:val="0"/>
          <w:numId w:val="0"/>
        </w:numPr>
        <w:bidi w:val="0"/>
        <w:ind w:left="482" w:leftChars="0"/>
      </w:pPr>
      <w:bookmarkStart w:id="1192" w:name="_Toc1321"/>
      <w:bookmarkStart w:id="1193" w:name="bookmark1553"/>
      <w:bookmarkStart w:id="1194" w:name="_Toc14710431"/>
      <w:bookmarkStart w:id="1195" w:name="bookmark1555"/>
      <w:bookmarkStart w:id="1196" w:name="bookmark1554"/>
      <w:r>
        <w:t>23.4发包人的索赔</w:t>
      </w:r>
      <w:bookmarkEnd w:id="1192"/>
      <w:bookmarkEnd w:id="1193"/>
      <w:bookmarkEnd w:id="1194"/>
      <w:bookmarkEnd w:id="1195"/>
      <w:bookmarkEnd w:id="1196"/>
    </w:p>
    <w:p w14:paraId="1B1DF9E7">
      <w:pPr>
        <w:pStyle w:val="11"/>
      </w:pPr>
      <w:r>
        <w:t>23.4.1发生索赔事件后，监理人应及时书面通知承包人，详细说明发包人有权得到的索赔金额和(或)延长缺陷责任期的细节和依据。发包人提出索赔的期限和要求与第</w:t>
      </w:r>
      <w:bookmarkStart w:id="1197" w:name="bookmark1556"/>
      <w:bookmarkEnd w:id="1197"/>
      <w:r>
        <w:t>23.3款的约定相同，延长缺陷责任期的通知应在缺陷责任期届满前发出。</w:t>
      </w:r>
    </w:p>
    <w:p w14:paraId="644F11B4">
      <w:pPr>
        <w:pStyle w:val="11"/>
      </w:pPr>
      <w:r>
        <w:t>23.4.2监理人按第3. 5款商定或确定发包人从承包人处得到赔付的金额和(或)缺陷责任期的延长期。承包人应付给发包人的金额可从拟支付给承包人的合同价款中扣除, 或由承包人以其他方式支付给发包人。</w:t>
      </w:r>
    </w:p>
    <w:p w14:paraId="7CBF418A">
      <w:pPr>
        <w:pStyle w:val="11"/>
      </w:pPr>
      <w:r>
        <w:t>23.4.3承包人对监理人按第23.4. 1项发出的索赔书面通知内容持异议时，应在收到书面通知后的14天内，将持有异议的书面报告及其证明材料提交监理人。监理人应在收到 承包人书面报告后的14天内，将异议的处理意见通知承包人，并按第23.4.2项的约定执 行赔付。若承包人不接受监理人的索赔处理意见，可按本合同第24条的规定办理。</w:t>
      </w:r>
      <w:bookmarkStart w:id="1198" w:name="bookmark1559"/>
      <w:bookmarkEnd w:id="1198"/>
      <w:bookmarkStart w:id="1199" w:name="bookmark1558"/>
      <w:bookmarkStart w:id="1200" w:name="bookmark1557"/>
      <w:bookmarkStart w:id="1201" w:name="_Toc32550"/>
      <w:bookmarkStart w:id="1202" w:name="_Toc14710432"/>
      <w:bookmarkStart w:id="1203" w:name="bookmark1560"/>
    </w:p>
    <w:p w14:paraId="275AE9E7">
      <w:pPr>
        <w:pStyle w:val="2"/>
        <w:numPr>
          <w:ilvl w:val="0"/>
          <w:numId w:val="0"/>
        </w:numPr>
        <w:bidi w:val="0"/>
        <w:ind w:left="482" w:leftChars="0"/>
      </w:pPr>
      <w:r>
        <w:t>24.争议的解决</w:t>
      </w:r>
      <w:bookmarkEnd w:id="1199"/>
      <w:bookmarkEnd w:id="1200"/>
      <w:bookmarkEnd w:id="1201"/>
      <w:bookmarkEnd w:id="1202"/>
      <w:bookmarkEnd w:id="1203"/>
    </w:p>
    <w:p w14:paraId="0A202E5B">
      <w:pPr>
        <w:pStyle w:val="2"/>
        <w:numPr>
          <w:ilvl w:val="0"/>
          <w:numId w:val="0"/>
        </w:numPr>
        <w:bidi w:val="0"/>
        <w:ind w:left="482" w:leftChars="0"/>
      </w:pPr>
      <w:bookmarkStart w:id="1204" w:name="_Toc12687"/>
      <w:bookmarkStart w:id="1205" w:name="bookmark1563"/>
      <w:bookmarkStart w:id="1206" w:name="_Toc14710433"/>
      <w:bookmarkStart w:id="1207" w:name="bookmark1562"/>
      <w:bookmarkStart w:id="1208" w:name="bookmark1561"/>
      <w:r>
        <w:t>24.1争议的解决方式</w:t>
      </w:r>
      <w:bookmarkEnd w:id="1204"/>
      <w:bookmarkEnd w:id="1205"/>
      <w:bookmarkEnd w:id="1206"/>
      <w:bookmarkEnd w:id="1207"/>
      <w:bookmarkEnd w:id="1208"/>
    </w:p>
    <w:p w14:paraId="2D31476A">
      <w:pPr>
        <w:pStyle w:val="11"/>
      </w:pPr>
      <w: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D02BF1D">
      <w:pPr>
        <w:pStyle w:val="11"/>
      </w:pPr>
      <w:bookmarkStart w:id="1209" w:name="bookmark1564"/>
      <w:bookmarkEnd w:id="1209"/>
      <w:r>
        <w:rPr>
          <w:b w:val="0"/>
          <w:i w:val="0"/>
          <w:strike w:val="0"/>
          <w:color w:val="000000"/>
          <w:u w:val="none"/>
        </w:rPr>
        <w:t>(1)</w:t>
      </w:r>
      <w:r>
        <w:t>向约定的仲裁委员会申请仲裁；</w:t>
      </w:r>
    </w:p>
    <w:p w14:paraId="1EDEDA7A">
      <w:pPr>
        <w:pStyle w:val="11"/>
      </w:pPr>
      <w:bookmarkStart w:id="1210" w:name="bookmark1565"/>
      <w:bookmarkEnd w:id="1210"/>
      <w:r>
        <w:rPr>
          <w:b w:val="0"/>
          <w:i w:val="0"/>
          <w:strike w:val="0"/>
          <w:color w:val="000000"/>
          <w:u w:val="none"/>
        </w:rPr>
        <w:t>(2)</w:t>
      </w:r>
      <w:r>
        <w:t>向有管辖权的人民法院提起诉讼。</w:t>
      </w:r>
    </w:p>
    <w:p w14:paraId="756FBB51">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1" w:name="bookmark1567"/>
      <w:bookmarkStart w:id="1212" w:name="_Toc13288"/>
      <w:bookmarkStart w:id="1213" w:name="_Toc14710434"/>
      <w:bookmarkStart w:id="1214" w:name="bookmark1568"/>
      <w:bookmarkStart w:id="1215" w:name="bookmark1566"/>
      <w:r>
        <w:t>24.2友好解决</w:t>
      </w:r>
      <w:bookmarkEnd w:id="1211"/>
      <w:bookmarkEnd w:id="1212"/>
      <w:bookmarkEnd w:id="1213"/>
      <w:bookmarkEnd w:id="1214"/>
      <w:bookmarkEnd w:id="1215"/>
    </w:p>
    <w:p w14:paraId="3DEE3622">
      <w:pPr>
        <w:pStyle w:val="11"/>
      </w:pPr>
      <w:r>
        <w:t>在提请争议评审、仲裁或者诉讼前，以及在争议评审、仲裁或诉讼过程中，发包人和承包人均可共同努力友好协商解决争议。</w:t>
      </w:r>
    </w:p>
    <w:p w14:paraId="7546A93E">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16" w:name="bookmark1570"/>
      <w:bookmarkStart w:id="1217" w:name="bookmark1569"/>
      <w:bookmarkStart w:id="1218" w:name="_Toc12305"/>
      <w:bookmarkStart w:id="1219" w:name="bookmark1571"/>
      <w:bookmarkStart w:id="1220" w:name="_Toc14710435"/>
      <w:r>
        <w:t>24.3争议评审</w:t>
      </w:r>
      <w:bookmarkEnd w:id="1216"/>
      <w:bookmarkEnd w:id="1217"/>
      <w:bookmarkEnd w:id="1218"/>
      <w:bookmarkEnd w:id="1219"/>
      <w:bookmarkEnd w:id="1220"/>
    </w:p>
    <w:p w14:paraId="2F73CC21">
      <w:pPr>
        <w:pStyle w:val="11"/>
      </w:pPr>
      <w:r>
        <w:t>24.3.1采用争议评审的，发包人和承包人应在开工日后的28天内或在争议发生后, 协商成立争议评审组。争议评审组由有合同管理和工程实践经验的专家组成。</w:t>
      </w:r>
    </w:p>
    <w:p w14:paraId="758D62DD">
      <w:pPr>
        <w:pStyle w:val="11"/>
      </w:pPr>
      <w:r>
        <w:t>24.3.2合同双方的争议，应首先由申请人向争议评审组提交一份详细的评审申请报告，并附必要的文件、图纸和证明材料，申请人还应将上述报告的副本同时提交给被申请人和监理人。</w:t>
      </w:r>
    </w:p>
    <w:p w14:paraId="1750A8FC">
      <w:pPr>
        <w:pStyle w:val="11"/>
      </w:pPr>
      <w:r>
        <w:t>24.3.3被申请人在收到申请人评审申请报告副本后的28天内，向争议评审组提交一份答辩报告，并附证明材料。被申请人应将答辩报告的副本同时提交给申请人和监理人。</w:t>
      </w:r>
    </w:p>
    <w:p w14:paraId="61A3143F">
      <w:pPr>
        <w:pStyle w:val="11"/>
      </w:pPr>
      <w:r>
        <w:t>24.3.4除专用合同条款另有约定外，争议评审组在收到合同双方报告后的14天内， 邀请双方代表和有关人员举行调查会，向双方调查争议细节；必要时争议评审组可要求双方进一步提供补充材料。</w:t>
      </w:r>
    </w:p>
    <w:p w14:paraId="1769B29F">
      <w:pPr>
        <w:pStyle w:val="11"/>
      </w:pPr>
      <w:bookmarkStart w:id="1221" w:name="bookmark1572"/>
      <w:bookmarkEnd w:id="1221"/>
      <w:r>
        <w:t>24.3.5除专用合同条款另有约定外，在调查会结束后的14天内，争议评审组应在不受任何干扰的情况下进行独立、公正的评审，作出书面评审意见，并说明理由。在争议评审期间，争议双方暂按总监理工程师的确定执行。</w:t>
      </w:r>
    </w:p>
    <w:p w14:paraId="336FD1F6">
      <w:pPr>
        <w:pStyle w:val="11"/>
      </w:pPr>
      <w:r>
        <w:t>24.3.6发包人和承包人接受评审意见的，由监理人根据评审意见拟定执行协议，经争议双方签字后作为合同的补充文件，并遵照执行。</w:t>
      </w:r>
    </w:p>
    <w:p w14:paraId="086FD8C3">
      <w:pPr>
        <w:pStyle w:val="11"/>
      </w:pPr>
      <w: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1D8C5079">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82" w:leftChars="0"/>
        <w:textAlignment w:val="auto"/>
      </w:pPr>
      <w:bookmarkStart w:id="1222" w:name="bookmark1575"/>
      <w:bookmarkStart w:id="1223" w:name="_Toc14710436"/>
      <w:bookmarkStart w:id="1224" w:name="bookmark1574"/>
      <w:bookmarkStart w:id="1225" w:name="_Toc548"/>
      <w:bookmarkStart w:id="1226" w:name="bookmark1573"/>
      <w:r>
        <w:t>24.4仲裁</w:t>
      </w:r>
      <w:bookmarkEnd w:id="1222"/>
      <w:bookmarkEnd w:id="1223"/>
      <w:bookmarkEnd w:id="1224"/>
      <w:bookmarkEnd w:id="1225"/>
      <w:bookmarkEnd w:id="1226"/>
    </w:p>
    <w:p w14:paraId="4DF322D3">
      <w:pPr>
        <w:pStyle w:val="11"/>
      </w:pPr>
      <w:r>
        <w:t>24.4.1若合同双方商定直接向仲裁机构申请仲裁，应签订仲裁协议并约定仲裁机构。</w:t>
      </w:r>
    </w:p>
    <w:p w14:paraId="01A5ABEE">
      <w:pPr>
        <w:pStyle w:val="11"/>
        <w:rPr>
          <w:rFonts w:ascii="宋体" w:hAnsi="宋体" w:eastAsia="宋体" w:cs="宋体"/>
          <w:b w:val="0"/>
          <w:bCs/>
          <w:kern w:val="44"/>
          <w:sz w:val="21"/>
          <w:szCs w:val="21"/>
          <w:lang w:val="en-US" w:eastAsia="zh-CN" w:bidi="ar-SA"/>
        </w:rPr>
      </w:pPr>
      <w:r>
        <w:t>24.4.2若合同双方未能达成仲裁协议，则本合同的仲裁条款无效，任一方均有权向人民法院提起诉讼。</w:t>
      </w:r>
      <w:bookmarkStart w:id="1227" w:name="_Toc508272186"/>
    </w:p>
    <w:p w14:paraId="578580F5">
      <w:pPr>
        <w:pStyle w:val="42"/>
        <w:numPr>
          <w:ilvl w:val="0"/>
          <w:numId w:val="70"/>
        </w:numPr>
        <w:ind w:left="0" w:leftChars="0" w:firstLine="480" w:firstLineChars="0"/>
        <w:outlineLvl w:val="0"/>
      </w:pPr>
      <w:bookmarkStart w:id="1228" w:name="_Toc4053"/>
      <w:r>
        <w:t>安全生产合同</w:t>
      </w:r>
      <w:bookmarkEnd w:id="1227"/>
      <w:bookmarkEnd w:id="1228"/>
    </w:p>
    <w:p w14:paraId="22894B28">
      <w:pPr>
        <w:pStyle w:val="11"/>
      </w:pPr>
      <w:r>
        <w:t>为在</w:t>
      </w:r>
      <w:r>
        <w:rPr>
          <w:b/>
          <w:u w:val="single"/>
        </w:rPr>
        <w:t xml:space="preserve">                     </w:t>
      </w:r>
      <w:r>
        <w:t>施工合同的实施过程中创造安全、高效的施工环境，切实搞好本项目的安全管理工作，本项目发包人</w:t>
      </w:r>
      <w:r>
        <w:rPr>
          <w:b/>
          <w:u w:val="single"/>
        </w:rPr>
        <w:t xml:space="preserve">                    </w:t>
      </w:r>
      <w:r>
        <w:t>与承包人</w:t>
      </w:r>
      <w:r>
        <w:rPr>
          <w:b/>
          <w:u w:val="single"/>
        </w:rPr>
        <w:t xml:space="preserve">                     </w:t>
      </w:r>
      <w:r>
        <w:t>特此签订安全生产合同：</w:t>
      </w:r>
    </w:p>
    <w:p w14:paraId="619C59C8">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1.发包人职责</w:t>
      </w:r>
    </w:p>
    <w:p w14:paraId="0CA0757C">
      <w:pPr>
        <w:pStyle w:val="11"/>
      </w:pPr>
      <w:r>
        <w:t>（1）严格遵守国家有关安全生产的法律法规，认真执行工程承包合同中的有关安全要求。</w:t>
      </w:r>
    </w:p>
    <w:p w14:paraId="780F2D4C">
      <w:pPr>
        <w:pStyle w:val="11"/>
      </w:pPr>
      <w:r>
        <w:t>（2）按照“安全第一、预防为主”和坚持“管生产必须管安全”的原则进行安全生产管理，做到生产与安全工作同时计划、布置、检查、总结和评比。</w:t>
      </w:r>
    </w:p>
    <w:p w14:paraId="3DA801C1">
      <w:pPr>
        <w:pStyle w:val="11"/>
      </w:pPr>
      <w:r>
        <w:t>（3）重要的安全设施必须坚持与主体工程“三同时”的原则，即：同时设计、审批，同时施工，同时验收，投入使用。</w:t>
      </w:r>
    </w:p>
    <w:p w14:paraId="5F3C0DCE">
      <w:pPr>
        <w:pStyle w:val="11"/>
      </w:pPr>
      <w:r>
        <w:t>（4）定期召开安全生产调度会，及时传达中央及地方有关安全生产的精神。</w:t>
      </w:r>
    </w:p>
    <w:p w14:paraId="4A846971">
      <w:pPr>
        <w:pStyle w:val="11"/>
      </w:pPr>
      <w:r>
        <w:t>（5）组织对承包人施工现场安全生产检查，监督承包人及时处理发现的各种安全隐患。</w:t>
      </w:r>
    </w:p>
    <w:p w14:paraId="1F648164">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2.承包人职责</w:t>
      </w:r>
    </w:p>
    <w:p w14:paraId="1F92D686">
      <w:pPr>
        <w:pStyle w:val="11"/>
      </w:pPr>
      <w:r>
        <w:t>（1）严格遵守《中华人民共和国安全生产法》、《建设工程安全生产管理条例》等国家有关安全生产的法律法规及自治区安全生产法规和水利水电工程施工安全操作规范等规定。认真执行工程承包合同中的有关安全要求。</w:t>
      </w:r>
    </w:p>
    <w:p w14:paraId="5ADE5CFD">
      <w:pPr>
        <w:pStyle w:val="11"/>
      </w:pPr>
      <w: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AC14F6">
      <w:pPr>
        <w:pStyle w:val="11"/>
      </w:pPr>
      <w: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45A0F37">
      <w:pPr>
        <w:pStyle w:val="11"/>
      </w:pPr>
      <w:r>
        <w:t>（4）承包人在任何时候都应采取各种合理的预防措施，防止其员工发生任何违法、违禁、暴力或妨碍治安的行为。</w:t>
      </w:r>
    </w:p>
    <w:p w14:paraId="47631A14">
      <w:pPr>
        <w:pStyle w:val="11"/>
      </w:pPr>
      <w: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78ED2D">
      <w:pPr>
        <w:pStyle w:val="11"/>
      </w:pPr>
      <w: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38505F">
      <w:pPr>
        <w:pStyle w:val="11"/>
      </w:pPr>
      <w:r>
        <w:t>（7）操作人员上岗，必须按规定穿戴防护用品。施工负责人和安全检查员应随时检查劳动防护用品的穿戴情况，不按规定穿戴防护用品的人员不得上岗。</w:t>
      </w:r>
    </w:p>
    <w:p w14:paraId="5AEC901B">
      <w:pPr>
        <w:pStyle w:val="11"/>
      </w:pPr>
      <w:r>
        <w:t>（8）所有施工机具设备和高空作业的设备均应定期检查，并有安全员的签字记录，保证其经常处于完好状态；不合格的机具、设备和劳动保护用品严禁使用：</w:t>
      </w:r>
    </w:p>
    <w:p w14:paraId="1D79B5A3">
      <w:pPr>
        <w:pStyle w:val="11"/>
      </w:pPr>
      <w:r>
        <w:t>（9）施工中采用新技术、新工艺、新设备、新材料时，必须制定相应的安全技术措施，施工现场必须具有相关的安全标志牌。</w:t>
      </w:r>
    </w:p>
    <w:p w14:paraId="39C73720">
      <w:pPr>
        <w:pStyle w:val="11"/>
      </w:pPr>
      <w: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4D1A249">
      <w:pPr>
        <w:pStyle w:val="11"/>
        <w:rPr>
          <w:highlight w:val="red"/>
        </w:rPr>
      </w:pPr>
      <w:r>
        <w:t>（11）格遵守《中华人民共和国安全生产法》《建设工程安全生产管理条例》等国家有关安全生产的法律法规《公路水运工程安全生产监督管理办法》和《公路工程施工安全技术规程》等有关安全生产的规定。认真执行工程承包合同中的有关安全要求</w:t>
      </w:r>
    </w:p>
    <w:p w14:paraId="01045835">
      <w:pPr>
        <w:pStyle w:val="11"/>
        <w:keepNext w:val="0"/>
        <w:keepLines w:val="0"/>
        <w:pageBreakBefore w:val="0"/>
        <w:widowControl w:val="0"/>
        <w:kinsoku/>
        <w:wordWrap/>
        <w:overflowPunct/>
        <w:topLinePunct w:val="0"/>
        <w:autoSpaceDE/>
        <w:autoSpaceDN/>
        <w:bidi w:val="0"/>
        <w:adjustRightInd/>
        <w:snapToGrid/>
        <w:spacing w:line="240" w:lineRule="auto"/>
        <w:textAlignment w:val="auto"/>
      </w:pPr>
      <w:r>
        <w:t>3.违约责任</w:t>
      </w:r>
    </w:p>
    <w:p w14:paraId="7DE1AA99">
      <w:pPr>
        <w:pStyle w:val="11"/>
      </w:pPr>
      <w:r>
        <w:t>如因发包人或承包人违约造成安全事故，将依法追究责任。</w:t>
      </w:r>
    </w:p>
    <w:p w14:paraId="45C4A0C6">
      <w:pPr>
        <w:pStyle w:val="11"/>
      </w:pPr>
      <w:r>
        <w:t>4.本合同由双方法定代表人或其授权的代理人签署并加盖单位章后生效，全部工程竣工验收后失效。</w:t>
      </w:r>
    </w:p>
    <w:p w14:paraId="3A826D40">
      <w:pPr>
        <w:pStyle w:val="11"/>
        <w:rPr>
          <w:rFonts w:hint="eastAsia" w:ascii="Times New Roman" w:hAnsi="Times New Roman" w:eastAsia="宋体" w:cs="Times New Roman"/>
          <w:sz w:val="24"/>
          <w:szCs w:val="21"/>
        </w:rPr>
      </w:pPr>
      <w:r>
        <w:t>5.本合同正本—式陆份，发包人和承包人各执叁份。</w:t>
      </w:r>
    </w:p>
    <w:p w14:paraId="4349127C">
      <w:pPr>
        <w:spacing w:line="240" w:lineRule="auto"/>
        <w:rPr>
          <w:rFonts w:hint="eastAsia" w:ascii="Times New Roman" w:hAnsi="Times New Roman" w:eastAsia="宋体" w:cs="Times New Roman"/>
          <w:sz w:val="24"/>
          <w:szCs w:val="21"/>
        </w:rPr>
      </w:pPr>
    </w:p>
    <w:p w14:paraId="1B1FDB19">
      <w:pPr>
        <w:spacing w:line="240" w:lineRule="auto"/>
        <w:rPr>
          <w:rFonts w:ascii="Times New Roman" w:hAnsi="Times New Roman" w:eastAsia="宋体" w:cs="Times New Roman"/>
          <w:spacing w:val="-20"/>
          <w:sz w:val="24"/>
          <w:szCs w:val="21"/>
          <w:u w:val="single"/>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bCs/>
          <w:sz w:val="24"/>
          <w:szCs w:val="21"/>
          <w:u w:val="single"/>
        </w:rPr>
        <w:t xml:space="preserve"> </w:t>
      </w:r>
      <w:r>
        <w:rPr>
          <w:rFonts w:hint="eastAsia" w:ascii="Times New Roman" w:hAnsi="Times New Roman" w:eastAsia="宋体" w:cs="Times New Roman"/>
          <w:b/>
          <w:sz w:val="24"/>
          <w:szCs w:val="21"/>
          <w:u w:val="single"/>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szCs w:val="21"/>
          <w:lang w:val="en-US" w:eastAsia="zh-CN"/>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pacing w:val="-20"/>
          <w:sz w:val="24"/>
          <w:szCs w:val="21"/>
          <w:u w:val="single"/>
        </w:rPr>
        <w:t xml:space="preserve">                                          </w:t>
      </w:r>
    </w:p>
    <w:p w14:paraId="03F5D9E1">
      <w:pPr>
        <w:spacing w:line="240" w:lineRule="auto"/>
        <w:ind w:firstLine="1440" w:firstLineChars="6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（盖单位章）                           （盖单位章） </w:t>
      </w:r>
    </w:p>
    <w:p w14:paraId="0ABFF362">
      <w:pPr>
        <w:spacing w:line="240" w:lineRule="auto"/>
        <w:rPr>
          <w:rFonts w:ascii="宋体" w:hAnsi="宋体" w:cs="宋体"/>
          <w:szCs w:val="21"/>
        </w:rPr>
      </w:pPr>
    </w:p>
    <w:p w14:paraId="4F1EE19C">
      <w:pPr>
        <w:spacing w:line="240" w:lineRule="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0E71B893">
      <w:pPr>
        <w:spacing w:line="24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4E57654C">
      <w:pPr>
        <w:spacing w:line="240" w:lineRule="auto"/>
        <w:rPr>
          <w:rFonts w:ascii="宋体" w:hAnsi="宋体" w:cs="宋体"/>
          <w:szCs w:val="21"/>
        </w:rPr>
      </w:pPr>
    </w:p>
    <w:p w14:paraId="541D9280">
      <w:pPr>
        <w:spacing w:line="240" w:lineRule="auto"/>
        <w:ind w:firstLine="2310" w:firstLineChars="1100"/>
        <w:rPr>
          <w:rFonts w:ascii="宋体" w:hAnsi="宋体" w:cs="宋体"/>
          <w:szCs w:val="21"/>
        </w:rPr>
      </w:pPr>
    </w:p>
    <w:p w14:paraId="35BB794E">
      <w:pPr>
        <w:spacing w:line="240" w:lineRule="auto"/>
        <w:ind w:firstLine="2640" w:firstLineChars="1100"/>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日                </w:t>
      </w:r>
    </w:p>
    <w:p w14:paraId="71219672">
      <w:pPr>
        <w:rPr>
          <w:rFonts w:ascii="宋体" w:hAnsi="宋体" w:cs="宋体"/>
          <w:szCs w:val="21"/>
        </w:rPr>
      </w:pPr>
      <w:bookmarkStart w:id="1229" w:name="_Toc508272187"/>
    </w:p>
    <w:p w14:paraId="00BE3D78">
      <w:bookmarkStart w:id="1230" w:name="_Toc8568"/>
      <w:r>
        <w:br w:type="page"/>
      </w:r>
    </w:p>
    <w:p w14:paraId="207703E1">
      <w:pPr>
        <w:pStyle w:val="42"/>
        <w:numPr>
          <w:ilvl w:val="0"/>
          <w:numId w:val="70"/>
        </w:numPr>
        <w:ind w:left="0" w:leftChars="0" w:firstLine="480" w:firstLineChars="0"/>
        <w:outlineLvl w:val="0"/>
      </w:pPr>
      <w:r>
        <w:t>廉政合同</w:t>
      </w:r>
      <w:bookmarkEnd w:id="1229"/>
      <w:bookmarkEnd w:id="1230"/>
    </w:p>
    <w:p w14:paraId="79F0F2AC">
      <w:pPr>
        <w:pStyle w:val="11"/>
      </w:pPr>
      <w:r>
        <w:t>根据有关工程建设、廉政建设的规定，为做好工程建设中的党风廉政建设，保证工程建设高效优质，保证建设资金的安全和有效使用以及投资效益，</w:t>
      </w:r>
      <w:r>
        <w:rPr>
          <w:b/>
          <w:u w:val="single"/>
        </w:rPr>
        <w:t xml:space="preserve">               </w:t>
      </w:r>
      <w:r>
        <w:t xml:space="preserve">项目法人 </w:t>
      </w:r>
      <w:r>
        <w:rPr>
          <w:b/>
          <w:u w:val="single"/>
        </w:rPr>
        <w:t xml:space="preserve">                   </w:t>
      </w:r>
      <w:r>
        <w:rPr>
          <w:u w:val="single"/>
        </w:rPr>
        <w:t xml:space="preserve"> </w:t>
      </w:r>
      <w:r>
        <w:rPr>
          <w:b/>
          <w:u w:val="single"/>
        </w:rPr>
        <w:t xml:space="preserve"> </w:t>
      </w:r>
      <w:r>
        <w:t>与该项目的施工单位</w:t>
      </w:r>
      <w:r>
        <w:rPr>
          <w:b/>
          <w:u w:val="single"/>
        </w:rPr>
        <w:t xml:space="preserve">                             </w:t>
      </w:r>
      <w:r>
        <w:t>特订立如下合同。</w:t>
      </w:r>
    </w:p>
    <w:p w14:paraId="409C5C7B">
      <w:pPr>
        <w:pStyle w:val="11"/>
      </w:pPr>
      <w:r>
        <w:t>1．发包人和承包人双方的权利和义务</w:t>
      </w:r>
    </w:p>
    <w:p w14:paraId="0D0C47AC">
      <w:pPr>
        <w:pStyle w:val="11"/>
      </w:pPr>
      <w:r>
        <w:t>（1）严格遵守党的政策规定和国家有关法律法规及交通运输部的有关规定。</w:t>
      </w:r>
    </w:p>
    <w:p w14:paraId="7A44A625">
      <w:pPr>
        <w:pStyle w:val="11"/>
      </w:pPr>
      <w:r>
        <w:t>（2）严格执行</w:t>
      </w:r>
      <w:r>
        <w:rPr>
          <w:b/>
          <w:u w:val="single"/>
        </w:rPr>
        <w:t xml:space="preserve">                         </w:t>
      </w:r>
      <w:r>
        <w:t>施工合同文件，自觉按合同办事。</w:t>
      </w:r>
    </w:p>
    <w:p w14:paraId="23637535">
      <w:pPr>
        <w:pStyle w:val="11"/>
      </w:pPr>
      <w:r>
        <w:t>（3）双方的业务活动坚持公开、公正、诚信、透明的原则（法律认定的商业秘密和合同文件另有规定除外），不得损害国家和集体利益，不得违反工程建设管理规章制度。</w:t>
      </w:r>
    </w:p>
    <w:p w14:paraId="1BD6D649">
      <w:pPr>
        <w:pStyle w:val="11"/>
      </w:pPr>
      <w:r>
        <w:t>（4）建立健全廉政制度，开展廉政教育，设立廉政告示牌，公布举报电话，监督并认真查处违法违纪行为。</w:t>
      </w:r>
    </w:p>
    <w:p w14:paraId="1E6279DB">
      <w:pPr>
        <w:pStyle w:val="11"/>
      </w:pPr>
      <w:r>
        <w:t>（5）发现对方在业务活动中有违反廉政规定的行为，有及时提醒对方纠正的权利和义务。</w:t>
      </w:r>
    </w:p>
    <w:p w14:paraId="6CAF8672">
      <w:pPr>
        <w:pStyle w:val="11"/>
      </w:pPr>
      <w:r>
        <w:t>（6）发现对方严重违反本合同义务条款的行为，有向其上级有关部门举报、建议给予处理并要求告知处理结果的权利。</w:t>
      </w:r>
    </w:p>
    <w:p w14:paraId="07363E64">
      <w:pPr>
        <w:pStyle w:val="11"/>
      </w:pPr>
      <w:r>
        <w:t>2．发包人的义务</w:t>
      </w:r>
    </w:p>
    <w:p w14:paraId="209D2AFD">
      <w:pPr>
        <w:pStyle w:val="11"/>
      </w:pPr>
      <w:r>
        <w:t>（1）发包人及其工作人员不得索要或接受承包人的礼金、有价证券和贵重物品，不得让承包人报销任何应由发包人或发包人工作人员个人支付的费用等。</w:t>
      </w:r>
    </w:p>
    <w:p w14:paraId="1C973728">
      <w:pPr>
        <w:pStyle w:val="11"/>
      </w:pPr>
      <w:r>
        <w:t>（2）发包人工作人员不得参加承包人安排的超标准宴请和娱乐活动；不得接受承包人提供的通讯工具、交通工具和高档办公用品等。</w:t>
      </w:r>
    </w:p>
    <w:p w14:paraId="62F89F06">
      <w:pPr>
        <w:pStyle w:val="11"/>
      </w:pPr>
      <w:r>
        <w:t>（3）发包人及其工作人员不得要求或者接受承包人为其住房装修、婚丧嫁娶活动、配偶子女的工作安排以及出国出境、旅游等提供方便等。</w:t>
      </w:r>
    </w:p>
    <w:p w14:paraId="67B30F11">
      <w:pPr>
        <w:pStyle w:val="11"/>
      </w:pPr>
      <w:r>
        <w:t>（4）发包人工作人员及其配偶、子女不得从事与发包人工作有关的材料设备供应、工程分包、劳务等经济活动等。</w:t>
      </w:r>
    </w:p>
    <w:p w14:paraId="7915B45F">
      <w:pPr>
        <w:pStyle w:val="11"/>
      </w:pPr>
      <w:r>
        <w:t>（5）发包人及期工作人员不得以任何理由向承包人推荐分包单位或推销材料，不得要求承包人购买合同规定外的材料和设备。</w:t>
      </w:r>
    </w:p>
    <w:p w14:paraId="23CC258B">
      <w:pPr>
        <w:pStyle w:val="11"/>
      </w:pPr>
      <w:r>
        <w:t>（6）发包人工作人员要秉公办事，不准营私舞弊，不准利用职权从事各种个人有偿中介活动和安排个人施工队伍。</w:t>
      </w:r>
    </w:p>
    <w:p w14:paraId="5371750B">
      <w:pPr>
        <w:pStyle w:val="11"/>
      </w:pPr>
      <w:r>
        <w:t>3．承包人的义务</w:t>
      </w:r>
    </w:p>
    <w:p w14:paraId="25169150">
      <w:pPr>
        <w:pStyle w:val="11"/>
      </w:pPr>
      <w:r>
        <w:t>（1）承包人不得以任何理由向发包人及其工作人员行贿或馈赠礼金、有价证券、贵重礼品。</w:t>
      </w:r>
    </w:p>
    <w:p w14:paraId="3C011AAA">
      <w:pPr>
        <w:pStyle w:val="11"/>
      </w:pPr>
      <w:r>
        <w:t>（2）承包人不得以任何名义为发包人及其工作人员报销应由发包人单位或个人支付的任何费用。</w:t>
      </w:r>
    </w:p>
    <w:p w14:paraId="5D6E32F9">
      <w:pPr>
        <w:pStyle w:val="11"/>
      </w:pPr>
      <w:r>
        <w:t>（3）承包人不得以任何理由安排发包人工作人员参加超标准宴请及娱乐活动。</w:t>
      </w:r>
    </w:p>
    <w:p w14:paraId="7538D539">
      <w:pPr>
        <w:pStyle w:val="11"/>
      </w:pPr>
      <w:r>
        <w:t>（4）承包人不得为发包人单位和个人购置或提供通讯工具、交通工具和高档办公用品等。</w:t>
      </w:r>
    </w:p>
    <w:p w14:paraId="7A7F5D0C">
      <w:pPr>
        <w:pStyle w:val="11"/>
      </w:pPr>
      <w:r>
        <w:t>4．违约责任</w:t>
      </w:r>
    </w:p>
    <w:p w14:paraId="0A496ED0">
      <w:pPr>
        <w:pStyle w:val="11"/>
      </w:pPr>
      <w:r>
        <w:t>（1）发包人及其工作人员违反本合同第1、2条，按管理权限，依据有关规定给予党纪、政纪或组织处理；涉嫌犯罪的，移交司法机关追究刑事责任；给承包人单位造成经济损失的，应予以赔偿。</w:t>
      </w:r>
    </w:p>
    <w:p w14:paraId="0FF040F2">
      <w:pPr>
        <w:pStyle w:val="11"/>
      </w:pPr>
      <w:r>
        <w:t>（2）承包人及其工作人员违反本合同第1、3条，按管理权限，依据有关规定给予党纪、政纪或组织处理；给发包人单位造成经济损失的，应予以赔偿；情节严重的，发包人建议水利主管部门给予承包人一至三年内不得进入其主管的水利工程建设市场的处罚。</w:t>
      </w:r>
    </w:p>
    <w:p w14:paraId="2DFF150F">
      <w:pPr>
        <w:pStyle w:val="11"/>
      </w:pPr>
      <w: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594243B">
      <w:pPr>
        <w:pStyle w:val="11"/>
      </w:pPr>
      <w:r>
        <w:t>6.本合同有效期为发包人和承包人签署之日起至该工程项目竣工验收后止。</w:t>
      </w:r>
    </w:p>
    <w:p w14:paraId="1E93B8DF">
      <w:pPr>
        <w:pStyle w:val="11"/>
      </w:pPr>
      <w:r>
        <w:t>7．本合同作为</w:t>
      </w:r>
      <w:r>
        <w:rPr>
          <w:b/>
          <w:u w:val="single"/>
        </w:rPr>
        <w:t xml:space="preserve">                   </w:t>
      </w:r>
      <w:r>
        <w:t>施工合同的附件，与工程施工合同具有同等的法律效力，经合同双方签署后立即生效。</w:t>
      </w:r>
    </w:p>
    <w:p w14:paraId="7EA2CB71">
      <w:pPr>
        <w:pStyle w:val="11"/>
      </w:pPr>
      <w:r>
        <w:t>8．本合同一式陆份，发包人和承包人各执叁份。</w:t>
      </w:r>
    </w:p>
    <w:p w14:paraId="300CF5F1">
      <w:pPr>
        <w:spacing w:line="500" w:lineRule="exact"/>
        <w:rPr>
          <w:rFonts w:ascii="宋体" w:hAnsi="宋体" w:cs="宋体"/>
          <w:szCs w:val="21"/>
        </w:rPr>
      </w:pPr>
    </w:p>
    <w:p w14:paraId="4814537D">
      <w:pPr>
        <w:pStyle w:val="11"/>
        <w:rPr>
          <w:u w:val="single"/>
        </w:rPr>
      </w:pPr>
      <w:r>
        <w:t>发包人：</w:t>
      </w:r>
      <w:r>
        <w:rPr>
          <w:u w:val="single"/>
        </w:rPr>
        <w:t xml:space="preserve">                               </w:t>
      </w:r>
      <w:r>
        <w:t xml:space="preserve">    承包人：</w:t>
      </w:r>
      <w:r>
        <w:rPr>
          <w:u w:val="single"/>
        </w:rPr>
        <w:t xml:space="preserve">                         </w:t>
      </w:r>
    </w:p>
    <w:p w14:paraId="55C0C40A">
      <w:pPr>
        <w:spacing w:line="500" w:lineRule="exact"/>
        <w:ind w:left="2096" w:leftChars="798" w:hanging="420" w:hangingChars="200"/>
        <w:rPr>
          <w:rFonts w:ascii="宋体" w:hAnsi="宋体" w:cs="宋体"/>
          <w:szCs w:val="21"/>
        </w:rPr>
      </w:pPr>
      <w:r>
        <w:rPr>
          <w:rFonts w:hint="eastAsia" w:ascii="宋体" w:hAnsi="宋体" w:cs="宋体"/>
          <w:szCs w:val="21"/>
        </w:rPr>
        <w:t xml:space="preserve">（盖单位章）                    </w:t>
      </w:r>
      <w:r>
        <w:rPr>
          <w:rFonts w:hint="eastAsia" w:ascii="宋体" w:hAnsi="宋体" w:cs="宋体"/>
          <w:szCs w:val="21"/>
          <w:lang w:val="en-US" w:eastAsia="zh-CN"/>
        </w:rPr>
        <w:t xml:space="preserve">    </w:t>
      </w:r>
      <w:r>
        <w:rPr>
          <w:rFonts w:hint="eastAsia" w:ascii="宋体" w:hAnsi="宋体" w:cs="宋体"/>
          <w:szCs w:val="21"/>
        </w:rPr>
        <w:t xml:space="preserve">（盖单位章） </w:t>
      </w:r>
    </w:p>
    <w:p w14:paraId="33ABBE07">
      <w:pPr>
        <w:spacing w:line="500" w:lineRule="exact"/>
        <w:rPr>
          <w:rFonts w:ascii="宋体" w:hAnsi="宋体" w:cs="宋体"/>
          <w:szCs w:val="21"/>
        </w:rPr>
      </w:pPr>
    </w:p>
    <w:p w14:paraId="756A2DE4">
      <w:pPr>
        <w:pStyle w:val="11"/>
        <w:rPr>
          <w:u w:val="single"/>
        </w:rPr>
      </w:pPr>
      <w:r>
        <w:t>法定代表人：</w:t>
      </w:r>
      <w:r>
        <w:rPr>
          <w:u w:val="single"/>
        </w:rPr>
        <w:t xml:space="preserve">                </w:t>
      </w:r>
      <w:r>
        <w:t xml:space="preserve">       </w:t>
      </w:r>
      <w:r>
        <w:rPr>
          <w:rFonts w:hint="eastAsia"/>
          <w:lang w:val="en-US" w:eastAsia="zh-CN"/>
        </w:rPr>
        <w:t xml:space="preserve">      </w:t>
      </w:r>
      <w:r>
        <w:t xml:space="preserve"> 法定代表人：</w:t>
      </w:r>
      <w:r>
        <w:rPr>
          <w:u w:val="single"/>
        </w:rPr>
        <w:t xml:space="preserve">               </w:t>
      </w:r>
    </w:p>
    <w:p w14:paraId="75325830">
      <w:pPr>
        <w:spacing w:line="500" w:lineRule="exact"/>
        <w:ind w:firstLine="420" w:firstLineChars="200"/>
        <w:rPr>
          <w:rFonts w:ascii="宋体" w:hAnsi="宋体" w:cs="宋体"/>
          <w:szCs w:val="21"/>
        </w:rPr>
      </w:pPr>
      <w:r>
        <w:rPr>
          <w:rFonts w:hint="eastAsia" w:ascii="宋体" w:hAnsi="宋体" w:cs="宋体"/>
          <w:szCs w:val="21"/>
        </w:rPr>
        <w:t xml:space="preserve">（签字或盖章）                         </w:t>
      </w:r>
      <w:r>
        <w:rPr>
          <w:rFonts w:hint="eastAsia" w:ascii="宋体" w:hAnsi="宋体" w:cs="宋体"/>
          <w:szCs w:val="21"/>
          <w:lang w:val="en-US" w:eastAsia="zh-CN"/>
        </w:rPr>
        <w:t xml:space="preserve">       </w:t>
      </w:r>
      <w:r>
        <w:rPr>
          <w:rFonts w:hint="eastAsia" w:ascii="宋体" w:hAnsi="宋体" w:cs="宋体"/>
          <w:szCs w:val="21"/>
        </w:rPr>
        <w:t xml:space="preserve"> （签字或盖章）</w:t>
      </w:r>
    </w:p>
    <w:p w14:paraId="6B89DFD0">
      <w:pPr>
        <w:spacing w:line="500" w:lineRule="exact"/>
        <w:ind w:firstLine="2100" w:firstLineChars="1000"/>
        <w:rPr>
          <w:rFonts w:ascii="宋体" w:hAnsi="宋体" w:cs="宋体"/>
          <w:szCs w:val="21"/>
        </w:rPr>
      </w:pPr>
    </w:p>
    <w:p w14:paraId="62F4E216">
      <w:pPr>
        <w:rPr>
          <w:rFonts w:hint="eastAsia" w:ascii="Times New Roman" w:hAnsi="Times New Roman" w:eastAsia="宋体" w:cs="Times New Roman"/>
          <w:sz w:val="24"/>
          <w:szCs w:val="21"/>
          <w:u w:val="single"/>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日</w:t>
      </w:r>
    </w:p>
    <w:p w14:paraId="59807E47">
      <w:pPr>
        <w:pStyle w:val="2"/>
        <w:rPr>
          <w:rFonts w:hint="eastAsia" w:ascii="宋体" w:hAnsi="宋体" w:cs="宋体"/>
          <w:szCs w:val="21"/>
          <w:u w:val="single"/>
        </w:rPr>
        <w:sectPr>
          <w:footerReference r:id="rId10" w:type="default"/>
          <w:pgSz w:w="11906" w:h="16838"/>
          <w:pgMar w:top="1440" w:right="1080" w:bottom="1440" w:left="1080" w:header="851" w:footer="992" w:gutter="0"/>
          <w:cols w:space="720" w:num="1"/>
          <w:docGrid w:type="lines" w:linePitch="312" w:charSpace="0"/>
        </w:sectPr>
      </w:pPr>
    </w:p>
    <w:p w14:paraId="78B42CF6">
      <w:pPr>
        <w:pStyle w:val="42"/>
        <w:numPr>
          <w:ilvl w:val="0"/>
          <w:numId w:val="70"/>
        </w:numPr>
        <w:ind w:left="0" w:leftChars="0" w:firstLine="480" w:firstLineChars="0"/>
        <w:outlineLvl w:val="0"/>
        <w:rPr>
          <w:highlight w:val="none"/>
        </w:rPr>
      </w:pPr>
      <w:r>
        <w:rPr>
          <w:highlight w:val="none"/>
        </w:rPr>
        <w:t>预付款担保</w:t>
      </w:r>
    </w:p>
    <w:p w14:paraId="4E1DA76B">
      <w:pPr>
        <w:spacing w:line="360" w:lineRule="auto"/>
        <w:rPr>
          <w:rFonts w:hint="eastAsia" w:ascii="宋体" w:hAnsi="宋体" w:cs="宋体"/>
          <w:color w:val="auto"/>
          <w:szCs w:val="21"/>
          <w:highlight w:val="none"/>
        </w:rPr>
      </w:pPr>
    </w:p>
    <w:p w14:paraId="7D7B1F1E">
      <w:pPr>
        <w:pStyle w:val="44"/>
        <w:rPr>
          <w:highlight w:val="none"/>
        </w:rPr>
      </w:pPr>
      <w:r>
        <w:rPr>
          <w:highlight w:val="none"/>
        </w:rPr>
        <w:t>预付款担保</w:t>
      </w:r>
    </w:p>
    <w:p w14:paraId="1EFEAADD">
      <w:pPr>
        <w:pStyle w:val="11"/>
        <w:ind w:firstLine="0" w:firstLineChars="0"/>
        <w:rPr>
          <w:color w:val="auto"/>
          <w:highlight w:val="none"/>
        </w:rPr>
      </w:pP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 xml:space="preserve"> </w:t>
      </w:r>
      <w:r>
        <w:rPr>
          <w:color w:val="auto"/>
          <w:highlight w:val="none"/>
        </w:rPr>
        <w:t xml:space="preserve"> （发包人名称）：</w:t>
      </w:r>
    </w:p>
    <w:p w14:paraId="0E641037">
      <w:pPr>
        <w:spacing w:line="360" w:lineRule="auto"/>
        <w:rPr>
          <w:rFonts w:hint="eastAsia" w:ascii="宋体" w:hAnsi="宋体" w:cs="宋体"/>
          <w:color w:val="auto"/>
          <w:szCs w:val="21"/>
          <w:highlight w:val="none"/>
        </w:rPr>
      </w:pPr>
    </w:p>
    <w:p w14:paraId="21B5D941">
      <w:pPr>
        <w:pStyle w:val="11"/>
        <w:rPr>
          <w:color w:val="auto"/>
          <w:highlight w:val="none"/>
        </w:rPr>
      </w:pPr>
      <w:r>
        <w:rPr>
          <w:color w:val="auto"/>
          <w:highlight w:val="none"/>
        </w:rPr>
        <w:t>根据</w:t>
      </w:r>
      <w:r>
        <w:rPr>
          <w:color w:val="auto"/>
          <w:highlight w:val="none"/>
          <w:u w:val="single"/>
        </w:rPr>
        <w:t xml:space="preserve">                 </w:t>
      </w:r>
      <w:r>
        <w:rPr>
          <w:color w:val="auto"/>
          <w:highlight w:val="none"/>
        </w:rPr>
        <w:t>（承包人名称）（以下称“承包人”）与</w:t>
      </w:r>
    </w:p>
    <w:p w14:paraId="22C352E5">
      <w:pPr>
        <w:pStyle w:val="11"/>
        <w:rPr>
          <w:color w:val="auto"/>
          <w:highlight w:val="none"/>
        </w:rPr>
      </w:pPr>
      <w:r>
        <w:rPr>
          <w:color w:val="auto"/>
          <w:highlight w:val="none"/>
          <w:u w:val="single"/>
        </w:rPr>
        <w:t xml:space="preserve">                       </w:t>
      </w:r>
      <w:r>
        <w:rPr>
          <w:color w:val="auto"/>
          <w:highlight w:val="none"/>
        </w:rPr>
        <w:t>（发包人名称）（以下简称“发包人”）</w:t>
      </w:r>
    </w:p>
    <w:p w14:paraId="2088B3AC">
      <w:pPr>
        <w:pStyle w:val="11"/>
        <w:rPr>
          <w:color w:val="auto"/>
          <w:highlight w:val="none"/>
        </w:rPr>
      </w:pPr>
      <w:r>
        <w:rPr>
          <w:color w:val="auto"/>
          <w:highlight w:val="none"/>
        </w:rPr>
        <w:t>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日签订的</w:t>
      </w:r>
      <w:r>
        <w:rPr>
          <w:color w:val="auto"/>
          <w:highlight w:val="none"/>
          <w:u w:val="single"/>
        </w:rPr>
        <w:t xml:space="preserve">                   （项目名称）（标段名称）</w:t>
      </w:r>
      <w:r>
        <w:rPr>
          <w:color w:val="auto"/>
          <w:highlight w:val="none"/>
        </w:rPr>
        <w:t>《建设工程施工合同》，承包人按约定的金额向你方提交一份预付款担保，即有权得到你方支付相等金额的预付款。我方愿意就你方提供给承包人的预付款为承包人提供连带责任担保。</w:t>
      </w:r>
    </w:p>
    <w:p w14:paraId="0EE4AB1B">
      <w:pPr>
        <w:spacing w:line="360" w:lineRule="auto"/>
        <w:ind w:firstLine="480" w:firstLineChars="200"/>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1. 担保金额人民币（大写）                元（¥             ）。</w:t>
      </w:r>
    </w:p>
    <w:p w14:paraId="2198BAE8">
      <w:pPr>
        <w:pStyle w:val="11"/>
        <w:rPr>
          <w:color w:val="auto"/>
          <w:highlight w:val="none"/>
        </w:rPr>
      </w:pPr>
      <w:r>
        <w:rPr>
          <w:color w:val="auto"/>
          <w:highlight w:val="none"/>
        </w:rPr>
        <w:t>2. 担保有效期自预付款支付给承包人起生效，至你方签发的进度款支付证书说明已完全扣清止。</w:t>
      </w:r>
    </w:p>
    <w:p w14:paraId="63FDCE13">
      <w:pPr>
        <w:pStyle w:val="11"/>
        <w:rPr>
          <w:color w:val="auto"/>
          <w:highlight w:val="none"/>
        </w:rPr>
      </w:pPr>
      <w:r>
        <w:rPr>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833A9D7">
      <w:pPr>
        <w:pStyle w:val="11"/>
        <w:rPr>
          <w:color w:val="auto"/>
          <w:highlight w:val="none"/>
        </w:rPr>
      </w:pPr>
      <w:r>
        <w:rPr>
          <w:color w:val="auto"/>
          <w:highlight w:val="none"/>
        </w:rPr>
        <w:t>4. 你方和承包人按合同约定变更合同时，我方承担本保函规定的义务不变。</w:t>
      </w:r>
    </w:p>
    <w:p w14:paraId="4B88940C">
      <w:pPr>
        <w:pStyle w:val="11"/>
        <w:rPr>
          <w:color w:val="auto"/>
          <w:highlight w:val="none"/>
        </w:rPr>
      </w:pPr>
      <w:r>
        <w:rPr>
          <w:color w:val="auto"/>
          <w:highlight w:val="none"/>
        </w:rPr>
        <w:t>5. 因本保函发生的纠纷，可由双方协商解决，协商不成的，任何一方均可提请</w:t>
      </w:r>
      <w:r>
        <w:rPr>
          <w:color w:val="auto"/>
          <w:highlight w:val="none"/>
          <w:u w:val="single"/>
        </w:rPr>
        <w:t xml:space="preserve">        </w:t>
      </w:r>
      <w:r>
        <w:rPr>
          <w:color w:val="auto"/>
          <w:highlight w:val="none"/>
        </w:rPr>
        <w:t>仲裁委员会仲裁。</w:t>
      </w:r>
    </w:p>
    <w:p w14:paraId="460E4011">
      <w:pPr>
        <w:pStyle w:val="11"/>
        <w:rPr>
          <w:rFonts w:hint="eastAsia" w:ascii="宋体" w:hAnsi="宋体" w:cs="宋体"/>
          <w:color w:val="auto"/>
          <w:szCs w:val="21"/>
          <w:highlight w:val="none"/>
        </w:rPr>
      </w:pPr>
      <w:r>
        <w:rPr>
          <w:color w:val="auto"/>
          <w:highlight w:val="none"/>
        </w:rPr>
        <w:t>6. 本保函自我方法定代表人（或其授权代理人）签字并加盖公章之日起生效。</w:t>
      </w:r>
    </w:p>
    <w:p w14:paraId="1B6E3924">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担保人：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（盖单位章）</w:t>
      </w:r>
    </w:p>
    <w:p w14:paraId="457C3660">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法定代表人或其委托代理人：</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（签字）</w:t>
      </w:r>
    </w:p>
    <w:p w14:paraId="53C3AFBB">
      <w:pPr>
        <w:spacing w:line="360" w:lineRule="auto"/>
        <w:rPr>
          <w:rFonts w:hint="eastAsia" w:ascii="Times New Roman" w:hAnsi="Times New Roman" w:eastAsia="宋体" w:cs="Times New Roman"/>
          <w:color w:val="auto"/>
          <w:sz w:val="24"/>
          <w:szCs w:val="21"/>
          <w:highlight w:val="none"/>
        </w:rPr>
      </w:pPr>
    </w:p>
    <w:p w14:paraId="5CE3704F">
      <w:pPr>
        <w:spacing w:line="360" w:lineRule="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地    址：</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2160743">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邮政编码：</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7149F52D">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电    话：</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9DF26">
      <w:pPr>
        <w:spacing w:line="360" w:lineRule="auto"/>
        <w:rPr>
          <w:rFonts w:hint="eastAsia" w:ascii="Times New Roman" w:hAnsi="Times New Roman" w:eastAsia="宋体" w:cs="Times New Roman"/>
          <w:color w:val="auto"/>
          <w:sz w:val="24"/>
          <w:szCs w:val="21"/>
          <w:highlight w:val="none"/>
          <w:u w:val="single"/>
        </w:rPr>
      </w:pPr>
      <w:r>
        <w:rPr>
          <w:rFonts w:hint="eastAsia" w:ascii="Times New Roman" w:hAnsi="Times New Roman" w:eastAsia="宋体" w:cs="Times New Roman"/>
          <w:color w:val="auto"/>
          <w:sz w:val="24"/>
          <w:szCs w:val="21"/>
          <w:highlight w:val="none"/>
        </w:rPr>
        <w:t>传    真：</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r>
        <w:rPr>
          <w:rFonts w:hint="eastAsia" w:ascii="Times New Roman" w:hAnsi="Times New Roman" w:eastAsia="宋体" w:cs="Times New Roman"/>
          <w:color w:val="auto"/>
          <w:sz w:val="24"/>
          <w:szCs w:val="21"/>
          <w:highlight w:val="none"/>
          <w:u w:val="single"/>
        </w:rPr>
        <w:tab/>
      </w:r>
    </w:p>
    <w:p w14:paraId="1961310F">
      <w:pPr>
        <w:spacing w:line="360" w:lineRule="auto"/>
        <w:rPr>
          <w:rFonts w:hint="eastAsia" w:ascii="Times New Roman" w:hAnsi="Times New Roman" w:eastAsia="宋体" w:cs="Times New Roman"/>
          <w:sz w:val="24"/>
        </w:rPr>
        <w:sectPr>
          <w:pgSz w:w="11906" w:h="16838"/>
          <w:pgMar w:top="1440" w:right="1080" w:bottom="1440" w:left="1080" w:header="851" w:footer="992" w:gutter="0"/>
          <w:cols w:space="720" w:num="1"/>
          <w:docGrid w:type="lines" w:linePitch="312" w:charSpace="0"/>
        </w:sect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sz w:val="24"/>
          <w:szCs w:val="21"/>
          <w:highlight w:val="none"/>
        </w:rPr>
        <w:t xml:space="preserve">  </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年</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月</w:t>
      </w:r>
      <w:r>
        <w:rPr>
          <w:rFonts w:hint="eastAsia" w:ascii="Times New Roman" w:hAnsi="Times New Roman" w:eastAsia="宋体" w:cs="Times New Roman"/>
          <w:color w:val="auto"/>
          <w:sz w:val="24"/>
          <w:szCs w:val="21"/>
          <w:highlight w:val="none"/>
          <w:u w:val="single"/>
        </w:rPr>
        <w:t xml:space="preserve">      </w:t>
      </w:r>
      <w:r>
        <w:rPr>
          <w:rFonts w:hint="eastAsia" w:ascii="Times New Roman" w:hAnsi="Times New Roman" w:eastAsia="宋体" w:cs="Times New Roman"/>
          <w:color w:val="auto"/>
          <w:sz w:val="24"/>
          <w:szCs w:val="21"/>
          <w:highlight w:val="none"/>
        </w:rPr>
        <w:t>日</w:t>
      </w:r>
    </w:p>
    <w:p w14:paraId="2F8F6878">
      <w:pPr>
        <w:pStyle w:val="42"/>
        <w:numPr>
          <w:ilvl w:val="0"/>
          <w:numId w:val="70"/>
        </w:numPr>
        <w:ind w:left="0" w:leftChars="0" w:firstLine="480" w:firstLineChars="0"/>
        <w:outlineLvl w:val="0"/>
      </w:pPr>
      <w:bookmarkStart w:id="1231" w:name="_Toc22747"/>
      <w:bookmarkStart w:id="1232" w:name="_Toc508272188"/>
      <w:r>
        <w:t>工程质量保修书</w:t>
      </w:r>
      <w:bookmarkEnd w:id="1231"/>
      <w:bookmarkEnd w:id="1232"/>
    </w:p>
    <w:p w14:paraId="5763EDE8">
      <w:pPr>
        <w:pStyle w:val="11"/>
        <w:rPr>
          <w:b/>
          <w:u w:val="single"/>
        </w:rPr>
      </w:pPr>
      <w:r>
        <w:t>发包人(全称)：</w:t>
      </w:r>
      <w:r>
        <w:rPr>
          <w:b/>
          <w:u w:val="single"/>
        </w:rPr>
        <w:t xml:space="preserve">                           </w:t>
      </w:r>
      <w:r>
        <w:rPr>
          <w:u w:val="single"/>
        </w:rPr>
        <w:t xml:space="preserve"> </w:t>
      </w:r>
    </w:p>
    <w:p w14:paraId="76D1CB59">
      <w:pPr>
        <w:pStyle w:val="11"/>
      </w:pPr>
      <w:r>
        <w:t>承包人(全称)：</w:t>
      </w:r>
      <w:r>
        <w:rPr>
          <w:b/>
          <w:u w:val="single"/>
        </w:rPr>
        <w:t xml:space="preserve">                                         </w:t>
      </w:r>
      <w:r>
        <w:t xml:space="preserve">                  </w:t>
      </w:r>
    </w:p>
    <w:p w14:paraId="58CA576E">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工程质量保修内容</w:t>
      </w:r>
    </w:p>
    <w:p w14:paraId="4293D8C9">
      <w:pPr>
        <w:pStyle w:val="11"/>
      </w:pPr>
      <w:r>
        <w:rPr>
          <w:b/>
          <w:u w:val="single"/>
        </w:rPr>
        <w:t xml:space="preserve">                        </w:t>
      </w:r>
      <w:r>
        <w:t>工程的所有建设内容均属保修范围，具体建设内容详见图纸及工程量清单。</w:t>
      </w:r>
    </w:p>
    <w:p w14:paraId="687D810F">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质量保修期</w:t>
      </w:r>
    </w:p>
    <w:p w14:paraId="0C4B9E48">
      <w:pPr>
        <w:pStyle w:val="11"/>
      </w:pPr>
      <w:r>
        <w:t>本项目的质量保修期为一年，从工程通过竣工验收之日起计。</w:t>
      </w:r>
    </w:p>
    <w:p w14:paraId="4F279CF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质量保修责任</w:t>
      </w:r>
    </w:p>
    <w:p w14:paraId="51E8374B">
      <w:pPr>
        <w:pStyle w:val="11"/>
      </w:pPr>
      <w:r>
        <w:t>1.属于保修范围和内容的项目，承包人应在接到修理通知之日后7天内派人处理。承包人不在约定期限内派人修理，发包人可委托其他人员修理，保修费用从质量保证金扣除。</w:t>
      </w:r>
    </w:p>
    <w:p w14:paraId="416CBF65">
      <w:pPr>
        <w:pStyle w:val="11"/>
      </w:pPr>
      <w:r>
        <w:t>2.发生须紧急抢修事故，承包人接到事故通知后，应立即到在事故现场抢修。非承包人施工质量引起事故，抢修费用由发包人承担。</w:t>
      </w:r>
    </w:p>
    <w:p w14:paraId="028D9FE0">
      <w:pPr>
        <w:pStyle w:val="11"/>
      </w:pPr>
      <w:r>
        <w:t>3.在国家规定的工程合理使用期限内，承包人确保基础工程和主体结构的质量。因承包人原因致使工程在合理使用期限内造成人身和财产损害的，承包人应承担损害赔偿责任。</w:t>
      </w:r>
    </w:p>
    <w:p w14:paraId="7508B665">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质量保证金的支付与返还</w:t>
      </w:r>
    </w:p>
    <w:p w14:paraId="41B6F4EF">
      <w:pPr>
        <w:pStyle w:val="11"/>
      </w:pPr>
      <w:r>
        <w:t>本工程的质量保证金为结算审计（审核、评审）价款的</w:t>
      </w:r>
      <w:r>
        <w:rPr>
          <w:u w:val="single"/>
        </w:rPr>
        <w:t xml:space="preserve"> 3 </w:t>
      </w:r>
      <w:r>
        <w:t>%（无息），质量保证金从工程进度款中扣留，发包人在接到承包人提出返还质量保证金申请后14天内会同承包人按照合同约定的内容进行核实。如无异议，发包人应当在核实后30日内将质量保证金返还给承包人。</w:t>
      </w:r>
    </w:p>
    <w:p w14:paraId="4178A54A">
      <w:pPr>
        <w:pStyle w:val="2"/>
        <w:keepNext w:val="0"/>
        <w:keepLines w:val="0"/>
        <w:pageBreakBefore w:val="0"/>
        <w:widowControl w:val="0"/>
        <w:numPr>
          <w:ilvl w:val="0"/>
          <w:numId w:val="71"/>
        </w:numPr>
        <w:kinsoku/>
        <w:wordWrap/>
        <w:overflowPunct/>
        <w:topLinePunct w:val="0"/>
        <w:autoSpaceDE/>
        <w:autoSpaceDN/>
        <w:bidi w:val="0"/>
        <w:adjustRightInd/>
        <w:snapToGrid/>
        <w:spacing w:line="240" w:lineRule="auto"/>
        <w:ind w:left="0" w:leftChars="0" w:firstLine="420" w:firstLineChars="0"/>
        <w:textAlignment w:val="auto"/>
      </w:pPr>
      <w:r>
        <w:t>其他</w:t>
      </w:r>
    </w:p>
    <w:p w14:paraId="2D26BF36">
      <w:pPr>
        <w:pStyle w:val="11"/>
        <w:rPr>
          <w:u w:val="single"/>
        </w:rPr>
      </w:pPr>
      <w:r>
        <w:t xml:space="preserve">双方约定的其他工程质量保修事项： </w:t>
      </w:r>
      <w:r>
        <w:rPr>
          <w:u w:val="single"/>
        </w:rPr>
        <w:t xml:space="preserve">                                </w:t>
      </w:r>
    </w:p>
    <w:p w14:paraId="18EA7A32">
      <w:pPr>
        <w:pStyle w:val="11"/>
        <w:rPr>
          <w:rFonts w:hint="eastAsia" w:ascii="Times New Roman" w:hAnsi="Times New Roman" w:eastAsia="宋体" w:cs="Times New Roman"/>
          <w:sz w:val="24"/>
          <w:szCs w:val="21"/>
        </w:rPr>
      </w:pPr>
      <w:r>
        <w:t>本工程质量保修书作为施工合同附件，由施工合同发包人承包人双方共同签署，一式陆份，发包人和承包人各执叁份。</w:t>
      </w:r>
    </w:p>
    <w:p w14:paraId="18E31B7F">
      <w:pPr>
        <w:pStyle w:val="11"/>
        <w:keepNext w:val="0"/>
        <w:keepLines w:val="0"/>
        <w:pageBreakBefore w:val="0"/>
        <w:kinsoku/>
        <w:wordWrap/>
        <w:overflowPunct/>
        <w:topLinePunct w:val="0"/>
        <w:autoSpaceDE/>
        <w:autoSpaceDN/>
        <w:bidi w:val="0"/>
        <w:adjustRightInd/>
        <w:snapToGrid/>
        <w:spacing w:line="120" w:lineRule="auto"/>
        <w:ind w:left="0" w:leftChars="0" w:firstLine="0" w:firstLineChars="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发包人：</w:t>
      </w:r>
      <w:r>
        <w:rPr>
          <w:rFonts w:hint="eastAsia" w:ascii="Times New Roman" w:hAnsi="Times New Roman" w:eastAsia="宋体" w:cs="Times New Roman"/>
          <w:snapToGrid w:val="0"/>
          <w:kern w:val="0"/>
          <w:sz w:val="24"/>
          <w:szCs w:val="21"/>
          <w:u w:val="single"/>
        </w:rPr>
        <w:t xml:space="preserve">                       </w:t>
      </w:r>
      <w:r>
        <w:rPr>
          <w:rFonts w:hint="eastAsia" w:ascii="Times New Roman" w:hAnsi="Times New Roman" w:eastAsia="宋体" w:cs="Times New Roman"/>
          <w:sz w:val="24"/>
          <w:szCs w:val="21"/>
        </w:rPr>
        <w:t xml:space="preserve">         承包人：</w:t>
      </w:r>
      <w:r>
        <w:rPr>
          <w:rFonts w:hint="eastAsia" w:ascii="Times New Roman" w:hAnsi="Times New Roman" w:eastAsia="宋体" w:cs="Times New Roman"/>
          <w:sz w:val="24"/>
          <w:szCs w:val="21"/>
          <w:u w:val="single"/>
        </w:rPr>
        <w:t xml:space="preserve">                                         </w:t>
      </w:r>
    </w:p>
    <w:p w14:paraId="2A3BE4BF">
      <w:pPr>
        <w:keepNext w:val="0"/>
        <w:keepLines w:val="0"/>
        <w:pageBreakBefore w:val="0"/>
        <w:kinsoku/>
        <w:wordWrap/>
        <w:overflowPunct/>
        <w:topLinePunct w:val="0"/>
        <w:autoSpaceDE/>
        <w:autoSpaceDN/>
        <w:bidi w:val="0"/>
        <w:adjustRightInd/>
        <w:snapToGrid/>
        <w:spacing w:line="120" w:lineRule="auto"/>
        <w:ind w:firstLine="1680" w:firstLineChars="700"/>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(公章）                                （公章)</w:t>
      </w:r>
    </w:p>
    <w:p w14:paraId="4C7C0391">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u w:val="single"/>
        </w:rPr>
      </w:pPr>
      <w:r>
        <w:rPr>
          <w:rFonts w:hint="eastAsia" w:ascii="Times New Roman" w:hAnsi="Times New Roman" w:eastAsia="宋体" w:cs="Times New Roman"/>
          <w:sz w:val="24"/>
          <w:szCs w:val="21"/>
        </w:rPr>
        <w:t>法定代表人：</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 xml:space="preserve">            法定代表人：</w:t>
      </w:r>
      <w:r>
        <w:rPr>
          <w:rFonts w:hint="eastAsia" w:ascii="Times New Roman" w:hAnsi="Times New Roman" w:eastAsia="宋体" w:cs="Times New Roman"/>
          <w:sz w:val="24"/>
          <w:szCs w:val="21"/>
          <w:u w:val="single"/>
        </w:rPr>
        <w:t xml:space="preserve">               </w:t>
      </w:r>
    </w:p>
    <w:p w14:paraId="19FC4765">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（签字或盖章）                            （签字或盖章）</w:t>
      </w:r>
    </w:p>
    <w:p w14:paraId="6189EE01">
      <w:pPr>
        <w:keepNext w:val="0"/>
        <w:keepLines w:val="0"/>
        <w:pageBreakBefore w:val="0"/>
        <w:kinsoku/>
        <w:wordWrap/>
        <w:overflowPunct/>
        <w:topLinePunct w:val="0"/>
        <w:autoSpaceDE/>
        <w:autoSpaceDN/>
        <w:bidi w:val="0"/>
        <w:adjustRightInd/>
        <w:snapToGrid/>
        <w:spacing w:line="120" w:lineRule="auto"/>
        <w:textAlignment w:val="auto"/>
        <w:rPr>
          <w:rFonts w:ascii="宋体" w:hAnsi="宋体" w:cs="宋体"/>
          <w:szCs w:val="21"/>
        </w:rPr>
      </w:pPr>
    </w:p>
    <w:p w14:paraId="33C5D3A4">
      <w:pPr>
        <w:keepNext w:val="0"/>
        <w:keepLines w:val="0"/>
        <w:pageBreakBefore w:val="0"/>
        <w:kinsoku/>
        <w:wordWrap/>
        <w:overflowPunct/>
        <w:topLinePunct w:val="0"/>
        <w:autoSpaceDE/>
        <w:autoSpaceDN/>
        <w:bidi w:val="0"/>
        <w:adjustRightInd/>
        <w:snapToGrid/>
        <w:spacing w:line="120" w:lineRule="auto"/>
        <w:textAlignment w:val="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签订日期： </w:t>
      </w:r>
      <w:r>
        <w:rPr>
          <w:rFonts w:hint="eastAsia" w:ascii="Times New Roman" w:hAnsi="Times New Roman" w:eastAsia="宋体" w:cs="Times New Roman"/>
          <w:sz w:val="24"/>
          <w:szCs w:val="21"/>
          <w:u w:val="single"/>
        </w:rPr>
        <w:t xml:space="preserve"> 202</w:t>
      </w:r>
      <w:r>
        <w:rPr>
          <w:rFonts w:hint="eastAsia" w:ascii="Times New Roman" w:hAnsi="Times New Roman" w:eastAsia="宋体" w:cs="Times New Roman"/>
          <w:sz w:val="24"/>
          <w:szCs w:val="21"/>
          <w:u w:val="single"/>
          <w:lang w:val="en-US" w:eastAsia="zh-CN"/>
        </w:rPr>
        <w:t>5</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年</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月</w:t>
      </w:r>
      <w:r>
        <w:rPr>
          <w:rFonts w:hint="eastAsia" w:ascii="Times New Roman" w:hAnsi="Times New Roman" w:eastAsia="宋体" w:cs="Times New Roman"/>
          <w:sz w:val="24"/>
          <w:szCs w:val="21"/>
          <w:u w:val="single"/>
        </w:rPr>
        <w:t xml:space="preserve">              </w:t>
      </w:r>
      <w:r>
        <w:rPr>
          <w:rFonts w:hint="eastAsia" w:ascii="Times New Roman" w:hAnsi="Times New Roman" w:eastAsia="宋体" w:cs="Times New Roman"/>
          <w:sz w:val="24"/>
          <w:szCs w:val="21"/>
        </w:rPr>
        <w:t>日</w:t>
      </w:r>
      <w:r>
        <w:rPr>
          <w:rFonts w:hint="eastAsia" w:ascii="Times New Roman" w:hAnsi="Times New Roman" w:eastAsia="宋体" w:cs="Times New Roman"/>
          <w:sz w:val="24"/>
          <w:szCs w:val="21"/>
        </w:rPr>
        <w:tab/>
      </w:r>
    </w:p>
    <w:p w14:paraId="672DB173">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宋体"/>
          <w:b/>
          <w:bCs/>
          <w:color w:val="000000"/>
          <w:kern w:val="0"/>
          <w:szCs w:val="21"/>
        </w:rPr>
        <w:sectPr>
          <w:footerReference r:id="rId11" w:type="default"/>
          <w:pgSz w:w="11906" w:h="16838"/>
          <w:pgMar w:top="1440" w:right="1080" w:bottom="1440" w:left="880" w:header="851" w:footer="992" w:gutter="0"/>
          <w:cols w:space="720" w:num="1"/>
          <w:docGrid w:type="lines" w:linePitch="312" w:charSpace="0"/>
        </w:sectPr>
      </w:pPr>
    </w:p>
    <w:p w14:paraId="30FE0013">
      <w:pPr>
        <w:pStyle w:val="40"/>
        <w:outlineLvl w:val="0"/>
      </w:pPr>
      <w:r>
        <w:t>附件</w:t>
      </w:r>
    </w:p>
    <w:p w14:paraId="03C2A8DD">
      <w:pPr>
        <w:pStyle w:val="44"/>
        <w:widowControl/>
        <w:outlineLvl w:val="0"/>
      </w:pPr>
      <w:r>
        <w:t>广西壮族自治区政府采购项目合同验收书（格式）</w:t>
      </w:r>
    </w:p>
    <w:p w14:paraId="2589BDCE">
      <w:pPr>
        <w:pStyle w:val="11"/>
        <w:widowControl/>
        <w:rPr>
          <w:color w:val="000000"/>
        </w:rPr>
      </w:pPr>
      <w:r>
        <w:rPr>
          <w:color w:val="000000"/>
        </w:rPr>
        <w:t>根据政府采购项目（</w:t>
      </w:r>
      <w:r>
        <w:rPr>
          <w:color w:val="000000"/>
          <w:u w:val="single"/>
        </w:rPr>
        <w:t>采购合同编号：</w:t>
      </w:r>
      <w:r>
        <w:rPr>
          <w:color w:val="000000"/>
          <w:u w:val="single"/>
        </w:rPr>
        <w:softHyphen/>
      </w:r>
      <w:r>
        <w:rPr>
          <w:color w:val="000000"/>
          <w:u w:val="single"/>
        </w:rPr>
        <w:t xml:space="preserve">    </w:t>
      </w:r>
      <w:r>
        <w:rPr>
          <w:color w:val="000000"/>
        </w:rPr>
        <w:t>）的约定，我单位对（</w:t>
      </w:r>
      <w:r>
        <w:rPr>
          <w:color w:val="000000"/>
          <w:u w:val="single"/>
        </w:rPr>
        <w:t xml:space="preserve">  项目名称   </w:t>
      </w:r>
      <w:r>
        <w:rPr>
          <w:color w:val="000000"/>
        </w:rPr>
        <w:t>）政府采购项目中标（或成交）供应商（</w:t>
      </w:r>
      <w:r>
        <w:rPr>
          <w:color w:val="000000"/>
          <w:u w:val="single"/>
        </w:rPr>
        <w:t xml:space="preserve">            公司名称              </w:t>
      </w:r>
      <w:r>
        <w:rPr>
          <w:color w:val="000000"/>
        </w:rPr>
        <w:t>）提供的货物（或工程、服务）进行了验收，验收情况如下：</w:t>
      </w:r>
    </w:p>
    <w:tbl>
      <w:tblPr>
        <w:tblStyle w:val="22"/>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33"/>
        <w:gridCol w:w="2156"/>
        <w:gridCol w:w="888"/>
        <w:gridCol w:w="2344"/>
        <w:gridCol w:w="192"/>
        <w:gridCol w:w="743"/>
        <w:gridCol w:w="1289"/>
      </w:tblGrid>
      <w:tr w14:paraId="505F1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1984" w:type="pct"/>
            <w:gridSpan w:val="2"/>
            <w:tcBorders>
              <w:top w:val="single" w:color="auto" w:sz="8" w:space="0"/>
              <w:left w:val="single" w:color="auto" w:sz="8" w:space="0"/>
              <w:bottom w:val="single" w:color="auto" w:sz="8" w:space="0"/>
              <w:right w:val="single" w:color="auto" w:sz="8" w:space="0"/>
            </w:tcBorders>
            <w:noWrap w:val="0"/>
            <w:vAlign w:val="center"/>
          </w:tcPr>
          <w:p w14:paraId="0E67B17A">
            <w:pPr>
              <w:widowControl/>
              <w:snapToGrid w:val="0"/>
              <w:spacing w:before="100" w:beforeAutospacing="1" w:after="100" w:afterAutospacing="1" w:line="320" w:lineRule="exact"/>
              <w:ind w:left="-3" w:firstLine="4" w:firstLineChars="2"/>
              <w:jc w:val="center"/>
              <w:rPr>
                <w:rFonts w:ascii="宋体" w:hAnsi="宋体" w:cs="宋体"/>
                <w:color w:val="000000"/>
                <w:kern w:val="0"/>
                <w:szCs w:val="21"/>
              </w:rPr>
            </w:pPr>
            <w:r>
              <w:rPr>
                <w:rFonts w:hint="eastAsia" w:ascii="宋体" w:hAnsi="宋体" w:cs="宋体"/>
                <w:color w:val="000000"/>
                <w:kern w:val="0"/>
                <w:szCs w:val="21"/>
              </w:rPr>
              <w:t>验收方式：</w:t>
            </w:r>
          </w:p>
        </w:tc>
        <w:tc>
          <w:tcPr>
            <w:tcW w:w="3015" w:type="pct"/>
            <w:gridSpan w:val="5"/>
            <w:tcBorders>
              <w:top w:val="single" w:color="auto" w:sz="8" w:space="0"/>
              <w:left w:val="single" w:color="auto" w:sz="8" w:space="0"/>
              <w:bottom w:val="single" w:color="auto" w:sz="8" w:space="0"/>
              <w:right w:val="single" w:color="auto" w:sz="8" w:space="0"/>
            </w:tcBorders>
            <w:noWrap w:val="0"/>
            <w:vAlign w:val="center"/>
          </w:tcPr>
          <w:p w14:paraId="63115B98">
            <w:pPr>
              <w:widowControl/>
              <w:snapToGrid w:val="0"/>
              <w:spacing w:before="100" w:beforeAutospacing="1" w:after="100" w:afterAutospacing="1" w:line="320" w:lineRule="exact"/>
              <w:ind w:left="-3" w:firstLine="420" w:firstLineChars="200"/>
              <w:jc w:val="center"/>
              <w:rPr>
                <w:rFonts w:ascii="宋体" w:hAnsi="宋体" w:cs="宋体"/>
                <w:color w:val="000000"/>
                <w:kern w:val="0"/>
                <w:szCs w:val="21"/>
              </w:rPr>
            </w:pPr>
            <w:r>
              <w:rPr>
                <w:rFonts w:hint="eastAsia" w:ascii="宋体" w:hAnsi="宋体" w:cs="宋体"/>
                <w:color w:val="000000"/>
                <w:kern w:val="0"/>
                <w:szCs w:val="21"/>
              </w:rPr>
              <w:t>□自行验收         □委托验收</w:t>
            </w:r>
          </w:p>
        </w:tc>
      </w:tr>
      <w:tr w14:paraId="5A036F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1D274FE">
            <w:pPr>
              <w:widowControl/>
              <w:snapToGrid w:val="0"/>
              <w:spacing w:before="100" w:beforeAutospacing="1" w:after="100" w:afterAutospacing="1" w:line="320" w:lineRule="exact"/>
              <w:ind w:firstLine="2" w:firstLineChars="1"/>
              <w:jc w:val="center"/>
              <w:rPr>
                <w:rFonts w:ascii="宋体" w:hAnsi="宋体" w:cs="宋体"/>
                <w:color w:val="000000"/>
                <w:kern w:val="0"/>
                <w:szCs w:val="21"/>
              </w:rPr>
            </w:pPr>
            <w:r>
              <w:rPr>
                <w:rFonts w:hint="eastAsia" w:ascii="宋体" w:hAnsi="宋体" w:cs="宋体"/>
                <w:color w:val="000000"/>
                <w:kern w:val="0"/>
                <w:szCs w:val="21"/>
              </w:rPr>
              <w:t>序号</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43F11E76">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名  称</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75FB436D">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货物型号规格、标准及配置等（或服务内容、标准）</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DEC1DA6">
            <w:pPr>
              <w:widowControl/>
              <w:snapToGrid w:val="0"/>
              <w:spacing w:before="100" w:beforeAutospacing="1" w:after="100" w:afterAutospacing="1" w:line="32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7112A853">
            <w:pPr>
              <w:widowControl/>
              <w:snapToGrid w:val="0"/>
              <w:spacing w:before="100" w:beforeAutospacing="1" w:after="100" w:afterAutospacing="1" w:line="320" w:lineRule="exact"/>
              <w:ind w:left="-3" w:firstLine="2" w:firstLineChars="1"/>
              <w:jc w:val="center"/>
              <w:rPr>
                <w:rFonts w:ascii="宋体" w:hAnsi="宋体" w:cs="宋体"/>
                <w:color w:val="000000"/>
                <w:kern w:val="0"/>
                <w:szCs w:val="21"/>
              </w:rPr>
            </w:pPr>
            <w:r>
              <w:rPr>
                <w:rFonts w:hint="eastAsia" w:ascii="宋体" w:hAnsi="宋体" w:cs="宋体"/>
                <w:color w:val="000000"/>
                <w:kern w:val="0"/>
                <w:szCs w:val="21"/>
              </w:rPr>
              <w:t>金  额</w:t>
            </w:r>
          </w:p>
        </w:tc>
      </w:tr>
      <w:tr w14:paraId="5D0E0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74A956D">
            <w:pPr>
              <w:widowControl/>
              <w:snapToGrid w:val="0"/>
              <w:spacing w:before="100" w:beforeAutospacing="1" w:after="100" w:afterAutospacing="1" w:line="320" w:lineRule="exact"/>
              <w:ind w:left="-3" w:firstLine="4" w:firstLineChars="2"/>
              <w:rPr>
                <w:rFonts w:ascii="宋体" w:hAnsi="宋体" w:cs="宋体"/>
                <w:color w:val="000000"/>
                <w:kern w:val="0"/>
                <w:szCs w:val="21"/>
              </w:rPr>
            </w:pPr>
            <w:r>
              <w:rPr>
                <w:rFonts w:hint="eastAsia" w:ascii="宋体" w:hAnsi="宋体" w:cs="宋体"/>
                <w:color w:val="000000"/>
                <w:kern w:val="0"/>
                <w:szCs w:val="21"/>
              </w:rPr>
              <w:t xml:space="preserve">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726EAC9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553E75CC">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4A70DCB">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E4F4D74">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45FEF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2CB031A">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172F3C26">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12676A59">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04870EFE">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02367329">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7D9CB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A6CFC9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191" w:type="pct"/>
            <w:tcBorders>
              <w:top w:val="single" w:color="auto" w:sz="8" w:space="0"/>
              <w:left w:val="single" w:color="auto" w:sz="8" w:space="0"/>
              <w:bottom w:val="single" w:color="auto" w:sz="8" w:space="0"/>
              <w:right w:val="single" w:color="auto" w:sz="8" w:space="0"/>
            </w:tcBorders>
            <w:noWrap w:val="0"/>
            <w:vAlign w:val="center"/>
          </w:tcPr>
          <w:p w14:paraId="0E04931B">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1787" w:type="pct"/>
            <w:gridSpan w:val="2"/>
            <w:tcBorders>
              <w:top w:val="single" w:color="auto" w:sz="8" w:space="0"/>
              <w:left w:val="single" w:color="auto" w:sz="8" w:space="0"/>
              <w:bottom w:val="single" w:color="auto" w:sz="8" w:space="0"/>
              <w:right w:val="single" w:color="auto" w:sz="8" w:space="0"/>
            </w:tcBorders>
            <w:noWrap w:val="0"/>
            <w:vAlign w:val="center"/>
          </w:tcPr>
          <w:p w14:paraId="3E8DCC70">
            <w:pPr>
              <w:widowControl/>
              <w:snapToGrid w:val="0"/>
              <w:spacing w:before="100" w:beforeAutospacing="1" w:after="100" w:afterAutospacing="1" w:line="320" w:lineRule="exact"/>
              <w:ind w:left="-3"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5C92068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39A4562A">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1248E7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71" w:type="pct"/>
            <w:gridSpan w:val="4"/>
            <w:tcBorders>
              <w:top w:val="single" w:color="auto" w:sz="8" w:space="0"/>
              <w:left w:val="single" w:color="auto" w:sz="8" w:space="0"/>
              <w:bottom w:val="single" w:color="auto" w:sz="8" w:space="0"/>
              <w:right w:val="single" w:color="auto" w:sz="8" w:space="0"/>
            </w:tcBorders>
            <w:noWrap w:val="0"/>
            <w:vAlign w:val="center"/>
          </w:tcPr>
          <w:p w14:paraId="574BB595">
            <w:pPr>
              <w:widowControl/>
              <w:snapToGrid w:val="0"/>
              <w:spacing w:before="100" w:beforeAutospacing="1" w:after="100" w:afterAutospacing="1" w:line="320" w:lineRule="exact"/>
              <w:ind w:left="-3" w:firstLine="4" w:firstLineChars="2"/>
              <w:jc w:val="left"/>
              <w:rPr>
                <w:rFonts w:ascii="宋体" w:hAnsi="宋体" w:cs="宋体"/>
                <w:color w:val="000000"/>
                <w:kern w:val="0"/>
                <w:szCs w:val="21"/>
              </w:rPr>
            </w:pPr>
            <w:r>
              <w:rPr>
                <w:rFonts w:hint="eastAsia" w:ascii="宋体" w:hAnsi="宋体" w:cs="宋体"/>
                <w:color w:val="000000"/>
                <w:kern w:val="0"/>
                <w:szCs w:val="21"/>
              </w:rPr>
              <w:t>合        计</w:t>
            </w:r>
          </w:p>
        </w:tc>
        <w:tc>
          <w:tcPr>
            <w:tcW w:w="517" w:type="pct"/>
            <w:gridSpan w:val="2"/>
            <w:tcBorders>
              <w:top w:val="single" w:color="auto" w:sz="8" w:space="0"/>
              <w:left w:val="single" w:color="auto" w:sz="8" w:space="0"/>
              <w:bottom w:val="single" w:color="auto" w:sz="8" w:space="0"/>
              <w:right w:val="single" w:color="auto" w:sz="8" w:space="0"/>
            </w:tcBorders>
            <w:noWrap w:val="0"/>
            <w:vAlign w:val="center"/>
          </w:tcPr>
          <w:p w14:paraId="28186C06">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c>
          <w:tcPr>
            <w:tcW w:w="710" w:type="pct"/>
            <w:tcBorders>
              <w:top w:val="single" w:color="auto" w:sz="8" w:space="0"/>
              <w:left w:val="single" w:color="auto" w:sz="8" w:space="0"/>
              <w:bottom w:val="single" w:color="auto" w:sz="8" w:space="0"/>
              <w:right w:val="single" w:color="auto" w:sz="8" w:space="0"/>
            </w:tcBorders>
            <w:noWrap w:val="0"/>
            <w:vAlign w:val="center"/>
          </w:tcPr>
          <w:p w14:paraId="446DBD72">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w:t>
            </w:r>
          </w:p>
        </w:tc>
      </w:tr>
      <w:tr w14:paraId="09D0E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vAlign w:val="center"/>
          </w:tcPr>
          <w:p w14:paraId="05D32710">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合计大写金额：   仟   佰   拾   万   仟   佰   拾   元</w:t>
            </w:r>
          </w:p>
        </w:tc>
      </w:tr>
      <w:tr w14:paraId="515385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0D7EFFCA">
            <w:pPr>
              <w:widowControl/>
              <w:snapToGrid w:val="0"/>
              <w:spacing w:before="100" w:beforeAutospacing="1" w:after="100" w:afterAutospacing="1" w:line="320" w:lineRule="exact"/>
              <w:ind w:firstLine="2" w:firstLineChars="1"/>
              <w:jc w:val="left"/>
              <w:rPr>
                <w:rFonts w:ascii="宋体" w:hAnsi="宋体" w:cs="宋体"/>
                <w:color w:val="000000"/>
                <w:kern w:val="0"/>
                <w:szCs w:val="21"/>
              </w:rPr>
            </w:pPr>
            <w:r>
              <w:rPr>
                <w:rFonts w:hint="eastAsia" w:ascii="宋体" w:hAnsi="宋体" w:cs="宋体"/>
                <w:color w:val="000000"/>
                <w:kern w:val="0"/>
                <w:szCs w:val="21"/>
              </w:rPr>
              <w:t>实际供货日期</w:t>
            </w: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077D6B9B">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118C40E8">
            <w:pPr>
              <w:snapToGrid w:val="0"/>
              <w:spacing w:before="100" w:beforeAutospacing="1" w:after="100" w:afterAutospacing="1" w:line="320" w:lineRule="exact"/>
              <w:ind w:firstLine="39" w:firstLineChars="19"/>
              <w:jc w:val="center"/>
              <w:rPr>
                <w:rFonts w:ascii="宋体" w:hAnsi="宋体" w:cs="宋体"/>
                <w:color w:val="000000"/>
                <w:kern w:val="0"/>
                <w:szCs w:val="21"/>
              </w:rPr>
            </w:pPr>
            <w:r>
              <w:rPr>
                <w:rFonts w:hint="eastAsia" w:ascii="宋体" w:hAnsi="宋体" w:cs="宋体"/>
                <w:color w:val="000000"/>
                <w:kern w:val="0"/>
                <w:szCs w:val="21"/>
              </w:rPr>
              <w:t>合同交货验收日期</w:t>
            </w: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6B58546C">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0A32CA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792" w:type="pct"/>
            <w:tcBorders>
              <w:top w:val="single" w:color="auto" w:sz="8" w:space="0"/>
              <w:left w:val="single" w:color="auto" w:sz="8" w:space="0"/>
              <w:bottom w:val="single" w:color="auto" w:sz="8" w:space="0"/>
              <w:right w:val="single" w:color="auto" w:sz="8" w:space="0"/>
            </w:tcBorders>
            <w:noWrap w:val="0"/>
            <w:vAlign w:val="center"/>
          </w:tcPr>
          <w:p w14:paraId="1FFB00FD">
            <w:pPr>
              <w:widowControl/>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682" w:type="pct"/>
            <w:gridSpan w:val="2"/>
            <w:tcBorders>
              <w:top w:val="single" w:color="auto" w:sz="8" w:space="0"/>
              <w:left w:val="single" w:color="auto" w:sz="8" w:space="0"/>
              <w:bottom w:val="single" w:color="auto" w:sz="8" w:space="0"/>
              <w:right w:val="single" w:color="auto" w:sz="8" w:space="0"/>
            </w:tcBorders>
            <w:noWrap w:val="0"/>
            <w:vAlign w:val="center"/>
          </w:tcPr>
          <w:p w14:paraId="5E8D72A6">
            <w:pPr>
              <w:snapToGrid w:val="0"/>
              <w:spacing w:before="100" w:beforeAutospacing="1" w:after="100" w:afterAutospacing="1" w:line="320" w:lineRule="exact"/>
              <w:ind w:firstLine="420" w:firstLineChars="200"/>
              <w:jc w:val="left"/>
              <w:rPr>
                <w:rFonts w:ascii="宋体" w:hAnsi="宋体" w:cs="宋体"/>
                <w:color w:val="000000"/>
                <w:kern w:val="0"/>
                <w:szCs w:val="21"/>
              </w:rPr>
            </w:pPr>
          </w:p>
        </w:tc>
        <w:tc>
          <w:tcPr>
            <w:tcW w:w="1402" w:type="pct"/>
            <w:gridSpan w:val="2"/>
            <w:tcBorders>
              <w:top w:val="single" w:color="auto" w:sz="8" w:space="0"/>
              <w:left w:val="single" w:color="auto" w:sz="8" w:space="0"/>
              <w:bottom w:val="single" w:color="auto" w:sz="8" w:space="0"/>
              <w:right w:val="single" w:color="auto" w:sz="8" w:space="0"/>
            </w:tcBorders>
            <w:noWrap w:val="0"/>
            <w:vAlign w:val="center"/>
          </w:tcPr>
          <w:p w14:paraId="7C6495FB">
            <w:pPr>
              <w:snapToGrid w:val="0"/>
              <w:spacing w:before="100" w:beforeAutospacing="1" w:after="100" w:afterAutospacing="1" w:line="320" w:lineRule="exact"/>
              <w:ind w:left="590" w:firstLine="420" w:firstLineChars="200"/>
              <w:jc w:val="left"/>
              <w:rPr>
                <w:rFonts w:ascii="宋体" w:hAnsi="宋体" w:cs="宋体"/>
                <w:color w:val="000000"/>
                <w:kern w:val="0"/>
                <w:szCs w:val="21"/>
              </w:rPr>
            </w:pPr>
          </w:p>
        </w:tc>
        <w:tc>
          <w:tcPr>
            <w:tcW w:w="1122" w:type="pct"/>
            <w:gridSpan w:val="2"/>
            <w:tcBorders>
              <w:top w:val="single" w:color="auto" w:sz="8" w:space="0"/>
              <w:left w:val="single" w:color="auto" w:sz="8" w:space="0"/>
              <w:bottom w:val="single" w:color="auto" w:sz="8" w:space="0"/>
              <w:right w:val="single" w:color="auto" w:sz="8" w:space="0"/>
            </w:tcBorders>
            <w:noWrap w:val="0"/>
            <w:vAlign w:val="center"/>
          </w:tcPr>
          <w:p w14:paraId="2A9CB238">
            <w:pPr>
              <w:snapToGrid w:val="0"/>
              <w:spacing w:before="100" w:beforeAutospacing="1" w:after="100" w:afterAutospacing="1" w:line="320" w:lineRule="exact"/>
              <w:ind w:firstLine="420" w:firstLineChars="200"/>
              <w:jc w:val="left"/>
              <w:rPr>
                <w:rFonts w:ascii="宋体" w:hAnsi="宋体" w:cs="宋体"/>
                <w:color w:val="000000"/>
                <w:kern w:val="0"/>
                <w:szCs w:val="21"/>
              </w:rPr>
            </w:pPr>
          </w:p>
        </w:tc>
      </w:tr>
      <w:tr w14:paraId="51B4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79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F5FB85">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验收具体内容</w:t>
            </w:r>
          </w:p>
        </w:tc>
        <w:tc>
          <w:tcPr>
            <w:tcW w:w="4207" w:type="pct"/>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706CF2">
            <w:pPr>
              <w:widowControl/>
              <w:snapToGrid w:val="0"/>
              <w:spacing w:before="100" w:beforeAutospacing="1" w:after="100" w:afterAutospacing="1" w:line="320" w:lineRule="exact"/>
              <w:jc w:val="left"/>
              <w:rPr>
                <w:rFonts w:ascii="宋体" w:hAnsi="宋体" w:cs="宋体"/>
                <w:color w:val="000000"/>
                <w:kern w:val="0"/>
                <w:szCs w:val="21"/>
              </w:rPr>
            </w:pPr>
            <w:r>
              <w:rPr>
                <w:rFonts w:hint="eastAsia" w:ascii="宋体" w:hAnsi="宋体"/>
                <w:color w:val="000000"/>
                <w:szCs w:val="21"/>
              </w:rPr>
              <w:t>（应</w:t>
            </w:r>
            <w:r>
              <w:rPr>
                <w:rFonts w:hint="eastAsia" w:ascii="宋体" w:hAnsi="宋体" w:cs="宋体"/>
                <w:color w:val="000000"/>
                <w:kern w:val="0"/>
                <w:szCs w:val="21"/>
              </w:rPr>
              <w:t>按采购合同、采购文件、磋商响应文件及验收方案等进行验收；并核对</w:t>
            </w:r>
            <w:r>
              <w:rPr>
                <w:rFonts w:hint="eastAsia" w:ascii="宋体" w:hAnsi="宋体"/>
                <w:color w:val="000000"/>
                <w:szCs w:val="21"/>
              </w:rPr>
              <w:t>中标或者成交供应商在安装调试等方面是否违反合同约定或服务规范要求、提供的质量保证证明材料是否齐全、应有的配件及附件是否达到合同约定等</w:t>
            </w:r>
            <w:r>
              <w:rPr>
                <w:rFonts w:hint="eastAsia" w:ascii="宋体" w:hAnsi="宋体" w:cs="宋体"/>
                <w:color w:val="000000"/>
                <w:kern w:val="0"/>
                <w:szCs w:val="21"/>
              </w:rPr>
              <w:t>。可附件)</w:t>
            </w:r>
          </w:p>
        </w:tc>
      </w:tr>
      <w:tr w14:paraId="61E7A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792" w:type="pct"/>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FA24D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验收小组意见</w:t>
            </w:r>
          </w:p>
        </w:tc>
        <w:tc>
          <w:tcPr>
            <w:tcW w:w="4207" w:type="pct"/>
            <w:gridSpan w:val="6"/>
            <w:tcBorders>
              <w:top w:val="single" w:color="auto" w:sz="8" w:space="0"/>
              <w:left w:val="single" w:color="auto" w:sz="8" w:space="0"/>
              <w:bottom w:val="single" w:color="auto" w:sz="4" w:space="0"/>
              <w:right w:val="single" w:color="auto" w:sz="8" w:space="0"/>
            </w:tcBorders>
            <w:noWrap w:val="0"/>
            <w:vAlign w:val="center"/>
          </w:tcPr>
          <w:p w14:paraId="415100CF">
            <w:pPr>
              <w:widowControl/>
              <w:spacing w:before="100" w:beforeAutospacing="1" w:after="100" w:afterAutospacing="1" w:line="320" w:lineRule="exact"/>
              <w:ind w:firstLine="105" w:firstLineChars="50"/>
              <w:jc w:val="left"/>
              <w:rPr>
                <w:rFonts w:ascii="宋体" w:hAnsi="宋体" w:cs="宋体"/>
                <w:color w:val="000000"/>
                <w:kern w:val="0"/>
                <w:szCs w:val="21"/>
              </w:rPr>
            </w:pPr>
            <w:r>
              <w:rPr>
                <w:rFonts w:hint="eastAsia" w:ascii="宋体" w:hAnsi="宋体" w:cs="宋体"/>
                <w:color w:val="000000"/>
                <w:kern w:val="0"/>
                <w:szCs w:val="21"/>
              </w:rPr>
              <w:t>验收结论性意见：</w:t>
            </w:r>
          </w:p>
          <w:p w14:paraId="56386DBC">
            <w:pPr>
              <w:widowControl/>
              <w:spacing w:before="100" w:beforeAutospacing="1" w:after="100" w:afterAutospacing="1" w:line="320" w:lineRule="exact"/>
              <w:jc w:val="left"/>
              <w:rPr>
                <w:rFonts w:ascii="宋体" w:hAnsi="宋体" w:cs="宋体"/>
                <w:color w:val="000000"/>
                <w:kern w:val="0"/>
                <w:szCs w:val="21"/>
              </w:rPr>
            </w:pPr>
          </w:p>
        </w:tc>
      </w:tr>
      <w:tr w14:paraId="3610AB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792" w:type="pct"/>
            <w:vMerge w:val="continue"/>
            <w:tcBorders>
              <w:top w:val="single" w:color="auto" w:sz="8" w:space="0"/>
              <w:left w:val="single" w:color="auto" w:sz="8" w:space="0"/>
              <w:bottom w:val="single" w:color="auto" w:sz="8" w:space="0"/>
              <w:right w:val="single" w:color="auto" w:sz="8" w:space="0"/>
            </w:tcBorders>
            <w:noWrap w:val="0"/>
            <w:vAlign w:val="center"/>
          </w:tcPr>
          <w:p w14:paraId="53B810EC">
            <w:pPr>
              <w:widowControl/>
              <w:spacing w:line="320" w:lineRule="exact"/>
              <w:jc w:val="left"/>
              <w:rPr>
                <w:rFonts w:ascii="宋体" w:hAnsi="宋体" w:cs="宋体"/>
                <w:color w:val="000000"/>
                <w:kern w:val="0"/>
                <w:szCs w:val="21"/>
              </w:rPr>
            </w:pPr>
          </w:p>
        </w:tc>
        <w:tc>
          <w:tcPr>
            <w:tcW w:w="4207" w:type="pct"/>
            <w:gridSpan w:val="6"/>
            <w:tcBorders>
              <w:top w:val="single" w:color="auto" w:sz="4" w:space="0"/>
              <w:left w:val="single" w:color="auto" w:sz="8" w:space="0"/>
              <w:bottom w:val="single" w:color="auto" w:sz="8" w:space="0"/>
              <w:right w:val="single" w:color="auto" w:sz="8" w:space="0"/>
            </w:tcBorders>
            <w:noWrap w:val="0"/>
            <w:vAlign w:val="center"/>
          </w:tcPr>
          <w:p w14:paraId="73D60C27">
            <w:pPr>
              <w:spacing w:before="100" w:beforeAutospacing="1" w:after="100" w:afterAutospacing="1" w:line="320" w:lineRule="exact"/>
              <w:ind w:firstLine="84" w:firstLineChars="40"/>
              <w:jc w:val="left"/>
              <w:rPr>
                <w:rFonts w:ascii="宋体" w:hAnsi="宋体" w:cs="宋体"/>
                <w:color w:val="000000"/>
                <w:kern w:val="0"/>
                <w:szCs w:val="21"/>
              </w:rPr>
            </w:pPr>
            <w:r>
              <w:rPr>
                <w:rFonts w:hint="eastAsia" w:ascii="宋体" w:hAnsi="宋体" w:cs="宋体"/>
                <w:color w:val="000000"/>
                <w:kern w:val="0"/>
                <w:szCs w:val="21"/>
              </w:rPr>
              <w:t>有异议的意见和说明理由：</w:t>
            </w:r>
          </w:p>
          <w:p w14:paraId="0613418E">
            <w:pPr>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xml:space="preserve">                                      签字：</w:t>
            </w:r>
          </w:p>
        </w:tc>
      </w:tr>
      <w:tr w14:paraId="208B9E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83C094">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验收小组成员签字：</w:t>
            </w:r>
          </w:p>
        </w:tc>
      </w:tr>
      <w:tr w14:paraId="1D5B4E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A669B7D">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监督人员或其他相关人员签字：</w:t>
            </w:r>
          </w:p>
          <w:p w14:paraId="689D267D">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或受邀机构的意见（盖章）：</w:t>
            </w:r>
          </w:p>
        </w:tc>
      </w:tr>
      <w:tr w14:paraId="6316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475" w:type="pct"/>
            <w:gridSpan w:val="3"/>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134ABD17">
            <w:pPr>
              <w:widowControl/>
              <w:spacing w:before="100" w:beforeAutospacing="1" w:after="100" w:afterAutospacing="1" w:line="320" w:lineRule="exact"/>
              <w:ind w:firstLine="65" w:firstLineChars="31"/>
              <w:jc w:val="left"/>
              <w:rPr>
                <w:rFonts w:ascii="宋体" w:hAnsi="宋体" w:cs="宋体"/>
                <w:color w:val="000000"/>
                <w:kern w:val="0"/>
                <w:szCs w:val="21"/>
              </w:rPr>
            </w:pPr>
            <w:r>
              <w:rPr>
                <w:rFonts w:hint="eastAsia" w:ascii="宋体" w:hAnsi="宋体" w:cs="宋体"/>
                <w:color w:val="000000"/>
                <w:kern w:val="0"/>
                <w:szCs w:val="21"/>
              </w:rPr>
              <w:t>中标或者成交供应商负责人签字或盖章：</w:t>
            </w:r>
          </w:p>
          <w:p w14:paraId="18D0052B">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c>
          <w:tcPr>
            <w:tcW w:w="2524" w:type="pct"/>
            <w:gridSpan w:val="4"/>
            <w:tcBorders>
              <w:top w:val="single" w:color="auto" w:sz="8" w:space="0"/>
              <w:left w:val="nil"/>
              <w:bottom w:val="single" w:color="auto" w:sz="8" w:space="0"/>
              <w:right w:val="single" w:color="auto" w:sz="8" w:space="0"/>
            </w:tcBorders>
            <w:noWrap w:val="0"/>
            <w:vAlign w:val="center"/>
          </w:tcPr>
          <w:p w14:paraId="3F9353DF">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 采购人或受托机构的意见（盖章）：</w:t>
            </w:r>
          </w:p>
          <w:p w14:paraId="5220F607">
            <w:pPr>
              <w:widowControl/>
              <w:spacing w:before="100" w:beforeAutospacing="1" w:after="100" w:afterAutospacing="1" w:line="320" w:lineRule="exact"/>
              <w:jc w:val="left"/>
              <w:rPr>
                <w:rFonts w:ascii="宋体" w:hAnsi="宋体" w:cs="宋体"/>
                <w:color w:val="000000"/>
                <w:kern w:val="0"/>
                <w:szCs w:val="21"/>
              </w:rPr>
            </w:pPr>
            <w:r>
              <w:rPr>
                <w:rFonts w:hint="eastAsia" w:ascii="宋体" w:hAnsi="宋体" w:cs="宋体"/>
                <w:color w:val="000000"/>
                <w:kern w:val="0"/>
                <w:szCs w:val="21"/>
              </w:rPr>
              <w:t>联系电话：                 年   月   日</w:t>
            </w:r>
          </w:p>
        </w:tc>
      </w:tr>
    </w:tbl>
    <w:p w14:paraId="4FD20AF0">
      <w:pPr>
        <w:pStyle w:val="11"/>
        <w:keepNext w:val="0"/>
        <w:keepLines w:val="0"/>
        <w:pageBreakBefore w:val="0"/>
        <w:widowControl w:val="0"/>
        <w:kinsoku/>
        <w:wordWrap/>
        <w:overflowPunct/>
        <w:topLinePunct w:val="0"/>
        <w:autoSpaceDE/>
        <w:autoSpaceDN/>
        <w:bidi w:val="0"/>
        <w:adjustRightInd/>
        <w:snapToGrid/>
        <w:spacing w:line="240" w:lineRule="auto"/>
        <w:textAlignment w:val="auto"/>
        <w:rPr>
          <w:w w:val="90"/>
          <w:sz w:val="24"/>
        </w:rPr>
      </w:pPr>
      <w:r>
        <w:rPr>
          <w:color w:val="000000"/>
          <w:w w:val="90"/>
          <w:sz w:val="24"/>
        </w:rPr>
        <w:t>关于印发广西壮族自治区政府采购项目履约验收管理办法的通知[桂财采〔2015〕22号]</w:t>
      </w:r>
    </w:p>
    <w:sectPr>
      <w:pgSz w:w="11907" w:h="16840"/>
      <w:pgMar w:top="1797" w:right="1440" w:bottom="144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AF81D">
    <w:pPr>
      <w:pStyle w:val="16"/>
      <w:jc w:val="center"/>
    </w:pPr>
    <w:r>
      <w:fldChar w:fldCharType="begin"/>
    </w:r>
    <w:r>
      <w:instrText xml:space="preserve">PAGE   \* MERGEFORMAT</w:instrText>
    </w:r>
    <w:r>
      <w:fldChar w:fldCharType="separate"/>
    </w:r>
    <w:r>
      <w:rPr>
        <w:lang w:val="zh-CN"/>
      </w:rPr>
      <w:t>1</w:t>
    </w:r>
    <w:r>
      <w:fldChar w:fldCharType="end"/>
    </w:r>
  </w:p>
  <w:p w14:paraId="0149E4E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9B1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24DDEE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2CEF">
    <w:pPr>
      <w:pStyle w:val="16"/>
      <w:jc w:val="center"/>
    </w:pPr>
    <w:r>
      <w:fldChar w:fldCharType="begin"/>
    </w:r>
    <w:r>
      <w:instrText xml:space="preserve">PAGE   \* MERGEFORMAT</w:instrText>
    </w:r>
    <w:r>
      <w:fldChar w:fldCharType="separate"/>
    </w:r>
    <w:r>
      <w:rPr>
        <w:lang w:val="zh-CN"/>
      </w:rPr>
      <w:t>2</w:t>
    </w:r>
    <w:r>
      <w:fldChar w:fldCharType="end"/>
    </w:r>
  </w:p>
  <w:p w14:paraId="6B36E70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A18A">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7C6537">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FDFA">
    <w:pPr>
      <w:pStyle w:val="16"/>
      <w:framePr w:wrap="around" w:vAnchor="text" w:hAnchor="margin" w:xAlign="center" w:y="1"/>
      <w:rPr>
        <w:rStyle w:val="24"/>
      </w:rPr>
    </w:pPr>
    <w:r>
      <w:fldChar w:fldCharType="begin"/>
    </w:r>
    <w:r>
      <w:rPr>
        <w:rStyle w:val="24"/>
      </w:rPr>
      <w:instrText xml:space="preserve">PAGE  </w:instrText>
    </w:r>
    <w:r>
      <w:fldChar w:fldCharType="end"/>
    </w:r>
  </w:p>
  <w:p w14:paraId="50FC548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969">
    <w:pPr>
      <w:pStyle w:val="16"/>
      <w:jc w:val="center"/>
    </w:pPr>
    <w:r>
      <w:fldChar w:fldCharType="begin"/>
    </w:r>
    <w:r>
      <w:instrText xml:space="preserve">PAGE   \* MERGEFORMAT</w:instrText>
    </w:r>
    <w:r>
      <w:fldChar w:fldCharType="separate"/>
    </w:r>
    <w:r>
      <w:rPr>
        <w:lang w:val="zh-CN"/>
      </w:rPr>
      <w:t>61</w:t>
    </w:r>
    <w:r>
      <w:fldChar w:fldCharType="end"/>
    </w:r>
  </w:p>
  <w:p w14:paraId="29CF6C9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A8FB">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5609A7">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5609A7">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57C4">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033891">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033891">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551A">
    <w:pPr>
      <w:rPr>
        <w:sz w:val="18"/>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95B6"/>
    <w:multiLevelType w:val="singleLevel"/>
    <w:tmpl w:val="807D95B6"/>
    <w:lvl w:ilvl="0" w:tentative="0">
      <w:start w:val="1"/>
      <w:numFmt w:val="decimal"/>
      <w:suff w:val="space"/>
      <w:lvlText w:val="24.%1"/>
      <w:lvlJc w:val="left"/>
      <w:pPr>
        <w:ind w:left="0" w:firstLine="480"/>
      </w:pPr>
      <w:rPr>
        <w:rFonts w:hint="default"/>
      </w:rPr>
    </w:lvl>
  </w:abstractNum>
  <w:abstractNum w:abstractNumId="1">
    <w:nsid w:val="81E65691"/>
    <w:multiLevelType w:val="singleLevel"/>
    <w:tmpl w:val="81E65691"/>
    <w:lvl w:ilvl="0" w:tentative="0">
      <w:start w:val="1"/>
      <w:numFmt w:val="decimal"/>
      <w:suff w:val="space"/>
      <w:lvlText w:val="15.%1"/>
      <w:lvlJc w:val="left"/>
      <w:pPr>
        <w:ind w:left="0" w:firstLine="480"/>
      </w:pPr>
      <w:rPr>
        <w:rFonts w:hint="default"/>
      </w:rPr>
    </w:lvl>
  </w:abstractNum>
  <w:abstractNum w:abstractNumId="2">
    <w:nsid w:val="8624D4C3"/>
    <w:multiLevelType w:val="singleLevel"/>
    <w:tmpl w:val="8624D4C3"/>
    <w:lvl w:ilvl="0" w:tentative="0">
      <w:start w:val="1"/>
      <w:numFmt w:val="chineseCounting"/>
      <w:suff w:val="nothing"/>
      <w:lvlText w:val="%1. "/>
      <w:lvlJc w:val="left"/>
      <w:pPr>
        <w:tabs>
          <w:tab w:val="left" w:pos="0"/>
        </w:tabs>
        <w:ind w:left="0" w:firstLine="482"/>
      </w:pPr>
      <w:rPr>
        <w:rFonts w:hint="eastAsia"/>
      </w:rPr>
    </w:lvl>
  </w:abstractNum>
  <w:abstractNum w:abstractNumId="3">
    <w:nsid w:val="8CC29118"/>
    <w:multiLevelType w:val="singleLevel"/>
    <w:tmpl w:val="8CC29118"/>
    <w:lvl w:ilvl="0" w:tentative="0">
      <w:start w:val="1"/>
      <w:numFmt w:val="decimal"/>
      <w:suff w:val="space"/>
      <w:lvlText w:val="18.%1"/>
      <w:lvlJc w:val="left"/>
      <w:pPr>
        <w:tabs>
          <w:tab w:val="left" w:pos="0"/>
        </w:tabs>
        <w:ind w:left="0" w:firstLine="480"/>
      </w:pPr>
      <w:rPr>
        <w:rFonts w:hint="default"/>
      </w:rPr>
    </w:lvl>
  </w:abstractNum>
  <w:abstractNum w:abstractNumId="4">
    <w:nsid w:val="BA5A38DE"/>
    <w:multiLevelType w:val="singleLevel"/>
    <w:tmpl w:val="BA5A38DE"/>
    <w:lvl w:ilvl="0" w:tentative="0">
      <w:start w:val="1"/>
      <w:numFmt w:val="decimal"/>
      <w:suff w:val="nothing"/>
      <w:lvlText w:val="%1."/>
      <w:lvlJc w:val="left"/>
      <w:pPr>
        <w:tabs>
          <w:tab w:val="left" w:pos="0"/>
        </w:tabs>
        <w:ind w:left="0" w:firstLine="480"/>
      </w:pPr>
      <w:rPr>
        <w:rFonts w:hint="default"/>
      </w:rPr>
    </w:lvl>
  </w:abstractNum>
  <w:abstractNum w:abstractNumId="5">
    <w:nsid w:val="BB524E2C"/>
    <w:multiLevelType w:val="singleLevel"/>
    <w:tmpl w:val="BB524E2C"/>
    <w:lvl w:ilvl="0" w:tentative="0">
      <w:start w:val="1"/>
      <w:numFmt w:val="decimal"/>
      <w:suff w:val="space"/>
      <w:lvlText w:val="4.%1"/>
      <w:lvlJc w:val="left"/>
      <w:pPr>
        <w:ind w:left="0" w:firstLine="480"/>
      </w:pPr>
      <w:rPr>
        <w:rFonts w:hint="default"/>
      </w:rPr>
    </w:lvl>
  </w:abstractNum>
  <w:abstractNum w:abstractNumId="6">
    <w:nsid w:val="BC747A30"/>
    <w:multiLevelType w:val="singleLevel"/>
    <w:tmpl w:val="BC747A30"/>
    <w:lvl w:ilvl="0" w:tentative="0">
      <w:start w:val="1"/>
      <w:numFmt w:val="decimal"/>
      <w:suff w:val="nothing"/>
      <w:lvlText w:val="（%1）"/>
      <w:lvlJc w:val="left"/>
      <w:pPr>
        <w:ind w:left="0" w:firstLine="480"/>
      </w:pPr>
      <w:rPr>
        <w:rFonts w:hint="default"/>
      </w:rPr>
    </w:lvl>
  </w:abstractNum>
  <w:abstractNum w:abstractNumId="7">
    <w:nsid w:val="BFEFBEEC"/>
    <w:multiLevelType w:val="singleLevel"/>
    <w:tmpl w:val="BFEFBEEC"/>
    <w:lvl w:ilvl="0" w:tentative="0">
      <w:start w:val="1"/>
      <w:numFmt w:val="decimal"/>
      <w:suff w:val="space"/>
      <w:lvlText w:val="9.%1"/>
      <w:lvlJc w:val="left"/>
      <w:pPr>
        <w:tabs>
          <w:tab w:val="left" w:pos="0"/>
        </w:tabs>
        <w:ind w:left="0" w:firstLine="480"/>
      </w:pPr>
      <w:rPr>
        <w:rFonts w:hint="default"/>
      </w:rPr>
    </w:lvl>
  </w:abstractNum>
  <w:abstractNum w:abstractNumId="8">
    <w:nsid w:val="C899408E"/>
    <w:multiLevelType w:val="singleLevel"/>
    <w:tmpl w:val="C899408E"/>
    <w:lvl w:ilvl="0" w:tentative="0">
      <w:start w:val="1"/>
      <w:numFmt w:val="decimal"/>
      <w:suff w:val="nothing"/>
      <w:lvlText w:val="（%1）"/>
      <w:lvlJc w:val="left"/>
      <w:pPr>
        <w:ind w:left="0" w:firstLine="480"/>
      </w:pPr>
      <w:rPr>
        <w:rFonts w:hint="default"/>
      </w:rPr>
    </w:lvl>
  </w:abstractNum>
  <w:abstractNum w:abstractNumId="9">
    <w:nsid w:val="CA313A0E"/>
    <w:multiLevelType w:val="singleLevel"/>
    <w:tmpl w:val="CA313A0E"/>
    <w:lvl w:ilvl="0" w:tentative="0">
      <w:start w:val="2"/>
      <w:numFmt w:val="decimal"/>
      <w:suff w:val="nothing"/>
      <w:lvlText w:val="（%1）"/>
      <w:lvlJc w:val="left"/>
      <w:pPr>
        <w:ind w:left="0" w:firstLine="480"/>
      </w:pPr>
      <w:rPr>
        <w:rFonts w:hint="default"/>
      </w:rPr>
    </w:lvl>
  </w:abstractNum>
  <w:abstractNum w:abstractNumId="10">
    <w:nsid w:val="CBEFDDBB"/>
    <w:multiLevelType w:val="singleLevel"/>
    <w:tmpl w:val="CBEFDDBB"/>
    <w:lvl w:ilvl="0" w:tentative="0">
      <w:start w:val="1"/>
      <w:numFmt w:val="decimal"/>
      <w:suff w:val="space"/>
      <w:lvlText w:val="%1."/>
      <w:lvlJc w:val="left"/>
      <w:pPr>
        <w:ind w:left="0" w:firstLine="0"/>
      </w:pPr>
      <w:rPr>
        <w:rFonts w:hint="default"/>
      </w:rPr>
    </w:lvl>
  </w:abstractNum>
  <w:abstractNum w:abstractNumId="11">
    <w:nsid w:val="D1750354"/>
    <w:multiLevelType w:val="singleLevel"/>
    <w:tmpl w:val="D1750354"/>
    <w:lvl w:ilvl="0" w:tentative="0">
      <w:start w:val="1"/>
      <w:numFmt w:val="decimal"/>
      <w:suff w:val="nothing"/>
      <w:lvlText w:val="（%1）"/>
      <w:lvlJc w:val="left"/>
      <w:pPr>
        <w:ind w:left="0" w:firstLine="480"/>
      </w:pPr>
      <w:rPr>
        <w:rFonts w:hint="default"/>
      </w:rPr>
    </w:lvl>
  </w:abstractNum>
  <w:abstractNum w:abstractNumId="12">
    <w:nsid w:val="D40E5685"/>
    <w:multiLevelType w:val="singleLevel"/>
    <w:tmpl w:val="D40E5685"/>
    <w:lvl w:ilvl="0" w:tentative="0">
      <w:start w:val="1"/>
      <w:numFmt w:val="chineseCounting"/>
      <w:suff w:val="space"/>
      <w:lvlText w:val="(%1)"/>
      <w:lvlJc w:val="left"/>
      <w:pPr>
        <w:ind w:left="0" w:firstLine="480"/>
      </w:pPr>
      <w:rPr>
        <w:rFonts w:hint="eastAsia"/>
      </w:rPr>
    </w:lvl>
  </w:abstractNum>
  <w:abstractNum w:abstractNumId="13">
    <w:nsid w:val="D5F4ED83"/>
    <w:multiLevelType w:val="singleLevel"/>
    <w:tmpl w:val="D5F4ED83"/>
    <w:lvl w:ilvl="0" w:tentative="0">
      <w:start w:val="1"/>
      <w:numFmt w:val="decimal"/>
      <w:suff w:val="nothing"/>
      <w:lvlText w:val="%1."/>
      <w:lvlJc w:val="left"/>
      <w:pPr>
        <w:tabs>
          <w:tab w:val="left" w:pos="0"/>
        </w:tabs>
        <w:ind w:left="0" w:firstLine="480"/>
      </w:pPr>
      <w:rPr>
        <w:rFonts w:hint="default"/>
      </w:rPr>
    </w:lvl>
  </w:abstractNum>
  <w:abstractNum w:abstractNumId="14">
    <w:nsid w:val="D8271D88"/>
    <w:multiLevelType w:val="singleLevel"/>
    <w:tmpl w:val="D8271D88"/>
    <w:lvl w:ilvl="0" w:tentative="0">
      <w:start w:val="1"/>
      <w:numFmt w:val="decimal"/>
      <w:suff w:val="space"/>
      <w:lvlText w:val="19.5.%1"/>
      <w:lvlJc w:val="left"/>
      <w:pPr>
        <w:tabs>
          <w:tab w:val="left" w:pos="0"/>
        </w:tabs>
        <w:ind w:left="0" w:firstLine="480"/>
      </w:pPr>
      <w:rPr>
        <w:rFonts w:hint="default"/>
      </w:rPr>
    </w:lvl>
  </w:abstractNum>
  <w:abstractNum w:abstractNumId="15">
    <w:nsid w:val="D8BD57CB"/>
    <w:multiLevelType w:val="singleLevel"/>
    <w:tmpl w:val="D8BD57CB"/>
    <w:lvl w:ilvl="0" w:tentative="0">
      <w:start w:val="1"/>
      <w:numFmt w:val="decimal"/>
      <w:suff w:val="space"/>
      <w:lvlText w:val="%1."/>
      <w:lvlJc w:val="left"/>
      <w:pPr>
        <w:ind w:left="0" w:firstLine="480"/>
      </w:pPr>
      <w:rPr>
        <w:rFonts w:hint="default"/>
      </w:rPr>
    </w:lvl>
  </w:abstractNum>
  <w:abstractNum w:abstractNumId="16">
    <w:nsid w:val="D8E14FB3"/>
    <w:multiLevelType w:val="singleLevel"/>
    <w:tmpl w:val="D8E14FB3"/>
    <w:lvl w:ilvl="0" w:tentative="0">
      <w:start w:val="1"/>
      <w:numFmt w:val="decimal"/>
      <w:suff w:val="space"/>
      <w:lvlText w:val="11.%1"/>
      <w:lvlJc w:val="left"/>
      <w:pPr>
        <w:ind w:left="0" w:firstLine="480"/>
      </w:pPr>
      <w:rPr>
        <w:rFonts w:hint="default"/>
      </w:rPr>
    </w:lvl>
  </w:abstractNum>
  <w:abstractNum w:abstractNumId="17">
    <w:nsid w:val="DAD9FD29"/>
    <w:multiLevelType w:val="singleLevel"/>
    <w:tmpl w:val="DAD9FD29"/>
    <w:lvl w:ilvl="0" w:tentative="0">
      <w:start w:val="1"/>
      <w:numFmt w:val="decimal"/>
      <w:suff w:val="nothing"/>
      <w:lvlText w:val="%1. "/>
      <w:lvlJc w:val="left"/>
      <w:pPr>
        <w:tabs>
          <w:tab w:val="left" w:pos="0"/>
        </w:tabs>
        <w:ind w:left="0" w:firstLine="480"/>
      </w:pPr>
      <w:rPr>
        <w:rFonts w:hint="default"/>
      </w:rPr>
    </w:lvl>
  </w:abstractNum>
  <w:abstractNum w:abstractNumId="18">
    <w:nsid w:val="DBC1347B"/>
    <w:multiLevelType w:val="singleLevel"/>
    <w:tmpl w:val="DBC1347B"/>
    <w:lvl w:ilvl="0" w:tentative="0">
      <w:start w:val="1"/>
      <w:numFmt w:val="decimal"/>
      <w:suff w:val="space"/>
      <w:lvlText w:val="23.%1"/>
      <w:lvlJc w:val="left"/>
      <w:pPr>
        <w:ind w:left="0" w:firstLine="480"/>
      </w:pPr>
      <w:rPr>
        <w:rFonts w:hint="default"/>
      </w:rPr>
    </w:lvl>
  </w:abstractNum>
  <w:abstractNum w:abstractNumId="19">
    <w:nsid w:val="DC102231"/>
    <w:multiLevelType w:val="singleLevel"/>
    <w:tmpl w:val="DC102231"/>
    <w:lvl w:ilvl="0" w:tentative="0">
      <w:start w:val="1"/>
      <w:numFmt w:val="decimal"/>
      <w:suff w:val="nothing"/>
      <w:lvlText w:val="（%1）"/>
      <w:lvlJc w:val="left"/>
      <w:pPr>
        <w:ind w:left="0" w:firstLine="480"/>
      </w:pPr>
      <w:rPr>
        <w:rFonts w:hint="default"/>
      </w:rPr>
    </w:lvl>
  </w:abstractNum>
  <w:abstractNum w:abstractNumId="20">
    <w:nsid w:val="DE0993E3"/>
    <w:multiLevelType w:val="singleLevel"/>
    <w:tmpl w:val="DE0993E3"/>
    <w:lvl w:ilvl="0" w:tentative="0">
      <w:start w:val="1"/>
      <w:numFmt w:val="decimal"/>
      <w:suff w:val="nothing"/>
      <w:lvlText w:val="（%1）"/>
      <w:lvlJc w:val="left"/>
      <w:pPr>
        <w:ind w:left="0" w:firstLine="0"/>
      </w:pPr>
      <w:rPr>
        <w:rFonts w:hint="default"/>
      </w:rPr>
    </w:lvl>
  </w:abstractNum>
  <w:abstractNum w:abstractNumId="21">
    <w:nsid w:val="DE13DB13"/>
    <w:multiLevelType w:val="singleLevel"/>
    <w:tmpl w:val="DE13DB13"/>
    <w:lvl w:ilvl="0" w:tentative="0">
      <w:start w:val="1"/>
      <w:numFmt w:val="decimal"/>
      <w:suff w:val="nothing"/>
      <w:lvlText w:val="（%1）"/>
      <w:lvlJc w:val="left"/>
      <w:pPr>
        <w:ind w:left="0" w:firstLine="482"/>
      </w:pPr>
      <w:rPr>
        <w:rFonts w:hint="default"/>
      </w:rPr>
    </w:lvl>
  </w:abstractNum>
  <w:abstractNum w:abstractNumId="22">
    <w:nsid w:val="DE95CFA5"/>
    <w:multiLevelType w:val="singleLevel"/>
    <w:tmpl w:val="DE95CFA5"/>
    <w:lvl w:ilvl="0" w:tentative="0">
      <w:start w:val="1"/>
      <w:numFmt w:val="decimal"/>
      <w:suff w:val="nothing"/>
      <w:lvlText w:val="（%1）"/>
      <w:lvlJc w:val="left"/>
      <w:pPr>
        <w:ind w:left="0" w:firstLine="480"/>
      </w:pPr>
      <w:rPr>
        <w:rFonts w:hint="default"/>
      </w:rPr>
    </w:lvl>
  </w:abstractNum>
  <w:abstractNum w:abstractNumId="23">
    <w:nsid w:val="DF33C108"/>
    <w:multiLevelType w:val="singleLevel"/>
    <w:tmpl w:val="DF33C108"/>
    <w:lvl w:ilvl="0" w:tentative="0">
      <w:start w:val="1"/>
      <w:numFmt w:val="decimal"/>
      <w:suff w:val="space"/>
      <w:lvlText w:val="%1."/>
      <w:lvlJc w:val="left"/>
      <w:pPr>
        <w:ind w:left="0" w:firstLine="480"/>
      </w:pPr>
      <w:rPr>
        <w:rFonts w:hint="default"/>
      </w:rPr>
    </w:lvl>
  </w:abstractNum>
  <w:abstractNum w:abstractNumId="24">
    <w:nsid w:val="DF53C641"/>
    <w:multiLevelType w:val="singleLevel"/>
    <w:tmpl w:val="DF53C641"/>
    <w:lvl w:ilvl="0" w:tentative="0">
      <w:start w:val="1"/>
      <w:numFmt w:val="chineseCounting"/>
      <w:suff w:val="nothing"/>
      <w:lvlText w:val="%1."/>
      <w:lvlJc w:val="left"/>
      <w:pPr>
        <w:tabs>
          <w:tab w:val="left" w:pos="0"/>
        </w:tabs>
        <w:ind w:left="0" w:firstLine="0"/>
      </w:pPr>
      <w:rPr>
        <w:rFonts w:hint="eastAsia" w:ascii="宋体" w:hAnsi="宋体" w:eastAsia="宋体" w:cs="宋体"/>
      </w:rPr>
    </w:lvl>
  </w:abstractNum>
  <w:abstractNum w:abstractNumId="25">
    <w:nsid w:val="E1B38B33"/>
    <w:multiLevelType w:val="singleLevel"/>
    <w:tmpl w:val="E1B38B33"/>
    <w:lvl w:ilvl="0" w:tentative="0">
      <w:start w:val="1"/>
      <w:numFmt w:val="decimal"/>
      <w:suff w:val="space"/>
      <w:lvlText w:val="(%1)"/>
      <w:lvlJc w:val="left"/>
      <w:pPr>
        <w:ind w:left="0" w:firstLine="480"/>
      </w:pPr>
      <w:rPr>
        <w:rFonts w:hint="default"/>
      </w:rPr>
    </w:lvl>
  </w:abstractNum>
  <w:abstractNum w:abstractNumId="26">
    <w:nsid w:val="E335130F"/>
    <w:multiLevelType w:val="singleLevel"/>
    <w:tmpl w:val="E335130F"/>
    <w:lvl w:ilvl="0" w:tentative="0">
      <w:start w:val="1"/>
      <w:numFmt w:val="decimal"/>
      <w:suff w:val="nothing"/>
      <w:lvlText w:val="%1. "/>
      <w:lvlJc w:val="left"/>
      <w:pPr>
        <w:tabs>
          <w:tab w:val="left" w:pos="0"/>
        </w:tabs>
        <w:ind w:left="0" w:leftChars="0" w:firstLine="482" w:firstLineChars="0"/>
      </w:pPr>
      <w:rPr>
        <w:rFonts w:hint="default"/>
        <w:b/>
        <w:bCs w:val="0"/>
        <w:sz w:val="24"/>
        <w:szCs w:val="24"/>
      </w:rPr>
    </w:lvl>
  </w:abstractNum>
  <w:abstractNum w:abstractNumId="27">
    <w:nsid w:val="E5162684"/>
    <w:multiLevelType w:val="singleLevel"/>
    <w:tmpl w:val="E5162684"/>
    <w:lvl w:ilvl="0" w:tentative="0">
      <w:start w:val="1"/>
      <w:numFmt w:val="decimal"/>
      <w:suff w:val="space"/>
      <w:lvlText w:val="2.%1"/>
      <w:lvlJc w:val="left"/>
      <w:pPr>
        <w:ind w:left="0" w:firstLine="482"/>
      </w:pPr>
      <w:rPr>
        <w:rFonts w:hint="default"/>
      </w:rPr>
    </w:lvl>
  </w:abstractNum>
  <w:abstractNum w:abstractNumId="28">
    <w:nsid w:val="EA70D92C"/>
    <w:multiLevelType w:val="singleLevel"/>
    <w:tmpl w:val="EA70D92C"/>
    <w:lvl w:ilvl="0" w:tentative="0">
      <w:start w:val="1"/>
      <w:numFmt w:val="decimal"/>
      <w:suff w:val="nothing"/>
      <w:lvlText w:val="（%1）"/>
      <w:lvlJc w:val="left"/>
      <w:pPr>
        <w:tabs>
          <w:tab w:val="left" w:pos="0"/>
        </w:tabs>
        <w:ind w:left="0" w:firstLine="482"/>
      </w:pPr>
      <w:rPr>
        <w:rFonts w:hint="default"/>
      </w:rPr>
    </w:lvl>
  </w:abstractNum>
  <w:abstractNum w:abstractNumId="29">
    <w:nsid w:val="EAF0C68C"/>
    <w:multiLevelType w:val="singleLevel"/>
    <w:tmpl w:val="EAF0C68C"/>
    <w:lvl w:ilvl="0" w:tentative="0">
      <w:start w:val="1"/>
      <w:numFmt w:val="decimal"/>
      <w:suff w:val="space"/>
      <w:lvlText w:val="14.%1"/>
      <w:lvlJc w:val="left"/>
      <w:pPr>
        <w:ind w:left="0" w:firstLine="480"/>
      </w:pPr>
      <w:rPr>
        <w:rFonts w:hint="default"/>
      </w:rPr>
    </w:lvl>
  </w:abstractNum>
  <w:abstractNum w:abstractNumId="30">
    <w:nsid w:val="ED965B8D"/>
    <w:multiLevelType w:val="singleLevel"/>
    <w:tmpl w:val="ED965B8D"/>
    <w:lvl w:ilvl="0" w:tentative="0">
      <w:start w:val="1"/>
      <w:numFmt w:val="decimal"/>
      <w:suff w:val="space"/>
      <w:lvlText w:val="8.%1"/>
      <w:lvlJc w:val="left"/>
      <w:pPr>
        <w:ind w:left="0" w:firstLine="480"/>
      </w:pPr>
      <w:rPr>
        <w:rFonts w:hint="default"/>
      </w:rPr>
    </w:lvl>
  </w:abstractNum>
  <w:abstractNum w:abstractNumId="31">
    <w:nsid w:val="EDDDC54D"/>
    <w:multiLevelType w:val="singleLevel"/>
    <w:tmpl w:val="EDDDC54D"/>
    <w:lvl w:ilvl="0" w:tentative="0">
      <w:start w:val="1"/>
      <w:numFmt w:val="decimal"/>
      <w:suff w:val="nothing"/>
      <w:lvlText w:val="%1. "/>
      <w:lvlJc w:val="left"/>
      <w:pPr>
        <w:tabs>
          <w:tab w:val="left" w:pos="0"/>
        </w:tabs>
        <w:ind w:left="0" w:firstLine="480"/>
      </w:pPr>
      <w:rPr>
        <w:rFonts w:hint="default"/>
      </w:rPr>
    </w:lvl>
  </w:abstractNum>
  <w:abstractNum w:abstractNumId="32">
    <w:nsid w:val="F052341C"/>
    <w:multiLevelType w:val="singleLevel"/>
    <w:tmpl w:val="F052341C"/>
    <w:lvl w:ilvl="0" w:tentative="0">
      <w:start w:val="1"/>
      <w:numFmt w:val="decimal"/>
      <w:suff w:val="space"/>
      <w:lvlText w:val="3.%1"/>
      <w:lvlJc w:val="left"/>
      <w:pPr>
        <w:ind w:left="0" w:firstLine="480"/>
      </w:pPr>
      <w:rPr>
        <w:rFonts w:hint="default"/>
      </w:rPr>
    </w:lvl>
  </w:abstractNum>
  <w:abstractNum w:abstractNumId="33">
    <w:nsid w:val="F2681739"/>
    <w:multiLevelType w:val="singleLevel"/>
    <w:tmpl w:val="F2681739"/>
    <w:lvl w:ilvl="0" w:tentative="0">
      <w:start w:val="1"/>
      <w:numFmt w:val="decimal"/>
      <w:suff w:val="space"/>
      <w:lvlText w:val="7.%1"/>
      <w:lvlJc w:val="left"/>
      <w:pPr>
        <w:ind w:left="0" w:leftChars="0" w:firstLine="482" w:firstLineChars="0"/>
      </w:pPr>
      <w:rPr>
        <w:rFonts w:hint="default"/>
      </w:rPr>
    </w:lvl>
  </w:abstractNum>
  <w:abstractNum w:abstractNumId="34">
    <w:nsid w:val="F42F6DCB"/>
    <w:multiLevelType w:val="singleLevel"/>
    <w:tmpl w:val="F42F6DCB"/>
    <w:lvl w:ilvl="0" w:tentative="0">
      <w:start w:val="1"/>
      <w:numFmt w:val="decimal"/>
      <w:suff w:val="space"/>
      <w:lvlText w:val="%1."/>
      <w:lvlJc w:val="left"/>
      <w:pPr>
        <w:ind w:left="0" w:firstLine="480"/>
      </w:pPr>
      <w:rPr>
        <w:rFonts w:hint="default"/>
      </w:rPr>
    </w:lvl>
  </w:abstractNum>
  <w:abstractNum w:abstractNumId="35">
    <w:nsid w:val="F765F2D2"/>
    <w:multiLevelType w:val="singleLevel"/>
    <w:tmpl w:val="F765F2D2"/>
    <w:lvl w:ilvl="0" w:tentative="0">
      <w:start w:val="1"/>
      <w:numFmt w:val="decimal"/>
      <w:suff w:val="space"/>
      <w:lvlText w:val="%1."/>
      <w:lvlJc w:val="left"/>
      <w:pPr>
        <w:ind w:left="0" w:firstLine="482"/>
      </w:pPr>
      <w:rPr>
        <w:rFonts w:hint="default"/>
      </w:rPr>
    </w:lvl>
  </w:abstractNum>
  <w:abstractNum w:abstractNumId="36">
    <w:nsid w:val="F7667D5D"/>
    <w:multiLevelType w:val="singleLevel"/>
    <w:tmpl w:val="F7667D5D"/>
    <w:lvl w:ilvl="0" w:tentative="0">
      <w:start w:val="1"/>
      <w:numFmt w:val="chineseCounting"/>
      <w:suff w:val="nothing"/>
      <w:lvlText w:val="%1."/>
      <w:lvlJc w:val="left"/>
      <w:pPr>
        <w:ind w:left="0" w:firstLine="420"/>
      </w:pPr>
      <w:rPr>
        <w:rFonts w:hint="eastAsia"/>
      </w:rPr>
    </w:lvl>
  </w:abstractNum>
  <w:abstractNum w:abstractNumId="37">
    <w:nsid w:val="FE2B2BD5"/>
    <w:multiLevelType w:val="singleLevel"/>
    <w:tmpl w:val="FE2B2BD5"/>
    <w:lvl w:ilvl="0" w:tentative="0">
      <w:start w:val="1"/>
      <w:numFmt w:val="decimal"/>
      <w:suff w:val="nothing"/>
      <w:lvlText w:val="%1. "/>
      <w:lvlJc w:val="left"/>
      <w:pPr>
        <w:tabs>
          <w:tab w:val="left" w:pos="0"/>
        </w:tabs>
        <w:ind w:left="0" w:firstLine="480"/>
      </w:pPr>
      <w:rPr>
        <w:rFonts w:hint="default"/>
      </w:rPr>
    </w:lvl>
  </w:abstractNum>
  <w:abstractNum w:abstractNumId="38">
    <w:nsid w:val="02EFCB64"/>
    <w:multiLevelType w:val="singleLevel"/>
    <w:tmpl w:val="02EFCB64"/>
    <w:lvl w:ilvl="0" w:tentative="0">
      <w:start w:val="1"/>
      <w:numFmt w:val="decimal"/>
      <w:suff w:val="nothing"/>
      <w:lvlText w:val="（%1）"/>
      <w:lvlJc w:val="left"/>
      <w:pPr>
        <w:ind w:left="0" w:firstLine="480"/>
      </w:pPr>
      <w:rPr>
        <w:rFonts w:hint="default"/>
      </w:rPr>
    </w:lvl>
  </w:abstractNum>
  <w:abstractNum w:abstractNumId="39">
    <w:nsid w:val="03767851"/>
    <w:multiLevelType w:val="multilevel"/>
    <w:tmpl w:val="03767851"/>
    <w:lvl w:ilvl="0" w:tentative="0">
      <w:start w:val="1"/>
      <w:numFmt w:val="decimal"/>
      <w:pStyle w:val="2"/>
      <w:lvlText w:val="%1."/>
      <w:lvlJc w:val="left"/>
      <w:pPr>
        <w:tabs>
          <w:tab w:val="left" w:pos="482"/>
        </w:tabs>
        <w:ind w:left="0" w:leftChars="0" w:firstLine="482" w:firstLineChars="0"/>
      </w:pPr>
      <w:rPr>
        <w:rFonts w:hint="default"/>
      </w:rPr>
    </w:lvl>
    <w:lvl w:ilvl="1" w:tentative="0">
      <w:start w:val="1"/>
      <w:numFmt w:val="decimal"/>
      <w:pStyle w:val="3"/>
      <w:lvlText w:val="%1.%2."/>
      <w:lvlJc w:val="left"/>
      <w:pPr>
        <w:tabs>
          <w:tab w:val="left" w:pos="482"/>
        </w:tabs>
        <w:ind w:left="1" w:leftChars="0" w:firstLine="481" w:firstLineChars="0"/>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0">
    <w:nsid w:val="07FAF018"/>
    <w:multiLevelType w:val="singleLevel"/>
    <w:tmpl w:val="07FAF018"/>
    <w:lvl w:ilvl="0" w:tentative="0">
      <w:start w:val="1"/>
      <w:numFmt w:val="decimal"/>
      <w:suff w:val="space"/>
      <w:lvlText w:val="36.%1"/>
      <w:lvlJc w:val="left"/>
      <w:pPr>
        <w:ind w:left="0" w:firstLine="480"/>
      </w:pPr>
      <w:rPr>
        <w:rFonts w:hint="default"/>
      </w:rPr>
    </w:lvl>
  </w:abstractNum>
  <w:abstractNum w:abstractNumId="41">
    <w:nsid w:val="09B8ADCC"/>
    <w:multiLevelType w:val="singleLevel"/>
    <w:tmpl w:val="09B8ADCC"/>
    <w:lvl w:ilvl="0" w:tentative="0">
      <w:start w:val="1"/>
      <w:numFmt w:val="decimal"/>
      <w:suff w:val="space"/>
      <w:lvlText w:val="1.%1"/>
      <w:lvlJc w:val="left"/>
      <w:pPr>
        <w:ind w:left="0" w:leftChars="0" w:firstLine="482" w:firstLineChars="0"/>
      </w:pPr>
      <w:rPr>
        <w:rFonts w:hint="default"/>
      </w:rPr>
    </w:lvl>
  </w:abstractNum>
  <w:abstractNum w:abstractNumId="42">
    <w:nsid w:val="09F1EB99"/>
    <w:multiLevelType w:val="singleLevel"/>
    <w:tmpl w:val="09F1EB99"/>
    <w:lvl w:ilvl="0" w:tentative="0">
      <w:start w:val="1"/>
      <w:numFmt w:val="decimal"/>
      <w:suff w:val="space"/>
      <w:lvlText w:val="12.6.%1"/>
      <w:lvlJc w:val="left"/>
      <w:pPr>
        <w:ind w:left="0" w:firstLine="480"/>
      </w:pPr>
      <w:rPr>
        <w:rFonts w:hint="default"/>
      </w:rPr>
    </w:lvl>
  </w:abstractNum>
  <w:abstractNum w:abstractNumId="43">
    <w:nsid w:val="0D2C6E08"/>
    <w:multiLevelType w:val="singleLevel"/>
    <w:tmpl w:val="0D2C6E08"/>
    <w:lvl w:ilvl="0" w:tentative="0">
      <w:start w:val="1"/>
      <w:numFmt w:val="decimal"/>
      <w:suff w:val="nothing"/>
      <w:lvlText w:val="（%1）"/>
      <w:lvlJc w:val="left"/>
      <w:pPr>
        <w:ind w:left="0" w:firstLine="480"/>
      </w:pPr>
      <w:rPr>
        <w:rFonts w:hint="default"/>
      </w:rPr>
    </w:lvl>
  </w:abstractNum>
  <w:abstractNum w:abstractNumId="44">
    <w:nsid w:val="21BE69F5"/>
    <w:multiLevelType w:val="singleLevel"/>
    <w:tmpl w:val="21BE69F5"/>
    <w:lvl w:ilvl="0" w:tentative="0">
      <w:start w:val="1"/>
      <w:numFmt w:val="decimal"/>
      <w:suff w:val="space"/>
      <w:lvlText w:val="21.%1"/>
      <w:lvlJc w:val="left"/>
      <w:pPr>
        <w:ind w:left="0" w:firstLine="480"/>
      </w:pPr>
      <w:rPr>
        <w:rFonts w:hint="default"/>
      </w:rPr>
    </w:lvl>
  </w:abstractNum>
  <w:abstractNum w:abstractNumId="45">
    <w:nsid w:val="22DCB97F"/>
    <w:multiLevelType w:val="singleLevel"/>
    <w:tmpl w:val="22DCB97F"/>
    <w:lvl w:ilvl="0" w:tentative="0">
      <w:start w:val="1"/>
      <w:numFmt w:val="decimal"/>
      <w:suff w:val="nothing"/>
      <w:lvlText w:val="（%1）"/>
      <w:lvlJc w:val="left"/>
      <w:pPr>
        <w:ind w:left="0" w:firstLine="480"/>
      </w:pPr>
      <w:rPr>
        <w:rFonts w:hint="default"/>
      </w:rPr>
    </w:lvl>
  </w:abstractNum>
  <w:abstractNum w:abstractNumId="46">
    <w:nsid w:val="2447F2A1"/>
    <w:multiLevelType w:val="singleLevel"/>
    <w:tmpl w:val="2447F2A1"/>
    <w:lvl w:ilvl="0" w:tentative="0">
      <w:start w:val="1"/>
      <w:numFmt w:val="decimal"/>
      <w:suff w:val="space"/>
      <w:lvlText w:val="%1."/>
      <w:lvlJc w:val="left"/>
      <w:pPr>
        <w:ind w:left="0" w:firstLine="480"/>
      </w:pPr>
      <w:rPr>
        <w:rFonts w:hint="default"/>
      </w:rPr>
    </w:lvl>
  </w:abstractNum>
  <w:abstractNum w:abstractNumId="47">
    <w:nsid w:val="2746D145"/>
    <w:multiLevelType w:val="singleLevel"/>
    <w:tmpl w:val="2746D145"/>
    <w:lvl w:ilvl="0" w:tentative="0">
      <w:start w:val="1"/>
      <w:numFmt w:val="decimal"/>
      <w:suff w:val="nothing"/>
      <w:lvlText w:val="%1. "/>
      <w:lvlJc w:val="left"/>
      <w:pPr>
        <w:tabs>
          <w:tab w:val="left" w:pos="0"/>
        </w:tabs>
        <w:ind w:left="0" w:firstLine="480"/>
      </w:pPr>
      <w:rPr>
        <w:rFonts w:hint="default"/>
        <w:b/>
      </w:rPr>
    </w:lvl>
  </w:abstractNum>
  <w:abstractNum w:abstractNumId="48">
    <w:nsid w:val="2FCA2ACE"/>
    <w:multiLevelType w:val="singleLevel"/>
    <w:tmpl w:val="2FCA2ACE"/>
    <w:lvl w:ilvl="0" w:tentative="0">
      <w:start w:val="1"/>
      <w:numFmt w:val="decimal"/>
      <w:suff w:val="nothing"/>
      <w:lvlText w:val="（%1）"/>
      <w:lvlJc w:val="left"/>
      <w:pPr>
        <w:ind w:left="0" w:firstLine="480"/>
      </w:pPr>
      <w:rPr>
        <w:rFonts w:hint="default"/>
      </w:rPr>
    </w:lvl>
  </w:abstractNum>
  <w:abstractNum w:abstractNumId="49">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0">
    <w:nsid w:val="36E42A3A"/>
    <w:multiLevelType w:val="singleLevel"/>
    <w:tmpl w:val="36E42A3A"/>
    <w:lvl w:ilvl="0" w:tentative="0">
      <w:start w:val="1"/>
      <w:numFmt w:val="decimal"/>
      <w:suff w:val="nothing"/>
      <w:lvlText w:val="%1."/>
      <w:lvlJc w:val="left"/>
      <w:pPr>
        <w:tabs>
          <w:tab w:val="left" w:pos="0"/>
        </w:tabs>
        <w:ind w:left="0" w:firstLine="480"/>
      </w:pPr>
      <w:rPr>
        <w:rFonts w:hint="default"/>
      </w:rPr>
    </w:lvl>
  </w:abstractNum>
  <w:abstractNum w:abstractNumId="51">
    <w:nsid w:val="3BD9EDB1"/>
    <w:multiLevelType w:val="singleLevel"/>
    <w:tmpl w:val="3BD9EDB1"/>
    <w:lvl w:ilvl="0" w:tentative="0">
      <w:start w:val="1"/>
      <w:numFmt w:val="decimal"/>
      <w:suff w:val="nothing"/>
      <w:lvlText w:val="（%1）"/>
      <w:lvlJc w:val="left"/>
      <w:pPr>
        <w:ind w:left="0" w:firstLine="480"/>
      </w:pPr>
      <w:rPr>
        <w:rFonts w:hint="default"/>
      </w:rPr>
    </w:lvl>
  </w:abstractNum>
  <w:abstractNum w:abstractNumId="52">
    <w:nsid w:val="3E31E9E1"/>
    <w:multiLevelType w:val="singleLevel"/>
    <w:tmpl w:val="3E31E9E1"/>
    <w:lvl w:ilvl="0" w:tentative="0">
      <w:start w:val="1"/>
      <w:numFmt w:val="decimal"/>
      <w:suff w:val="nothing"/>
      <w:lvlText w:val="%1."/>
      <w:lvlJc w:val="left"/>
      <w:pPr>
        <w:tabs>
          <w:tab w:val="left" w:pos="0"/>
        </w:tabs>
        <w:ind w:left="0" w:firstLine="480"/>
      </w:pPr>
      <w:rPr>
        <w:rFonts w:hint="default"/>
        <w:b w:val="0"/>
        <w:bCs w:val="0"/>
      </w:rPr>
    </w:lvl>
  </w:abstractNum>
  <w:abstractNum w:abstractNumId="53">
    <w:nsid w:val="3F611767"/>
    <w:multiLevelType w:val="singleLevel"/>
    <w:tmpl w:val="3F611767"/>
    <w:lvl w:ilvl="0" w:tentative="0">
      <w:start w:val="1"/>
      <w:numFmt w:val="decimal"/>
      <w:suff w:val="nothing"/>
      <w:lvlText w:val="%1. "/>
      <w:lvlJc w:val="left"/>
      <w:pPr>
        <w:tabs>
          <w:tab w:val="left" w:pos="0"/>
        </w:tabs>
        <w:ind w:left="0" w:firstLine="480"/>
      </w:pPr>
      <w:rPr>
        <w:rFonts w:hint="default"/>
      </w:rPr>
    </w:lvl>
  </w:abstractNum>
  <w:abstractNum w:abstractNumId="54">
    <w:nsid w:val="40E998DF"/>
    <w:multiLevelType w:val="singleLevel"/>
    <w:tmpl w:val="40E998DF"/>
    <w:lvl w:ilvl="0" w:tentative="0">
      <w:start w:val="1"/>
      <w:numFmt w:val="decimal"/>
      <w:suff w:val="nothing"/>
      <w:lvlText w:val="（%1）"/>
      <w:lvlJc w:val="left"/>
      <w:pPr>
        <w:ind w:left="0" w:firstLine="480"/>
      </w:pPr>
      <w:rPr>
        <w:rFonts w:hint="default"/>
      </w:rPr>
    </w:lvl>
  </w:abstractNum>
  <w:abstractNum w:abstractNumId="55">
    <w:nsid w:val="468CBC6E"/>
    <w:multiLevelType w:val="singleLevel"/>
    <w:tmpl w:val="468CBC6E"/>
    <w:lvl w:ilvl="0" w:tentative="0">
      <w:start w:val="1"/>
      <w:numFmt w:val="decimal"/>
      <w:suff w:val="space"/>
      <w:lvlText w:val="19.4.%1"/>
      <w:lvlJc w:val="left"/>
      <w:pPr>
        <w:ind w:left="0" w:firstLine="480"/>
      </w:pPr>
      <w:rPr>
        <w:rFonts w:hint="default"/>
      </w:rPr>
    </w:lvl>
  </w:abstractNum>
  <w:abstractNum w:abstractNumId="56">
    <w:nsid w:val="480E6E67"/>
    <w:multiLevelType w:val="singleLevel"/>
    <w:tmpl w:val="480E6E67"/>
    <w:lvl w:ilvl="0" w:tentative="0">
      <w:start w:val="1"/>
      <w:numFmt w:val="decimal"/>
      <w:suff w:val="space"/>
      <w:lvlText w:val="3.%1"/>
      <w:lvlJc w:val="left"/>
      <w:pPr>
        <w:ind w:left="0" w:firstLine="480"/>
      </w:pPr>
      <w:rPr>
        <w:rFonts w:hint="default"/>
      </w:rPr>
    </w:lvl>
  </w:abstractNum>
  <w:abstractNum w:abstractNumId="57">
    <w:nsid w:val="4A26B461"/>
    <w:multiLevelType w:val="singleLevel"/>
    <w:tmpl w:val="4A26B461"/>
    <w:lvl w:ilvl="0" w:tentative="0">
      <w:start w:val="1"/>
      <w:numFmt w:val="decimal"/>
      <w:suff w:val="nothing"/>
      <w:lvlText w:val="(%1). "/>
      <w:lvlJc w:val="left"/>
      <w:pPr>
        <w:ind w:left="0" w:firstLine="482"/>
      </w:pPr>
      <w:rPr>
        <w:rFonts w:hint="default"/>
        <w:b w:val="0"/>
        <w:bCs w:val="0"/>
      </w:rPr>
    </w:lvl>
  </w:abstractNum>
  <w:abstractNum w:abstractNumId="58">
    <w:nsid w:val="4DF39DAD"/>
    <w:multiLevelType w:val="singleLevel"/>
    <w:tmpl w:val="4DF39DAD"/>
    <w:lvl w:ilvl="0" w:tentative="0">
      <w:start w:val="1"/>
      <w:numFmt w:val="decimal"/>
      <w:suff w:val="space"/>
      <w:lvlText w:val="12.%1"/>
      <w:lvlJc w:val="left"/>
      <w:pPr>
        <w:ind w:left="0" w:firstLine="480"/>
      </w:pPr>
      <w:rPr>
        <w:rFonts w:hint="default"/>
      </w:rPr>
    </w:lvl>
  </w:abstractNum>
  <w:abstractNum w:abstractNumId="59">
    <w:nsid w:val="4EDE93C4"/>
    <w:multiLevelType w:val="singleLevel"/>
    <w:tmpl w:val="4EDE93C4"/>
    <w:lvl w:ilvl="0" w:tentative="0">
      <w:start w:val="1"/>
      <w:numFmt w:val="decimal"/>
      <w:suff w:val="nothing"/>
      <w:lvlText w:val="（%1）"/>
      <w:lvlJc w:val="left"/>
      <w:pPr>
        <w:ind w:left="0" w:firstLine="480"/>
      </w:pPr>
      <w:rPr>
        <w:rFonts w:hint="default"/>
      </w:rPr>
    </w:lvl>
  </w:abstractNum>
  <w:abstractNum w:abstractNumId="60">
    <w:nsid w:val="5032CC1E"/>
    <w:multiLevelType w:val="singleLevel"/>
    <w:tmpl w:val="5032CC1E"/>
    <w:lvl w:ilvl="0" w:tentative="0">
      <w:start w:val="1"/>
      <w:numFmt w:val="decimal"/>
      <w:suff w:val="nothing"/>
      <w:lvlText w:val="（%1）"/>
      <w:lvlJc w:val="left"/>
      <w:pPr>
        <w:ind w:left="0" w:firstLine="480"/>
      </w:pPr>
      <w:rPr>
        <w:rFonts w:hint="default"/>
      </w:rPr>
    </w:lvl>
  </w:abstractNum>
  <w:abstractNum w:abstractNumId="61">
    <w:nsid w:val="537C70D1"/>
    <w:multiLevelType w:val="singleLevel"/>
    <w:tmpl w:val="537C70D1"/>
    <w:lvl w:ilvl="0" w:tentative="0">
      <w:start w:val="1"/>
      <w:numFmt w:val="decimal"/>
      <w:suff w:val="space"/>
      <w:lvlText w:val="14.1.%1."/>
      <w:lvlJc w:val="left"/>
      <w:pPr>
        <w:ind w:left="0" w:firstLine="480"/>
      </w:pPr>
      <w:rPr>
        <w:rFonts w:hint="default"/>
      </w:rPr>
    </w:lvl>
  </w:abstractNum>
  <w:abstractNum w:abstractNumId="62">
    <w:nsid w:val="5760F9C8"/>
    <w:multiLevelType w:val="singleLevel"/>
    <w:tmpl w:val="5760F9C8"/>
    <w:lvl w:ilvl="0" w:tentative="0">
      <w:start w:val="1"/>
      <w:numFmt w:val="decimal"/>
      <w:suff w:val="nothing"/>
      <w:lvlText w:val="（%1）"/>
      <w:lvlJc w:val="left"/>
      <w:pPr>
        <w:ind w:left="0" w:firstLine="480"/>
      </w:pPr>
      <w:rPr>
        <w:rFonts w:hint="default"/>
      </w:rPr>
    </w:lvl>
  </w:abstractNum>
  <w:abstractNum w:abstractNumId="63">
    <w:nsid w:val="5E524C31"/>
    <w:multiLevelType w:val="singleLevel"/>
    <w:tmpl w:val="5E524C31"/>
    <w:lvl w:ilvl="0" w:tentative="0">
      <w:start w:val="1"/>
      <w:numFmt w:val="decimal"/>
      <w:suff w:val="space"/>
      <w:lvlText w:val="%1."/>
      <w:lvlJc w:val="left"/>
      <w:pPr>
        <w:ind w:left="0" w:firstLine="482"/>
      </w:pPr>
      <w:rPr>
        <w:rFonts w:hint="default"/>
      </w:rPr>
    </w:lvl>
  </w:abstractNum>
  <w:abstractNum w:abstractNumId="64">
    <w:nsid w:val="6A979656"/>
    <w:multiLevelType w:val="singleLevel"/>
    <w:tmpl w:val="6A979656"/>
    <w:lvl w:ilvl="0" w:tentative="0">
      <w:start w:val="1"/>
      <w:numFmt w:val="chineseCounting"/>
      <w:suff w:val="nothing"/>
      <w:lvlText w:val="%1."/>
      <w:lvlJc w:val="left"/>
      <w:pPr>
        <w:tabs>
          <w:tab w:val="left" w:pos="0"/>
        </w:tabs>
        <w:ind w:left="0" w:firstLine="0"/>
      </w:pPr>
      <w:rPr>
        <w:rFonts w:hint="eastAsia"/>
      </w:rPr>
    </w:lvl>
  </w:abstractNum>
  <w:abstractNum w:abstractNumId="65">
    <w:nsid w:val="6CAE66C9"/>
    <w:multiLevelType w:val="singleLevel"/>
    <w:tmpl w:val="6CAE66C9"/>
    <w:lvl w:ilvl="0" w:tentative="0">
      <w:start w:val="1"/>
      <w:numFmt w:val="chineseCounting"/>
      <w:suff w:val="space"/>
      <w:lvlText w:val="%1 ."/>
      <w:lvlJc w:val="left"/>
      <w:pPr>
        <w:tabs>
          <w:tab w:val="left" w:pos="0"/>
        </w:tabs>
        <w:ind w:left="0" w:firstLine="480"/>
      </w:pPr>
      <w:rPr>
        <w:rFonts w:hint="eastAsia" w:ascii="宋体" w:hAnsi="宋体" w:eastAsia="宋体" w:cs="宋体"/>
        <w:b/>
        <w:bCs/>
      </w:rPr>
    </w:lvl>
  </w:abstractNum>
  <w:abstractNum w:abstractNumId="66">
    <w:nsid w:val="7982956F"/>
    <w:multiLevelType w:val="singleLevel"/>
    <w:tmpl w:val="7982956F"/>
    <w:lvl w:ilvl="0" w:tentative="0">
      <w:start w:val="1"/>
      <w:numFmt w:val="decimal"/>
      <w:suff w:val="space"/>
      <w:lvlText w:val="%1."/>
      <w:lvlJc w:val="left"/>
      <w:pPr>
        <w:ind w:left="0" w:firstLine="480"/>
      </w:pPr>
      <w:rPr>
        <w:rFonts w:hint="default"/>
      </w:rPr>
    </w:lvl>
  </w:abstractNum>
  <w:abstractNum w:abstractNumId="67">
    <w:nsid w:val="7BFD9D05"/>
    <w:multiLevelType w:val="singleLevel"/>
    <w:tmpl w:val="7BFD9D05"/>
    <w:lvl w:ilvl="0" w:tentative="0">
      <w:start w:val="1"/>
      <w:numFmt w:val="decimal"/>
      <w:suff w:val="space"/>
      <w:lvlText w:val="19.%1"/>
      <w:lvlJc w:val="left"/>
      <w:pPr>
        <w:tabs>
          <w:tab w:val="left" w:pos="0"/>
        </w:tabs>
        <w:ind w:left="0" w:firstLine="482"/>
      </w:pPr>
      <w:rPr>
        <w:rFonts w:hint="default"/>
      </w:rPr>
    </w:lvl>
  </w:abstractNum>
  <w:abstractNum w:abstractNumId="68">
    <w:nsid w:val="7C11AAE5"/>
    <w:multiLevelType w:val="singleLevel"/>
    <w:tmpl w:val="7C11AAE5"/>
    <w:lvl w:ilvl="0" w:tentative="0">
      <w:start w:val="2"/>
      <w:numFmt w:val="decimal"/>
      <w:suff w:val="nothing"/>
      <w:lvlText w:val="（%1）"/>
      <w:lvlJc w:val="left"/>
      <w:pPr>
        <w:ind w:left="0" w:firstLine="480"/>
      </w:pPr>
      <w:rPr>
        <w:rFonts w:hint="default"/>
      </w:rPr>
    </w:lvl>
  </w:abstractNum>
  <w:abstractNum w:abstractNumId="69">
    <w:nsid w:val="7D57EEDD"/>
    <w:multiLevelType w:val="singleLevel"/>
    <w:tmpl w:val="7D57EEDD"/>
    <w:lvl w:ilvl="0" w:tentative="0">
      <w:start w:val="1"/>
      <w:numFmt w:val="chineseCounting"/>
      <w:suff w:val="nothing"/>
      <w:lvlText w:val="%1．"/>
      <w:lvlJc w:val="left"/>
      <w:pPr>
        <w:ind w:left="420" w:firstLine="0"/>
      </w:pPr>
      <w:rPr>
        <w:rFonts w:hint="eastAsia"/>
      </w:rPr>
    </w:lvl>
  </w:abstractNum>
  <w:abstractNum w:abstractNumId="70">
    <w:nsid w:val="7F4FB7F8"/>
    <w:multiLevelType w:val="singleLevel"/>
    <w:tmpl w:val="7F4FB7F8"/>
    <w:lvl w:ilvl="0" w:tentative="0">
      <w:start w:val="1"/>
      <w:numFmt w:val="chineseCounting"/>
      <w:suff w:val="space"/>
      <w:lvlText w:val="第%1章"/>
      <w:lvlJc w:val="left"/>
      <w:pPr>
        <w:tabs>
          <w:tab w:val="left" w:pos="0"/>
        </w:tabs>
        <w:ind w:left="0" w:firstLine="0"/>
      </w:pPr>
      <w:rPr>
        <w:rFonts w:hint="eastAsia"/>
      </w:rPr>
    </w:lvl>
  </w:abstractNum>
  <w:num w:numId="1">
    <w:abstractNumId w:val="39"/>
  </w:num>
  <w:num w:numId="2">
    <w:abstractNumId w:val="70"/>
  </w:num>
  <w:num w:numId="3">
    <w:abstractNumId w:val="69"/>
  </w:num>
  <w:num w:numId="4">
    <w:abstractNumId w:val="15"/>
  </w:num>
  <w:num w:numId="5">
    <w:abstractNumId w:val="32"/>
  </w:num>
  <w:num w:numId="6">
    <w:abstractNumId w:val="34"/>
  </w:num>
  <w:num w:numId="7">
    <w:abstractNumId w:val="68"/>
  </w:num>
  <w:num w:numId="8">
    <w:abstractNumId w:val="45"/>
  </w:num>
  <w:num w:numId="9">
    <w:abstractNumId w:val="10"/>
  </w:num>
  <w:num w:numId="10">
    <w:abstractNumId w:val="64"/>
  </w:num>
  <w:num w:numId="11">
    <w:abstractNumId w:val="63"/>
  </w:num>
  <w:num w:numId="12">
    <w:abstractNumId w:val="41"/>
  </w:num>
  <w:num w:numId="13">
    <w:abstractNumId w:val="27"/>
  </w:num>
  <w:num w:numId="14">
    <w:abstractNumId w:val="56"/>
  </w:num>
  <w:num w:numId="15">
    <w:abstractNumId w:val="54"/>
  </w:num>
  <w:num w:numId="16">
    <w:abstractNumId w:val="5"/>
  </w:num>
  <w:num w:numId="17">
    <w:abstractNumId w:val="8"/>
  </w:num>
  <w:num w:numId="18">
    <w:abstractNumId w:val="33"/>
  </w:num>
  <w:num w:numId="19">
    <w:abstractNumId w:val="30"/>
  </w:num>
  <w:num w:numId="20">
    <w:abstractNumId w:val="6"/>
  </w:num>
  <w:num w:numId="21">
    <w:abstractNumId w:val="11"/>
  </w:num>
  <w:num w:numId="22">
    <w:abstractNumId w:val="43"/>
  </w:num>
  <w:num w:numId="23">
    <w:abstractNumId w:val="7"/>
  </w:num>
  <w:num w:numId="24">
    <w:abstractNumId w:val="16"/>
  </w:num>
  <w:num w:numId="25">
    <w:abstractNumId w:val="58"/>
  </w:num>
  <w:num w:numId="26">
    <w:abstractNumId w:val="42"/>
  </w:num>
  <w:num w:numId="27">
    <w:abstractNumId w:val="29"/>
  </w:num>
  <w:num w:numId="28">
    <w:abstractNumId w:val="61"/>
  </w:num>
  <w:num w:numId="29">
    <w:abstractNumId w:val="1"/>
  </w:num>
  <w:num w:numId="30">
    <w:abstractNumId w:val="21"/>
  </w:num>
  <w:num w:numId="31">
    <w:abstractNumId w:val="3"/>
  </w:num>
  <w:num w:numId="32">
    <w:abstractNumId w:val="67"/>
  </w:num>
  <w:num w:numId="33">
    <w:abstractNumId w:val="55"/>
  </w:num>
  <w:num w:numId="34">
    <w:abstractNumId w:val="46"/>
  </w:num>
  <w:num w:numId="35">
    <w:abstractNumId w:val="14"/>
  </w:num>
  <w:num w:numId="36">
    <w:abstractNumId w:val="9"/>
  </w:num>
  <w:num w:numId="37">
    <w:abstractNumId w:val="44"/>
  </w:num>
  <w:num w:numId="38">
    <w:abstractNumId w:val="18"/>
  </w:num>
  <w:num w:numId="39">
    <w:abstractNumId w:val="38"/>
  </w:num>
  <w:num w:numId="40">
    <w:abstractNumId w:val="60"/>
  </w:num>
  <w:num w:numId="41">
    <w:abstractNumId w:val="0"/>
  </w:num>
  <w:num w:numId="42">
    <w:abstractNumId w:val="40"/>
  </w:num>
  <w:num w:numId="43">
    <w:abstractNumId w:val="48"/>
  </w:num>
  <w:num w:numId="44">
    <w:abstractNumId w:val="62"/>
  </w:num>
  <w:num w:numId="45">
    <w:abstractNumId w:val="24"/>
  </w:num>
  <w:num w:numId="46">
    <w:abstractNumId w:val="12"/>
  </w:num>
  <w:num w:numId="47">
    <w:abstractNumId w:val="35"/>
  </w:num>
  <w:num w:numId="48">
    <w:abstractNumId w:val="22"/>
  </w:num>
  <w:num w:numId="49">
    <w:abstractNumId w:val="19"/>
  </w:num>
  <w:num w:numId="50">
    <w:abstractNumId w:val="59"/>
  </w:num>
  <w:num w:numId="51">
    <w:abstractNumId w:val="52"/>
  </w:num>
  <w:num w:numId="52">
    <w:abstractNumId w:val="4"/>
  </w:num>
  <w:num w:numId="53">
    <w:abstractNumId w:val="50"/>
  </w:num>
  <w:num w:numId="54">
    <w:abstractNumId w:val="2"/>
  </w:num>
  <w:num w:numId="55">
    <w:abstractNumId w:val="66"/>
  </w:num>
  <w:num w:numId="56">
    <w:abstractNumId w:val="23"/>
  </w:num>
  <w:num w:numId="57">
    <w:abstractNumId w:val="57"/>
  </w:num>
  <w:num w:numId="58">
    <w:abstractNumId w:val="26"/>
  </w:num>
  <w:num w:numId="59">
    <w:abstractNumId w:val="13"/>
  </w:num>
  <w:num w:numId="60">
    <w:abstractNumId w:val="17"/>
  </w:num>
  <w:num w:numId="61">
    <w:abstractNumId w:val="51"/>
  </w:num>
  <w:num w:numId="62">
    <w:abstractNumId w:val="31"/>
  </w:num>
  <w:num w:numId="63">
    <w:abstractNumId w:val="53"/>
  </w:num>
  <w:num w:numId="64">
    <w:abstractNumId w:val="28"/>
  </w:num>
  <w:num w:numId="65">
    <w:abstractNumId w:val="49"/>
  </w:num>
  <w:num w:numId="66">
    <w:abstractNumId w:val="25"/>
  </w:num>
  <w:num w:numId="67">
    <w:abstractNumId w:val="20"/>
  </w:num>
  <w:num w:numId="68">
    <w:abstractNumId w:val="37"/>
  </w:num>
  <w:num w:numId="69">
    <w:abstractNumId w:val="47"/>
  </w:num>
  <w:num w:numId="70">
    <w:abstractNumId w:val="65"/>
  </w:num>
  <w:num w:numId="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B57E3"/>
    <w:rsid w:val="003036C0"/>
    <w:rsid w:val="01BD17FD"/>
    <w:rsid w:val="036B4C28"/>
    <w:rsid w:val="0577737D"/>
    <w:rsid w:val="05E97159"/>
    <w:rsid w:val="06306C83"/>
    <w:rsid w:val="0683519D"/>
    <w:rsid w:val="093B5B33"/>
    <w:rsid w:val="0C3B4CA0"/>
    <w:rsid w:val="0CCA2457"/>
    <w:rsid w:val="0CE340E1"/>
    <w:rsid w:val="0D0767C2"/>
    <w:rsid w:val="0DA768B9"/>
    <w:rsid w:val="117417AC"/>
    <w:rsid w:val="12300775"/>
    <w:rsid w:val="14AC5473"/>
    <w:rsid w:val="158A15A6"/>
    <w:rsid w:val="1ACE33CB"/>
    <w:rsid w:val="1B185594"/>
    <w:rsid w:val="1E1A5386"/>
    <w:rsid w:val="1F2B3A62"/>
    <w:rsid w:val="21F72DBD"/>
    <w:rsid w:val="23205984"/>
    <w:rsid w:val="257C2FD6"/>
    <w:rsid w:val="260020ED"/>
    <w:rsid w:val="2D084EBB"/>
    <w:rsid w:val="31B832E9"/>
    <w:rsid w:val="38614D91"/>
    <w:rsid w:val="3B2A1AA2"/>
    <w:rsid w:val="3BBD7D90"/>
    <w:rsid w:val="3D8348B6"/>
    <w:rsid w:val="3E582682"/>
    <w:rsid w:val="40776973"/>
    <w:rsid w:val="45BD72FE"/>
    <w:rsid w:val="46C655B1"/>
    <w:rsid w:val="493269BD"/>
    <w:rsid w:val="4C0076E4"/>
    <w:rsid w:val="513C1D62"/>
    <w:rsid w:val="599975CF"/>
    <w:rsid w:val="60E16FD7"/>
    <w:rsid w:val="6191272F"/>
    <w:rsid w:val="624D42BE"/>
    <w:rsid w:val="630930CF"/>
    <w:rsid w:val="667B57E3"/>
    <w:rsid w:val="6A6534F3"/>
    <w:rsid w:val="6AE8196A"/>
    <w:rsid w:val="6D0B6212"/>
    <w:rsid w:val="73F844DE"/>
    <w:rsid w:val="746D637A"/>
    <w:rsid w:val="74E01648"/>
    <w:rsid w:val="7C4A4A2C"/>
    <w:rsid w:val="7F49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val="0"/>
      <w:keepLines w:val="0"/>
      <w:widowControl w:val="0"/>
      <w:numPr>
        <w:ilvl w:val="0"/>
        <w:numId w:val="1"/>
      </w:numPr>
      <w:spacing w:before="240" w:beforeLines="0" w:after="120" w:line="360" w:lineRule="auto"/>
      <w:ind w:left="0" w:firstLine="482"/>
      <w:jc w:val="left"/>
      <w:outlineLvl w:val="0"/>
    </w:pPr>
    <w:rPr>
      <w:rFonts w:ascii="宋体" w:hAnsi="宋体" w:eastAsia="宋体" w:cs="宋体"/>
      <w:b/>
      <w:bCs/>
      <w:kern w:val="44"/>
      <w:sz w:val="24"/>
      <w:szCs w:val="30"/>
    </w:rPr>
  </w:style>
  <w:style w:type="paragraph" w:styleId="3">
    <w:name w:val="heading 2"/>
    <w:next w:val="1"/>
    <w:qFormat/>
    <w:uiPriority w:val="9"/>
    <w:pPr>
      <w:keepNext w:val="0"/>
      <w:keepLines w:val="0"/>
      <w:widowControl w:val="0"/>
      <w:numPr>
        <w:ilvl w:val="1"/>
        <w:numId w:val="1"/>
      </w:numPr>
      <w:spacing w:before="120" w:beforeAutospacing="0" w:after="120" w:afterAutospacing="0" w:line="360" w:lineRule="auto"/>
      <w:ind w:left="1" w:firstLine="481"/>
      <w:jc w:val="left"/>
      <w:outlineLvl w:val="1"/>
    </w:pPr>
    <w:rPr>
      <w:rFonts w:ascii="Times New Roman" w:hAnsi="Times New Roman" w:eastAsia="宋体" w:cs="Times New Roman"/>
      <w:b/>
      <w:sz w:val="24"/>
    </w:rPr>
  </w:style>
  <w:style w:type="paragraph" w:styleId="4">
    <w:name w:val="heading 3"/>
    <w:next w:val="1"/>
    <w:qFormat/>
    <w:uiPriority w:val="0"/>
    <w:pPr>
      <w:keepNext w:val="0"/>
      <w:keepLines w:val="0"/>
      <w:widowControl w:val="0"/>
      <w:numPr>
        <w:ilvl w:val="2"/>
        <w:numId w:val="1"/>
      </w:numPr>
      <w:spacing w:before="120" w:beforeAutospacing="0" w:after="120" w:afterAutospacing="0" w:line="360" w:lineRule="auto"/>
      <w:ind w:left="720" w:hanging="720"/>
      <w:jc w:val="left"/>
      <w:outlineLvl w:val="2"/>
    </w:pPr>
    <w:rPr>
      <w:rFonts w:ascii="Times New Roman" w:hAnsi="Times New Roman" w:eastAsia="宋体" w:cs="Times New Roman"/>
      <w:b/>
      <w:sz w:val="24"/>
    </w:rPr>
  </w:style>
  <w:style w:type="paragraph" w:styleId="5">
    <w:name w:val="heading 4"/>
    <w:next w:val="1"/>
    <w:qFormat/>
    <w:uiPriority w:val="0"/>
    <w:pPr>
      <w:keepNext w:val="0"/>
      <w:keepLines w:val="0"/>
      <w:widowControl w:val="0"/>
      <w:numPr>
        <w:ilvl w:val="3"/>
        <w:numId w:val="1"/>
      </w:numPr>
      <w:spacing w:before="120" w:beforeAutospacing="0" w:after="120" w:afterAutospacing="0" w:line="360" w:lineRule="auto"/>
      <w:ind w:left="864" w:hanging="864"/>
      <w:outlineLvl w:val="3"/>
    </w:pPr>
    <w:rPr>
      <w:rFonts w:ascii="Times New Roman" w:hAnsi="Times New Roman" w:eastAsia="宋体" w:cs="Times New Roman"/>
      <w:b/>
      <w:sz w:val="24"/>
    </w:rPr>
  </w:style>
  <w:style w:type="paragraph" w:styleId="6">
    <w:name w:val="heading 5"/>
    <w:next w:val="1"/>
    <w:qFormat/>
    <w:uiPriority w:val="0"/>
    <w:pPr>
      <w:keepNext w:val="0"/>
      <w:keepLines w:val="0"/>
      <w:widowControl w:val="0"/>
      <w:numPr>
        <w:ilvl w:val="4"/>
        <w:numId w:val="1"/>
      </w:numPr>
      <w:spacing w:beforeLines="0" w:beforeAutospacing="0" w:after="120" w:afterLines="0" w:afterAutospacing="0" w:line="300" w:lineRule="auto"/>
      <w:ind w:left="1008" w:hanging="1008"/>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numPr>
        <w:ilvl w:val="5"/>
        <w:numId w:val="1"/>
      </w:numPr>
      <w:spacing w:beforeLines="0" w:beforeAutospacing="0" w:after="120" w:afterLines="0" w:afterAutospacing="0" w:line="300" w:lineRule="auto"/>
      <w:ind w:left="1151" w:hanging="1151"/>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numPr>
        <w:ilvl w:val="6"/>
        <w:numId w:val="1"/>
      </w:numPr>
      <w:spacing w:beforeLines="0" w:beforeAutospacing="0" w:after="120" w:afterLines="0" w:afterAutospacing="0" w:line="300" w:lineRule="auto"/>
      <w:ind w:left="1296" w:hanging="1296"/>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numPr>
        <w:ilvl w:val="7"/>
        <w:numId w:val="1"/>
      </w:numPr>
      <w:spacing w:beforeLines="0" w:beforeAutospacing="0" w:after="120" w:afterLines="0" w:afterAutospacing="0" w:line="300" w:lineRule="auto"/>
      <w:ind w:left="1440" w:hanging="1440"/>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numPr>
        <w:ilvl w:val="8"/>
        <w:numId w:val="1"/>
      </w:numPr>
      <w:spacing w:beforeLines="0" w:beforeAutospacing="0" w:after="120" w:afterLines="0" w:afterAutospacing="0" w:line="300" w:lineRule="auto"/>
      <w:ind w:left="1583" w:hanging="1583"/>
      <w:jc w:val="left"/>
      <w:outlineLvl w:val="8"/>
    </w:pPr>
    <w:rPr>
      <w:rFonts w:ascii="Times New Roman" w:hAnsi="Times New Roman" w:eastAsia="宋体" w:cs="Times New Roman"/>
      <w:sz w:val="24"/>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1">
    <w:name w:val="Body Text"/>
    <w:next w:val="12"/>
    <w:unhideWhenUsed/>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First Indent"/>
    <w:basedOn w:val="11"/>
    <w:next w:val="13"/>
    <w:qFormat/>
    <w:uiPriority w:val="0"/>
    <w:pPr>
      <w:ind w:firstLine="420" w:firstLineChars="100"/>
    </w:pPr>
    <w:rPr>
      <w:rFonts w:ascii="宋体" w:hAnsi="Courier New"/>
      <w:kern w:val="0"/>
      <w:sz w:val="20"/>
      <w:szCs w:val="21"/>
    </w:rPr>
  </w:style>
  <w:style w:type="paragraph" w:styleId="13">
    <w:name w:val="toc 6"/>
    <w:basedOn w:val="1"/>
    <w:next w:val="1"/>
    <w:unhideWhenUsed/>
    <w:qFormat/>
    <w:uiPriority w:val="39"/>
    <w:pPr>
      <w:ind w:left="2100" w:leftChars="1000"/>
    </w:pPr>
    <w:rPr>
      <w:rFonts w:ascii="Calibri" w:hAnsi="Calibri"/>
      <w:szCs w:val="22"/>
    </w:rPr>
  </w:style>
  <w:style w:type="paragraph" w:styleId="14">
    <w:name w:val="Body Text Indent"/>
    <w:basedOn w:val="1"/>
    <w:qFormat/>
    <w:uiPriority w:val="0"/>
    <w:pPr>
      <w:ind w:firstLine="830" w:firstLineChars="352"/>
    </w:pPr>
    <w:rPr>
      <w:rFonts w:ascii="仿宋_GB2312" w:eastAsia="仿宋_GB2312"/>
      <w:kern w:val="0"/>
      <w:sz w:val="32"/>
      <w:szCs w:val="20"/>
    </w:rPr>
  </w:style>
  <w:style w:type="paragraph" w:styleId="15">
    <w:name w:val="Plain Text"/>
    <w:basedOn w:val="1"/>
    <w:next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9">
    <w:name w:val="toc 2"/>
    <w:basedOn w:val="1"/>
    <w:next w:val="1"/>
    <w:unhideWhenUsed/>
    <w:qFormat/>
    <w:uiPriority w:val="39"/>
    <w:pPr>
      <w:tabs>
        <w:tab w:val="right" w:leader="dot" w:pos="8450"/>
      </w:tabs>
      <w:ind w:left="420" w:leftChars="200"/>
    </w:pPr>
  </w:style>
  <w:style w:type="paragraph" w:styleId="20">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21">
    <w:name w:val="Body Text First Indent 2"/>
    <w:basedOn w:val="14"/>
    <w:unhideWhenUsed/>
    <w:qFormat/>
    <w:uiPriority w:val="99"/>
    <w:pPr>
      <w:ind w:firstLine="420" w:firstLineChars="200"/>
    </w:pPr>
  </w:style>
  <w:style w:type="character" w:styleId="24">
    <w:name w:val="page number"/>
    <w:qFormat/>
    <w:uiPriority w:val="0"/>
  </w:style>
  <w:style w:type="character" w:styleId="25">
    <w:name w:val="Hyperlink"/>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图表内容"/>
    <w:qFormat/>
    <w:uiPriority w:val="0"/>
    <w:pPr>
      <w:jc w:val="center"/>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表格文字"/>
    <w:basedOn w:val="14"/>
    <w:next w:val="11"/>
    <w:qFormat/>
    <w:uiPriority w:val="0"/>
    <w:pPr>
      <w:spacing w:before="25" w:after="25"/>
      <w:jc w:val="left"/>
    </w:pPr>
    <w:rPr>
      <w:bCs/>
      <w:spacing w:val="10"/>
      <w:kern w:val="0"/>
      <w:sz w:val="24"/>
      <w:szCs w:val="20"/>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textcontents"/>
    <w:qFormat/>
    <w:uiPriority w:val="0"/>
  </w:style>
  <w:style w:type="paragraph" w:styleId="3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 Indent"/>
    <w:basedOn w:val="1"/>
    <w:qFormat/>
    <w:uiPriority w:val="0"/>
    <w:pPr>
      <w:widowControl/>
      <w:ind w:firstLine="420"/>
      <w:jc w:val="left"/>
    </w:pPr>
    <w:rPr>
      <w:rFonts w:ascii="Times New Roman" w:hAnsi="Times New Roman"/>
      <w:kern w:val="0"/>
      <w:szCs w:val="20"/>
    </w:rPr>
  </w:style>
  <w:style w:type="paragraph" w:styleId="35">
    <w:name w:val="List Paragraph"/>
    <w:basedOn w:val="1"/>
    <w:qFormat/>
    <w:uiPriority w:val="0"/>
    <w:pPr>
      <w:ind w:firstLine="420" w:firstLineChars="200"/>
    </w:pPr>
  </w:style>
  <w:style w:type="paragraph" w:customStyle="1" w:styleId="36">
    <w:name w:val="Body text|1"/>
    <w:basedOn w:val="1"/>
    <w:qFormat/>
    <w:uiPriority w:val="0"/>
    <w:pPr>
      <w:spacing w:line="360" w:lineRule="auto"/>
      <w:ind w:firstLine="400"/>
      <w:jc w:val="left"/>
    </w:pPr>
    <w:rPr>
      <w:rFonts w:ascii="宋体" w:hAnsi="宋体" w:cs="宋体"/>
      <w:sz w:val="20"/>
      <w:szCs w:val="20"/>
      <w:lang w:val="zh-CN" w:bidi="zh-CN"/>
    </w:rPr>
  </w:style>
  <w:style w:type="paragraph" w:customStyle="1" w:styleId="37">
    <w:name w:val="Body text|2"/>
    <w:basedOn w:val="1"/>
    <w:qFormat/>
    <w:uiPriority w:val="0"/>
    <w:pPr>
      <w:spacing w:after="30"/>
      <w:ind w:firstLine="420"/>
      <w:jc w:val="left"/>
    </w:pPr>
    <w:rPr>
      <w:rFonts w:ascii="Calibri" w:hAnsi="Calibri"/>
      <w:sz w:val="20"/>
      <w:szCs w:val="20"/>
    </w:rPr>
  </w:style>
  <w:style w:type="paragraph" w:customStyle="1" w:styleId="38">
    <w:name w:val="Other|1"/>
    <w:basedOn w:val="1"/>
    <w:qFormat/>
    <w:uiPriority w:val="0"/>
    <w:pPr>
      <w:spacing w:line="360" w:lineRule="auto"/>
      <w:ind w:firstLine="400"/>
      <w:jc w:val="left"/>
    </w:pPr>
    <w:rPr>
      <w:rFonts w:ascii="宋体" w:hAnsi="宋体" w:cs="宋体"/>
      <w:sz w:val="20"/>
      <w:szCs w:val="20"/>
      <w:lang w:val="zh-CN" w:bidi="zh-CN"/>
    </w:rPr>
  </w:style>
  <w:style w:type="paragraph" w:customStyle="1" w:styleId="39">
    <w:name w:val="Heading #4|1"/>
    <w:basedOn w:val="1"/>
    <w:qFormat/>
    <w:uiPriority w:val="0"/>
    <w:pPr>
      <w:spacing w:after="120"/>
      <w:jc w:val="left"/>
      <w:outlineLvl w:val="3"/>
    </w:pPr>
    <w:rPr>
      <w:rFonts w:ascii="宋体" w:hAnsi="宋体" w:cs="宋体"/>
      <w:szCs w:val="22"/>
      <w:lang w:val="zh-CN" w:bidi="zh-CN"/>
    </w:rPr>
  </w:style>
  <w:style w:type="paragraph" w:customStyle="1" w:styleId="4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41">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42">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 w:type="paragraph" w:customStyle="1" w:styleId="43">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paragraph" w:customStyle="1" w:styleId="4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143</Pages>
  <Words>20084</Words>
  <Characters>20843</Characters>
  <Lines>0</Lines>
  <Paragraphs>0</Paragraphs>
  <TotalTime>33</TotalTime>
  <ScaleCrop>false</ScaleCrop>
  <LinksUpToDate>false</LinksUpToDate>
  <CharactersWithSpaces>20990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2025-02-14T08:51:00Z</dcterms:created>
  <dc:creator>老Wei</dc:creator>
  <cp:lastModifiedBy>麗艷</cp:lastModifiedBy>
  <dcterms:modified xsi:type="dcterms:W3CDTF">2025-03-10T08:19:49Z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8D9DB2855167431A98A89B0C3BBF6ED5_11</vt:lpwstr>
  </property>
  <property fmtid="{D5CDD505-2E9C-101B-9397-08002B2CF9AE}" pid="4" name="KSOTemplateDocerSaveRecord">
    <vt:lpwstr>eyJoZGlkIjoiMzM4ZDVlYTVjYzcwMzhjNGFkMjViNmNhM2EyNGJmZWYiLCJ1c2VySWQiOiIzOTM3Njc1MDYifQ==</vt:lpwstr>
  </property>
</Properties>
</file>