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A2B3C">
      <w:pPr>
        <w:spacing w:before="165" w:beforeLines="50" w:line="360" w:lineRule="auto"/>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政府采购</w:t>
      </w:r>
    </w:p>
    <w:p w14:paraId="7ED81A2C">
      <w:pPr>
        <w:spacing w:before="165" w:beforeLines="50" w:line="360" w:lineRule="auto"/>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公开征集文件范本（服务类）</w:t>
      </w:r>
    </w:p>
    <w:p w14:paraId="53279C0E">
      <w:pPr>
        <w:spacing w:before="165" w:beforeLines="50" w:line="360" w:lineRule="auto"/>
        <w:jc w:val="center"/>
        <w:rPr>
          <w:rFonts w:ascii="宋体" w:hAnsi="宋体" w:eastAsia="宋体" w:cs="宋体"/>
          <w:b/>
          <w:color w:val="auto"/>
          <w:sz w:val="48"/>
          <w:szCs w:val="48"/>
          <w:highlight w:val="none"/>
        </w:rPr>
      </w:pPr>
    </w:p>
    <w:p w14:paraId="16950E0D">
      <w:pPr>
        <w:spacing w:before="165" w:beforeLines="50" w:line="360" w:lineRule="auto"/>
        <w:jc w:val="center"/>
        <w:rPr>
          <w:rFonts w:ascii="宋体" w:hAnsi="宋体" w:eastAsia="宋体" w:cs="宋体"/>
          <w:b/>
          <w:color w:val="auto"/>
          <w:sz w:val="48"/>
          <w:szCs w:val="48"/>
          <w:highlight w:val="none"/>
        </w:rPr>
      </w:pPr>
    </w:p>
    <w:p w14:paraId="71460AB4">
      <w:pPr>
        <w:snapToGrid w:val="0"/>
        <w:spacing w:before="165" w:beforeLines="50" w:line="360" w:lineRule="auto"/>
        <w:jc w:val="cente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征 集 文 件</w:t>
      </w:r>
    </w:p>
    <w:p w14:paraId="6F0C89C4">
      <w:pPr>
        <w:snapToGrid w:val="0"/>
        <w:spacing w:before="165" w:beforeLines="50" w:line="360" w:lineRule="auto"/>
        <w:jc w:val="center"/>
        <w:rPr>
          <w:rFonts w:ascii="宋体" w:hAnsi="宋体" w:eastAsia="宋体" w:cs="宋体"/>
          <w:color w:val="auto"/>
          <w:sz w:val="30"/>
          <w:szCs w:val="72"/>
          <w:highlight w:val="none"/>
        </w:rPr>
      </w:pPr>
      <w:r>
        <w:rPr>
          <w:rFonts w:hint="eastAsia" w:ascii="宋体" w:hAnsi="宋体" w:eastAsia="宋体" w:cs="宋体"/>
          <w:color w:val="auto"/>
          <w:sz w:val="30"/>
          <w:szCs w:val="72"/>
          <w:highlight w:val="none"/>
        </w:rPr>
        <w:t>（全流程电子化评审）</w:t>
      </w:r>
    </w:p>
    <w:p w14:paraId="062225D6">
      <w:pPr>
        <w:spacing w:before="165" w:beforeLines="50" w:line="360" w:lineRule="auto"/>
        <w:jc w:val="center"/>
        <w:rPr>
          <w:rFonts w:ascii="宋体" w:hAnsi="宋体" w:eastAsia="宋体" w:cs="宋体"/>
          <w:color w:val="auto"/>
          <w:sz w:val="30"/>
          <w:szCs w:val="72"/>
          <w:highlight w:val="none"/>
        </w:rPr>
      </w:pPr>
      <w:bookmarkStart w:id="470" w:name="_GoBack"/>
      <w:bookmarkEnd w:id="470"/>
    </w:p>
    <w:p w14:paraId="24B5598D">
      <w:pPr>
        <w:spacing w:before="165" w:beforeLines="50" w:line="360" w:lineRule="auto"/>
        <w:jc w:val="center"/>
        <w:rPr>
          <w:rFonts w:ascii="宋体" w:hAnsi="宋体" w:eastAsia="宋体" w:cs="宋体"/>
          <w:color w:val="auto"/>
          <w:sz w:val="30"/>
          <w:szCs w:val="72"/>
          <w:highlight w:val="none"/>
        </w:rPr>
      </w:pPr>
    </w:p>
    <w:p w14:paraId="3F3D24B0">
      <w:pPr>
        <w:snapToGrid w:val="0"/>
        <w:spacing w:before="50" w:after="120" w:line="360" w:lineRule="auto"/>
        <w:ind w:left="2702" w:leftChars="568" w:hanging="1509" w:hangingChars="501"/>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2025—2027年度中马钦州产业园区财政投资建设项目竣工财务决算协审服务框架协议采购</w:t>
      </w:r>
    </w:p>
    <w:p w14:paraId="0D7AD87D">
      <w:pPr>
        <w:snapToGrid w:val="0"/>
        <w:spacing w:before="165" w:beforeLines="50" w:line="360" w:lineRule="auto"/>
        <w:ind w:firstLine="1145" w:firstLineChars="400"/>
        <w:rPr>
          <w:rFonts w:hint="eastAsia" w:ascii="宋体" w:hAnsi="宋体" w:eastAsia="宋体" w:cs="宋体"/>
          <w:b/>
          <w:bCs/>
          <w:color w:val="auto"/>
          <w:w w:val="95"/>
          <w:sz w:val="30"/>
          <w:szCs w:val="30"/>
          <w:highlight w:val="none"/>
        </w:rPr>
      </w:pPr>
    </w:p>
    <w:p w14:paraId="3A3B6D2A">
      <w:pPr>
        <w:snapToGrid w:val="0"/>
        <w:spacing w:before="0" w:beforeLines="0" w:line="480" w:lineRule="auto"/>
        <w:ind w:firstLine="1145" w:firstLineChars="400"/>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：QZZC2025-K3-980008-GXCJ</w:t>
      </w:r>
    </w:p>
    <w:p w14:paraId="36DCFCC6">
      <w:pPr>
        <w:snapToGrid w:val="0"/>
        <w:spacing w:before="0" w:beforeLines="0" w:line="480" w:lineRule="auto"/>
        <w:ind w:firstLine="1145" w:firstLineChars="400"/>
        <w:rPr>
          <w:rFonts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项目所属区划：</w:t>
      </w:r>
      <w:r>
        <w:rPr>
          <w:rFonts w:hint="eastAsia" w:ascii="宋体" w:hAnsi="宋体" w:eastAsia="宋体" w:cs="宋体"/>
          <w:b/>
          <w:bCs/>
          <w:color w:val="auto"/>
          <w:w w:val="95"/>
          <w:sz w:val="30"/>
          <w:szCs w:val="30"/>
          <w:highlight w:val="none"/>
          <w:u w:val="single"/>
        </w:rPr>
        <w:t>中国一马来西亚钦州产业园区</w:t>
      </w:r>
      <w:r>
        <w:rPr>
          <w:rFonts w:hint="eastAsia" w:ascii="宋体" w:hAnsi="宋体" w:eastAsia="宋体" w:cs="宋体"/>
          <w:b/>
          <w:bCs/>
          <w:color w:val="auto"/>
          <w:w w:val="95"/>
          <w:sz w:val="30"/>
          <w:szCs w:val="30"/>
          <w:highlight w:val="none"/>
          <w:u w:val="single"/>
          <w:lang w:val="en-US" w:eastAsia="zh-CN"/>
        </w:rPr>
        <w:t xml:space="preserve"> </w:t>
      </w:r>
    </w:p>
    <w:p w14:paraId="77D244B0">
      <w:pPr>
        <w:snapToGrid w:val="0"/>
        <w:spacing w:before="0" w:beforeLines="0" w:line="480" w:lineRule="auto"/>
        <w:ind w:firstLine="1145" w:firstLineChars="4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征集人：</w:t>
      </w:r>
      <w:r>
        <w:rPr>
          <w:rFonts w:hint="eastAsia" w:ascii="宋体" w:hAnsi="宋体" w:eastAsia="宋体" w:cs="宋体"/>
          <w:b/>
          <w:bCs/>
          <w:color w:val="auto"/>
          <w:w w:val="95"/>
          <w:sz w:val="30"/>
          <w:szCs w:val="30"/>
          <w:highlight w:val="none"/>
          <w:lang w:val="en-US" w:eastAsia="zh-CN"/>
        </w:rPr>
        <w:t>中国—马来西亚钦州产业园区财政金融局</w:t>
      </w:r>
    </w:p>
    <w:p w14:paraId="686686BC">
      <w:pPr>
        <w:snapToGrid w:val="0"/>
        <w:spacing w:before="0" w:beforeLines="0" w:after="0" w:line="48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lang w:val="en-US" w:eastAsia="zh-CN"/>
        </w:rPr>
        <w:t>广西城建咨询设计有限公司</w:t>
      </w:r>
    </w:p>
    <w:p w14:paraId="17FBFAE7">
      <w:pPr>
        <w:snapToGrid w:val="0"/>
        <w:spacing w:before="0" w:beforeLines="0" w:after="0" w:line="480" w:lineRule="auto"/>
        <w:ind w:firstLine="841" w:firstLineChars="294"/>
        <w:rPr>
          <w:rFonts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Borders>
            <w:top w:val="none" w:sz="0" w:space="0"/>
            <w:left w:val="none" w:sz="0" w:space="0"/>
            <w:bottom w:val="none" w:sz="0" w:space="0"/>
            <w:right w:val="none" w:sz="0" w:space="0"/>
          </w:pgBorders>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202</w:t>
      </w:r>
      <w:r>
        <w:rPr>
          <w:rFonts w:hint="eastAsia" w:ascii="宋体" w:hAnsi="宋体" w:eastAsia="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ascii="宋体" w:hAnsi="宋体" w:eastAsia="宋体" w:cs="宋体"/>
          <w:b/>
          <w:bCs/>
          <w:color w:val="auto"/>
          <w:w w:val="95"/>
          <w:sz w:val="30"/>
          <w:szCs w:val="30"/>
          <w:highlight w:val="none"/>
          <w:lang w:val="en-US" w:eastAsia="zh-CN"/>
        </w:rPr>
        <w:t>7</w:t>
      </w:r>
      <w:r>
        <w:rPr>
          <w:rFonts w:hint="eastAsia" w:ascii="宋体" w:hAnsi="宋体" w:eastAsia="宋体" w:cs="宋体"/>
          <w:b/>
          <w:bCs/>
          <w:color w:val="auto"/>
          <w:w w:val="95"/>
          <w:sz w:val="30"/>
          <w:szCs w:val="30"/>
          <w:highlight w:val="none"/>
        </w:rPr>
        <w:t xml:space="preserve">月  </w:t>
      </w:r>
    </w:p>
    <w:p w14:paraId="1871542C">
      <w:pPr>
        <w:jc w:val="center"/>
        <w:rPr>
          <w:rFonts w:ascii="宋体" w:hAnsi="宋体" w:eastAsia="宋体" w:cs="宋体"/>
          <w:b/>
          <w:color w:val="auto"/>
          <w:sz w:val="22"/>
          <w:highlight w:val="none"/>
        </w:rPr>
      </w:pPr>
      <w:r>
        <w:rPr>
          <w:rFonts w:hint="eastAsia" w:ascii="宋体" w:hAnsi="宋体" w:eastAsia="宋体" w:cs="宋体"/>
          <w:b/>
          <w:color w:val="auto"/>
          <w:sz w:val="48"/>
          <w:szCs w:val="48"/>
          <w:highlight w:val="none"/>
        </w:rPr>
        <w:t>目     录</w:t>
      </w:r>
    </w:p>
    <w:p w14:paraId="706490A6">
      <w:pPr>
        <w:pStyle w:val="25"/>
        <w:tabs>
          <w:tab w:val="right" w:leader="dot" w:pos="9638"/>
        </w:tabs>
      </w:pPr>
      <w:r>
        <w:rPr>
          <w:rFonts w:hint="eastAsia" w:ascii="宋体" w:hAnsi="宋体" w:eastAsia="宋体" w:cs="宋体"/>
          <w:color w:val="auto"/>
          <w:sz w:val="28"/>
          <w:szCs w:val="28"/>
          <w:highlight w:val="none"/>
          <w:u w:val="single"/>
        </w:rPr>
        <w:fldChar w:fldCharType="begin"/>
      </w:r>
      <w:r>
        <w:rPr>
          <w:rFonts w:hint="eastAsia" w:ascii="宋体" w:hAnsi="宋体" w:eastAsia="宋体" w:cs="宋体"/>
          <w:color w:val="auto"/>
          <w:sz w:val="28"/>
          <w:szCs w:val="28"/>
          <w:highlight w:val="none"/>
          <w:u w:val="single"/>
        </w:rPr>
        <w:instrText xml:space="preserve"> TOC \o "1-3" \h \z \u </w:instrText>
      </w:r>
      <w:r>
        <w:rPr>
          <w:rFonts w:hint="eastAsia" w:ascii="宋体" w:hAnsi="宋体" w:eastAsia="宋体" w:cs="宋体"/>
          <w:color w:val="auto"/>
          <w:sz w:val="28"/>
          <w:szCs w:val="28"/>
          <w:highlight w:val="none"/>
          <w:u w:val="single"/>
        </w:rPr>
        <w:fldChar w:fldCharType="separate"/>
      </w:r>
      <w:r>
        <w:rPr>
          <w:rFonts w:hint="eastAsia" w:ascii="宋体" w:hAnsi="宋体" w:eastAsia="宋体" w:cs="宋体"/>
          <w:color w:val="auto"/>
          <w:szCs w:val="28"/>
          <w:highlight w:val="none"/>
          <w:u w:val="single"/>
        </w:rPr>
        <w:fldChar w:fldCharType="begin"/>
      </w:r>
      <w:r>
        <w:rPr>
          <w:rFonts w:hint="eastAsia" w:ascii="宋体" w:hAnsi="宋体" w:eastAsia="宋体" w:cs="宋体"/>
          <w:szCs w:val="28"/>
          <w:highlight w:val="none"/>
        </w:rPr>
        <w:instrText xml:space="preserve"> HYPERLINK \l _Toc6237 </w:instrText>
      </w:r>
      <w:r>
        <w:rPr>
          <w:rFonts w:hint="eastAsia" w:ascii="宋体" w:hAnsi="宋体" w:eastAsia="宋体" w:cs="宋体"/>
          <w:szCs w:val="28"/>
          <w:highlight w:val="none"/>
        </w:rPr>
        <w:fldChar w:fldCharType="separate"/>
      </w:r>
      <w:r>
        <w:rPr>
          <w:rFonts w:hint="eastAsia" w:ascii="宋体" w:hAnsi="宋体" w:eastAsia="宋体" w:cs="宋体"/>
          <w:szCs w:val="20"/>
          <w:highlight w:val="none"/>
        </w:rPr>
        <w:t>第一章  征集公告</w:t>
      </w:r>
      <w:r>
        <w:tab/>
      </w:r>
      <w:r>
        <w:fldChar w:fldCharType="begin"/>
      </w:r>
      <w:r>
        <w:instrText xml:space="preserve"> PAGEREF _Toc6237 \h </w:instrText>
      </w:r>
      <w:r>
        <w:fldChar w:fldCharType="separate"/>
      </w:r>
      <w:r>
        <w:t>4</w:t>
      </w:r>
      <w:r>
        <w:fldChar w:fldCharType="end"/>
      </w:r>
      <w:r>
        <w:rPr>
          <w:rFonts w:hint="eastAsia" w:ascii="宋体" w:hAnsi="宋体" w:eastAsia="宋体" w:cs="宋体"/>
          <w:color w:val="auto"/>
          <w:szCs w:val="28"/>
          <w:highlight w:val="none"/>
          <w:u w:val="single"/>
        </w:rPr>
        <w:fldChar w:fldCharType="end"/>
      </w:r>
    </w:p>
    <w:p w14:paraId="729A6D75">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_Toc9883 </w:instrText>
      </w:r>
      <w:r>
        <w:rPr>
          <w:rFonts w:hint="eastAsia" w:ascii="宋体" w:hAnsi="宋体" w:eastAsia="宋体" w:cs="宋体"/>
          <w:bCs/>
          <w:caps/>
          <w:szCs w:val="28"/>
          <w:highlight w:val="none"/>
        </w:rPr>
        <w:fldChar w:fldCharType="separate"/>
      </w:r>
      <w:r>
        <w:rPr>
          <w:rFonts w:hint="eastAsia" w:ascii="宋体" w:hAnsi="宋体" w:eastAsia="宋体" w:cs="宋体"/>
          <w:bCs/>
          <w:szCs w:val="24"/>
          <w:highlight w:val="none"/>
        </w:rPr>
        <w:t>二、供应商的资格条件：</w:t>
      </w:r>
      <w:r>
        <w:tab/>
      </w:r>
      <w:r>
        <w:fldChar w:fldCharType="begin"/>
      </w:r>
      <w:r>
        <w:instrText xml:space="preserve"> PAGEREF _Toc9883 \h </w:instrText>
      </w:r>
      <w:r>
        <w:fldChar w:fldCharType="separate"/>
      </w:r>
      <w:r>
        <w:t>4</w:t>
      </w:r>
      <w:r>
        <w:fldChar w:fldCharType="end"/>
      </w:r>
      <w:r>
        <w:rPr>
          <w:rFonts w:hint="eastAsia" w:ascii="宋体" w:hAnsi="宋体" w:eastAsia="宋体" w:cs="宋体"/>
          <w:bCs/>
          <w:caps/>
          <w:color w:val="auto"/>
          <w:szCs w:val="28"/>
          <w:highlight w:val="none"/>
          <w:u w:val="single"/>
        </w:rPr>
        <w:fldChar w:fldCharType="end"/>
      </w:r>
    </w:p>
    <w:p w14:paraId="0DBD277C">
      <w:pPr>
        <w:pStyle w:val="2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_Toc30547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第二章  采购需求</w:t>
      </w:r>
      <w:r>
        <w:tab/>
      </w:r>
      <w:r>
        <w:fldChar w:fldCharType="begin"/>
      </w:r>
      <w:r>
        <w:instrText xml:space="preserve"> PAGEREF _Toc30547 \h </w:instrText>
      </w:r>
      <w:r>
        <w:fldChar w:fldCharType="separate"/>
      </w:r>
      <w:r>
        <w:t>8</w:t>
      </w:r>
      <w:r>
        <w:fldChar w:fldCharType="end"/>
      </w:r>
      <w:r>
        <w:rPr>
          <w:rFonts w:hint="eastAsia" w:ascii="宋体" w:hAnsi="宋体" w:eastAsia="宋体" w:cs="宋体"/>
          <w:bCs/>
          <w:caps/>
          <w:color w:val="auto"/>
          <w:szCs w:val="28"/>
          <w:highlight w:val="none"/>
          <w:u w:val="single"/>
        </w:rPr>
        <w:fldChar w:fldCharType="end"/>
      </w:r>
    </w:p>
    <w:p w14:paraId="5328BA14">
      <w:pPr>
        <w:pStyle w:val="2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_Toc20553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第三章  供应商须知</w:t>
      </w:r>
      <w:r>
        <w:tab/>
      </w:r>
      <w:r>
        <w:fldChar w:fldCharType="begin"/>
      </w:r>
      <w:r>
        <w:instrText xml:space="preserve"> PAGEREF _Toc20553 \h </w:instrText>
      </w:r>
      <w:r>
        <w:fldChar w:fldCharType="separate"/>
      </w:r>
      <w:r>
        <w:t>20</w:t>
      </w:r>
      <w:r>
        <w:fldChar w:fldCharType="end"/>
      </w:r>
      <w:r>
        <w:rPr>
          <w:rFonts w:hint="eastAsia" w:ascii="宋体" w:hAnsi="宋体" w:eastAsia="宋体" w:cs="宋体"/>
          <w:bCs/>
          <w:caps/>
          <w:color w:val="auto"/>
          <w:szCs w:val="28"/>
          <w:highlight w:val="none"/>
          <w:u w:val="single"/>
        </w:rPr>
        <w:fldChar w:fldCharType="end"/>
      </w:r>
    </w:p>
    <w:p w14:paraId="24A4C5DC">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_Toc27580 </w:instrText>
      </w:r>
      <w:r>
        <w:rPr>
          <w:rFonts w:hint="eastAsia" w:ascii="宋体" w:hAnsi="宋体" w:eastAsia="宋体" w:cs="宋体"/>
          <w:bCs/>
          <w:caps/>
          <w:szCs w:val="28"/>
          <w:highlight w:val="none"/>
        </w:rPr>
        <w:fldChar w:fldCharType="separate"/>
      </w:r>
      <w:r>
        <w:rPr>
          <w:rFonts w:hint="eastAsia" w:ascii="宋体" w:hAnsi="宋体" w:eastAsia="宋体" w:cs="宋体"/>
          <w:szCs w:val="30"/>
          <w:highlight w:val="none"/>
        </w:rPr>
        <w:t>第一节 供应商须知前附表</w:t>
      </w:r>
      <w:r>
        <w:tab/>
      </w:r>
      <w:r>
        <w:fldChar w:fldCharType="begin"/>
      </w:r>
      <w:r>
        <w:instrText xml:space="preserve"> PAGEREF _Toc27580 \h </w:instrText>
      </w:r>
      <w:r>
        <w:fldChar w:fldCharType="separate"/>
      </w:r>
      <w:r>
        <w:t>20</w:t>
      </w:r>
      <w:r>
        <w:fldChar w:fldCharType="end"/>
      </w:r>
      <w:r>
        <w:rPr>
          <w:rFonts w:hint="eastAsia" w:ascii="宋体" w:hAnsi="宋体" w:eastAsia="宋体" w:cs="宋体"/>
          <w:bCs/>
          <w:caps/>
          <w:color w:val="auto"/>
          <w:szCs w:val="28"/>
          <w:highlight w:val="none"/>
          <w:u w:val="single"/>
        </w:rPr>
        <w:fldChar w:fldCharType="end"/>
      </w:r>
    </w:p>
    <w:p w14:paraId="19DB51A7">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_Toc20307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第二节 供应商须知正文</w:t>
      </w:r>
      <w:r>
        <w:tab/>
      </w:r>
      <w:r>
        <w:fldChar w:fldCharType="begin"/>
      </w:r>
      <w:r>
        <w:instrText xml:space="preserve"> PAGEREF _Toc20307 \h </w:instrText>
      </w:r>
      <w:r>
        <w:fldChar w:fldCharType="separate"/>
      </w:r>
      <w:r>
        <w:t>26</w:t>
      </w:r>
      <w:r>
        <w:fldChar w:fldCharType="end"/>
      </w:r>
      <w:r>
        <w:rPr>
          <w:rFonts w:hint="eastAsia" w:ascii="宋体" w:hAnsi="宋体" w:eastAsia="宋体" w:cs="宋体"/>
          <w:bCs/>
          <w:caps/>
          <w:color w:val="auto"/>
          <w:szCs w:val="28"/>
          <w:highlight w:val="none"/>
          <w:u w:val="single"/>
        </w:rPr>
        <w:fldChar w:fldCharType="end"/>
      </w:r>
    </w:p>
    <w:p w14:paraId="3CBA4010">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_Toc18414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一、总  则</w:t>
      </w:r>
      <w:r>
        <w:tab/>
      </w:r>
      <w:r>
        <w:fldChar w:fldCharType="begin"/>
      </w:r>
      <w:r>
        <w:instrText xml:space="preserve"> PAGEREF _Toc18414 \h </w:instrText>
      </w:r>
      <w:r>
        <w:fldChar w:fldCharType="separate"/>
      </w:r>
      <w:r>
        <w:t>26</w:t>
      </w:r>
      <w:r>
        <w:fldChar w:fldCharType="end"/>
      </w:r>
      <w:r>
        <w:rPr>
          <w:rFonts w:hint="eastAsia" w:ascii="宋体" w:hAnsi="宋体" w:eastAsia="宋体" w:cs="宋体"/>
          <w:bCs/>
          <w:caps/>
          <w:color w:val="auto"/>
          <w:szCs w:val="28"/>
          <w:highlight w:val="none"/>
          <w:u w:val="single"/>
        </w:rPr>
        <w:fldChar w:fldCharType="end"/>
      </w:r>
    </w:p>
    <w:p w14:paraId="1B7BEDAC">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_Toc25704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二、第一阶段（入围阶段）</w:t>
      </w:r>
      <w:r>
        <w:tab/>
      </w:r>
      <w:r>
        <w:fldChar w:fldCharType="begin"/>
      </w:r>
      <w:r>
        <w:instrText xml:space="preserve"> PAGEREF _Toc25704 \h </w:instrText>
      </w:r>
      <w:r>
        <w:fldChar w:fldCharType="separate"/>
      </w:r>
      <w:r>
        <w:t>29</w:t>
      </w:r>
      <w:r>
        <w:fldChar w:fldCharType="end"/>
      </w:r>
      <w:r>
        <w:rPr>
          <w:rFonts w:hint="eastAsia" w:ascii="宋体" w:hAnsi="宋体" w:eastAsia="宋体" w:cs="宋体"/>
          <w:bCs/>
          <w:caps/>
          <w:color w:val="auto"/>
          <w:szCs w:val="28"/>
          <w:highlight w:val="none"/>
          <w:u w:val="single"/>
        </w:rPr>
        <w:fldChar w:fldCharType="end"/>
      </w:r>
    </w:p>
    <w:p w14:paraId="764480AE">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_Toc27335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（一）征集文件</w:t>
      </w:r>
      <w:r>
        <w:tab/>
      </w:r>
      <w:r>
        <w:fldChar w:fldCharType="begin"/>
      </w:r>
      <w:r>
        <w:instrText xml:space="preserve"> PAGEREF _Toc27335 \h </w:instrText>
      </w:r>
      <w:r>
        <w:fldChar w:fldCharType="separate"/>
      </w:r>
      <w:r>
        <w:t>29</w:t>
      </w:r>
      <w:r>
        <w:fldChar w:fldCharType="end"/>
      </w:r>
      <w:r>
        <w:rPr>
          <w:rFonts w:hint="eastAsia" w:ascii="宋体" w:hAnsi="宋体" w:eastAsia="宋体" w:cs="宋体"/>
          <w:bCs/>
          <w:caps/>
          <w:color w:val="auto"/>
          <w:szCs w:val="28"/>
          <w:highlight w:val="none"/>
          <w:u w:val="single"/>
        </w:rPr>
        <w:fldChar w:fldCharType="end"/>
      </w:r>
    </w:p>
    <w:p w14:paraId="4F8BB3FE">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_Toc14389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（二）响应文件的编制</w:t>
      </w:r>
      <w:r>
        <w:tab/>
      </w:r>
      <w:r>
        <w:fldChar w:fldCharType="begin"/>
      </w:r>
      <w:r>
        <w:instrText xml:space="preserve"> PAGEREF _Toc14389 \h </w:instrText>
      </w:r>
      <w:r>
        <w:fldChar w:fldCharType="separate"/>
      </w:r>
      <w:r>
        <w:t>30</w:t>
      </w:r>
      <w:r>
        <w:fldChar w:fldCharType="end"/>
      </w:r>
      <w:r>
        <w:rPr>
          <w:rFonts w:hint="eastAsia" w:ascii="宋体" w:hAnsi="宋体" w:eastAsia="宋体" w:cs="宋体"/>
          <w:bCs/>
          <w:caps/>
          <w:color w:val="auto"/>
          <w:szCs w:val="28"/>
          <w:highlight w:val="none"/>
          <w:u w:val="single"/>
        </w:rPr>
        <w:fldChar w:fldCharType="end"/>
      </w:r>
    </w:p>
    <w:p w14:paraId="183EB64E">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_Toc4730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（三）开    标</w:t>
      </w:r>
      <w:r>
        <w:tab/>
      </w:r>
      <w:r>
        <w:fldChar w:fldCharType="begin"/>
      </w:r>
      <w:r>
        <w:instrText xml:space="preserve"> PAGEREF _Toc4730 \h </w:instrText>
      </w:r>
      <w:r>
        <w:fldChar w:fldCharType="separate"/>
      </w:r>
      <w:r>
        <w:t>32</w:t>
      </w:r>
      <w:r>
        <w:fldChar w:fldCharType="end"/>
      </w:r>
      <w:r>
        <w:rPr>
          <w:rFonts w:hint="eastAsia" w:ascii="宋体" w:hAnsi="宋体" w:eastAsia="宋体" w:cs="宋体"/>
          <w:bCs/>
          <w:caps/>
          <w:color w:val="auto"/>
          <w:szCs w:val="28"/>
          <w:highlight w:val="none"/>
          <w:u w:val="single"/>
        </w:rPr>
        <w:fldChar w:fldCharType="end"/>
      </w:r>
    </w:p>
    <w:p w14:paraId="363D3879">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_Toc20337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（四）资格审查</w:t>
      </w:r>
      <w:r>
        <w:tab/>
      </w:r>
      <w:r>
        <w:fldChar w:fldCharType="begin"/>
      </w:r>
      <w:r>
        <w:instrText xml:space="preserve"> PAGEREF _Toc20337 \h </w:instrText>
      </w:r>
      <w:r>
        <w:fldChar w:fldCharType="separate"/>
      </w:r>
      <w:r>
        <w:t>33</w:t>
      </w:r>
      <w:r>
        <w:fldChar w:fldCharType="end"/>
      </w:r>
      <w:r>
        <w:rPr>
          <w:rFonts w:hint="eastAsia" w:ascii="宋体" w:hAnsi="宋体" w:eastAsia="宋体" w:cs="宋体"/>
          <w:bCs/>
          <w:caps/>
          <w:color w:val="auto"/>
          <w:szCs w:val="28"/>
          <w:highlight w:val="none"/>
          <w:u w:val="single"/>
        </w:rPr>
        <w:fldChar w:fldCharType="end"/>
      </w:r>
    </w:p>
    <w:p w14:paraId="7A14A931">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_Toc15083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（五）评   标</w:t>
      </w:r>
      <w:r>
        <w:tab/>
      </w:r>
      <w:r>
        <w:fldChar w:fldCharType="begin"/>
      </w:r>
      <w:r>
        <w:instrText xml:space="preserve"> PAGEREF _Toc15083 \h </w:instrText>
      </w:r>
      <w:r>
        <w:fldChar w:fldCharType="separate"/>
      </w:r>
      <w:r>
        <w:t>34</w:t>
      </w:r>
      <w:r>
        <w:fldChar w:fldCharType="end"/>
      </w:r>
      <w:r>
        <w:rPr>
          <w:rFonts w:hint="eastAsia" w:ascii="宋体" w:hAnsi="宋体" w:eastAsia="宋体" w:cs="宋体"/>
          <w:bCs/>
          <w:caps/>
          <w:color w:val="auto"/>
          <w:szCs w:val="28"/>
          <w:highlight w:val="none"/>
          <w:u w:val="single"/>
        </w:rPr>
        <w:fldChar w:fldCharType="end"/>
      </w:r>
    </w:p>
    <w:p w14:paraId="57EF55D5">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_Toc16462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（六）入围和框架协议</w:t>
      </w:r>
      <w:r>
        <w:tab/>
      </w:r>
      <w:r>
        <w:fldChar w:fldCharType="begin"/>
      </w:r>
      <w:r>
        <w:instrText xml:space="preserve"> PAGEREF _Toc16462 \h </w:instrText>
      </w:r>
      <w:r>
        <w:fldChar w:fldCharType="separate"/>
      </w:r>
      <w:r>
        <w:t>35</w:t>
      </w:r>
      <w:r>
        <w:fldChar w:fldCharType="end"/>
      </w:r>
      <w:r>
        <w:rPr>
          <w:rFonts w:hint="eastAsia" w:ascii="宋体" w:hAnsi="宋体" w:eastAsia="宋体" w:cs="宋体"/>
          <w:bCs/>
          <w:caps/>
          <w:color w:val="auto"/>
          <w:szCs w:val="28"/>
          <w:highlight w:val="none"/>
          <w:u w:val="single"/>
        </w:rPr>
        <w:fldChar w:fldCharType="end"/>
      </w:r>
    </w:p>
    <w:p w14:paraId="11882EC1">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_Toc3037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三、第二阶段（成交阶段）</w:t>
      </w:r>
      <w:r>
        <w:tab/>
      </w:r>
      <w:r>
        <w:fldChar w:fldCharType="begin"/>
      </w:r>
      <w:r>
        <w:instrText xml:space="preserve"> PAGEREF _Toc3037 \h </w:instrText>
      </w:r>
      <w:r>
        <w:fldChar w:fldCharType="separate"/>
      </w:r>
      <w:r>
        <w:t>41</w:t>
      </w:r>
      <w:r>
        <w:fldChar w:fldCharType="end"/>
      </w:r>
      <w:r>
        <w:rPr>
          <w:rFonts w:hint="eastAsia" w:ascii="宋体" w:hAnsi="宋体" w:eastAsia="宋体" w:cs="宋体"/>
          <w:bCs/>
          <w:caps/>
          <w:color w:val="auto"/>
          <w:szCs w:val="28"/>
          <w:highlight w:val="none"/>
          <w:u w:val="single"/>
        </w:rPr>
        <w:fldChar w:fldCharType="end"/>
      </w:r>
    </w:p>
    <w:p w14:paraId="192A22BC">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_Toc15482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四、其他事项</w:t>
      </w:r>
      <w:r>
        <w:tab/>
      </w:r>
      <w:r>
        <w:fldChar w:fldCharType="begin"/>
      </w:r>
      <w:r>
        <w:instrText xml:space="preserve"> PAGEREF _Toc15482 \h </w:instrText>
      </w:r>
      <w:r>
        <w:fldChar w:fldCharType="separate"/>
      </w:r>
      <w:r>
        <w:t>43</w:t>
      </w:r>
      <w:r>
        <w:fldChar w:fldCharType="end"/>
      </w:r>
      <w:r>
        <w:rPr>
          <w:rFonts w:hint="eastAsia" w:ascii="宋体" w:hAnsi="宋体" w:eastAsia="宋体" w:cs="宋体"/>
          <w:bCs/>
          <w:caps/>
          <w:color w:val="auto"/>
          <w:szCs w:val="28"/>
          <w:highlight w:val="none"/>
          <w:u w:val="single"/>
        </w:rPr>
        <w:fldChar w:fldCharType="end"/>
      </w:r>
    </w:p>
    <w:p w14:paraId="4D1C585B">
      <w:pPr>
        <w:pStyle w:val="2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_Toc15730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第四章  评审方法及评分标准</w:t>
      </w:r>
      <w:r>
        <w:tab/>
      </w:r>
      <w:r>
        <w:fldChar w:fldCharType="begin"/>
      </w:r>
      <w:r>
        <w:instrText xml:space="preserve"> PAGEREF _Toc15730 \h </w:instrText>
      </w:r>
      <w:r>
        <w:fldChar w:fldCharType="separate"/>
      </w:r>
      <w:r>
        <w:t>45</w:t>
      </w:r>
      <w:r>
        <w:fldChar w:fldCharType="end"/>
      </w:r>
      <w:r>
        <w:rPr>
          <w:rFonts w:hint="eastAsia" w:ascii="宋体" w:hAnsi="宋体" w:eastAsia="宋体" w:cs="宋体"/>
          <w:bCs/>
          <w:caps/>
          <w:color w:val="auto"/>
          <w:szCs w:val="28"/>
          <w:highlight w:val="none"/>
          <w:u w:val="single"/>
        </w:rPr>
        <w:fldChar w:fldCharType="end"/>
      </w:r>
    </w:p>
    <w:p w14:paraId="00D886B0">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_Toc23568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第一节 评审方法</w:t>
      </w:r>
      <w:r>
        <w:tab/>
      </w:r>
      <w:r>
        <w:fldChar w:fldCharType="begin"/>
      </w:r>
      <w:r>
        <w:instrText xml:space="preserve"> PAGEREF _Toc23568 \h </w:instrText>
      </w:r>
      <w:r>
        <w:fldChar w:fldCharType="separate"/>
      </w:r>
      <w:r>
        <w:t>45</w:t>
      </w:r>
      <w:r>
        <w:fldChar w:fldCharType="end"/>
      </w:r>
      <w:r>
        <w:rPr>
          <w:rFonts w:hint="eastAsia" w:ascii="宋体" w:hAnsi="宋体" w:eastAsia="宋体" w:cs="宋体"/>
          <w:bCs/>
          <w:caps/>
          <w:color w:val="auto"/>
          <w:szCs w:val="28"/>
          <w:highlight w:val="none"/>
          <w:u w:val="single"/>
        </w:rPr>
        <w:fldChar w:fldCharType="end"/>
      </w:r>
    </w:p>
    <w:p w14:paraId="75365984">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_Toc19922 </w:instrText>
      </w:r>
      <w:r>
        <w:rPr>
          <w:rFonts w:hint="eastAsia" w:ascii="宋体" w:hAnsi="宋体" w:eastAsia="宋体" w:cs="宋体"/>
          <w:bCs/>
          <w:caps/>
          <w:szCs w:val="28"/>
          <w:highlight w:val="none"/>
        </w:rPr>
        <w:fldChar w:fldCharType="separate"/>
      </w:r>
      <w:r>
        <w:rPr>
          <w:rFonts w:hint="eastAsia" w:ascii="宋体" w:hAnsi="宋体" w:eastAsia="宋体" w:cs="宋体"/>
          <w:bCs/>
          <w:szCs w:val="32"/>
          <w:highlight w:val="none"/>
        </w:rPr>
        <w:t>第二节 评审程序</w:t>
      </w:r>
      <w:r>
        <w:tab/>
      </w:r>
      <w:r>
        <w:fldChar w:fldCharType="begin"/>
      </w:r>
      <w:r>
        <w:instrText xml:space="preserve"> PAGEREF _Toc19922 \h </w:instrText>
      </w:r>
      <w:r>
        <w:fldChar w:fldCharType="separate"/>
      </w:r>
      <w:r>
        <w:t>45</w:t>
      </w:r>
      <w:r>
        <w:fldChar w:fldCharType="end"/>
      </w:r>
      <w:r>
        <w:rPr>
          <w:rFonts w:hint="eastAsia" w:ascii="宋体" w:hAnsi="宋体" w:eastAsia="宋体" w:cs="宋体"/>
          <w:bCs/>
          <w:caps/>
          <w:color w:val="auto"/>
          <w:szCs w:val="28"/>
          <w:highlight w:val="none"/>
          <w:u w:val="single"/>
        </w:rPr>
        <w:fldChar w:fldCharType="end"/>
      </w:r>
    </w:p>
    <w:p w14:paraId="5A92E224">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_Toc14635 </w:instrText>
      </w:r>
      <w:r>
        <w:rPr>
          <w:rFonts w:hint="eastAsia" w:ascii="宋体" w:hAnsi="宋体" w:eastAsia="宋体" w:cs="宋体"/>
          <w:bCs/>
          <w:caps/>
          <w:szCs w:val="28"/>
          <w:highlight w:val="none"/>
        </w:rPr>
        <w:fldChar w:fldCharType="separate"/>
      </w:r>
      <w:r>
        <w:rPr>
          <w:rFonts w:hint="eastAsia" w:ascii="宋体" w:hAnsi="宋体" w:eastAsia="宋体" w:cs="宋体"/>
          <w:szCs w:val="21"/>
          <w:highlight w:val="none"/>
        </w:rPr>
        <w:t>1.符合性审查</w:t>
      </w:r>
      <w:r>
        <w:tab/>
      </w:r>
      <w:r>
        <w:fldChar w:fldCharType="begin"/>
      </w:r>
      <w:r>
        <w:instrText xml:space="preserve"> PAGEREF _Toc14635 \h </w:instrText>
      </w:r>
      <w:r>
        <w:fldChar w:fldCharType="separate"/>
      </w:r>
      <w:r>
        <w:t>45</w:t>
      </w:r>
      <w:r>
        <w:fldChar w:fldCharType="end"/>
      </w:r>
      <w:r>
        <w:rPr>
          <w:rFonts w:hint="eastAsia" w:ascii="宋体" w:hAnsi="宋体" w:eastAsia="宋体" w:cs="宋体"/>
          <w:bCs/>
          <w:caps/>
          <w:color w:val="auto"/>
          <w:szCs w:val="28"/>
          <w:highlight w:val="none"/>
          <w:u w:val="single"/>
        </w:rPr>
        <w:fldChar w:fldCharType="end"/>
      </w:r>
    </w:p>
    <w:p w14:paraId="4360AEB8">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_Toc30968 </w:instrText>
      </w:r>
      <w:r>
        <w:rPr>
          <w:rFonts w:hint="eastAsia" w:ascii="宋体" w:hAnsi="宋体" w:eastAsia="宋体" w:cs="宋体"/>
          <w:bCs/>
          <w:caps/>
          <w:szCs w:val="28"/>
          <w:highlight w:val="none"/>
        </w:rPr>
        <w:fldChar w:fldCharType="separate"/>
      </w:r>
      <w:r>
        <w:rPr>
          <w:rFonts w:hint="eastAsia" w:ascii="宋体" w:hAnsi="宋体" w:eastAsia="宋体" w:cs="宋体"/>
          <w:szCs w:val="21"/>
          <w:highlight w:val="none"/>
        </w:rPr>
        <w:t>2.符合性审查不通过而导致响应无效的情形</w:t>
      </w:r>
      <w:r>
        <w:tab/>
      </w:r>
      <w:r>
        <w:fldChar w:fldCharType="begin"/>
      </w:r>
      <w:r>
        <w:instrText xml:space="preserve"> PAGEREF _Toc30968 \h </w:instrText>
      </w:r>
      <w:r>
        <w:fldChar w:fldCharType="separate"/>
      </w:r>
      <w:r>
        <w:t>45</w:t>
      </w:r>
      <w:r>
        <w:fldChar w:fldCharType="end"/>
      </w:r>
      <w:r>
        <w:rPr>
          <w:rFonts w:hint="eastAsia" w:ascii="宋体" w:hAnsi="宋体" w:eastAsia="宋体" w:cs="宋体"/>
          <w:bCs/>
          <w:caps/>
          <w:color w:val="auto"/>
          <w:szCs w:val="28"/>
          <w:highlight w:val="none"/>
          <w:u w:val="single"/>
        </w:rPr>
        <w:fldChar w:fldCharType="end"/>
      </w:r>
    </w:p>
    <w:p w14:paraId="47807DC7">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_Toc10488 </w:instrText>
      </w:r>
      <w:r>
        <w:rPr>
          <w:rFonts w:hint="eastAsia" w:ascii="宋体" w:hAnsi="宋体" w:eastAsia="宋体" w:cs="宋体"/>
          <w:bCs/>
          <w:caps/>
          <w:szCs w:val="28"/>
          <w:highlight w:val="none"/>
        </w:rPr>
        <w:fldChar w:fldCharType="separate"/>
      </w:r>
      <w:r>
        <w:rPr>
          <w:rFonts w:hint="eastAsia" w:ascii="宋体" w:hAnsi="宋体" w:eastAsia="宋体" w:cs="宋体"/>
          <w:szCs w:val="21"/>
          <w:highlight w:val="none"/>
        </w:rPr>
        <w:t>3.澄清补正、说明或者补正</w:t>
      </w:r>
      <w:r>
        <w:tab/>
      </w:r>
      <w:r>
        <w:fldChar w:fldCharType="begin"/>
      </w:r>
      <w:r>
        <w:instrText xml:space="preserve"> PAGEREF _Toc10488 \h </w:instrText>
      </w:r>
      <w:r>
        <w:fldChar w:fldCharType="separate"/>
      </w:r>
      <w:r>
        <w:t>46</w:t>
      </w:r>
      <w:r>
        <w:fldChar w:fldCharType="end"/>
      </w:r>
      <w:r>
        <w:rPr>
          <w:rFonts w:hint="eastAsia" w:ascii="宋体" w:hAnsi="宋体" w:eastAsia="宋体" w:cs="宋体"/>
          <w:bCs/>
          <w:caps/>
          <w:color w:val="auto"/>
          <w:szCs w:val="28"/>
          <w:highlight w:val="none"/>
          <w:u w:val="single"/>
        </w:rPr>
        <w:fldChar w:fldCharType="end"/>
      </w:r>
    </w:p>
    <w:p w14:paraId="0F9CA0A5">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_Toc11251 </w:instrText>
      </w:r>
      <w:r>
        <w:rPr>
          <w:rFonts w:hint="eastAsia" w:ascii="宋体" w:hAnsi="宋体" w:eastAsia="宋体" w:cs="宋体"/>
          <w:bCs/>
          <w:caps/>
          <w:szCs w:val="28"/>
          <w:highlight w:val="none"/>
        </w:rPr>
        <w:fldChar w:fldCharType="separate"/>
      </w:r>
      <w:r>
        <w:rPr>
          <w:rFonts w:hint="eastAsia" w:ascii="宋体" w:hAnsi="宋体" w:eastAsia="宋体" w:cs="宋体"/>
          <w:szCs w:val="21"/>
          <w:highlight w:val="none"/>
        </w:rPr>
        <w:t>4.比较与评价</w:t>
      </w:r>
      <w:r>
        <w:tab/>
      </w:r>
      <w:r>
        <w:fldChar w:fldCharType="begin"/>
      </w:r>
      <w:r>
        <w:instrText xml:space="preserve"> PAGEREF _Toc11251 \h </w:instrText>
      </w:r>
      <w:r>
        <w:fldChar w:fldCharType="separate"/>
      </w:r>
      <w:r>
        <w:t>47</w:t>
      </w:r>
      <w:r>
        <w:fldChar w:fldCharType="end"/>
      </w:r>
      <w:r>
        <w:rPr>
          <w:rFonts w:hint="eastAsia" w:ascii="宋体" w:hAnsi="宋体" w:eastAsia="宋体" w:cs="宋体"/>
          <w:bCs/>
          <w:caps/>
          <w:color w:val="auto"/>
          <w:szCs w:val="28"/>
          <w:highlight w:val="none"/>
          <w:u w:val="single"/>
        </w:rPr>
        <w:fldChar w:fldCharType="end"/>
      </w:r>
    </w:p>
    <w:p w14:paraId="3CF96499">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_Toc1661 </w:instrText>
      </w:r>
      <w:r>
        <w:rPr>
          <w:rFonts w:hint="eastAsia" w:ascii="宋体" w:hAnsi="宋体" w:eastAsia="宋体" w:cs="宋体"/>
          <w:bCs/>
          <w:caps/>
          <w:szCs w:val="28"/>
          <w:highlight w:val="none"/>
        </w:rPr>
        <w:fldChar w:fldCharType="separate"/>
      </w:r>
      <w:r>
        <w:rPr>
          <w:rFonts w:hint="eastAsia" w:ascii="宋体" w:hAnsi="宋体" w:eastAsia="宋体" w:cs="宋体"/>
          <w:bCs/>
          <w:szCs w:val="30"/>
          <w:highlight w:val="none"/>
        </w:rPr>
        <w:t>第三节 评分标准</w:t>
      </w:r>
      <w:r>
        <w:tab/>
      </w:r>
      <w:r>
        <w:fldChar w:fldCharType="begin"/>
      </w:r>
      <w:r>
        <w:instrText xml:space="preserve"> PAGEREF _Toc1661 \h </w:instrText>
      </w:r>
      <w:r>
        <w:fldChar w:fldCharType="separate"/>
      </w:r>
      <w:r>
        <w:t>48</w:t>
      </w:r>
      <w:r>
        <w:fldChar w:fldCharType="end"/>
      </w:r>
      <w:r>
        <w:rPr>
          <w:rFonts w:hint="eastAsia" w:ascii="宋体" w:hAnsi="宋体" w:eastAsia="宋体" w:cs="宋体"/>
          <w:bCs/>
          <w:caps/>
          <w:color w:val="auto"/>
          <w:szCs w:val="28"/>
          <w:highlight w:val="none"/>
          <w:u w:val="single"/>
        </w:rPr>
        <w:fldChar w:fldCharType="end"/>
      </w:r>
    </w:p>
    <w:p w14:paraId="67F7B8FA">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_Toc14110 </w:instrText>
      </w:r>
      <w:r>
        <w:rPr>
          <w:rFonts w:hint="eastAsia" w:ascii="宋体" w:hAnsi="宋体" w:eastAsia="宋体" w:cs="宋体"/>
          <w:bCs/>
          <w:caps/>
          <w:szCs w:val="28"/>
          <w:highlight w:val="none"/>
        </w:rPr>
        <w:fldChar w:fldCharType="separate"/>
      </w:r>
      <w:r>
        <w:rPr>
          <w:rFonts w:hint="eastAsia" w:ascii="宋体" w:hAnsi="宋体" w:eastAsia="宋体" w:cs="宋体"/>
          <w:bCs/>
          <w:szCs w:val="30"/>
          <w:highlight w:val="none"/>
        </w:rPr>
        <w:t>第四节 入围候选人推荐原则</w:t>
      </w:r>
      <w:r>
        <w:tab/>
      </w:r>
      <w:r>
        <w:fldChar w:fldCharType="begin"/>
      </w:r>
      <w:r>
        <w:instrText xml:space="preserve"> PAGEREF _Toc14110 \h </w:instrText>
      </w:r>
      <w:r>
        <w:fldChar w:fldCharType="separate"/>
      </w:r>
      <w:r>
        <w:t>52</w:t>
      </w:r>
      <w:r>
        <w:fldChar w:fldCharType="end"/>
      </w:r>
      <w:r>
        <w:rPr>
          <w:rFonts w:hint="eastAsia" w:ascii="宋体" w:hAnsi="宋体" w:eastAsia="宋体" w:cs="宋体"/>
          <w:bCs/>
          <w:caps/>
          <w:color w:val="auto"/>
          <w:szCs w:val="28"/>
          <w:highlight w:val="none"/>
          <w:u w:val="single"/>
        </w:rPr>
        <w:fldChar w:fldCharType="end"/>
      </w:r>
    </w:p>
    <w:p w14:paraId="4CA849FB">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_Toc25710 </w:instrText>
      </w:r>
      <w:r>
        <w:rPr>
          <w:rFonts w:hint="eastAsia" w:ascii="宋体" w:hAnsi="宋体" w:eastAsia="宋体" w:cs="宋体"/>
          <w:bCs/>
          <w:caps/>
          <w:szCs w:val="28"/>
          <w:highlight w:val="none"/>
        </w:rPr>
        <w:fldChar w:fldCharType="separate"/>
      </w:r>
      <w:r>
        <w:rPr>
          <w:rFonts w:hint="eastAsia" w:ascii="宋体" w:hAnsi="宋体" w:eastAsia="宋体" w:cs="宋体"/>
          <w:bCs/>
          <w:szCs w:val="30"/>
          <w:highlight w:val="none"/>
        </w:rPr>
        <w:t>第五节 评审报告</w:t>
      </w:r>
      <w:r>
        <w:tab/>
      </w:r>
      <w:r>
        <w:fldChar w:fldCharType="begin"/>
      </w:r>
      <w:r>
        <w:instrText xml:space="preserve"> PAGEREF _Toc25710 \h </w:instrText>
      </w:r>
      <w:r>
        <w:fldChar w:fldCharType="separate"/>
      </w:r>
      <w:r>
        <w:t>52</w:t>
      </w:r>
      <w:r>
        <w:fldChar w:fldCharType="end"/>
      </w:r>
      <w:r>
        <w:rPr>
          <w:rFonts w:hint="eastAsia" w:ascii="宋体" w:hAnsi="宋体" w:eastAsia="宋体" w:cs="宋体"/>
          <w:bCs/>
          <w:caps/>
          <w:color w:val="auto"/>
          <w:szCs w:val="28"/>
          <w:highlight w:val="none"/>
          <w:u w:val="single"/>
        </w:rPr>
        <w:fldChar w:fldCharType="end"/>
      </w:r>
    </w:p>
    <w:p w14:paraId="69CBFEA2">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_Toc24342 </w:instrText>
      </w:r>
      <w:r>
        <w:rPr>
          <w:rFonts w:hint="eastAsia" w:ascii="宋体" w:hAnsi="宋体" w:eastAsia="宋体" w:cs="宋体"/>
          <w:bCs/>
          <w:caps/>
          <w:szCs w:val="28"/>
          <w:highlight w:val="none"/>
        </w:rPr>
        <w:fldChar w:fldCharType="separate"/>
      </w:r>
      <w:r>
        <w:rPr>
          <w:rFonts w:hint="eastAsia" w:ascii="宋体" w:hAnsi="宋体" w:eastAsia="宋体" w:cs="宋体"/>
          <w:bCs/>
          <w:szCs w:val="24"/>
          <w:highlight w:val="none"/>
        </w:rPr>
        <w:t>（一）评审报告与推荐入围候选人</w:t>
      </w:r>
      <w:r>
        <w:tab/>
      </w:r>
      <w:r>
        <w:fldChar w:fldCharType="begin"/>
      </w:r>
      <w:r>
        <w:instrText xml:space="preserve"> PAGEREF _Toc24342 \h </w:instrText>
      </w:r>
      <w:r>
        <w:fldChar w:fldCharType="separate"/>
      </w:r>
      <w:r>
        <w:t>52</w:t>
      </w:r>
      <w:r>
        <w:fldChar w:fldCharType="end"/>
      </w:r>
      <w:r>
        <w:rPr>
          <w:rFonts w:hint="eastAsia" w:ascii="宋体" w:hAnsi="宋体" w:eastAsia="宋体" w:cs="宋体"/>
          <w:bCs/>
          <w:caps/>
          <w:color w:val="auto"/>
          <w:szCs w:val="28"/>
          <w:highlight w:val="none"/>
          <w:u w:val="single"/>
        </w:rPr>
        <w:fldChar w:fldCharType="end"/>
      </w:r>
    </w:p>
    <w:p w14:paraId="51B0D37F">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_Toc26306 </w:instrText>
      </w:r>
      <w:r>
        <w:rPr>
          <w:rFonts w:hint="eastAsia" w:ascii="宋体" w:hAnsi="宋体" w:eastAsia="宋体" w:cs="宋体"/>
          <w:bCs/>
          <w:caps/>
          <w:szCs w:val="28"/>
          <w:highlight w:val="none"/>
        </w:rPr>
        <w:fldChar w:fldCharType="separate"/>
      </w:r>
      <w:r>
        <w:rPr>
          <w:rFonts w:hint="eastAsia" w:ascii="宋体" w:hAnsi="宋体" w:eastAsia="宋体" w:cs="宋体"/>
          <w:bCs/>
          <w:szCs w:val="24"/>
          <w:highlight w:val="none"/>
        </w:rPr>
        <w:t>（二）评审争议事项处理</w:t>
      </w:r>
      <w:r>
        <w:tab/>
      </w:r>
      <w:r>
        <w:fldChar w:fldCharType="begin"/>
      </w:r>
      <w:r>
        <w:instrText xml:space="preserve"> PAGEREF _Toc26306 \h </w:instrText>
      </w:r>
      <w:r>
        <w:fldChar w:fldCharType="separate"/>
      </w:r>
      <w:r>
        <w:t>52</w:t>
      </w:r>
      <w:r>
        <w:fldChar w:fldCharType="end"/>
      </w:r>
      <w:r>
        <w:rPr>
          <w:rFonts w:hint="eastAsia" w:ascii="宋体" w:hAnsi="宋体" w:eastAsia="宋体" w:cs="宋体"/>
          <w:bCs/>
          <w:caps/>
          <w:color w:val="auto"/>
          <w:szCs w:val="28"/>
          <w:highlight w:val="none"/>
          <w:u w:val="single"/>
        </w:rPr>
        <w:fldChar w:fldCharType="end"/>
      </w:r>
    </w:p>
    <w:p w14:paraId="31C8165A">
      <w:pPr>
        <w:pStyle w:val="2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_Toc10882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第五章 拟签订的框架协议和采购合同文本</w:t>
      </w:r>
      <w:r>
        <w:tab/>
      </w:r>
      <w:r>
        <w:fldChar w:fldCharType="begin"/>
      </w:r>
      <w:r>
        <w:instrText xml:space="preserve"> PAGEREF _Toc10882 \h </w:instrText>
      </w:r>
      <w:r>
        <w:fldChar w:fldCharType="separate"/>
      </w:r>
      <w:r>
        <w:t>53</w:t>
      </w:r>
      <w:r>
        <w:fldChar w:fldCharType="end"/>
      </w:r>
      <w:r>
        <w:rPr>
          <w:rFonts w:hint="eastAsia" w:ascii="宋体" w:hAnsi="宋体" w:eastAsia="宋体" w:cs="宋体"/>
          <w:bCs/>
          <w:caps/>
          <w:color w:val="auto"/>
          <w:szCs w:val="28"/>
          <w:highlight w:val="none"/>
          <w:u w:val="single"/>
        </w:rPr>
        <w:fldChar w:fldCharType="end"/>
      </w:r>
    </w:p>
    <w:p w14:paraId="35EBFAA9">
      <w:pPr>
        <w:pStyle w:val="2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_Toc18925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第六章 响应文件格式</w:t>
      </w:r>
      <w:r>
        <w:tab/>
      </w:r>
      <w:r>
        <w:fldChar w:fldCharType="begin"/>
      </w:r>
      <w:r>
        <w:instrText xml:space="preserve"> PAGEREF _Toc18925 \h </w:instrText>
      </w:r>
      <w:r>
        <w:fldChar w:fldCharType="separate"/>
      </w:r>
      <w:r>
        <w:t>78</w:t>
      </w:r>
      <w:r>
        <w:fldChar w:fldCharType="end"/>
      </w:r>
      <w:r>
        <w:rPr>
          <w:rFonts w:hint="eastAsia" w:ascii="宋体" w:hAnsi="宋体" w:eastAsia="宋体" w:cs="宋体"/>
          <w:bCs/>
          <w:caps/>
          <w:color w:val="auto"/>
          <w:szCs w:val="28"/>
          <w:highlight w:val="none"/>
          <w:u w:val="single"/>
        </w:rPr>
        <w:fldChar w:fldCharType="end"/>
      </w:r>
    </w:p>
    <w:p w14:paraId="1FB5F0FE">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_Toc31453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第一节 响应文件外层包装封面格式</w:t>
      </w:r>
      <w:r>
        <w:tab/>
      </w:r>
      <w:r>
        <w:fldChar w:fldCharType="begin"/>
      </w:r>
      <w:r>
        <w:instrText xml:space="preserve"> PAGEREF _Toc31453 \h </w:instrText>
      </w:r>
      <w:r>
        <w:fldChar w:fldCharType="separate"/>
      </w:r>
      <w:r>
        <w:t>79</w:t>
      </w:r>
      <w:r>
        <w:fldChar w:fldCharType="end"/>
      </w:r>
      <w:r>
        <w:rPr>
          <w:rFonts w:hint="eastAsia" w:ascii="宋体" w:hAnsi="宋体" w:eastAsia="宋体" w:cs="宋体"/>
          <w:bCs/>
          <w:caps/>
          <w:color w:val="auto"/>
          <w:szCs w:val="28"/>
          <w:highlight w:val="none"/>
          <w:u w:val="single"/>
        </w:rPr>
        <w:fldChar w:fldCharType="end"/>
      </w:r>
    </w:p>
    <w:p w14:paraId="160E663A">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_Toc3302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第二节 资格证明文件格式</w:t>
      </w:r>
      <w:r>
        <w:tab/>
      </w:r>
      <w:r>
        <w:fldChar w:fldCharType="begin"/>
      </w:r>
      <w:r>
        <w:instrText xml:space="preserve"> PAGEREF _Toc3302 \h </w:instrText>
      </w:r>
      <w:r>
        <w:fldChar w:fldCharType="separate"/>
      </w:r>
      <w:r>
        <w:t>80</w:t>
      </w:r>
      <w:r>
        <w:fldChar w:fldCharType="end"/>
      </w:r>
      <w:r>
        <w:rPr>
          <w:rFonts w:hint="eastAsia" w:ascii="宋体" w:hAnsi="宋体" w:eastAsia="宋体" w:cs="宋体"/>
          <w:bCs/>
          <w:caps/>
          <w:color w:val="auto"/>
          <w:szCs w:val="28"/>
          <w:highlight w:val="none"/>
          <w:u w:val="single"/>
        </w:rPr>
        <w:fldChar w:fldCharType="end"/>
      </w:r>
    </w:p>
    <w:p w14:paraId="502A5784">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_Toc12526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第三节 商务文件格式</w:t>
      </w:r>
      <w:r>
        <w:tab/>
      </w:r>
      <w:r>
        <w:fldChar w:fldCharType="begin"/>
      </w:r>
      <w:r>
        <w:instrText xml:space="preserve"> PAGEREF _Toc12526 \h </w:instrText>
      </w:r>
      <w:r>
        <w:fldChar w:fldCharType="separate"/>
      </w:r>
      <w:r>
        <w:t>91</w:t>
      </w:r>
      <w:r>
        <w:fldChar w:fldCharType="end"/>
      </w:r>
      <w:r>
        <w:rPr>
          <w:rFonts w:hint="eastAsia" w:ascii="宋体" w:hAnsi="宋体" w:eastAsia="宋体" w:cs="宋体"/>
          <w:bCs/>
          <w:caps/>
          <w:color w:val="auto"/>
          <w:szCs w:val="28"/>
          <w:highlight w:val="none"/>
          <w:u w:val="single"/>
        </w:rPr>
        <w:fldChar w:fldCharType="end"/>
      </w:r>
    </w:p>
    <w:p w14:paraId="5507033B">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_Toc7267 </w:instrText>
      </w:r>
      <w:r>
        <w:rPr>
          <w:rFonts w:hint="eastAsia" w:ascii="宋体" w:hAnsi="宋体" w:eastAsia="宋体" w:cs="宋体"/>
          <w:bCs/>
          <w:caps/>
          <w:szCs w:val="28"/>
          <w:highlight w:val="none"/>
        </w:rPr>
        <w:fldChar w:fldCharType="separate"/>
      </w:r>
      <w:r>
        <w:rPr>
          <w:rFonts w:hint="eastAsia" w:ascii="宋体" w:hAnsi="宋体" w:eastAsia="宋体" w:cs="宋体"/>
          <w:kern w:val="0"/>
          <w:szCs w:val="20"/>
          <w:highlight w:val="none"/>
          <w:lang w:val="zh-CN"/>
        </w:rPr>
        <w:t>日期</w:t>
      </w:r>
      <w:r>
        <w:rPr>
          <w:rFonts w:hint="eastAsia" w:ascii="宋体" w:hAnsi="宋体" w:eastAsia="宋体" w:cs="宋体"/>
          <w:kern w:val="0"/>
          <w:szCs w:val="20"/>
          <w:highlight w:val="none"/>
        </w:rPr>
        <w:t xml:space="preserve">：  年  </w:t>
      </w:r>
      <w:r>
        <w:rPr>
          <w:rFonts w:hint="eastAsia" w:ascii="宋体" w:hAnsi="宋体" w:eastAsia="宋体" w:cs="宋体"/>
          <w:kern w:val="0"/>
          <w:szCs w:val="20"/>
          <w:highlight w:val="none"/>
          <w:lang w:val="zh-CN"/>
        </w:rPr>
        <w:t>月</w:t>
      </w:r>
      <w:r>
        <w:rPr>
          <w:rFonts w:hint="eastAsia" w:ascii="宋体" w:hAnsi="宋体" w:eastAsia="宋体" w:cs="宋体"/>
          <w:kern w:val="0"/>
          <w:szCs w:val="20"/>
          <w:highlight w:val="none"/>
        </w:rPr>
        <w:t xml:space="preserve">   </w:t>
      </w:r>
      <w:r>
        <w:rPr>
          <w:rFonts w:hint="eastAsia" w:ascii="宋体" w:hAnsi="宋体" w:eastAsia="宋体" w:cs="宋体"/>
          <w:kern w:val="0"/>
          <w:szCs w:val="20"/>
          <w:highlight w:val="none"/>
          <w:lang w:val="zh-CN"/>
        </w:rPr>
        <w:t>日</w:t>
      </w:r>
      <w:r>
        <w:tab/>
      </w:r>
      <w:r>
        <w:fldChar w:fldCharType="begin"/>
      </w:r>
      <w:r>
        <w:instrText xml:space="preserve"> PAGEREF _Toc7267 \h </w:instrText>
      </w:r>
      <w:r>
        <w:fldChar w:fldCharType="separate"/>
      </w:r>
      <w:r>
        <w:t>103</w:t>
      </w:r>
      <w:r>
        <w:fldChar w:fldCharType="end"/>
      </w:r>
      <w:r>
        <w:rPr>
          <w:rFonts w:hint="eastAsia" w:ascii="宋体" w:hAnsi="宋体" w:eastAsia="宋体" w:cs="宋体"/>
          <w:bCs/>
          <w:caps/>
          <w:color w:val="auto"/>
          <w:szCs w:val="28"/>
          <w:highlight w:val="none"/>
          <w:u w:val="single"/>
        </w:rPr>
        <w:fldChar w:fldCharType="end"/>
      </w:r>
    </w:p>
    <w:p w14:paraId="415DFE8E">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_Toc24969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第四节 技术文件格式</w:t>
      </w:r>
      <w:r>
        <w:tab/>
      </w:r>
      <w:r>
        <w:fldChar w:fldCharType="begin"/>
      </w:r>
      <w:r>
        <w:instrText xml:space="preserve"> PAGEREF _Toc24969 \h </w:instrText>
      </w:r>
      <w:r>
        <w:fldChar w:fldCharType="separate"/>
      </w:r>
      <w:r>
        <w:t>104</w:t>
      </w:r>
      <w:r>
        <w:fldChar w:fldCharType="end"/>
      </w:r>
      <w:r>
        <w:rPr>
          <w:rFonts w:hint="eastAsia" w:ascii="宋体" w:hAnsi="宋体" w:eastAsia="宋体" w:cs="宋体"/>
          <w:bCs/>
          <w:caps/>
          <w:color w:val="auto"/>
          <w:szCs w:val="28"/>
          <w:highlight w:val="none"/>
          <w:u w:val="single"/>
        </w:rPr>
        <w:fldChar w:fldCharType="end"/>
      </w:r>
    </w:p>
    <w:p w14:paraId="17B99A2E">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_Toc4340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第五节 报价文件格式</w:t>
      </w:r>
      <w:r>
        <w:tab/>
      </w:r>
      <w:r>
        <w:fldChar w:fldCharType="begin"/>
      </w:r>
      <w:r>
        <w:instrText xml:space="preserve"> PAGEREF _Toc4340 \h </w:instrText>
      </w:r>
      <w:r>
        <w:fldChar w:fldCharType="separate"/>
      </w:r>
      <w:r>
        <w:t>110</w:t>
      </w:r>
      <w:r>
        <w:fldChar w:fldCharType="end"/>
      </w:r>
      <w:r>
        <w:rPr>
          <w:rFonts w:hint="eastAsia" w:ascii="宋体" w:hAnsi="宋体" w:eastAsia="宋体" w:cs="宋体"/>
          <w:bCs/>
          <w:caps/>
          <w:color w:val="auto"/>
          <w:szCs w:val="28"/>
          <w:highlight w:val="none"/>
          <w:u w:val="single"/>
        </w:rPr>
        <w:fldChar w:fldCharType="end"/>
      </w:r>
    </w:p>
    <w:p w14:paraId="742FCFCA">
      <w:pPr>
        <w:pStyle w:val="25"/>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_Toc1487 </w:instrText>
      </w:r>
      <w:r>
        <w:rPr>
          <w:rFonts w:hint="eastAsia" w:ascii="宋体" w:hAnsi="宋体" w:eastAsia="宋体" w:cs="宋体"/>
          <w:bCs/>
          <w:caps/>
          <w:szCs w:val="28"/>
          <w:highlight w:val="none"/>
        </w:rPr>
        <w:fldChar w:fldCharType="separate"/>
      </w:r>
      <w:r>
        <w:rPr>
          <w:rFonts w:hint="eastAsia" w:ascii="宋体" w:hAnsi="宋体" w:eastAsia="宋体" w:cs="宋体"/>
          <w:szCs w:val="20"/>
          <w:highlight w:val="none"/>
        </w:rPr>
        <w:t>第七章 质疑、投诉证明材料格式</w:t>
      </w:r>
      <w:r>
        <w:tab/>
      </w:r>
      <w:r>
        <w:fldChar w:fldCharType="begin"/>
      </w:r>
      <w:r>
        <w:instrText xml:space="preserve"> PAGEREF _Toc1487 \h </w:instrText>
      </w:r>
      <w:r>
        <w:fldChar w:fldCharType="separate"/>
      </w:r>
      <w:r>
        <w:t>116</w:t>
      </w:r>
      <w:r>
        <w:fldChar w:fldCharType="end"/>
      </w:r>
      <w:r>
        <w:rPr>
          <w:rFonts w:hint="eastAsia" w:ascii="宋体" w:hAnsi="宋体" w:eastAsia="宋体" w:cs="宋体"/>
          <w:bCs/>
          <w:caps/>
          <w:color w:val="auto"/>
          <w:szCs w:val="28"/>
          <w:highlight w:val="none"/>
          <w:u w:val="single"/>
        </w:rPr>
        <w:fldChar w:fldCharType="end"/>
      </w:r>
    </w:p>
    <w:p w14:paraId="37DF21E0">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_Toc24283 </w:instrText>
      </w:r>
      <w:r>
        <w:rPr>
          <w:rFonts w:hint="eastAsia" w:ascii="宋体" w:hAnsi="宋体" w:eastAsia="宋体" w:cs="宋体"/>
          <w:bCs/>
          <w:caps/>
          <w:szCs w:val="28"/>
          <w:highlight w:val="none"/>
        </w:rPr>
        <w:fldChar w:fldCharType="separate"/>
      </w:r>
      <w:r>
        <w:rPr>
          <w:rFonts w:hint="eastAsia" w:ascii="宋体" w:hAnsi="宋体" w:eastAsia="宋体" w:cs="宋体"/>
          <w:szCs w:val="32"/>
          <w:highlight w:val="none"/>
        </w:rPr>
        <w:t>第一节 质疑函（格式）</w:t>
      </w:r>
      <w:r>
        <w:tab/>
      </w:r>
      <w:r>
        <w:fldChar w:fldCharType="begin"/>
      </w:r>
      <w:r>
        <w:instrText xml:space="preserve"> PAGEREF _Toc24283 \h </w:instrText>
      </w:r>
      <w:r>
        <w:fldChar w:fldCharType="separate"/>
      </w:r>
      <w:r>
        <w:t>117</w:t>
      </w:r>
      <w:r>
        <w:fldChar w:fldCharType="end"/>
      </w:r>
      <w:r>
        <w:rPr>
          <w:rFonts w:hint="eastAsia" w:ascii="宋体" w:hAnsi="宋体" w:eastAsia="宋体" w:cs="宋体"/>
          <w:bCs/>
          <w:caps/>
          <w:color w:val="auto"/>
          <w:szCs w:val="28"/>
          <w:highlight w:val="none"/>
          <w:u w:val="single"/>
        </w:rPr>
        <w:fldChar w:fldCharType="end"/>
      </w:r>
    </w:p>
    <w:p w14:paraId="139D7DCE">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_Toc10767 </w:instrText>
      </w:r>
      <w:r>
        <w:rPr>
          <w:rFonts w:hint="eastAsia" w:ascii="宋体" w:hAnsi="宋体" w:eastAsia="宋体" w:cs="宋体"/>
          <w:bCs/>
          <w:caps/>
          <w:szCs w:val="28"/>
          <w:highlight w:val="none"/>
        </w:rPr>
        <w:fldChar w:fldCharType="separate"/>
      </w:r>
      <w:r>
        <w:rPr>
          <w:rFonts w:hint="eastAsia" w:ascii="宋体" w:hAnsi="宋体" w:eastAsia="宋体" w:cs="宋体"/>
          <w:bCs/>
          <w:szCs w:val="44"/>
          <w:highlight w:val="none"/>
        </w:rPr>
        <w:t>质疑函范本</w:t>
      </w:r>
      <w:r>
        <w:tab/>
      </w:r>
      <w:r>
        <w:fldChar w:fldCharType="begin"/>
      </w:r>
      <w:r>
        <w:instrText xml:space="preserve"> PAGEREF _Toc10767 \h </w:instrText>
      </w:r>
      <w:r>
        <w:fldChar w:fldCharType="separate"/>
      </w:r>
      <w:r>
        <w:t>117</w:t>
      </w:r>
      <w:r>
        <w:fldChar w:fldCharType="end"/>
      </w:r>
      <w:r>
        <w:rPr>
          <w:rFonts w:hint="eastAsia" w:ascii="宋体" w:hAnsi="宋体" w:eastAsia="宋体" w:cs="宋体"/>
          <w:bCs/>
          <w:caps/>
          <w:color w:val="auto"/>
          <w:szCs w:val="28"/>
          <w:highlight w:val="none"/>
          <w:u w:val="single"/>
        </w:rPr>
        <w:fldChar w:fldCharType="end"/>
      </w:r>
    </w:p>
    <w:p w14:paraId="737CE8EA">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_Toc3547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一、质疑供应商基本信息</w:t>
      </w:r>
      <w:r>
        <w:tab/>
      </w:r>
      <w:r>
        <w:fldChar w:fldCharType="begin"/>
      </w:r>
      <w:r>
        <w:instrText xml:space="preserve"> PAGEREF _Toc3547 \h </w:instrText>
      </w:r>
      <w:r>
        <w:fldChar w:fldCharType="separate"/>
      </w:r>
      <w:r>
        <w:t>117</w:t>
      </w:r>
      <w:r>
        <w:fldChar w:fldCharType="end"/>
      </w:r>
      <w:r>
        <w:rPr>
          <w:rFonts w:hint="eastAsia" w:ascii="宋体" w:hAnsi="宋体" w:eastAsia="宋体" w:cs="宋体"/>
          <w:bCs/>
          <w:caps/>
          <w:color w:val="auto"/>
          <w:szCs w:val="28"/>
          <w:highlight w:val="none"/>
          <w:u w:val="single"/>
        </w:rPr>
        <w:fldChar w:fldCharType="end"/>
      </w:r>
    </w:p>
    <w:p w14:paraId="09F34692">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_Toc30953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二、质疑项目基本情况</w:t>
      </w:r>
      <w:r>
        <w:tab/>
      </w:r>
      <w:r>
        <w:fldChar w:fldCharType="begin"/>
      </w:r>
      <w:r>
        <w:instrText xml:space="preserve"> PAGEREF _Toc30953 \h </w:instrText>
      </w:r>
      <w:r>
        <w:fldChar w:fldCharType="separate"/>
      </w:r>
      <w:r>
        <w:t>117</w:t>
      </w:r>
      <w:r>
        <w:fldChar w:fldCharType="end"/>
      </w:r>
      <w:r>
        <w:rPr>
          <w:rFonts w:hint="eastAsia" w:ascii="宋体" w:hAnsi="宋体" w:eastAsia="宋体" w:cs="宋体"/>
          <w:bCs/>
          <w:caps/>
          <w:color w:val="auto"/>
          <w:szCs w:val="28"/>
          <w:highlight w:val="none"/>
          <w:u w:val="single"/>
        </w:rPr>
        <w:fldChar w:fldCharType="end"/>
      </w:r>
    </w:p>
    <w:p w14:paraId="700EC980">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_Toc89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三、质疑事项具体内容</w:t>
      </w:r>
      <w:r>
        <w:tab/>
      </w:r>
      <w:r>
        <w:fldChar w:fldCharType="begin"/>
      </w:r>
      <w:r>
        <w:instrText xml:space="preserve"> PAGEREF _Toc89 \h </w:instrText>
      </w:r>
      <w:r>
        <w:fldChar w:fldCharType="separate"/>
      </w:r>
      <w:r>
        <w:t>117</w:t>
      </w:r>
      <w:r>
        <w:fldChar w:fldCharType="end"/>
      </w:r>
      <w:r>
        <w:rPr>
          <w:rFonts w:hint="eastAsia" w:ascii="宋体" w:hAnsi="宋体" w:eastAsia="宋体" w:cs="宋体"/>
          <w:bCs/>
          <w:caps/>
          <w:color w:val="auto"/>
          <w:szCs w:val="28"/>
          <w:highlight w:val="none"/>
          <w:u w:val="single"/>
        </w:rPr>
        <w:fldChar w:fldCharType="end"/>
      </w:r>
    </w:p>
    <w:p w14:paraId="08D7E927">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_Toc11374 </w:instrText>
      </w:r>
      <w:r>
        <w:rPr>
          <w:rFonts w:hint="eastAsia" w:ascii="宋体" w:hAnsi="宋体" w:eastAsia="宋体" w:cs="宋体"/>
          <w:bCs/>
          <w:caps/>
          <w:szCs w:val="28"/>
          <w:highlight w:val="none"/>
        </w:rPr>
        <w:fldChar w:fldCharType="separate"/>
      </w:r>
      <w:r>
        <w:rPr>
          <w:rFonts w:hint="eastAsia" w:ascii="宋体" w:hAnsi="宋体" w:eastAsia="宋体" w:cs="宋体"/>
          <w:bCs/>
          <w:szCs w:val="28"/>
          <w:highlight w:val="none"/>
        </w:rPr>
        <w:t>四、与质疑事项相关的质疑请求</w:t>
      </w:r>
      <w:r>
        <w:tab/>
      </w:r>
      <w:r>
        <w:fldChar w:fldCharType="begin"/>
      </w:r>
      <w:r>
        <w:instrText xml:space="preserve"> PAGEREF _Toc11374 \h </w:instrText>
      </w:r>
      <w:r>
        <w:fldChar w:fldCharType="separate"/>
      </w:r>
      <w:r>
        <w:t>117</w:t>
      </w:r>
      <w:r>
        <w:fldChar w:fldCharType="end"/>
      </w:r>
      <w:r>
        <w:rPr>
          <w:rFonts w:hint="eastAsia" w:ascii="宋体" w:hAnsi="宋体" w:eastAsia="宋体" w:cs="宋体"/>
          <w:bCs/>
          <w:caps/>
          <w:color w:val="auto"/>
          <w:szCs w:val="28"/>
          <w:highlight w:val="none"/>
          <w:u w:val="single"/>
        </w:rPr>
        <w:fldChar w:fldCharType="end"/>
      </w:r>
    </w:p>
    <w:p w14:paraId="3AD464D0">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_Toc19571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质疑函制作说明：</w:t>
      </w:r>
      <w:r>
        <w:tab/>
      </w:r>
      <w:r>
        <w:fldChar w:fldCharType="begin"/>
      </w:r>
      <w:r>
        <w:instrText xml:space="preserve"> PAGEREF _Toc19571 \h </w:instrText>
      </w:r>
      <w:r>
        <w:fldChar w:fldCharType="separate"/>
      </w:r>
      <w:r>
        <w:t>118</w:t>
      </w:r>
      <w:r>
        <w:fldChar w:fldCharType="end"/>
      </w:r>
      <w:r>
        <w:rPr>
          <w:rFonts w:hint="eastAsia" w:ascii="宋体" w:hAnsi="宋体" w:eastAsia="宋体" w:cs="宋体"/>
          <w:bCs/>
          <w:caps/>
          <w:color w:val="auto"/>
          <w:szCs w:val="28"/>
          <w:highlight w:val="none"/>
          <w:u w:val="single"/>
        </w:rPr>
        <w:fldChar w:fldCharType="end"/>
      </w:r>
    </w:p>
    <w:p w14:paraId="539BA4C9">
      <w:pPr>
        <w:pStyle w:val="30"/>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_Toc32074 </w:instrText>
      </w:r>
      <w:r>
        <w:rPr>
          <w:rFonts w:hint="eastAsia" w:ascii="宋体" w:hAnsi="宋体" w:eastAsia="宋体" w:cs="宋体"/>
          <w:bCs/>
          <w:caps/>
          <w:szCs w:val="28"/>
          <w:highlight w:val="none"/>
        </w:rPr>
        <w:fldChar w:fldCharType="separate"/>
      </w:r>
      <w:r>
        <w:rPr>
          <w:rFonts w:hint="eastAsia" w:ascii="宋体" w:hAnsi="宋体" w:eastAsia="宋体" w:cs="宋体"/>
          <w:szCs w:val="32"/>
          <w:highlight w:val="none"/>
        </w:rPr>
        <w:t>第二节 投诉书（格式）</w:t>
      </w:r>
      <w:r>
        <w:tab/>
      </w:r>
      <w:r>
        <w:fldChar w:fldCharType="begin"/>
      </w:r>
      <w:r>
        <w:instrText xml:space="preserve"> PAGEREF _Toc32074 \h </w:instrText>
      </w:r>
      <w:r>
        <w:fldChar w:fldCharType="separate"/>
      </w:r>
      <w:r>
        <w:t>119</w:t>
      </w:r>
      <w:r>
        <w:fldChar w:fldCharType="end"/>
      </w:r>
      <w:r>
        <w:rPr>
          <w:rFonts w:hint="eastAsia" w:ascii="宋体" w:hAnsi="宋体" w:eastAsia="宋体" w:cs="宋体"/>
          <w:bCs/>
          <w:caps/>
          <w:color w:val="auto"/>
          <w:szCs w:val="28"/>
          <w:highlight w:val="none"/>
          <w:u w:val="single"/>
        </w:rPr>
        <w:fldChar w:fldCharType="end"/>
      </w:r>
    </w:p>
    <w:p w14:paraId="3AE1720A">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_Toc32517 </w:instrText>
      </w:r>
      <w:r>
        <w:rPr>
          <w:rFonts w:hint="eastAsia" w:ascii="宋体" w:hAnsi="宋体" w:eastAsia="宋体" w:cs="宋体"/>
          <w:bCs/>
          <w:caps/>
          <w:szCs w:val="28"/>
          <w:highlight w:val="none"/>
        </w:rPr>
        <w:fldChar w:fldCharType="separate"/>
      </w:r>
      <w:r>
        <w:rPr>
          <w:rFonts w:hint="eastAsia" w:ascii="宋体" w:hAnsi="宋体" w:eastAsia="宋体" w:cs="宋体"/>
          <w:szCs w:val="44"/>
          <w:highlight w:val="none"/>
        </w:rPr>
        <w:t>投诉书范本</w:t>
      </w:r>
      <w:r>
        <w:tab/>
      </w:r>
      <w:r>
        <w:fldChar w:fldCharType="begin"/>
      </w:r>
      <w:r>
        <w:instrText xml:space="preserve"> PAGEREF _Toc32517 \h </w:instrText>
      </w:r>
      <w:r>
        <w:fldChar w:fldCharType="separate"/>
      </w:r>
      <w:r>
        <w:t>119</w:t>
      </w:r>
      <w:r>
        <w:fldChar w:fldCharType="end"/>
      </w:r>
      <w:r>
        <w:rPr>
          <w:rFonts w:hint="eastAsia" w:ascii="宋体" w:hAnsi="宋体" w:eastAsia="宋体" w:cs="宋体"/>
          <w:bCs/>
          <w:caps/>
          <w:color w:val="auto"/>
          <w:szCs w:val="28"/>
          <w:highlight w:val="none"/>
          <w:u w:val="single"/>
        </w:rPr>
        <w:fldChar w:fldCharType="end"/>
      </w:r>
    </w:p>
    <w:p w14:paraId="209DBA1E">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_Toc10303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一、投诉相关主体基本情况</w:t>
      </w:r>
      <w:r>
        <w:tab/>
      </w:r>
      <w:r>
        <w:fldChar w:fldCharType="begin"/>
      </w:r>
      <w:r>
        <w:instrText xml:space="preserve"> PAGEREF _Toc10303 \h </w:instrText>
      </w:r>
      <w:r>
        <w:fldChar w:fldCharType="separate"/>
      </w:r>
      <w:r>
        <w:t>119</w:t>
      </w:r>
      <w:r>
        <w:fldChar w:fldCharType="end"/>
      </w:r>
      <w:r>
        <w:rPr>
          <w:rFonts w:hint="eastAsia" w:ascii="宋体" w:hAnsi="宋体" w:eastAsia="宋体" w:cs="宋体"/>
          <w:bCs/>
          <w:caps/>
          <w:color w:val="auto"/>
          <w:szCs w:val="28"/>
          <w:highlight w:val="none"/>
          <w:u w:val="single"/>
        </w:rPr>
        <w:fldChar w:fldCharType="end"/>
      </w:r>
    </w:p>
    <w:p w14:paraId="4775A782">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_Toc8123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二、投诉项目基本情况</w:t>
      </w:r>
      <w:r>
        <w:tab/>
      </w:r>
      <w:r>
        <w:fldChar w:fldCharType="begin"/>
      </w:r>
      <w:r>
        <w:instrText xml:space="preserve"> PAGEREF _Toc8123 \h </w:instrText>
      </w:r>
      <w:r>
        <w:fldChar w:fldCharType="separate"/>
      </w:r>
      <w:r>
        <w:t>119</w:t>
      </w:r>
      <w:r>
        <w:fldChar w:fldCharType="end"/>
      </w:r>
      <w:r>
        <w:rPr>
          <w:rFonts w:hint="eastAsia" w:ascii="宋体" w:hAnsi="宋体" w:eastAsia="宋体" w:cs="宋体"/>
          <w:bCs/>
          <w:caps/>
          <w:color w:val="auto"/>
          <w:szCs w:val="28"/>
          <w:highlight w:val="none"/>
          <w:u w:val="single"/>
        </w:rPr>
        <w:fldChar w:fldCharType="end"/>
      </w:r>
    </w:p>
    <w:p w14:paraId="073170B6">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_Toc9340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三、质疑基本情况</w:t>
      </w:r>
      <w:r>
        <w:tab/>
      </w:r>
      <w:r>
        <w:fldChar w:fldCharType="begin"/>
      </w:r>
      <w:r>
        <w:instrText xml:space="preserve"> PAGEREF _Toc9340 \h </w:instrText>
      </w:r>
      <w:r>
        <w:fldChar w:fldCharType="separate"/>
      </w:r>
      <w:r>
        <w:t>120</w:t>
      </w:r>
      <w:r>
        <w:fldChar w:fldCharType="end"/>
      </w:r>
      <w:r>
        <w:rPr>
          <w:rFonts w:hint="eastAsia" w:ascii="宋体" w:hAnsi="宋体" w:eastAsia="宋体" w:cs="宋体"/>
          <w:bCs/>
          <w:caps/>
          <w:color w:val="auto"/>
          <w:szCs w:val="28"/>
          <w:highlight w:val="none"/>
          <w:u w:val="single"/>
        </w:rPr>
        <w:fldChar w:fldCharType="end"/>
      </w:r>
    </w:p>
    <w:p w14:paraId="30AE775C">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_Toc18060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四、投诉事项具体内容</w:t>
      </w:r>
      <w:r>
        <w:tab/>
      </w:r>
      <w:r>
        <w:fldChar w:fldCharType="begin"/>
      </w:r>
      <w:r>
        <w:instrText xml:space="preserve"> PAGEREF _Toc18060 \h </w:instrText>
      </w:r>
      <w:r>
        <w:fldChar w:fldCharType="separate"/>
      </w:r>
      <w:r>
        <w:t>120</w:t>
      </w:r>
      <w:r>
        <w:fldChar w:fldCharType="end"/>
      </w:r>
      <w:r>
        <w:rPr>
          <w:rFonts w:hint="eastAsia" w:ascii="宋体" w:hAnsi="宋体" w:eastAsia="宋体" w:cs="宋体"/>
          <w:bCs/>
          <w:caps/>
          <w:color w:val="auto"/>
          <w:szCs w:val="28"/>
          <w:highlight w:val="none"/>
          <w:u w:val="single"/>
        </w:rPr>
        <w:fldChar w:fldCharType="end"/>
      </w:r>
    </w:p>
    <w:p w14:paraId="68F1FE0A">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_Toc14734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五、与投诉事项相关的投诉请求</w:t>
      </w:r>
      <w:r>
        <w:tab/>
      </w:r>
      <w:r>
        <w:fldChar w:fldCharType="begin"/>
      </w:r>
      <w:r>
        <w:instrText xml:space="preserve"> PAGEREF _Toc14734 \h </w:instrText>
      </w:r>
      <w:r>
        <w:fldChar w:fldCharType="separate"/>
      </w:r>
      <w:r>
        <w:t>120</w:t>
      </w:r>
      <w:r>
        <w:fldChar w:fldCharType="end"/>
      </w:r>
      <w:r>
        <w:rPr>
          <w:rFonts w:hint="eastAsia" w:ascii="宋体" w:hAnsi="宋体" w:eastAsia="宋体" w:cs="宋体"/>
          <w:bCs/>
          <w:caps/>
          <w:color w:val="auto"/>
          <w:szCs w:val="28"/>
          <w:highlight w:val="none"/>
          <w:u w:val="single"/>
        </w:rPr>
        <w:fldChar w:fldCharType="end"/>
      </w:r>
    </w:p>
    <w:p w14:paraId="4464A22D">
      <w:pPr>
        <w:pStyle w:val="17"/>
        <w:tabs>
          <w:tab w:val="right" w:leader="dot" w:pos="9638"/>
        </w:tabs>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szCs w:val="28"/>
          <w:highlight w:val="none"/>
        </w:rPr>
        <w:instrText xml:space="preserve"> HYPERLINK \l _Toc22117 </w:instrText>
      </w:r>
      <w:r>
        <w:rPr>
          <w:rFonts w:hint="eastAsia" w:ascii="宋体" w:hAnsi="宋体" w:eastAsia="宋体" w:cs="宋体"/>
          <w:bCs/>
          <w:caps/>
          <w:szCs w:val="28"/>
          <w:highlight w:val="none"/>
        </w:rPr>
        <w:fldChar w:fldCharType="separate"/>
      </w:r>
      <w:r>
        <w:rPr>
          <w:rFonts w:hint="eastAsia" w:ascii="宋体" w:hAnsi="宋体" w:eastAsia="宋体" w:cs="宋体"/>
          <w:szCs w:val="28"/>
          <w:highlight w:val="none"/>
        </w:rPr>
        <w:t>投诉书制作说明：</w:t>
      </w:r>
      <w:r>
        <w:tab/>
      </w:r>
      <w:r>
        <w:fldChar w:fldCharType="begin"/>
      </w:r>
      <w:r>
        <w:instrText xml:space="preserve"> PAGEREF _Toc22117 \h </w:instrText>
      </w:r>
      <w:r>
        <w:fldChar w:fldCharType="separate"/>
      </w:r>
      <w:r>
        <w:t>121</w:t>
      </w:r>
      <w:r>
        <w:fldChar w:fldCharType="end"/>
      </w:r>
      <w:r>
        <w:rPr>
          <w:rFonts w:hint="eastAsia" w:ascii="宋体" w:hAnsi="宋体" w:eastAsia="宋体" w:cs="宋体"/>
          <w:bCs/>
          <w:caps/>
          <w:color w:val="auto"/>
          <w:szCs w:val="28"/>
          <w:highlight w:val="none"/>
          <w:u w:val="single"/>
        </w:rPr>
        <w:fldChar w:fldCharType="end"/>
      </w:r>
    </w:p>
    <w:p w14:paraId="4CFAD6B3">
      <w:pPr>
        <w:spacing w:line="260" w:lineRule="exact"/>
        <w:jc w:val="center"/>
        <w:rPr>
          <w:rFonts w:ascii="宋体" w:hAnsi="宋体" w:eastAsia="宋体" w:cs="宋体"/>
          <w:color w:val="auto"/>
          <w:szCs w:val="20"/>
          <w:highlight w:val="none"/>
        </w:rPr>
      </w:pPr>
      <w:r>
        <w:rPr>
          <w:rFonts w:hint="eastAsia" w:ascii="宋体" w:hAnsi="宋体" w:eastAsia="宋体" w:cs="宋体"/>
          <w:bCs/>
          <w:caps/>
          <w:color w:val="auto"/>
          <w:szCs w:val="28"/>
          <w:highlight w:val="none"/>
          <w:u w:val="single"/>
        </w:rPr>
        <w:fldChar w:fldCharType="end"/>
      </w:r>
      <w:r>
        <w:rPr>
          <w:rFonts w:hint="eastAsia" w:ascii="宋体" w:hAnsi="宋体" w:eastAsia="宋体" w:cs="宋体"/>
          <w:color w:val="auto"/>
          <w:szCs w:val="20"/>
          <w:highlight w:val="none"/>
        </w:rPr>
        <w:tab/>
      </w:r>
      <w:bookmarkStart w:id="0" w:name="_Toc532545041"/>
      <w:bookmarkStart w:id="1" w:name="_Toc80092990"/>
    </w:p>
    <w:p w14:paraId="041F5A9D">
      <w:pPr>
        <w:spacing w:line="360" w:lineRule="exact"/>
        <w:jc w:val="center"/>
        <w:outlineLvl w:val="0"/>
        <w:rPr>
          <w:rFonts w:ascii="宋体" w:hAnsi="宋体" w:eastAsia="宋体" w:cs="宋体"/>
          <w:b/>
          <w:color w:val="auto"/>
          <w:sz w:val="36"/>
          <w:szCs w:val="36"/>
          <w:highlight w:val="none"/>
        </w:rPr>
      </w:pPr>
      <w:r>
        <w:rPr>
          <w:rFonts w:hint="eastAsia" w:ascii="宋体" w:hAnsi="宋体" w:eastAsia="宋体" w:cs="宋体"/>
          <w:color w:val="auto"/>
          <w:szCs w:val="20"/>
          <w:highlight w:val="none"/>
        </w:rPr>
        <w:br w:type="page"/>
      </w:r>
      <w:bookmarkStart w:id="2" w:name="_Toc16246"/>
      <w:bookmarkStart w:id="3" w:name="_Toc6237"/>
      <w:bookmarkStart w:id="4" w:name="_Toc22281"/>
      <w:bookmarkStart w:id="5" w:name="_Toc8874"/>
      <w:bookmarkStart w:id="6" w:name="_Toc4957"/>
      <w:r>
        <w:rPr>
          <w:rFonts w:hint="eastAsia" w:ascii="宋体" w:hAnsi="宋体" w:eastAsia="宋体" w:cs="宋体"/>
          <w:b/>
          <w:color w:val="auto"/>
          <w:sz w:val="36"/>
          <w:szCs w:val="20"/>
          <w:highlight w:val="none"/>
        </w:rPr>
        <w:t>第一章  征集公告</w:t>
      </w:r>
      <w:bookmarkEnd w:id="0"/>
      <w:bookmarkEnd w:id="1"/>
      <w:bookmarkEnd w:id="2"/>
      <w:bookmarkEnd w:id="3"/>
      <w:bookmarkEnd w:id="4"/>
      <w:bookmarkEnd w:id="5"/>
      <w:bookmarkEnd w:id="6"/>
    </w:p>
    <w:p w14:paraId="2657369B">
      <w:pPr>
        <w:spacing w:line="360" w:lineRule="auto"/>
        <w:rPr>
          <w:rFonts w:ascii="宋体" w:hAnsi="宋体"/>
          <w:color w:val="auto"/>
          <w:szCs w:val="21"/>
          <w:highlight w:val="none"/>
        </w:rPr>
      </w:pPr>
    </w:p>
    <w:p w14:paraId="15C6C3B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360" w:lineRule="auto"/>
        <w:ind w:firstLine="420" w:firstLineChars="200"/>
        <w:textAlignment w:val="auto"/>
        <w:rPr>
          <w:rFonts w:ascii="宋体" w:hAnsi="宋体"/>
          <w:color w:val="auto"/>
          <w:szCs w:val="21"/>
          <w:highlight w:val="none"/>
        </w:rPr>
      </w:pPr>
      <w:bookmarkStart w:id="7" w:name="OLE_LINK1"/>
      <w:r>
        <w:rPr>
          <w:rFonts w:hint="eastAsia" w:ascii="宋体" w:hAnsi="宋体"/>
          <w:color w:val="auto"/>
          <w:szCs w:val="21"/>
          <w:highlight w:val="none"/>
        </w:rPr>
        <w:t>项目概况</w:t>
      </w:r>
    </w:p>
    <w:p w14:paraId="32E6C38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lang w:val="en-US" w:eastAsia="zh-CN"/>
        </w:rPr>
        <w:t>2025—2027年度中马钦州产业园区财政投资建设项目竣工财务决算协审服务框架协议采购</w:t>
      </w:r>
      <w:r>
        <w:rPr>
          <w:rFonts w:hint="eastAsia" w:ascii="宋体" w:hAnsi="宋体"/>
          <w:color w:val="auto"/>
          <w:szCs w:val="21"/>
          <w:highlight w:val="none"/>
        </w:rPr>
        <w:t>项目的潜在供应商应在广西政府采购云平台获取（下载）征集文件，并于202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default" w:ascii="宋体" w:hAnsi="宋体"/>
          <w:color w:val="auto"/>
          <w:szCs w:val="21"/>
          <w:highlight w:val="none"/>
          <w:lang w:val="en-US" w:eastAsia="zh-CN"/>
        </w:rPr>
        <w:t>6</w:t>
      </w:r>
      <w:r>
        <w:rPr>
          <w:rFonts w:hint="eastAsia" w:ascii="宋体" w:hAnsi="宋体"/>
          <w:color w:val="auto"/>
          <w:szCs w:val="21"/>
          <w:highlight w:val="none"/>
        </w:rPr>
        <w:t>日</w:t>
      </w:r>
      <w:r>
        <w:rPr>
          <w:rFonts w:hint="eastAsia" w:ascii="宋体" w:hAnsi="宋体"/>
          <w:color w:val="auto"/>
          <w:szCs w:val="21"/>
          <w:highlight w:val="none"/>
          <w:lang w:val="en-US" w:eastAsia="zh-CN"/>
        </w:rPr>
        <w:t>09</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0（北京时间）按要</w:t>
      </w:r>
      <w:r>
        <w:rPr>
          <w:rFonts w:hint="eastAsia" w:ascii="宋体" w:hAnsi="宋体"/>
          <w:bCs/>
          <w:color w:val="auto"/>
          <w:szCs w:val="21"/>
          <w:highlight w:val="none"/>
        </w:rPr>
        <w:t>求递交（上传）响应文件</w:t>
      </w:r>
      <w:r>
        <w:rPr>
          <w:rFonts w:hint="eastAsia" w:ascii="宋体" w:hAnsi="宋体"/>
          <w:color w:val="auto"/>
          <w:szCs w:val="21"/>
          <w:highlight w:val="none"/>
        </w:rPr>
        <w:t>。</w:t>
      </w:r>
    </w:p>
    <w:p w14:paraId="6A7ECDA7">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ascii="黑体" w:hAnsi="黑体" w:eastAsia="黑体"/>
          <w:b/>
          <w:bCs/>
          <w:color w:val="auto"/>
          <w:sz w:val="24"/>
          <w:highlight w:val="none"/>
        </w:rPr>
      </w:pPr>
      <w:bookmarkStart w:id="8" w:name="_Toc35393790"/>
      <w:bookmarkStart w:id="9" w:name="_Toc28359002"/>
      <w:bookmarkStart w:id="10" w:name="_Toc35393621"/>
      <w:bookmarkStart w:id="11" w:name="_Toc28359079"/>
      <w:bookmarkStart w:id="12" w:name="_Hlk24379207"/>
      <w:r>
        <w:rPr>
          <w:rFonts w:hint="eastAsia" w:ascii="黑体" w:hAnsi="黑体" w:eastAsia="黑体"/>
          <w:b/>
          <w:bCs/>
          <w:color w:val="auto"/>
          <w:sz w:val="24"/>
          <w:highlight w:val="none"/>
        </w:rPr>
        <w:t>一、项目基本情况</w:t>
      </w:r>
      <w:bookmarkEnd w:id="8"/>
      <w:bookmarkEnd w:id="9"/>
      <w:bookmarkEnd w:id="10"/>
      <w:bookmarkEnd w:id="11"/>
    </w:p>
    <w:bookmarkEnd w:id="12"/>
    <w:p w14:paraId="0979DCB6">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项目编号：QZZC2025-K3-980008-GXCJ</w:t>
      </w:r>
    </w:p>
    <w:p w14:paraId="3E59D4CE">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olor w:val="auto"/>
          <w:szCs w:val="21"/>
          <w:highlight w:val="none"/>
          <w:u w:val="none"/>
          <w:lang w:val="en-US" w:eastAsia="zh-CN"/>
        </w:rPr>
        <w:t>2025—2027年度中马钦州产业园区财政投资建设项目竣工财务决算协审服务框架协议采购</w:t>
      </w:r>
    </w:p>
    <w:p w14:paraId="0F7B0CF5">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预算金额：本项目无固定预算金额，协议价格按约定的标准计价，供应商不需要提供报价。因系统开标一览表报价为固定金额报价无法变更，供应商在广西政府采购云平台填写报价内容均按 1元填报，以上报价只用于填报广西政府采购云平台中的“单价”，具体项目评审服务费收费标准按照征集文件规定的计费方式和费率计费执行。此报价不作评分且不影响评分结果。</w:t>
      </w:r>
    </w:p>
    <w:p w14:paraId="22095860">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最高限制单价：与预算金额一致。</w:t>
      </w:r>
    </w:p>
    <w:p w14:paraId="1C681BED">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适用采购人或者服务对象范围：</w:t>
      </w:r>
      <w:r>
        <w:rPr>
          <w:rFonts w:hint="eastAsia" w:ascii="宋体" w:hAnsi="宋体" w:cs="宋体"/>
          <w:color w:val="auto"/>
          <w:szCs w:val="21"/>
          <w:highlight w:val="none"/>
          <w:lang w:val="en-US" w:eastAsia="zh-CN"/>
        </w:rPr>
        <w:t>中国—马来西亚钦州产业园区本级下的全部采购单位</w:t>
      </w:r>
    </w:p>
    <w:p w14:paraId="4B1B06A3">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采购方式：</w:t>
      </w:r>
      <w:r>
        <w:rPr>
          <w:rFonts w:hint="eastAsia" w:ascii="宋体" w:hAnsi="宋体" w:cs="宋体"/>
          <w:color w:val="auto"/>
          <w:szCs w:val="21"/>
          <w:highlight w:val="none"/>
        </w:rPr>
        <w:t>封闭式框架协议采购</w:t>
      </w:r>
      <w:r>
        <w:rPr>
          <w:rFonts w:hint="eastAsia" w:ascii="宋体" w:hAnsi="宋体" w:cs="宋体"/>
          <w:color w:val="auto"/>
          <w:szCs w:val="21"/>
          <w:highlight w:val="none"/>
          <w:lang w:eastAsia="zh-CN"/>
        </w:rPr>
        <w:t>，确定第二阶段成交供应商方式为直接选定。</w:t>
      </w:r>
    </w:p>
    <w:p w14:paraId="46031648">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采购需求：</w:t>
      </w:r>
    </w:p>
    <w:tbl>
      <w:tblPr>
        <w:tblStyle w:val="3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3777"/>
        <w:gridCol w:w="3827"/>
        <w:gridCol w:w="1574"/>
      </w:tblGrid>
      <w:tr w14:paraId="50851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0" w:type="pct"/>
            <w:tcBorders>
              <w:top w:val="single" w:color="auto" w:sz="4" w:space="0"/>
              <w:left w:val="single" w:color="auto" w:sz="4" w:space="0"/>
              <w:bottom w:val="single" w:color="auto" w:sz="4" w:space="0"/>
              <w:right w:val="single" w:color="auto" w:sz="4" w:space="0"/>
            </w:tcBorders>
            <w:vAlign w:val="center"/>
          </w:tcPr>
          <w:p w14:paraId="5263391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17" w:type="pct"/>
            <w:tcBorders>
              <w:top w:val="single" w:color="auto" w:sz="4" w:space="0"/>
              <w:left w:val="single" w:color="auto" w:sz="4" w:space="0"/>
              <w:bottom w:val="single" w:color="auto" w:sz="4" w:space="0"/>
              <w:right w:val="single" w:color="auto" w:sz="4" w:space="0"/>
            </w:tcBorders>
            <w:vAlign w:val="center"/>
          </w:tcPr>
          <w:p w14:paraId="6AFC3E9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1942" w:type="pct"/>
            <w:tcBorders>
              <w:top w:val="single" w:color="auto" w:sz="4" w:space="0"/>
              <w:left w:val="single" w:color="auto" w:sz="4" w:space="0"/>
              <w:bottom w:val="single" w:color="auto" w:sz="4" w:space="0"/>
              <w:right w:val="single" w:color="auto" w:sz="4" w:space="0"/>
            </w:tcBorders>
            <w:vAlign w:val="center"/>
          </w:tcPr>
          <w:p w14:paraId="3C2648E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一阶段供应商入围数量</w:t>
            </w:r>
          </w:p>
        </w:tc>
        <w:tc>
          <w:tcPr>
            <w:tcW w:w="799" w:type="pct"/>
            <w:tcBorders>
              <w:top w:val="single" w:color="auto" w:sz="4" w:space="0"/>
              <w:left w:val="single" w:color="auto" w:sz="4" w:space="0"/>
              <w:bottom w:val="single" w:color="auto" w:sz="4" w:space="0"/>
              <w:right w:val="single" w:color="auto" w:sz="4" w:space="0"/>
            </w:tcBorders>
            <w:vAlign w:val="center"/>
          </w:tcPr>
          <w:p w14:paraId="0D61BE2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简要服务要求或者技术需求</w:t>
            </w:r>
          </w:p>
        </w:tc>
      </w:tr>
      <w:tr w14:paraId="41678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0" w:type="pct"/>
            <w:tcBorders>
              <w:top w:val="single" w:color="auto" w:sz="4" w:space="0"/>
              <w:left w:val="single" w:color="auto" w:sz="4" w:space="0"/>
              <w:bottom w:val="single" w:color="auto" w:sz="4" w:space="0"/>
              <w:right w:val="single" w:color="auto" w:sz="4" w:space="0"/>
            </w:tcBorders>
            <w:vAlign w:val="center"/>
          </w:tcPr>
          <w:p w14:paraId="7C995F6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17" w:type="pct"/>
            <w:tcBorders>
              <w:top w:val="single" w:color="auto" w:sz="4" w:space="0"/>
              <w:left w:val="single" w:color="auto" w:sz="4" w:space="0"/>
              <w:bottom w:val="single" w:color="auto" w:sz="4" w:space="0"/>
              <w:right w:val="single" w:color="auto" w:sz="4" w:space="0"/>
            </w:tcBorders>
            <w:vAlign w:val="center"/>
          </w:tcPr>
          <w:p w14:paraId="525D93F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color w:val="auto"/>
                <w:szCs w:val="21"/>
                <w:highlight w:val="none"/>
                <w:u w:val="single"/>
                <w:lang w:val="en-US" w:eastAsia="zh-CN"/>
              </w:rPr>
              <w:t>2025—2027年度中马钦州产业园区财政投资建设项目竣工财务决算协审服务框架协议采购</w:t>
            </w:r>
          </w:p>
        </w:tc>
        <w:tc>
          <w:tcPr>
            <w:tcW w:w="1942" w:type="pct"/>
            <w:tcBorders>
              <w:top w:val="single" w:color="auto" w:sz="4" w:space="0"/>
              <w:left w:val="single" w:color="auto" w:sz="4" w:space="0"/>
              <w:bottom w:val="single" w:color="auto" w:sz="4" w:space="0"/>
              <w:right w:val="single" w:color="auto" w:sz="4" w:space="0"/>
            </w:tcBorders>
            <w:vAlign w:val="center"/>
          </w:tcPr>
          <w:p w14:paraId="5AC39253">
            <w:pPr>
              <w:keepNext w:val="0"/>
              <w:keepLines w:val="0"/>
              <w:pageBreakBefore w:val="0"/>
              <w:widowControl w:val="0"/>
              <w:suppressLineNumbers w:val="0"/>
              <w:tabs>
                <w:tab w:val="left" w:pos="1050"/>
              </w:tabs>
              <w:kinsoku/>
              <w:wordWrap/>
              <w:overflowPunct/>
              <w:topLinePunct w:val="0"/>
              <w:autoSpaceDE w:val="0"/>
              <w:autoSpaceDN w:val="0"/>
              <w:bidi w:val="0"/>
              <w:adjustRightInd/>
              <w:snapToGrid/>
              <w:spacing w:before="0" w:beforeAutospacing="0" w:after="0" w:afterAutospacing="0" w:line="360" w:lineRule="auto"/>
              <w:ind w:left="0" w:leftChars="0" w:right="0" w:firstLine="0" w:firstLineChars="0"/>
              <w:jc w:val="both"/>
              <w:textAlignment w:val="auto"/>
              <w:rPr>
                <w:rFonts w:hint="default" w:ascii="宋体" w:hAnsi="宋体" w:eastAsia="宋体" w:cs="宋体"/>
                <w:color w:val="auto"/>
                <w:szCs w:val="21"/>
                <w:highlight w:val="none"/>
              </w:rPr>
            </w:pPr>
            <w:r>
              <w:rPr>
                <w:rFonts w:hint="eastAsia" w:ascii="宋体" w:hAnsi="宋体"/>
                <w:color w:val="auto"/>
                <w:szCs w:val="21"/>
                <w:highlight w:val="none"/>
              </w:rPr>
              <w:t>按评审综合得分排名，确定入围供应商数量上限为</w:t>
            </w:r>
            <w:r>
              <w:rPr>
                <w:rFonts w:hint="eastAsia" w:ascii="宋体" w:hAnsi="宋体"/>
                <w:color w:val="auto"/>
                <w:szCs w:val="21"/>
                <w:highlight w:val="none"/>
                <w:lang w:val="en-US" w:eastAsia="zh-CN"/>
              </w:rPr>
              <w:t>5</w:t>
            </w:r>
            <w:r>
              <w:rPr>
                <w:rFonts w:hint="eastAsia" w:ascii="宋体" w:hAnsi="宋体"/>
                <w:color w:val="auto"/>
                <w:szCs w:val="21"/>
                <w:highlight w:val="none"/>
              </w:rPr>
              <w:t>家，且提交响应文件和符合资格条件、实质性要求的供应商淘汰比例＞20%，且至少淘汰一家供应商。</w:t>
            </w:r>
          </w:p>
        </w:tc>
        <w:tc>
          <w:tcPr>
            <w:tcW w:w="799" w:type="pct"/>
            <w:tcBorders>
              <w:top w:val="single" w:color="auto" w:sz="4" w:space="0"/>
              <w:left w:val="single" w:color="auto" w:sz="4" w:space="0"/>
              <w:right w:val="single" w:color="auto" w:sz="4" w:space="0"/>
            </w:tcBorders>
            <w:vAlign w:val="center"/>
          </w:tcPr>
          <w:p w14:paraId="47042CB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详见采购需求一览表</w:t>
            </w:r>
          </w:p>
        </w:tc>
      </w:tr>
    </w:tbl>
    <w:p w14:paraId="0240A1AD">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框架协议的期限：自签订框架协议书之日起2年。</w:t>
      </w:r>
    </w:p>
    <w:p w14:paraId="6BDAF5DF">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本标项</w:t>
      </w:r>
      <w:r>
        <w:rPr>
          <w:rFonts w:hint="eastAsia" w:ascii="宋体" w:hAnsi="宋体"/>
          <w:color w:val="auto"/>
          <w:szCs w:val="21"/>
          <w:highlight w:val="none"/>
          <w:lang w:eastAsia="zh-CN"/>
        </w:rPr>
        <w:t>不</w:t>
      </w:r>
      <w:r>
        <w:rPr>
          <w:rFonts w:hint="eastAsia" w:ascii="宋体" w:hAnsi="宋体"/>
          <w:color w:val="auto"/>
          <w:szCs w:val="21"/>
          <w:highlight w:val="none"/>
        </w:rPr>
        <w:t>接受联合体</w:t>
      </w:r>
      <w:r>
        <w:rPr>
          <w:rFonts w:hint="eastAsia" w:ascii="宋体" w:hAnsi="宋体"/>
          <w:color w:val="auto"/>
          <w:szCs w:val="21"/>
          <w:highlight w:val="none"/>
          <w:lang w:eastAsia="zh-CN"/>
        </w:rPr>
        <w:t>响应</w:t>
      </w:r>
      <w:r>
        <w:rPr>
          <w:rFonts w:hint="eastAsia" w:ascii="宋体" w:hAnsi="宋体"/>
          <w:color w:val="auto"/>
          <w:szCs w:val="21"/>
          <w:highlight w:val="none"/>
        </w:rPr>
        <w:t>。</w:t>
      </w:r>
    </w:p>
    <w:p w14:paraId="686CB439">
      <w:pPr>
        <w:keepNext w:val="0"/>
        <w:keepLines w:val="0"/>
        <w:pageBreakBefore w:val="0"/>
        <w:kinsoku/>
        <w:wordWrap/>
        <w:overflowPunct/>
        <w:topLinePunct w:val="0"/>
        <w:bidi w:val="0"/>
        <w:adjustRightInd/>
        <w:snapToGrid/>
        <w:spacing w:line="360" w:lineRule="auto"/>
        <w:ind w:left="0" w:leftChars="0" w:firstLine="482" w:firstLineChars="200"/>
        <w:textAlignment w:val="auto"/>
        <w:outlineLvl w:val="1"/>
        <w:rPr>
          <w:rFonts w:ascii="宋体" w:hAnsi="宋体" w:eastAsia="宋体" w:cs="宋体"/>
          <w:b/>
          <w:bCs/>
          <w:color w:val="auto"/>
          <w:sz w:val="24"/>
          <w:szCs w:val="24"/>
          <w:highlight w:val="none"/>
        </w:rPr>
      </w:pPr>
      <w:bookmarkStart w:id="13" w:name="_Toc20076"/>
      <w:bookmarkStart w:id="14" w:name="_Toc9883"/>
      <w:bookmarkStart w:id="15" w:name="_Toc12666"/>
      <w:bookmarkStart w:id="16" w:name="_Toc3333"/>
      <w:bookmarkStart w:id="17" w:name="_Toc146703271"/>
      <w:bookmarkStart w:id="18" w:name="_Toc28359004"/>
      <w:bookmarkStart w:id="19" w:name="_Toc28359081"/>
      <w:bookmarkStart w:id="20" w:name="_Toc35393792"/>
      <w:bookmarkStart w:id="21" w:name="_Toc35393623"/>
      <w:r>
        <w:rPr>
          <w:rFonts w:hint="eastAsia" w:ascii="宋体" w:hAnsi="宋体" w:eastAsia="宋体" w:cs="宋体"/>
          <w:b/>
          <w:bCs/>
          <w:color w:val="auto"/>
          <w:sz w:val="24"/>
          <w:szCs w:val="24"/>
          <w:highlight w:val="none"/>
        </w:rPr>
        <w:t>二、供应商的资格条件：</w:t>
      </w:r>
      <w:bookmarkEnd w:id="13"/>
      <w:bookmarkEnd w:id="14"/>
      <w:bookmarkEnd w:id="15"/>
      <w:bookmarkEnd w:id="16"/>
      <w:bookmarkEnd w:id="17"/>
    </w:p>
    <w:p w14:paraId="3DEDE6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r>
        <w:rPr>
          <w:rFonts w:hint="eastAsia" w:hAnsi="Courier New"/>
          <w:color w:val="auto"/>
          <w:szCs w:val="21"/>
          <w:highlight w:val="none"/>
        </w:rPr>
        <w:t>。</w:t>
      </w:r>
    </w:p>
    <w:p w14:paraId="14A55B83">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3F9EA17C">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□专门面向中小企业采购的项目（供应商应为中小微企业、监狱企业、残疾人福利性单位)</w:t>
      </w:r>
    </w:p>
    <w:p w14:paraId="26A68146">
      <w:pPr>
        <w:keepNext w:val="0"/>
        <w:keepLines w:val="0"/>
        <w:pageBreakBefore w:val="0"/>
        <w:kinsoku/>
        <w:wordWrap/>
        <w:overflowPunct/>
        <w:topLinePunct w:val="0"/>
        <w:bidi w:val="0"/>
        <w:adjustRightInd/>
        <w:snapToGrid/>
        <w:spacing w:line="360" w:lineRule="auto"/>
        <w:ind w:left="0" w:leftChars="0" w:firstLine="422" w:firstLineChars="200"/>
        <w:textAlignment w:val="auto"/>
        <w:rPr>
          <w:rFonts w:ascii="宋体" w:hAnsi="宋体" w:eastAsia="宋体" w:cs="宋体"/>
          <w:b/>
          <w:color w:val="auto"/>
          <w:szCs w:val="21"/>
          <w:highlight w:val="none"/>
        </w:rPr>
      </w:pPr>
      <w:r>
        <w:rPr>
          <w:rFonts w:hint="eastAsia" w:ascii="MS Gothic" w:hAnsi="MS Gothic" w:eastAsia="MS Gothic" w:cs="MS Gothic"/>
          <w:b/>
          <w:color w:val="auto"/>
          <w:szCs w:val="21"/>
          <w:highlight w:val="none"/>
        </w:rPr>
        <w:t>☑</w:t>
      </w:r>
      <w:r>
        <w:rPr>
          <w:rFonts w:hint="eastAsia" w:ascii="宋体" w:hAnsi="宋体" w:eastAsia="宋体" w:cs="宋体"/>
          <w:b/>
          <w:color w:val="auto"/>
          <w:szCs w:val="21"/>
          <w:highlight w:val="none"/>
        </w:rPr>
        <w:t>非专门面向中小企业采购的项目</w:t>
      </w:r>
    </w:p>
    <w:p w14:paraId="5F1CFB3C">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其他要求：无</w:t>
      </w:r>
    </w:p>
    <w:p w14:paraId="63D7C9A4">
      <w:pPr>
        <w:keepNext w:val="0"/>
        <w:keepLines w:val="0"/>
        <w:pageBreakBefore w:val="0"/>
        <w:tabs>
          <w:tab w:val="left" w:pos="312"/>
        </w:tabs>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val="en-US" w:eastAsia="zh-CN"/>
        </w:rPr>
        <w:t>供应商具备财政主管部门颁发的有效的会计师事务所执业证书</w:t>
      </w:r>
      <w:r>
        <w:rPr>
          <w:rFonts w:hint="eastAsia" w:ascii="Times New Roman" w:hAnsi="Times New Roman" w:eastAsia="宋体" w:cs="Times New Roman"/>
          <w:color w:val="auto"/>
          <w:szCs w:val="24"/>
          <w:highlight w:val="none"/>
        </w:rPr>
        <w:t>。</w:t>
      </w:r>
    </w:p>
    <w:p w14:paraId="6838AE2C">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E6BF793">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F655FDA">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三、获取</w:t>
      </w:r>
      <w:bookmarkEnd w:id="18"/>
      <w:bookmarkEnd w:id="19"/>
      <w:bookmarkEnd w:id="20"/>
      <w:bookmarkEnd w:id="21"/>
      <w:r>
        <w:rPr>
          <w:rFonts w:hint="eastAsia" w:ascii="黑体" w:hAnsi="黑体" w:eastAsia="黑体"/>
          <w:b/>
          <w:bCs/>
          <w:color w:val="auto"/>
          <w:sz w:val="24"/>
          <w:highlight w:val="none"/>
        </w:rPr>
        <w:t>征集文件</w:t>
      </w:r>
    </w:p>
    <w:p w14:paraId="24586FCE">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16</w:t>
      </w:r>
      <w:r>
        <w:rPr>
          <w:rFonts w:hint="eastAsia" w:ascii="宋体" w:hAnsi="宋体" w:cs="宋体"/>
          <w:bCs/>
          <w:color w:val="auto"/>
          <w:kern w:val="0"/>
          <w:szCs w:val="21"/>
          <w:highlight w:val="none"/>
        </w:rPr>
        <w:t>日公告发布之时至</w:t>
      </w:r>
      <w:r>
        <w:rPr>
          <w:rFonts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default"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日，</w:t>
      </w:r>
      <w:r>
        <w:rPr>
          <w:rFonts w:ascii="宋体" w:hAnsi="宋体" w:cs="宋体"/>
          <w:color w:val="auto"/>
          <w:kern w:val="0"/>
          <w:szCs w:val="21"/>
          <w:highlight w:val="none"/>
        </w:rPr>
        <w:t>每天上午00:00至12:00，下午12:00至23:59（北京时间，法定节假日除外）</w:t>
      </w:r>
    </w:p>
    <w:p w14:paraId="524FE138">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地点：广西政府采购云平台线上获取</w:t>
      </w:r>
    </w:p>
    <w:p w14:paraId="4AF9ACE2">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方式：供应商登录</w:t>
      </w:r>
      <w:r>
        <w:rPr>
          <w:rFonts w:hint="eastAsia" w:ascii="宋体" w:hAnsi="宋体"/>
          <w:color w:val="auto"/>
          <w:highlight w:val="none"/>
        </w:rPr>
        <w:t>广西政府采购云平台</w:t>
      </w:r>
      <w:r>
        <w:rPr>
          <w:rFonts w:hint="eastAsia" w:ascii="宋体" w:hAnsi="宋体"/>
          <w:color w:val="auto"/>
          <w:szCs w:val="21"/>
          <w:highlight w:val="none"/>
        </w:rPr>
        <w:t>https://www.gcy.zfcg.gxzf.gov.cn/</w:t>
      </w:r>
      <w:r>
        <w:rPr>
          <w:rFonts w:hint="eastAsia" w:ascii="宋体" w:hAnsi="宋体" w:cs="宋体"/>
          <w:bCs/>
          <w:color w:val="auto"/>
          <w:kern w:val="0"/>
          <w:szCs w:val="21"/>
          <w:highlight w:val="none"/>
        </w:rPr>
        <w:t>在线申请获取</w:t>
      </w:r>
      <w:r>
        <w:rPr>
          <w:rFonts w:hint="eastAsia" w:ascii="宋体" w:hAnsi="宋体" w:cs="宋体"/>
          <w:bCs/>
          <w:color w:val="auto"/>
          <w:kern w:val="0"/>
          <w:szCs w:val="21"/>
          <w:highlight w:val="none"/>
          <w:lang w:eastAsia="zh-CN"/>
        </w:rPr>
        <w:t>征集</w:t>
      </w:r>
      <w:r>
        <w:rPr>
          <w:rFonts w:hint="eastAsia" w:ascii="宋体" w:hAnsi="宋体" w:cs="宋体"/>
          <w:bCs/>
          <w:color w:val="auto"/>
          <w:kern w:val="0"/>
          <w:szCs w:val="21"/>
          <w:highlight w:val="none"/>
        </w:rPr>
        <w:t>文件（进入“项目采购”应用，在获取采购文件菜单中选择项目，申请获取</w:t>
      </w:r>
      <w:r>
        <w:rPr>
          <w:rFonts w:hint="eastAsia" w:ascii="宋体" w:hAnsi="宋体" w:cs="宋体"/>
          <w:bCs/>
          <w:color w:val="auto"/>
          <w:kern w:val="0"/>
          <w:szCs w:val="21"/>
          <w:highlight w:val="none"/>
          <w:lang w:eastAsia="zh-CN"/>
        </w:rPr>
        <w:t>征集</w:t>
      </w:r>
      <w:r>
        <w:rPr>
          <w:rFonts w:hint="eastAsia" w:ascii="宋体" w:hAnsi="宋体" w:cs="宋体"/>
          <w:bCs/>
          <w:color w:val="auto"/>
          <w:kern w:val="0"/>
          <w:szCs w:val="21"/>
          <w:highlight w:val="none"/>
        </w:rPr>
        <w:t>文件）</w:t>
      </w:r>
    </w:p>
    <w:p w14:paraId="190F5074">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none"/>
        </w:rPr>
        <w:t>0</w:t>
      </w:r>
      <w:r>
        <w:rPr>
          <w:rFonts w:hint="eastAsia" w:ascii="宋体" w:hAnsi="宋体" w:cs="宋体"/>
          <w:iCs/>
          <w:color w:val="auto"/>
          <w:szCs w:val="21"/>
          <w:highlight w:val="none"/>
        </w:rPr>
        <w:t>元</w:t>
      </w:r>
      <w:r>
        <w:rPr>
          <w:rFonts w:hint="eastAsia" w:ascii="宋体" w:hAnsi="宋体" w:cs="宋体"/>
          <w:color w:val="auto"/>
          <w:szCs w:val="21"/>
          <w:highlight w:val="none"/>
        </w:rPr>
        <w:t>。</w:t>
      </w:r>
    </w:p>
    <w:p w14:paraId="593C7809">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bookmarkStart w:id="22" w:name="_Toc28359005"/>
      <w:bookmarkStart w:id="23" w:name="_Toc28359082"/>
      <w:bookmarkStart w:id="24" w:name="_Toc35393793"/>
      <w:bookmarkStart w:id="25" w:name="_Toc35393624"/>
      <w:r>
        <w:rPr>
          <w:rFonts w:hint="eastAsia" w:ascii="黑体" w:hAnsi="黑体" w:eastAsia="黑体"/>
          <w:b/>
          <w:bCs/>
          <w:color w:val="auto"/>
          <w:sz w:val="24"/>
          <w:highlight w:val="none"/>
        </w:rPr>
        <w:t>四、提交</w:t>
      </w:r>
      <w:bookmarkEnd w:id="22"/>
      <w:bookmarkEnd w:id="23"/>
      <w:r>
        <w:rPr>
          <w:rFonts w:hint="eastAsia" w:ascii="黑体" w:hAnsi="黑体" w:eastAsia="黑体"/>
          <w:b/>
          <w:bCs/>
          <w:color w:val="auto"/>
          <w:sz w:val="24"/>
          <w:highlight w:val="none"/>
        </w:rPr>
        <w:t>响应文件截止时间、开标时间和地点</w:t>
      </w:r>
      <w:bookmarkEnd w:id="24"/>
      <w:bookmarkEnd w:id="25"/>
    </w:p>
    <w:p w14:paraId="65CA3223">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bookmarkStart w:id="26" w:name="_Toc28359084"/>
      <w:bookmarkStart w:id="27" w:name="_Toc35393794"/>
      <w:bookmarkStart w:id="28" w:name="_Toc35393625"/>
      <w:bookmarkStart w:id="29" w:name="_Toc28359007"/>
      <w:r>
        <w:rPr>
          <w:rFonts w:hint="eastAsia" w:ascii="宋体" w:hAnsi="宋体"/>
          <w:color w:val="auto"/>
          <w:szCs w:val="21"/>
          <w:highlight w:val="none"/>
        </w:rPr>
        <w:t>提交</w:t>
      </w:r>
      <w:r>
        <w:rPr>
          <w:rFonts w:hint="eastAsia" w:ascii="宋体" w:hAnsi="宋体"/>
          <w:color w:val="auto"/>
          <w:szCs w:val="21"/>
          <w:highlight w:val="none"/>
          <w:lang w:eastAsia="zh-CN"/>
        </w:rPr>
        <w:t>响应</w:t>
      </w:r>
      <w:r>
        <w:rPr>
          <w:rFonts w:hint="eastAsia" w:ascii="宋体" w:hAnsi="宋体"/>
          <w:color w:val="auto"/>
          <w:szCs w:val="21"/>
          <w:highlight w:val="none"/>
        </w:rPr>
        <w:t>文件截止时间：</w:t>
      </w:r>
      <w:r>
        <w:rPr>
          <w:rFonts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default"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日</w:t>
      </w:r>
      <w:r>
        <w:rPr>
          <w:rFonts w:hint="eastAsia" w:ascii="宋体" w:hAnsi="宋体"/>
          <w:color w:val="auto"/>
          <w:szCs w:val="21"/>
          <w:highlight w:val="none"/>
        </w:rPr>
        <w:t xml:space="preserve"> 09:</w:t>
      </w:r>
      <w:r>
        <w:rPr>
          <w:rFonts w:hint="eastAsia" w:ascii="宋体" w:hAnsi="宋体"/>
          <w:color w:val="auto"/>
          <w:szCs w:val="21"/>
          <w:highlight w:val="none"/>
          <w:lang w:val="en-US" w:eastAsia="zh-CN"/>
        </w:rPr>
        <w:t>3</w:t>
      </w:r>
      <w:r>
        <w:rPr>
          <w:rFonts w:hint="eastAsia" w:ascii="宋体" w:hAnsi="宋体"/>
          <w:color w:val="auto"/>
          <w:szCs w:val="21"/>
          <w:highlight w:val="none"/>
        </w:rPr>
        <w:t>0（北京时间）</w:t>
      </w:r>
    </w:p>
    <w:p w14:paraId="67DB452F">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响应</w:t>
      </w:r>
      <w:r>
        <w:rPr>
          <w:rFonts w:hint="eastAsia" w:ascii="宋体" w:hAnsi="宋体"/>
          <w:color w:val="auto"/>
          <w:szCs w:val="21"/>
          <w:highlight w:val="none"/>
        </w:rPr>
        <w:t>地点（网址）：请登录广西政府采购云平台投标客户端</w:t>
      </w:r>
      <w:r>
        <w:rPr>
          <w:rFonts w:hint="eastAsia" w:ascii="宋体" w:hAnsi="宋体"/>
          <w:color w:val="auto"/>
          <w:szCs w:val="21"/>
          <w:highlight w:val="none"/>
          <w:lang w:eastAsia="zh-CN"/>
        </w:rPr>
        <w:t>响应</w:t>
      </w:r>
      <w:r>
        <w:rPr>
          <w:rFonts w:hint="eastAsia" w:ascii="宋体" w:hAnsi="宋体"/>
          <w:color w:val="auto"/>
          <w:szCs w:val="21"/>
          <w:highlight w:val="none"/>
        </w:rPr>
        <w:t xml:space="preserve"> </w:t>
      </w:r>
    </w:p>
    <w:p w14:paraId="584129B3">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开标时间：</w:t>
      </w:r>
      <w:r>
        <w:rPr>
          <w:rFonts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default"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日</w:t>
      </w:r>
      <w:r>
        <w:rPr>
          <w:rFonts w:hint="eastAsia" w:ascii="宋体" w:hAnsi="宋体"/>
          <w:color w:val="auto"/>
          <w:szCs w:val="21"/>
          <w:highlight w:val="none"/>
        </w:rPr>
        <w:t xml:space="preserve"> 09:</w:t>
      </w:r>
      <w:r>
        <w:rPr>
          <w:rFonts w:hint="eastAsia" w:ascii="宋体" w:hAnsi="宋体"/>
          <w:color w:val="auto"/>
          <w:szCs w:val="21"/>
          <w:highlight w:val="none"/>
          <w:lang w:val="en-US" w:eastAsia="zh-CN"/>
        </w:rPr>
        <w:t>3</w:t>
      </w:r>
      <w:r>
        <w:rPr>
          <w:rFonts w:hint="eastAsia" w:ascii="宋体" w:hAnsi="宋体"/>
          <w:color w:val="auto"/>
          <w:szCs w:val="21"/>
          <w:highlight w:val="none"/>
        </w:rPr>
        <w:t>0（北京时间）</w:t>
      </w:r>
    </w:p>
    <w:p w14:paraId="500F9908">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开标地点：广西政府采购云平台（https://www.gcy.zfcg.gxzf.gov.cn/）</w:t>
      </w:r>
    </w:p>
    <w:p w14:paraId="68C4E1AC">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6"/>
      <w:bookmarkEnd w:id="27"/>
      <w:bookmarkEnd w:id="28"/>
      <w:bookmarkEnd w:id="29"/>
    </w:p>
    <w:p w14:paraId="06BBB1AA">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4076BD4">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bookmarkStart w:id="30" w:name="_Toc35393626"/>
      <w:bookmarkStart w:id="31" w:name="_Toc35393795"/>
      <w:r>
        <w:rPr>
          <w:rFonts w:hint="eastAsia" w:ascii="黑体" w:hAnsi="黑体" w:eastAsia="黑体"/>
          <w:b/>
          <w:bCs/>
          <w:color w:val="auto"/>
          <w:sz w:val="24"/>
          <w:highlight w:val="none"/>
        </w:rPr>
        <w:t>六、其他补充事宜</w:t>
      </w:r>
      <w:bookmarkEnd w:id="30"/>
      <w:bookmarkEnd w:id="31"/>
    </w:p>
    <w:p w14:paraId="3BA8678B">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bookmarkStart w:id="32" w:name="_Hlk37429585"/>
      <w:bookmarkStart w:id="33" w:name="_Hlk37429595"/>
      <w:bookmarkStart w:id="34" w:name="_Toc28359085"/>
      <w:bookmarkStart w:id="35" w:name="_Toc28359008"/>
      <w:bookmarkStart w:id="36" w:name="_Toc35393796"/>
      <w:bookmarkStart w:id="37" w:name="_Toc35393627"/>
      <w:r>
        <w:rPr>
          <w:rFonts w:hint="eastAsia" w:ascii="宋体" w:hAnsi="宋体" w:cs="宋体"/>
          <w:color w:val="auto"/>
          <w:kern w:val="0"/>
          <w:szCs w:val="21"/>
          <w:highlight w:val="none"/>
        </w:rPr>
        <w:t>1.网上查询地址</w:t>
      </w:r>
    </w:p>
    <w:p w14:paraId="74194AAD">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iCs/>
          <w:color w:val="auto"/>
          <w:kern w:val="0"/>
          <w:szCs w:val="21"/>
          <w:highlight w:val="none"/>
        </w:rPr>
        <w:t>中国政府采购网（http://www.ccgp.gov.cn）、广西壮族自治区政府采购网（http://zfcg.gxzf.gov.cn）</w:t>
      </w:r>
      <w:r>
        <w:rPr>
          <w:rFonts w:hint="eastAsia" w:ascii="宋体" w:hAnsi="宋体" w:cs="宋体"/>
          <w:iCs/>
          <w:color w:val="auto"/>
          <w:kern w:val="0"/>
          <w:szCs w:val="21"/>
          <w:highlight w:val="none"/>
          <w:lang w:eastAsia="zh-CN"/>
        </w:rPr>
        <w:t>、</w:t>
      </w:r>
      <w:r>
        <w:rPr>
          <w:rFonts w:hint="eastAsia" w:ascii="宋体" w:hAnsi="宋体" w:cs="宋体"/>
          <w:iCs/>
          <w:color w:val="auto"/>
          <w:kern w:val="0"/>
          <w:szCs w:val="21"/>
          <w:highlight w:val="none"/>
        </w:rPr>
        <w:t>全国公共资源交易平台（广西·钦州）网站（http://ggzy.jgswj.gxzf.gov.cn/qzggzy/）</w:t>
      </w:r>
      <w:r>
        <w:rPr>
          <w:rFonts w:hint="eastAsia" w:ascii="宋体" w:hAnsi="宋体" w:cs="宋体"/>
          <w:iCs/>
          <w:color w:val="auto"/>
          <w:kern w:val="0"/>
          <w:szCs w:val="21"/>
          <w:highlight w:val="none"/>
          <w:lang w:eastAsia="zh-CN"/>
        </w:rPr>
        <w:t>。</w:t>
      </w:r>
    </w:p>
    <w:bookmarkEnd w:id="32"/>
    <w:bookmarkEnd w:id="33"/>
    <w:p w14:paraId="2638B4BC">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bookmarkStart w:id="38" w:name="_Hlk37429674"/>
      <w:r>
        <w:rPr>
          <w:rFonts w:hint="eastAsia" w:ascii="宋体" w:hAnsi="宋体" w:cs="宋体"/>
          <w:color w:val="auto"/>
          <w:kern w:val="0"/>
          <w:szCs w:val="21"/>
          <w:highlight w:val="none"/>
        </w:rPr>
        <w:t>2.本项目需要落实的政府采购政策</w:t>
      </w:r>
    </w:p>
    <w:p w14:paraId="691EBF95">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0612B2F">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）政府采购促进残疾人就业政策。</w:t>
      </w:r>
    </w:p>
    <w:p w14:paraId="49744B9D">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）政府采购支持监狱企业发展。</w:t>
      </w:r>
    </w:p>
    <w:bookmarkEnd w:id="38"/>
    <w:p w14:paraId="2F6D0AF7">
      <w:pPr>
        <w:keepNext w:val="0"/>
        <w:keepLines w:val="0"/>
        <w:pageBreakBefore w:val="0"/>
        <w:widowControl/>
        <w:kinsoku/>
        <w:wordWrap/>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lang w:eastAsia="zh-CN"/>
        </w:rPr>
        <w:t>响应</w:t>
      </w:r>
      <w:r>
        <w:rPr>
          <w:rFonts w:hint="eastAsia" w:ascii="宋体" w:hAnsi="宋体"/>
          <w:color w:val="auto"/>
          <w:szCs w:val="21"/>
          <w:highlight w:val="none"/>
        </w:rPr>
        <w:t>注意事项</w:t>
      </w:r>
    </w:p>
    <w:p w14:paraId="27A5AC2A">
      <w:pPr>
        <w:keepNext w:val="0"/>
        <w:keepLines w:val="0"/>
        <w:pageBreakBefore w:val="0"/>
        <w:widowControl/>
        <w:kinsoku/>
        <w:wordWrap/>
        <w:overflowPunct/>
        <w:topLinePunct w:val="0"/>
        <w:bidi w:val="0"/>
        <w:adjustRightInd/>
        <w:snapToGrid/>
        <w:spacing w:line="360" w:lineRule="auto"/>
        <w:ind w:left="0" w:leftChars="0"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w:t>
      </w:r>
      <w:r>
        <w:rPr>
          <w:rFonts w:hint="eastAsia" w:ascii="宋体" w:hAnsi="宋体"/>
          <w:color w:val="auto"/>
          <w:szCs w:val="21"/>
          <w:highlight w:val="none"/>
          <w:lang w:eastAsia="zh-CN"/>
        </w:rPr>
        <w:t>响应</w:t>
      </w:r>
      <w:r>
        <w:rPr>
          <w:rFonts w:hint="eastAsia" w:ascii="宋体" w:hAnsi="宋体"/>
          <w:color w:val="auto"/>
          <w:szCs w:val="21"/>
          <w:highlight w:val="none"/>
        </w:rPr>
        <w:t>，供应商应先安装“广西政府采购云平台电子投标客户端”（请自行前往广西政府采购云平台进行下载），并按照本项目征集文件和广西政府采购云平台的要求编制、加密后在</w:t>
      </w:r>
      <w:r>
        <w:rPr>
          <w:rFonts w:hint="eastAsia" w:ascii="宋体" w:hAnsi="宋体"/>
          <w:color w:val="auto"/>
          <w:szCs w:val="21"/>
          <w:highlight w:val="none"/>
          <w:lang w:eastAsia="zh-CN"/>
        </w:rPr>
        <w:t>响应</w:t>
      </w:r>
      <w:r>
        <w:rPr>
          <w:rFonts w:hint="eastAsia" w:ascii="宋体" w:hAnsi="宋体"/>
          <w:color w:val="auto"/>
          <w:szCs w:val="21"/>
          <w:highlight w:val="none"/>
        </w:rPr>
        <w:t>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供应商在广西政府采购云平台提交电子响应文件时，请填写参加远程开标活动经办人联系方式。</w:t>
      </w:r>
      <w:r>
        <w:rPr>
          <w:rFonts w:hint="eastAsia" w:ascii="宋体" w:hAnsi="宋体"/>
          <w:color w:val="auto"/>
          <w:szCs w:val="21"/>
          <w:highlight w:val="none"/>
        </w:rPr>
        <w:t>供应商登录广西政府采购云平台，依次进入“服务中心-项目采购-操作流程-电子招投标-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”查看电子投标具体操作流程。</w:t>
      </w:r>
    </w:p>
    <w:p w14:paraId="4750D34C">
      <w:pPr>
        <w:keepNext w:val="0"/>
        <w:keepLines w:val="0"/>
        <w:pageBreakBefore w:val="0"/>
        <w:widowControl/>
        <w:kinsoku/>
        <w:wordWrap/>
        <w:overflowPunct/>
        <w:topLinePunct w:val="0"/>
        <w:bidi w:val="0"/>
        <w:adjustRightInd/>
        <w:snapToGrid/>
        <w:spacing w:line="360" w:lineRule="auto"/>
        <w:ind w:left="0" w:leftChars="0"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w:t>
      </w:r>
      <w:r>
        <w:rPr>
          <w:rFonts w:hint="eastAsia" w:ascii="宋体" w:hAnsi="宋体"/>
          <w:color w:val="auto"/>
          <w:szCs w:val="21"/>
          <w:highlight w:val="none"/>
          <w:lang w:eastAsia="zh-CN"/>
        </w:rPr>
        <w:t>响应</w:t>
      </w:r>
      <w:r>
        <w:rPr>
          <w:rFonts w:hint="eastAsia" w:ascii="宋体" w:hAnsi="宋体"/>
          <w:color w:val="auto"/>
          <w:szCs w:val="21"/>
          <w:highlight w:val="none"/>
        </w:rPr>
        <w:t>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w:t>
      </w:r>
      <w:r>
        <w:rPr>
          <w:rFonts w:ascii="宋体" w:hAnsi="宋体" w:cs="宋体"/>
          <w:bCs/>
          <w:color w:val="auto"/>
          <w:kern w:val="0"/>
          <w:szCs w:val="21"/>
          <w:highlight w:val="none"/>
        </w:rPr>
        <w:t>95763</w:t>
      </w:r>
      <w:r>
        <w:rPr>
          <w:rFonts w:hint="eastAsia" w:ascii="宋体" w:hAnsi="宋体"/>
          <w:color w:val="auto"/>
          <w:szCs w:val="21"/>
          <w:highlight w:val="none"/>
        </w:rPr>
        <w:t>）。</w:t>
      </w:r>
    </w:p>
    <w:p w14:paraId="6342337E">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13547367">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w:t>
      </w:r>
      <w:r>
        <w:rPr>
          <w:rFonts w:hint="eastAsia" w:ascii="宋体" w:hAnsi="宋体"/>
          <w:color w:val="auto"/>
          <w:szCs w:val="21"/>
          <w:highlight w:val="none"/>
          <w:lang w:eastAsia="zh-CN"/>
        </w:rPr>
        <w:t>响应</w:t>
      </w:r>
      <w:r>
        <w:rPr>
          <w:rFonts w:hint="eastAsia" w:ascii="宋体" w:hAnsi="宋体"/>
          <w:color w:val="auto"/>
          <w:szCs w:val="21"/>
          <w:highlight w:val="none"/>
        </w:rPr>
        <w:t>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w:t>
      </w:r>
      <w:r>
        <w:rPr>
          <w:rFonts w:hint="eastAsia" w:ascii="宋体" w:hAnsi="宋体"/>
          <w:color w:val="auto"/>
          <w:szCs w:val="21"/>
          <w:highlight w:val="none"/>
          <w:lang w:eastAsia="zh-CN"/>
        </w:rPr>
        <w:t>采购</w:t>
      </w:r>
      <w:r>
        <w:rPr>
          <w:rFonts w:hint="eastAsia" w:ascii="宋体" w:hAnsi="宋体"/>
          <w:color w:val="auto"/>
          <w:szCs w:val="21"/>
          <w:highlight w:val="none"/>
        </w:rPr>
        <w:t>活动。2）</w:t>
      </w:r>
      <w:r>
        <w:rPr>
          <w:rFonts w:hint="eastAsia" w:ascii="宋体" w:hAnsi="宋体"/>
          <w:bCs/>
          <w:color w:val="auto"/>
          <w:szCs w:val="21"/>
          <w:highlight w:val="none"/>
        </w:rPr>
        <w:t>供应商应当在</w:t>
      </w:r>
      <w:r>
        <w:rPr>
          <w:rFonts w:hint="eastAsia" w:ascii="宋体" w:hAnsi="宋体"/>
          <w:bCs/>
          <w:color w:val="auto"/>
          <w:szCs w:val="21"/>
          <w:highlight w:val="none"/>
          <w:lang w:eastAsia="zh-CN"/>
        </w:rPr>
        <w:t>响应</w:t>
      </w:r>
      <w:r>
        <w:rPr>
          <w:rFonts w:hint="eastAsia" w:ascii="宋体" w:hAnsi="宋体"/>
          <w:bCs/>
          <w:color w:val="auto"/>
          <w:szCs w:val="21"/>
          <w:highlight w:val="none"/>
        </w:rPr>
        <w:t>截止时间前完成电子响应文件的上传、提交，</w:t>
      </w:r>
      <w:r>
        <w:rPr>
          <w:rFonts w:hint="eastAsia" w:ascii="宋体" w:hAnsi="宋体"/>
          <w:bCs/>
          <w:color w:val="auto"/>
          <w:szCs w:val="21"/>
          <w:highlight w:val="none"/>
          <w:lang w:eastAsia="zh-CN"/>
        </w:rPr>
        <w:t>响应</w:t>
      </w:r>
      <w:r>
        <w:rPr>
          <w:rFonts w:hint="eastAsia" w:ascii="宋体" w:hAnsi="宋体"/>
          <w:bCs/>
          <w:color w:val="auto"/>
          <w:szCs w:val="21"/>
          <w:highlight w:val="none"/>
        </w:rPr>
        <w:t>截止时间前可以补充、修改或者撤回响应文件。补充或者修改响应文件的，应当先行撤回原响应文件，补充、修改后重新上传、提交，</w:t>
      </w:r>
      <w:r>
        <w:rPr>
          <w:rFonts w:hint="eastAsia" w:ascii="宋体" w:hAnsi="宋体"/>
          <w:bCs/>
          <w:color w:val="auto"/>
          <w:szCs w:val="21"/>
          <w:highlight w:val="none"/>
          <w:lang w:eastAsia="zh-CN"/>
        </w:rPr>
        <w:t>响应</w:t>
      </w:r>
      <w:r>
        <w:rPr>
          <w:rFonts w:hint="eastAsia" w:ascii="宋体" w:hAnsi="宋体"/>
          <w:bCs/>
          <w:color w:val="auto"/>
          <w:szCs w:val="21"/>
          <w:highlight w:val="none"/>
        </w:rPr>
        <w:t>截止时间前未完成上传、提交的，视为撤回响应文件。</w:t>
      </w:r>
      <w:r>
        <w:rPr>
          <w:rFonts w:hint="eastAsia" w:ascii="宋体" w:hAnsi="宋体"/>
          <w:bCs/>
          <w:color w:val="auto"/>
          <w:szCs w:val="21"/>
          <w:highlight w:val="none"/>
          <w:lang w:eastAsia="zh-CN"/>
        </w:rPr>
        <w:t>响应</w:t>
      </w:r>
      <w:r>
        <w:rPr>
          <w:rFonts w:hint="eastAsia" w:ascii="宋体" w:hAnsi="宋体"/>
          <w:bCs/>
          <w:color w:val="auto"/>
          <w:szCs w:val="21"/>
          <w:highlight w:val="none"/>
        </w:rPr>
        <w:t>截止时间以后上传递交的响应文件，广西政府采购云平台将予以拒收。</w:t>
      </w:r>
    </w:p>
    <w:p w14:paraId="2E353531">
      <w:pPr>
        <w:keepNext w:val="0"/>
        <w:keepLines w:val="0"/>
        <w:pageBreakBefore w:val="0"/>
        <w:kinsoku/>
        <w:wordWrap/>
        <w:overflowPunct/>
        <w:topLinePunct w:val="0"/>
        <w:bidi w:val="0"/>
        <w:adjustRightInd/>
        <w:snapToGrid/>
        <w:spacing w:line="360" w:lineRule="auto"/>
        <w:ind w:left="0" w:leftChars="0" w:firstLine="482" w:firstLineChars="200"/>
        <w:textAlignment w:val="auto"/>
        <w:rPr>
          <w:rFonts w:hint="eastAsia" w:ascii="黑体" w:hAnsi="黑体" w:eastAsia="黑体"/>
          <w:b/>
          <w:bCs/>
          <w:color w:val="auto"/>
          <w:sz w:val="24"/>
          <w:highlight w:val="none"/>
        </w:rPr>
      </w:pPr>
      <w:r>
        <w:rPr>
          <w:rFonts w:hint="eastAsia" w:ascii="黑体" w:hAnsi="黑体" w:eastAsia="黑体"/>
          <w:b/>
          <w:bCs/>
          <w:color w:val="auto"/>
          <w:sz w:val="24"/>
          <w:highlight w:val="none"/>
        </w:rPr>
        <w:t>七、对本次</w:t>
      </w:r>
      <w:r>
        <w:rPr>
          <w:rFonts w:hint="eastAsia" w:ascii="黑体" w:hAnsi="黑体" w:eastAsia="黑体"/>
          <w:b/>
          <w:bCs/>
          <w:color w:val="auto"/>
          <w:sz w:val="24"/>
          <w:highlight w:val="none"/>
          <w:lang w:eastAsia="zh-CN"/>
        </w:rPr>
        <w:t>采购</w:t>
      </w:r>
      <w:r>
        <w:rPr>
          <w:rFonts w:hint="eastAsia" w:ascii="黑体" w:hAnsi="黑体" w:eastAsia="黑体"/>
          <w:b/>
          <w:bCs/>
          <w:color w:val="auto"/>
          <w:sz w:val="24"/>
          <w:highlight w:val="none"/>
        </w:rPr>
        <w:t>提出询问，请按以下方式联系。</w:t>
      </w:r>
      <w:bookmarkEnd w:id="34"/>
      <w:bookmarkEnd w:id="35"/>
      <w:bookmarkEnd w:id="36"/>
      <w:bookmarkEnd w:id="37"/>
    </w:p>
    <w:p w14:paraId="377356C6">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color w:val="auto"/>
          <w:highlight w:val="none"/>
        </w:rPr>
        <w:t xml:space="preserve"> </w:t>
      </w:r>
      <w:r>
        <w:rPr>
          <w:rFonts w:hint="eastAsia" w:ascii="宋体" w:hAnsi="宋体" w:cs="宋体"/>
          <w:color w:val="auto"/>
          <w:szCs w:val="21"/>
          <w:highlight w:val="none"/>
        </w:rPr>
        <w:t>征集人信息</w:t>
      </w:r>
    </w:p>
    <w:p w14:paraId="27F8B7AA">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val="en-US" w:eastAsia="zh-CN"/>
        </w:rPr>
        <w:t>中国—马来西亚钦州产业园区财政金融局</w:t>
      </w:r>
    </w:p>
    <w:p w14:paraId="3C99EF30">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地址：广西钦州市中马钦州产业园区中马大街1号</w:t>
      </w:r>
    </w:p>
    <w:p w14:paraId="7132A011">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钟文宽</w:t>
      </w:r>
    </w:p>
    <w:p w14:paraId="71DDE1AD">
      <w:pPr>
        <w:keepNext w:val="0"/>
        <w:keepLines w:val="0"/>
        <w:pageBreakBefore w:val="0"/>
        <w:kinsoku/>
        <w:wordWrap/>
        <w:overflowPunct/>
        <w:topLinePunct w:val="0"/>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szCs w:val="21"/>
          <w:highlight w:val="none"/>
        </w:rPr>
        <w:t>项目联系方式：0777-5988166</w:t>
      </w:r>
    </w:p>
    <w:p w14:paraId="2CB867DF">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color w:val="auto"/>
          <w:highlight w:val="none"/>
        </w:rPr>
        <w:t xml:space="preserve"> </w:t>
      </w:r>
      <w:r>
        <w:rPr>
          <w:rFonts w:hint="eastAsia" w:ascii="宋体" w:hAnsi="宋体" w:cs="宋体"/>
          <w:color w:val="auto"/>
          <w:highlight w:val="none"/>
        </w:rPr>
        <w:t>采购代理机构信息</w:t>
      </w:r>
    </w:p>
    <w:p w14:paraId="0EE660F0">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lang w:val="en-US" w:eastAsia="zh-CN"/>
        </w:rPr>
        <w:t>广西城建咨询设计有限公司</w:t>
      </w:r>
    </w:p>
    <w:p w14:paraId="5DF7BD42">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rPr>
        <w:t>地址：南宁市青秀区金湖路58号广西建设大厦三楼</w:t>
      </w:r>
    </w:p>
    <w:p w14:paraId="19E5EBD9">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cs="宋体" w:eastAsiaTheme="minorEastAsia"/>
          <w:color w:val="auto"/>
          <w:highlight w:val="none"/>
          <w:lang w:eastAsia="zh-CN"/>
        </w:rPr>
      </w:pPr>
      <w:r>
        <w:rPr>
          <w:rFonts w:hint="eastAsia" w:ascii="宋体" w:hAnsi="宋体" w:cs="宋体"/>
          <w:color w:val="auto"/>
          <w:highlight w:val="none"/>
        </w:rPr>
        <w:t>项目联系人：</w:t>
      </w:r>
      <w:r>
        <w:rPr>
          <w:rFonts w:hint="eastAsia" w:ascii="宋体" w:hAnsi="宋体" w:cs="宋体"/>
          <w:color w:val="auto"/>
          <w:highlight w:val="none"/>
          <w:lang w:eastAsia="zh-CN"/>
        </w:rPr>
        <w:t>庞东</w:t>
      </w:r>
    </w:p>
    <w:p w14:paraId="41A2321A">
      <w:pPr>
        <w:keepNext w:val="0"/>
        <w:keepLines w:val="0"/>
        <w:pageBreakBefore w:val="0"/>
        <w:kinsoku/>
        <w:wordWrap/>
        <w:overflowPunct/>
        <w:topLinePunct w:val="0"/>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rPr>
        <w:t>项目联系方式：18376542606</w:t>
      </w:r>
    </w:p>
    <w:bookmarkEnd w:id="7"/>
    <w:p w14:paraId="7E30063E">
      <w:pPr>
        <w:keepNext w:val="0"/>
        <w:keepLines w:val="0"/>
        <w:pageBreakBefore w:val="0"/>
        <w:kinsoku/>
        <w:wordWrap/>
        <w:overflowPunct/>
        <w:topLinePunct w:val="0"/>
        <w:bidi w:val="0"/>
        <w:adjustRightInd/>
        <w:snapToGrid/>
        <w:spacing w:line="360" w:lineRule="auto"/>
        <w:textAlignment w:val="auto"/>
        <w:rPr>
          <w:rFonts w:hint="eastAsia"/>
          <w:color w:val="auto"/>
          <w:highlight w:val="none"/>
        </w:rPr>
      </w:pPr>
    </w:p>
    <w:p w14:paraId="6C2E4373">
      <w:pPr>
        <w:keepNext w:val="0"/>
        <w:keepLines w:val="0"/>
        <w:pageBreakBefore w:val="0"/>
        <w:kinsoku/>
        <w:wordWrap/>
        <w:overflowPunct/>
        <w:topLinePunct w:val="0"/>
        <w:bidi w:val="0"/>
        <w:adjustRightInd/>
        <w:snapToGrid/>
        <w:spacing w:line="360" w:lineRule="auto"/>
        <w:textAlignment w:val="auto"/>
        <w:rPr>
          <w:rFonts w:ascii="宋体" w:hAnsi="宋体" w:eastAsia="宋体" w:cs="宋体"/>
          <w:color w:val="auto"/>
          <w:sz w:val="24"/>
          <w:szCs w:val="24"/>
          <w:highlight w:val="none"/>
        </w:rPr>
        <w:sectPr>
          <w:footerReference r:id="rId6" w:type="default"/>
          <w:pgSz w:w="11906" w:h="16838"/>
          <w:pgMar w:top="1134" w:right="1134" w:bottom="1134" w:left="1134" w:header="720" w:footer="720" w:gutter="0"/>
          <w:pgBorders>
            <w:top w:val="none" w:sz="0" w:space="0"/>
            <w:left w:val="none" w:sz="0" w:space="0"/>
            <w:bottom w:val="none" w:sz="0" w:space="0"/>
            <w:right w:val="none" w:sz="0" w:space="0"/>
          </w:pgBorders>
          <w:pgNumType w:fmt="decimal" w:start="2"/>
          <w:cols w:space="720" w:num="1"/>
          <w:docGrid w:type="lines" w:linePitch="331" w:charSpace="0"/>
        </w:sectPr>
      </w:pPr>
    </w:p>
    <w:p w14:paraId="4F925C6D">
      <w:pPr>
        <w:jc w:val="center"/>
        <w:outlineLvl w:val="0"/>
        <w:rPr>
          <w:rFonts w:ascii="宋体" w:hAnsi="宋体" w:eastAsia="宋体" w:cs="宋体"/>
          <w:b/>
          <w:color w:val="auto"/>
          <w:sz w:val="36"/>
          <w:szCs w:val="20"/>
          <w:highlight w:val="none"/>
        </w:rPr>
      </w:pPr>
      <w:bookmarkStart w:id="39" w:name="_Toc532545042"/>
      <w:bookmarkStart w:id="40" w:name="_Toc6318"/>
      <w:bookmarkStart w:id="41" w:name="_Toc23728"/>
      <w:bookmarkStart w:id="42" w:name="_Toc32697"/>
      <w:bookmarkStart w:id="43" w:name="_Toc30547"/>
      <w:bookmarkStart w:id="44" w:name="_Toc80092991"/>
      <w:bookmarkStart w:id="45" w:name="_Toc24733"/>
      <w:bookmarkStart w:id="46" w:name="_Toc29743"/>
      <w:r>
        <w:rPr>
          <w:rFonts w:hint="eastAsia" w:ascii="宋体" w:hAnsi="宋体" w:eastAsia="宋体" w:cs="宋体"/>
          <w:b/>
          <w:color w:val="auto"/>
          <w:sz w:val="36"/>
          <w:szCs w:val="20"/>
          <w:highlight w:val="none"/>
        </w:rPr>
        <w:t xml:space="preserve">第二章  </w:t>
      </w:r>
      <w:bookmarkEnd w:id="39"/>
      <w:r>
        <w:rPr>
          <w:rFonts w:hint="eastAsia" w:ascii="宋体" w:hAnsi="宋体" w:eastAsia="宋体" w:cs="宋体"/>
          <w:b/>
          <w:color w:val="auto"/>
          <w:sz w:val="36"/>
          <w:szCs w:val="20"/>
          <w:highlight w:val="none"/>
        </w:rPr>
        <w:t>采购需求</w:t>
      </w:r>
      <w:bookmarkEnd w:id="40"/>
      <w:bookmarkEnd w:id="41"/>
      <w:bookmarkEnd w:id="42"/>
      <w:bookmarkEnd w:id="43"/>
      <w:bookmarkEnd w:id="44"/>
      <w:bookmarkEnd w:id="45"/>
      <w:bookmarkEnd w:id="46"/>
    </w:p>
    <w:p w14:paraId="400538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6B030E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1.本项目征集人为</w:t>
      </w:r>
      <w:r>
        <w:rPr>
          <w:rFonts w:hint="eastAsia" w:ascii="宋体" w:hAnsi="宋体" w:eastAsia="宋体" w:cs="宋体"/>
          <w:color w:val="auto"/>
          <w:szCs w:val="21"/>
          <w:highlight w:val="none"/>
          <w:lang w:val="en-US" w:eastAsia="zh-CN"/>
        </w:rPr>
        <w:t>中国—马来西亚钦州产业园区财政金融局</w:t>
      </w:r>
      <w:r>
        <w:rPr>
          <w:rFonts w:hint="eastAsia" w:ascii="宋体" w:hAnsi="宋体" w:eastAsia="宋体" w:cs="宋体"/>
          <w:color w:val="auto"/>
          <w:szCs w:val="21"/>
          <w:highlight w:val="none"/>
        </w:rPr>
        <w:t>，通过公开征集方式确定第一阶段入围</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商后，由征集人与入围</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商签订两年期的框架服务协议。由采购人（即开展</w:t>
      </w:r>
      <w:r>
        <w:rPr>
          <w:rFonts w:hint="eastAsia" w:ascii="宋体" w:hAnsi="宋体" w:eastAsia="宋体" w:cs="宋体"/>
          <w:color w:val="auto"/>
          <w:szCs w:val="21"/>
          <w:highlight w:val="none"/>
          <w:lang w:val="en-US" w:eastAsia="zh-CN"/>
        </w:rPr>
        <w:t>2025一2027年度中马钦州产业园区财政投资建设项目竣工财务决算评审委托服务</w:t>
      </w:r>
      <w:r>
        <w:rPr>
          <w:rFonts w:hint="eastAsia" w:ascii="宋体" w:hAnsi="宋体" w:eastAsia="宋体" w:cs="宋体"/>
          <w:color w:val="auto"/>
          <w:szCs w:val="21"/>
          <w:highlight w:val="none"/>
        </w:rPr>
        <w:t>的单位）依据项目实际情况、</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商服务质量、价格及服务便利性、用户评价等因素，从第一阶段入围</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商中</w:t>
      </w:r>
      <w:r>
        <w:rPr>
          <w:rFonts w:hint="default" w:ascii="宋体" w:hAnsi="宋体" w:eastAsia="宋体" w:cs="宋体"/>
          <w:color w:val="auto"/>
          <w:szCs w:val="21"/>
          <w:highlight w:val="none"/>
          <w:lang w:val="en-US"/>
        </w:rPr>
        <w:t>直接选定</w:t>
      </w:r>
      <w:r>
        <w:rPr>
          <w:rFonts w:hint="eastAsia" w:ascii="宋体" w:hAnsi="宋体" w:eastAsia="宋体" w:cs="宋体"/>
          <w:color w:val="auto"/>
          <w:szCs w:val="21"/>
          <w:highlight w:val="none"/>
        </w:rPr>
        <w:t>第二阶段成交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w:t>
      </w:r>
    </w:p>
    <w:p w14:paraId="2B25FF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2.本项目服务质量应达到符合国家规定的服务标准和现行技术规范、规程要求。</w:t>
      </w:r>
    </w:p>
    <w:p w14:paraId="060259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 为落实政府采购政策需满足的要求</w:t>
      </w:r>
    </w:p>
    <w:p w14:paraId="1722BA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w:t>
      </w:r>
      <w:r>
        <w:rPr>
          <w:rFonts w:hint="eastAsia" w:ascii="宋体" w:hAnsi="宋体" w:eastAsia="宋体" w:cs="宋体"/>
          <w:color w:val="auto"/>
          <w:szCs w:val="21"/>
          <w:highlight w:val="none"/>
          <w:lang w:eastAsia="zh-CN"/>
        </w:rPr>
        <w:t>征集</w:t>
      </w:r>
      <w:r>
        <w:rPr>
          <w:rFonts w:hint="eastAsia" w:ascii="宋体" w:hAnsi="宋体" w:eastAsia="宋体" w:cs="宋体"/>
          <w:color w:val="auto"/>
          <w:szCs w:val="21"/>
          <w:highlight w:val="none"/>
        </w:rPr>
        <w:t>文件所称中小企业必须符合《政府采购促进中小企业发展管理办法》（财库〔2020〕46号）的规定。</w:t>
      </w:r>
    </w:p>
    <w:p w14:paraId="52CEC4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货物必须使用政府强制采购的节能产品，</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必须在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文件中提供所</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产品的节能产品认证证书复印件（加盖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电子公章），否则</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文件作无效处理。如本项目包含的货物属于品目清单内非标注“★”的产品时，应优先采购，具体详见“第四章 评标方法和评标标准”。</w:t>
      </w:r>
    </w:p>
    <w:p w14:paraId="069248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4.“实质性要求”是指</w:t>
      </w:r>
      <w:r>
        <w:rPr>
          <w:rFonts w:hint="eastAsia" w:ascii="宋体" w:hAnsi="宋体" w:eastAsia="宋体" w:cs="宋体"/>
          <w:color w:val="auto"/>
          <w:szCs w:val="21"/>
          <w:highlight w:val="none"/>
          <w:lang w:eastAsia="zh-CN"/>
        </w:rPr>
        <w:t>征集</w:t>
      </w:r>
      <w:r>
        <w:rPr>
          <w:rFonts w:hint="eastAsia" w:ascii="宋体" w:hAnsi="宋体" w:eastAsia="宋体" w:cs="宋体"/>
          <w:color w:val="auto"/>
          <w:szCs w:val="21"/>
          <w:highlight w:val="none"/>
        </w:rPr>
        <w:t>文件中已经指明不满足则</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无效的条款，或者不能负偏离的条款，或者采购需求中带“▲”的条款。</w:t>
      </w:r>
    </w:p>
    <w:p w14:paraId="19A790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4"/>
          <w:highlight w:val="none"/>
        </w:rPr>
        <w:t>如</w:t>
      </w: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产品存在侵犯他人的知识产权或者专利成果行为的，应承担相应法律责任。</w:t>
      </w:r>
    </w:p>
    <w:p w14:paraId="75F55E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 本项目采购标的对应的中小企业划分标准所属行业：其他未列明行业</w:t>
      </w:r>
    </w:p>
    <w:p w14:paraId="711977FA">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tbl>
      <w:tblPr>
        <w:tblStyle w:val="3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377"/>
        <w:gridCol w:w="208"/>
        <w:gridCol w:w="1680"/>
        <w:gridCol w:w="1155"/>
        <w:gridCol w:w="4995"/>
        <w:gridCol w:w="816"/>
      </w:tblGrid>
      <w:tr w14:paraId="1947E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121" w:type="dxa"/>
            <w:gridSpan w:val="7"/>
            <w:tcBorders>
              <w:top w:val="single" w:color="auto" w:sz="4" w:space="0"/>
              <w:left w:val="single" w:color="auto" w:sz="4" w:space="0"/>
              <w:right w:val="single" w:color="auto" w:sz="4" w:space="0"/>
            </w:tcBorders>
            <w:shd w:val="clear" w:color="auto" w:fill="auto"/>
            <w:vAlign w:val="center"/>
          </w:tcPr>
          <w:p w14:paraId="554C72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服务需求一览表</w:t>
            </w:r>
          </w:p>
        </w:tc>
      </w:tr>
      <w:tr w14:paraId="673CC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90" w:type="dxa"/>
            <w:vMerge w:val="restart"/>
            <w:tcBorders>
              <w:top w:val="single" w:color="auto" w:sz="4" w:space="0"/>
              <w:left w:val="single" w:color="auto" w:sz="4" w:space="0"/>
              <w:right w:val="single" w:color="auto" w:sz="4" w:space="0"/>
            </w:tcBorders>
            <w:shd w:val="clear" w:color="auto" w:fill="auto"/>
            <w:vAlign w:val="center"/>
          </w:tcPr>
          <w:p w14:paraId="358DC8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采购清单及服务参数</w:t>
            </w:r>
          </w:p>
        </w:tc>
        <w:tc>
          <w:tcPr>
            <w:tcW w:w="58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A205F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287CDD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采购服务名称（标的名称）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E8810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一阶段供应商入围数量上限</w:t>
            </w:r>
          </w:p>
        </w:tc>
        <w:tc>
          <w:tcPr>
            <w:tcW w:w="4995" w:type="dxa"/>
            <w:tcBorders>
              <w:top w:val="single" w:color="auto" w:sz="4" w:space="0"/>
              <w:left w:val="single" w:color="auto" w:sz="4" w:space="0"/>
              <w:bottom w:val="single" w:color="auto" w:sz="4" w:space="0"/>
              <w:right w:val="single" w:color="auto" w:sz="4" w:space="0"/>
            </w:tcBorders>
            <w:shd w:val="clear" w:color="auto" w:fill="auto"/>
            <w:vAlign w:val="center"/>
          </w:tcPr>
          <w:p w14:paraId="071C1E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服务参数</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5F4894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14:paraId="15A4B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90" w:type="dxa"/>
            <w:vMerge w:val="continue"/>
            <w:tcBorders>
              <w:left w:val="single" w:color="auto" w:sz="4" w:space="0"/>
              <w:right w:val="single" w:color="auto" w:sz="4" w:space="0"/>
            </w:tcBorders>
            <w:shd w:val="clear" w:color="auto" w:fill="auto"/>
            <w:vAlign w:val="center"/>
          </w:tcPr>
          <w:p w14:paraId="6618C1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p>
        </w:tc>
        <w:tc>
          <w:tcPr>
            <w:tcW w:w="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64B9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154ECC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2025—2027年度中马钦州产业园区财政投资建设项目竣工财务决算协审服务框架协议采购</w:t>
            </w:r>
            <w:r>
              <w:rPr>
                <w:rFonts w:hint="eastAsia" w:ascii="宋体" w:hAnsi="宋体" w:eastAsia="宋体" w:cs="宋体"/>
                <w:b w:val="0"/>
                <w:bCs w:val="0"/>
                <w:color w:val="auto"/>
                <w:sz w:val="21"/>
                <w:szCs w:val="21"/>
                <w:highlight w:val="none"/>
              </w:rPr>
              <w:t>框架协议</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5F9DC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家</w:t>
            </w:r>
          </w:p>
        </w:tc>
        <w:tc>
          <w:tcPr>
            <w:tcW w:w="4995" w:type="dxa"/>
            <w:tcBorders>
              <w:top w:val="single" w:color="auto" w:sz="4" w:space="0"/>
              <w:left w:val="single" w:color="auto" w:sz="4" w:space="0"/>
              <w:bottom w:val="single" w:color="auto" w:sz="4" w:space="0"/>
              <w:right w:val="single" w:color="auto" w:sz="4" w:space="0"/>
            </w:tcBorders>
            <w:shd w:val="clear" w:color="auto" w:fill="auto"/>
          </w:tcPr>
          <w:p w14:paraId="40918E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（一）</w:t>
            </w:r>
            <w:r>
              <w:rPr>
                <w:rFonts w:hint="eastAsia" w:ascii="宋体" w:hAnsi="宋体" w:eastAsia="宋体" w:cs="宋体"/>
                <w:b w:val="0"/>
                <w:bCs w:val="0"/>
                <w:color w:val="auto"/>
                <w:sz w:val="21"/>
                <w:szCs w:val="21"/>
                <w:highlight w:val="none"/>
                <w:lang w:val="en-US" w:eastAsia="zh-CN"/>
              </w:rPr>
              <w:t>中马钦州产业园区财政投资建设项目竣工财务决算协审服务</w:t>
            </w:r>
            <w:r>
              <w:rPr>
                <w:rFonts w:hint="eastAsia" w:ascii="宋体" w:hAnsi="宋体" w:eastAsia="宋体" w:cs="宋体"/>
                <w:b w:val="0"/>
                <w:bCs w:val="0"/>
                <w:color w:val="auto"/>
                <w:sz w:val="21"/>
                <w:szCs w:val="21"/>
                <w:highlight w:val="none"/>
              </w:rPr>
              <w:t>：</w:t>
            </w:r>
          </w:p>
          <w:p w14:paraId="489D42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中国—马来西亚钦州产业园区内的建设项目</w:t>
            </w:r>
            <w:r>
              <w:rPr>
                <w:rFonts w:hint="eastAsia" w:ascii="宋体" w:hAnsi="宋体" w:eastAsia="宋体" w:cs="宋体"/>
                <w:b w:val="0"/>
                <w:bCs w:val="0"/>
                <w:color w:val="auto"/>
                <w:sz w:val="21"/>
                <w:szCs w:val="21"/>
                <w:highlight w:val="none"/>
              </w:rPr>
              <w:t>。</w:t>
            </w:r>
          </w:p>
          <w:p w14:paraId="37D362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内容包括：</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（1）竣工财务决算编制依据。审查各项清理工作是否全面、彻底，编制依据是否符合国家有关规定，资料是否齐全，手续是否完备，对遗留问题处理是否合规。</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（2）工程</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"http://www.baidu.com/s?wd=%E9%A1%B9%E7%9B%AE%E5%BB%BA%E8%AE%BE&amp;tn=SE_PcZhidaonwhc_ngpagmjz&amp;rsv_dl=gh_pc_zhidao"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项目建设</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及概算执行情况。审查项目建设是否按批准的</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"http://www.baidu.com/s?wd=%E5%88%9D%E6%AD%A5%E8%AE%BE%E8%AE%A1&amp;tn=SE_PcZhidaonwhc_ngpagmjz&amp;rsv_dl=gh_pc_zhidao"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初步设计</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进行，各单位工程建设是否严格按批准的概算内容执行，有无概算外项目和提高建设标准、扩大</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"http://www.baidu.com/s?wd=%E5%BB%BA%E8%AE%BE%E8%A7%84%E6%A8%A1&amp;tn=SE_PcZhidaonwhc_ngpagmjz&amp;rsv_dl=gh_pc_zhidao"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建设规模</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的问题，有无重大</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"http://www.baidu.com/s?wd=%E8%B4%A8%E9%87%8F%E4%BA%8B%E6%95%85&amp;tn=SE_PcZhidaonwhc_ngpagmjz&amp;rsv_dl=gh_pc_zhidao"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质量事故</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和经济损失。</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（3）工程项目的资金来源。审查各种资金渠道投入的实际金额，实际完成投资额，资金到位情况及原因。</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（4）工程项目的建设成本。审查各项费用支出是否合法，是否按合同结算工程款，有无超标准开支管理费、混淆事业成本和建设成本的情况。</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（5）工程项目的结余资金。审查库存物资实存量的真实性，有无积压、隐瞒、转移、挪用等问题；各项</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"http://www.baidu.com/s?wd=%E5%80%BA%E6%9D%83%E5%80%BA%E5%8A%A1&amp;tn=SE_PcZhidaonwhc_ngpagmjz&amp;rsv_dl=gh_pc_zhidao"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债权债务</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的真实性，有无转移、挪用建设资金和债权债务清理不及时等问题。</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（6）交付使用财产。审查交付使用财产是否真实、完整，是否符合交付条件，移交手续是否齐全、合规；成本核算是否正确，有无挤占成本，提高造价，转移投资的问题。</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（7）报废工程的报废原因及鉴定情况。</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（8）扫尾工程的预留工程款及建设情况。核实扫尾工程的未完工程量，留足投资。防止将新增项目列作尾工项目、增加新的工程内容。</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（9）竣工</w:t>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"http://www.baidu.com/s?wd=%E8%B4%A2%E5%8A%A1%E5%86%B3%E7%AE%97%E6%8A%A5%E8%A1%A8&amp;tn=SE_PcZhidaonwhc_ngpagmjz&amp;rsv_dl=gh_pc_zhidao" \t "https://zhidao.baidu.com/question/_blank"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财务决算报表</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t>的真实性、完整性、合规性。</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rPr>
              <w:t>（10）其它有必要审查的事项。</w:t>
            </w:r>
          </w:p>
          <w:p w14:paraId="6330D6AC">
            <w:pPr>
              <w:pStyle w:val="29"/>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二）供应商须具有财政主管部门颁发的有效的会计师事务所执业证书。</w:t>
            </w:r>
          </w:p>
          <w:p w14:paraId="799E26D2">
            <w:pPr>
              <w:keepNext w:val="0"/>
              <w:keepLines w:val="0"/>
              <w:suppressLineNumbers w:val="0"/>
              <w:spacing w:before="0" w:beforeAutospacing="0" w:after="0" w:afterAutospacing="0"/>
              <w:ind w:left="0" w:right="0"/>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（三）拟投入人员要求</w:t>
            </w:r>
          </w:p>
          <w:tbl>
            <w:tblPr>
              <w:tblStyle w:val="34"/>
              <w:tblW w:w="49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711"/>
              <w:gridCol w:w="2108"/>
            </w:tblGrid>
            <w:tr w14:paraId="1C70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14:paraId="762398F8">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岗位</w:t>
                  </w:r>
                </w:p>
              </w:tc>
              <w:tc>
                <w:tcPr>
                  <w:tcW w:w="1795" w:type="pct"/>
                  <w:vAlign w:val="center"/>
                </w:tcPr>
                <w:p w14:paraId="38CCEAA7">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要求</w:t>
                  </w:r>
                </w:p>
              </w:tc>
              <w:tc>
                <w:tcPr>
                  <w:tcW w:w="2211" w:type="pct"/>
                  <w:vAlign w:val="center"/>
                </w:tcPr>
                <w:p w14:paraId="5419E91A">
                  <w:pPr>
                    <w:keepNext w:val="0"/>
                    <w:keepLines w:val="0"/>
                    <w:suppressLineNumbers w:val="0"/>
                    <w:spacing w:before="0" w:beforeAutospacing="0" w:after="0" w:afterAutospacing="0"/>
                    <w:ind w:left="0" w:right="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备注</w:t>
                  </w:r>
                </w:p>
              </w:tc>
            </w:tr>
            <w:tr w14:paraId="554A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14:paraId="555250CC">
                  <w:pPr>
                    <w:keepNext w:val="0"/>
                    <w:keepLines w:val="0"/>
                    <w:suppressLineNumbers w:val="0"/>
                    <w:spacing w:before="0" w:beforeAutospacing="0" w:after="0" w:afterAutospacing="0"/>
                    <w:ind w:left="0" w:right="0"/>
                    <w:rPr>
                      <w:rFonts w:hint="default"/>
                      <w:color w:val="auto"/>
                      <w:highlight w:val="none"/>
                      <w:vertAlign w:val="baseline"/>
                    </w:rPr>
                  </w:pPr>
                  <w:r>
                    <w:rPr>
                      <w:rFonts w:hint="eastAsia" w:ascii="宋体" w:hAnsi="宋体" w:eastAsia="宋体" w:cs="宋体"/>
                      <w:b w:val="0"/>
                      <w:bCs w:val="0"/>
                      <w:color w:val="auto"/>
                      <w:spacing w:val="0"/>
                      <w:kern w:val="2"/>
                      <w:sz w:val="21"/>
                      <w:szCs w:val="21"/>
                      <w:highlight w:val="none"/>
                      <w:lang w:val="en-US" w:eastAsia="zh-CN" w:bidi="ar-SA"/>
                    </w:rPr>
                    <w:t>项目总负责人</w:t>
                  </w:r>
                </w:p>
              </w:tc>
              <w:tc>
                <w:tcPr>
                  <w:tcW w:w="1795" w:type="pct"/>
                  <w:vAlign w:val="center"/>
                </w:tcPr>
                <w:p w14:paraId="33FD1F7B">
                  <w:pPr>
                    <w:keepNext w:val="0"/>
                    <w:keepLines w:val="0"/>
                    <w:suppressLineNumbers w:val="0"/>
                    <w:spacing w:before="0" w:beforeAutospacing="0" w:after="0" w:afterAutospacing="0"/>
                    <w:ind w:left="0" w:right="0"/>
                    <w:rPr>
                      <w:rFonts w:hint="default"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1人，具有注册会计师证书，从事会计、审计服务专业工作不少于五年。</w:t>
                  </w:r>
                </w:p>
              </w:tc>
              <w:tc>
                <w:tcPr>
                  <w:tcW w:w="2211" w:type="pct"/>
                  <w:vAlign w:val="center"/>
                </w:tcPr>
                <w:p w14:paraId="6F1C96DB">
                  <w:pPr>
                    <w:keepNext w:val="0"/>
                    <w:keepLines w:val="0"/>
                    <w:suppressLineNumbers w:val="0"/>
                    <w:spacing w:before="0" w:beforeAutospacing="0" w:after="0" w:afterAutospacing="0"/>
                    <w:ind w:left="0" w:right="0"/>
                    <w:rPr>
                      <w:rFonts w:hint="default"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i w:val="0"/>
                      <w:iCs w:val="0"/>
                      <w:caps w:val="0"/>
                      <w:color w:val="000000"/>
                      <w:spacing w:val="0"/>
                      <w:kern w:val="0"/>
                      <w:sz w:val="21"/>
                      <w:szCs w:val="21"/>
                      <w:lang w:val="zh-CN" w:eastAsia="zh-CN" w:bidi="ar"/>
                    </w:rPr>
                    <w:t>注：从事会计或审计专业工作年限以</w:t>
                  </w:r>
                  <w:r>
                    <w:rPr>
                      <w:rFonts w:hint="eastAsia" w:ascii="宋体" w:hAnsi="宋体" w:eastAsia="宋体" w:cs="宋体"/>
                      <w:b/>
                      <w:bCs/>
                      <w:i w:val="0"/>
                      <w:iCs w:val="0"/>
                      <w:caps w:val="0"/>
                      <w:color w:val="000000"/>
                      <w:spacing w:val="0"/>
                      <w:kern w:val="0"/>
                      <w:sz w:val="21"/>
                      <w:szCs w:val="21"/>
                      <w:lang w:val="zh-CN" w:eastAsia="zh-CN" w:bidi="ar"/>
                    </w:rPr>
                    <w:t>注册会计师证书上发证日期</w:t>
                  </w:r>
                  <w:r>
                    <w:rPr>
                      <w:rFonts w:hint="eastAsia" w:ascii="宋体" w:hAnsi="宋体" w:eastAsia="宋体" w:cs="宋体"/>
                      <w:i w:val="0"/>
                      <w:iCs w:val="0"/>
                      <w:caps w:val="0"/>
                      <w:color w:val="000000"/>
                      <w:spacing w:val="0"/>
                      <w:kern w:val="0"/>
                      <w:sz w:val="21"/>
                      <w:szCs w:val="21"/>
                      <w:lang w:val="zh-CN" w:eastAsia="zh-CN" w:bidi="ar"/>
                    </w:rPr>
                    <w:t>为准，须提供注册会计师注册证书、执业印章等相关材料</w:t>
                  </w:r>
                  <w:r>
                    <w:rPr>
                      <w:rFonts w:hint="eastAsia" w:ascii="宋体" w:hAnsi="宋体" w:eastAsia="宋体" w:cs="宋体"/>
                      <w:i w:val="0"/>
                      <w:iCs w:val="0"/>
                      <w:caps w:val="0"/>
                      <w:color w:val="000000"/>
                      <w:spacing w:val="0"/>
                      <w:kern w:val="0"/>
                      <w:sz w:val="21"/>
                      <w:szCs w:val="21"/>
                      <w:lang w:val="en-US" w:eastAsia="zh-CN" w:bidi="ar"/>
                    </w:rPr>
                    <w:t>扫描</w:t>
                  </w:r>
                  <w:r>
                    <w:rPr>
                      <w:rFonts w:hint="eastAsia" w:ascii="宋体" w:hAnsi="宋体" w:eastAsia="宋体" w:cs="宋体"/>
                      <w:i w:val="0"/>
                      <w:iCs w:val="0"/>
                      <w:caps w:val="0"/>
                      <w:color w:val="000000"/>
                      <w:spacing w:val="0"/>
                      <w:kern w:val="0"/>
                      <w:sz w:val="21"/>
                      <w:szCs w:val="21"/>
                      <w:lang w:val="zh-CN" w:eastAsia="zh-CN" w:bidi="ar"/>
                    </w:rPr>
                    <w:t>件。</w:t>
                  </w:r>
                </w:p>
              </w:tc>
            </w:tr>
            <w:tr w14:paraId="7E75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14:paraId="00C170EB">
                  <w:pPr>
                    <w:keepNext w:val="0"/>
                    <w:keepLines w:val="0"/>
                    <w:suppressLineNumbers w:val="0"/>
                    <w:spacing w:before="0" w:beforeAutospacing="0" w:after="0" w:afterAutospacing="0"/>
                    <w:ind w:left="0" w:right="0"/>
                    <w:rPr>
                      <w:rFonts w:hint="default"/>
                      <w:color w:val="auto"/>
                      <w:highlight w:val="none"/>
                      <w:vertAlign w:val="baseline"/>
                    </w:rPr>
                  </w:pPr>
                  <w:r>
                    <w:rPr>
                      <w:rFonts w:hint="eastAsia" w:asciiTheme="minorEastAsia" w:hAnsiTheme="minorEastAsia" w:cstheme="minorEastAsia"/>
                      <w:color w:val="auto"/>
                      <w:sz w:val="21"/>
                      <w:szCs w:val="21"/>
                      <w:highlight w:val="none"/>
                      <w:lang w:val="en-US" w:eastAsia="zh-CN"/>
                    </w:rPr>
                    <w:t>其他人员</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不含项目总负责人）</w:t>
                  </w:r>
                </w:p>
              </w:tc>
              <w:tc>
                <w:tcPr>
                  <w:tcW w:w="1795" w:type="pct"/>
                  <w:vAlign w:val="center"/>
                </w:tcPr>
                <w:p w14:paraId="65C12600">
                  <w:pPr>
                    <w:keepNext w:val="0"/>
                    <w:keepLines w:val="0"/>
                    <w:suppressLineNumbers w:val="0"/>
                    <w:spacing w:before="0" w:beforeAutospacing="0" w:after="0" w:afterAutospacing="0"/>
                    <w:ind w:left="0" w:right="0"/>
                    <w:rPr>
                      <w:rFonts w:hint="default"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至少 6 人：其中注册会计师至少 2人，中级及以上会计师职称至少 2 人，初级会计师职称至少 2人。</w:t>
                  </w:r>
                </w:p>
              </w:tc>
              <w:tc>
                <w:tcPr>
                  <w:tcW w:w="2211" w:type="pct"/>
                  <w:vAlign w:val="center"/>
                </w:tcPr>
                <w:p w14:paraId="72A00280">
                  <w:pPr>
                    <w:keepNext w:val="0"/>
                    <w:keepLines w:val="0"/>
                    <w:suppressLineNumbers w:val="0"/>
                    <w:spacing w:before="0" w:beforeAutospacing="0" w:after="0" w:afterAutospacing="0"/>
                    <w:ind w:left="0" w:right="0"/>
                    <w:rPr>
                      <w:rFonts w:hint="default"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zh-CN" w:eastAsia="zh-CN" w:bidi="ar-SA"/>
                    </w:rPr>
                    <w:t>须提供注册会计师注册证书（</w:t>
                  </w:r>
                  <w:r>
                    <w:rPr>
                      <w:rFonts w:hint="eastAsia" w:ascii="宋体" w:hAnsi="宋体" w:eastAsia="宋体" w:cs="宋体"/>
                      <w:b w:val="0"/>
                      <w:bCs w:val="0"/>
                      <w:color w:val="auto"/>
                      <w:spacing w:val="0"/>
                      <w:kern w:val="2"/>
                      <w:sz w:val="21"/>
                      <w:szCs w:val="21"/>
                      <w:highlight w:val="none"/>
                      <w:lang w:val="en-US" w:eastAsia="zh-CN" w:bidi="ar-SA"/>
                    </w:rPr>
                    <w:t>或职称证书）</w:t>
                  </w:r>
                  <w:r>
                    <w:rPr>
                      <w:rFonts w:hint="eastAsia" w:ascii="宋体" w:hAnsi="宋体" w:eastAsia="宋体" w:cs="宋体"/>
                      <w:b w:val="0"/>
                      <w:bCs w:val="0"/>
                      <w:color w:val="auto"/>
                      <w:spacing w:val="0"/>
                      <w:kern w:val="2"/>
                      <w:sz w:val="21"/>
                      <w:szCs w:val="21"/>
                      <w:highlight w:val="none"/>
                      <w:lang w:val="zh-CN" w:eastAsia="zh-CN" w:bidi="ar-SA"/>
                    </w:rPr>
                    <w:t>等相关材料</w:t>
                  </w:r>
                  <w:r>
                    <w:rPr>
                      <w:rFonts w:hint="eastAsia" w:ascii="宋体" w:hAnsi="宋体" w:eastAsia="宋体" w:cs="宋体"/>
                      <w:b w:val="0"/>
                      <w:bCs w:val="0"/>
                      <w:color w:val="auto"/>
                      <w:spacing w:val="0"/>
                      <w:kern w:val="2"/>
                      <w:sz w:val="21"/>
                      <w:szCs w:val="21"/>
                      <w:highlight w:val="none"/>
                      <w:lang w:val="en-US" w:eastAsia="zh-CN" w:bidi="ar-SA"/>
                    </w:rPr>
                    <w:t>扫描</w:t>
                  </w:r>
                  <w:r>
                    <w:rPr>
                      <w:rFonts w:hint="eastAsia" w:ascii="宋体" w:hAnsi="宋体" w:eastAsia="宋体" w:cs="宋体"/>
                      <w:b w:val="0"/>
                      <w:bCs w:val="0"/>
                      <w:color w:val="auto"/>
                      <w:spacing w:val="0"/>
                      <w:kern w:val="2"/>
                      <w:sz w:val="21"/>
                      <w:szCs w:val="21"/>
                      <w:highlight w:val="none"/>
                      <w:lang w:val="zh-CN" w:eastAsia="zh-CN" w:bidi="ar-SA"/>
                    </w:rPr>
                    <w:t>件。</w:t>
                  </w:r>
                </w:p>
              </w:tc>
            </w:tr>
            <w:tr w14:paraId="4C81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pct"/>
                  <w:vAlign w:val="center"/>
                </w:tcPr>
                <w:p w14:paraId="7393EC73">
                  <w:pPr>
                    <w:keepNext w:val="0"/>
                    <w:keepLines w:val="0"/>
                    <w:suppressLineNumbers w:val="0"/>
                    <w:spacing w:before="0" w:beforeAutospacing="0" w:after="0" w:afterAutospacing="0"/>
                    <w:ind w:left="0" w:right="0"/>
                    <w:rPr>
                      <w:rFonts w:hint="eastAsia" w:asciiTheme="minorEastAsia" w:hAnsiTheme="minorEastAsia" w:cstheme="minorEastAsia"/>
                      <w:color w:val="auto"/>
                      <w:sz w:val="21"/>
                      <w:szCs w:val="21"/>
                      <w:highlight w:val="none"/>
                      <w:lang w:val="en-US" w:eastAsia="zh-CN"/>
                    </w:rPr>
                  </w:pPr>
                  <w:r>
                    <w:rPr>
                      <w:rFonts w:hint="eastAsia" w:ascii="宋体" w:hAnsi="宋体" w:eastAsia="宋体" w:cs="宋体"/>
                      <w:b/>
                      <w:bCs/>
                      <w:color w:val="auto"/>
                      <w:spacing w:val="0"/>
                      <w:sz w:val="21"/>
                      <w:szCs w:val="21"/>
                      <w:highlight w:val="none"/>
                    </w:rPr>
                    <w:t>固定联系</w:t>
                  </w:r>
                  <w:r>
                    <w:rPr>
                      <w:rFonts w:hint="eastAsia" w:ascii="宋体" w:hAnsi="宋体" w:eastAsia="宋体" w:cs="宋体"/>
                      <w:color w:val="auto"/>
                      <w:spacing w:val="0"/>
                      <w:sz w:val="21"/>
                      <w:szCs w:val="21"/>
                      <w:highlight w:val="none"/>
                    </w:rPr>
                    <w:t>人员</w:t>
                  </w:r>
                </w:p>
              </w:tc>
              <w:tc>
                <w:tcPr>
                  <w:tcW w:w="1795" w:type="pct"/>
                  <w:vAlign w:val="center"/>
                </w:tcPr>
                <w:p w14:paraId="4B16B831">
                  <w:pPr>
                    <w:keepNext w:val="0"/>
                    <w:keepLines w:val="0"/>
                    <w:suppressLineNumbers w:val="0"/>
                    <w:spacing w:before="0" w:beforeAutospacing="0" w:after="0" w:afterAutospacing="0"/>
                    <w:ind w:left="0" w:right="0"/>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至少 1 人，年龄 60 周岁以下，能胜任审核工作，具有初级及以上会计师职称</w:t>
                  </w:r>
                  <w:r>
                    <w:rPr>
                      <w:rFonts w:hint="eastAsia" w:ascii="宋体" w:hAnsi="宋体" w:eastAsia="宋体" w:cs="宋体"/>
                      <w:b/>
                      <w:bCs/>
                      <w:color w:val="auto"/>
                      <w:spacing w:val="0"/>
                      <w:kern w:val="2"/>
                      <w:sz w:val="21"/>
                      <w:szCs w:val="21"/>
                      <w:highlight w:val="none"/>
                      <w:lang w:val="en-US" w:eastAsia="zh-CN" w:bidi="ar-SA"/>
                    </w:rPr>
                    <w:t>，根据需审核的项目（采购人）的需求可以外派、驻地（如有需要）。</w:t>
                  </w:r>
                </w:p>
              </w:tc>
              <w:tc>
                <w:tcPr>
                  <w:tcW w:w="2211" w:type="pct"/>
                  <w:vAlign w:val="center"/>
                </w:tcPr>
                <w:p w14:paraId="55990665">
                  <w:pPr>
                    <w:keepNext w:val="0"/>
                    <w:keepLines w:val="0"/>
                    <w:suppressLineNumbers w:val="0"/>
                    <w:spacing w:before="0" w:beforeAutospacing="0" w:after="0" w:afterAutospacing="0"/>
                    <w:ind w:left="0" w:right="0"/>
                    <w:rPr>
                      <w:rFonts w:hint="default"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zh-CN" w:eastAsia="zh-CN" w:bidi="ar-SA"/>
                    </w:rPr>
                    <w:t>须提供注册会计师注册证书（</w:t>
                  </w:r>
                  <w:r>
                    <w:rPr>
                      <w:rFonts w:hint="eastAsia" w:ascii="宋体" w:hAnsi="宋体" w:eastAsia="宋体" w:cs="宋体"/>
                      <w:b w:val="0"/>
                      <w:bCs w:val="0"/>
                      <w:color w:val="auto"/>
                      <w:spacing w:val="0"/>
                      <w:kern w:val="2"/>
                      <w:sz w:val="21"/>
                      <w:szCs w:val="21"/>
                      <w:highlight w:val="none"/>
                      <w:lang w:val="en-US" w:eastAsia="zh-CN" w:bidi="ar-SA"/>
                    </w:rPr>
                    <w:t>或职称证书）</w:t>
                  </w:r>
                  <w:r>
                    <w:rPr>
                      <w:rFonts w:hint="eastAsia" w:ascii="宋体" w:hAnsi="宋体" w:eastAsia="宋体" w:cs="宋体"/>
                      <w:b w:val="0"/>
                      <w:bCs w:val="0"/>
                      <w:color w:val="auto"/>
                      <w:spacing w:val="0"/>
                      <w:kern w:val="2"/>
                      <w:sz w:val="21"/>
                      <w:szCs w:val="21"/>
                      <w:highlight w:val="none"/>
                      <w:lang w:val="zh-CN" w:eastAsia="zh-CN" w:bidi="ar-SA"/>
                    </w:rPr>
                    <w:t>等相关材料</w:t>
                  </w:r>
                  <w:r>
                    <w:rPr>
                      <w:rFonts w:hint="eastAsia" w:ascii="宋体" w:hAnsi="宋体" w:eastAsia="宋体" w:cs="宋体"/>
                      <w:b w:val="0"/>
                      <w:bCs w:val="0"/>
                      <w:color w:val="auto"/>
                      <w:spacing w:val="0"/>
                      <w:kern w:val="2"/>
                      <w:sz w:val="21"/>
                      <w:szCs w:val="21"/>
                      <w:highlight w:val="none"/>
                      <w:lang w:val="en-US" w:eastAsia="zh-CN" w:bidi="ar-SA"/>
                    </w:rPr>
                    <w:t>扫描</w:t>
                  </w:r>
                  <w:r>
                    <w:rPr>
                      <w:rFonts w:hint="eastAsia" w:ascii="宋体" w:hAnsi="宋体" w:eastAsia="宋体" w:cs="宋体"/>
                      <w:b w:val="0"/>
                      <w:bCs w:val="0"/>
                      <w:color w:val="auto"/>
                      <w:spacing w:val="0"/>
                      <w:kern w:val="2"/>
                      <w:sz w:val="21"/>
                      <w:szCs w:val="21"/>
                      <w:highlight w:val="none"/>
                      <w:lang w:val="zh-CN" w:eastAsia="zh-CN" w:bidi="ar-SA"/>
                    </w:rPr>
                    <w:t>件。</w:t>
                  </w:r>
                </w:p>
              </w:tc>
            </w:tr>
          </w:tbl>
          <w:p w14:paraId="6ADCCEA0">
            <w:pPr>
              <w:keepNext w:val="0"/>
              <w:keepLines w:val="0"/>
              <w:suppressLineNumbers w:val="0"/>
              <w:spacing w:before="0" w:beforeAutospacing="0" w:after="0" w:afterAutospacing="0"/>
              <w:ind w:left="0" w:right="0"/>
              <w:rPr>
                <w:rFonts w:hint="eastAsia"/>
                <w:color w:val="auto"/>
                <w:highlight w:val="none"/>
                <w:lang w:val="en-US" w:eastAsia="zh-CN"/>
              </w:rPr>
            </w:pPr>
          </w:p>
          <w:p w14:paraId="4568FE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（四）服务要求</w:t>
            </w:r>
          </w:p>
          <w:p w14:paraId="3E291A90">
            <w:pPr>
              <w:keepNext w:val="0"/>
              <w:keepLines w:val="0"/>
              <w:suppressLineNumbers w:val="0"/>
              <w:spacing w:before="0" w:beforeAutospacing="0" w:after="0" w:afterAutospacing="0" w:line="360" w:lineRule="auto"/>
              <w:ind w:left="0" w:right="0" w:firstLine="0"/>
              <w:rPr>
                <w:rFonts w:hint="default" w:ascii="宋体" w:hAnsi="宋体" w:eastAsia="宋体" w:cs="宋体"/>
                <w:color w:val="auto"/>
                <w:sz w:val="21"/>
                <w:szCs w:val="21"/>
                <w:highlight w:val="none"/>
              </w:rPr>
            </w:pPr>
            <w:r>
              <w:rPr>
                <w:rFonts w:hint="eastAsia" w:ascii="宋体" w:hAnsi="宋体" w:eastAsia="宋体" w:cs="宋体"/>
                <w:b w:val="0"/>
                <w:bCs w:val="0"/>
                <w:color w:val="auto"/>
                <w:spacing w:val="0"/>
                <w:kern w:val="2"/>
                <w:sz w:val="21"/>
                <w:szCs w:val="21"/>
                <w:highlight w:val="none"/>
                <w:lang w:val="en-US" w:eastAsia="zh-CN" w:bidi="ar-SA"/>
              </w:rPr>
              <w:t>1</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rPr>
              <w:t>入围供应商对采购人委派的每个评审项目</w:t>
            </w:r>
            <w:r>
              <w:rPr>
                <w:rFonts w:hint="eastAsia" w:ascii="宋体" w:hAnsi="宋体" w:eastAsia="宋体" w:cs="宋体"/>
                <w:b w:val="0"/>
                <w:bCs w:val="0"/>
                <w:color w:val="auto"/>
                <w:spacing w:val="0"/>
                <w:kern w:val="2"/>
                <w:sz w:val="21"/>
                <w:szCs w:val="21"/>
                <w:highlight w:val="none"/>
                <w:lang w:val="en-US" w:eastAsia="zh-CN" w:bidi="ar-SA"/>
              </w:rPr>
              <w:t>必须按要求适时调配较强专业人员承担审计任务，要按工作量大小合理配备人员。</w:t>
            </w:r>
            <w:r>
              <w:rPr>
                <w:rFonts w:hint="eastAsia" w:ascii="宋体" w:hAnsi="宋体" w:eastAsia="宋体" w:cs="宋体"/>
                <w:color w:val="auto"/>
                <w:spacing w:val="0"/>
                <w:sz w:val="21"/>
                <w:szCs w:val="21"/>
                <w:highlight w:val="none"/>
                <w:lang w:val="en-US" w:eastAsia="zh-CN"/>
              </w:rPr>
              <w:t>根据响应文件中拟投入人员</w:t>
            </w:r>
            <w:r>
              <w:rPr>
                <w:rFonts w:hint="eastAsia" w:ascii="宋体" w:hAnsi="宋体" w:eastAsia="宋体" w:cs="宋体"/>
                <w:color w:val="auto"/>
                <w:spacing w:val="0"/>
                <w:sz w:val="21"/>
                <w:szCs w:val="21"/>
                <w:highlight w:val="none"/>
              </w:rPr>
              <w:t>组成评审小组，并至少投入主审人员 1人、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复核人员</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人</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一级复核、二级复核）</w:t>
            </w:r>
            <w:r>
              <w:rPr>
                <w:rFonts w:hint="eastAsia" w:ascii="宋体" w:hAnsi="宋体" w:eastAsia="宋体" w:cs="宋体"/>
                <w:color w:val="auto"/>
                <w:spacing w:val="0"/>
                <w:sz w:val="21"/>
                <w:szCs w:val="21"/>
                <w:highlight w:val="none"/>
              </w:rPr>
              <w:t>。</w:t>
            </w:r>
          </w:p>
          <w:p w14:paraId="2C8CD834">
            <w:pPr>
              <w:keepNext w:val="0"/>
              <w:keepLines w:val="0"/>
              <w:suppressLineNumbers w:val="0"/>
              <w:spacing w:before="0" w:beforeAutospacing="0" w:after="0" w:afterAutospacing="0" w:line="360" w:lineRule="auto"/>
              <w:ind w:left="0" w:right="0" w:firstLine="0"/>
              <w:rPr>
                <w:rFonts w:hint="default"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主审人员：具有注册会计师证，业务能力和沟通能力强，能胜任项目主审职责(项目评审对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接、组织、综合复核、进度控制、质量控制及评审报告的拟写)。</w:t>
            </w:r>
          </w:p>
          <w:p w14:paraId="1634AE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复核人员：具有</w:t>
            </w:r>
            <w:r>
              <w:rPr>
                <w:rFonts w:hint="eastAsia" w:ascii="宋体" w:hAnsi="宋体" w:eastAsia="宋体" w:cs="宋体"/>
                <w:color w:val="auto"/>
                <w:spacing w:val="0"/>
                <w:sz w:val="21"/>
                <w:szCs w:val="21"/>
                <w:highlight w:val="none"/>
                <w:lang w:val="en-US" w:eastAsia="zh-CN"/>
              </w:rPr>
              <w:t>中级及以上</w:t>
            </w:r>
            <w:r>
              <w:rPr>
                <w:rFonts w:hint="eastAsia" w:ascii="宋体" w:hAnsi="宋体" w:eastAsia="宋体" w:cs="宋体"/>
                <w:color w:val="auto"/>
                <w:spacing w:val="0"/>
                <w:sz w:val="21"/>
                <w:szCs w:val="21"/>
                <w:highlight w:val="none"/>
              </w:rPr>
              <w:t>会计师</w:t>
            </w:r>
            <w:r>
              <w:rPr>
                <w:rFonts w:hint="eastAsia" w:ascii="宋体" w:hAnsi="宋体" w:eastAsia="宋体" w:cs="宋体"/>
                <w:color w:val="auto"/>
                <w:spacing w:val="0"/>
                <w:sz w:val="21"/>
                <w:szCs w:val="21"/>
                <w:highlight w:val="none"/>
                <w:lang w:val="en-US" w:eastAsia="zh-CN"/>
              </w:rPr>
              <w:t>职称</w:t>
            </w:r>
            <w:r>
              <w:rPr>
                <w:rFonts w:hint="eastAsia" w:ascii="宋体" w:hAnsi="宋体" w:eastAsia="宋体" w:cs="宋体"/>
                <w:color w:val="auto"/>
                <w:spacing w:val="0"/>
                <w:sz w:val="21"/>
                <w:szCs w:val="21"/>
                <w:highlight w:val="none"/>
              </w:rPr>
              <w:t>，具有良好的沟通能力和团</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队精神，具备岗位匹配专业技术能力，可配合项目主审做好项目评审工作。</w:t>
            </w:r>
          </w:p>
          <w:p w14:paraId="211FD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征集人对入围供应商拟投入的服务人员实行登记备案管理。供应商入围后，须将拟投入服务人员名单（名单须与用于评审服务的拟投入人员名单完全相同，并附上通讯方式及个人详细资料，包括身份证、学历、资格证明文件的复印件）通过书面和电子文档形式报征集人登记备案。在服务期内，入围供应商发生的人员变动情况，要及时进行申报备案。征集人将不定期地对供应商拟投入的服务人员在岗情况进行检查，经查实供应商擅自减少服务人员达一定比例，或实际服务人员配备达不到合同约定的最低人数时，征集人有权暂停委托供应商评审任务，直至清退出框架协议服务范围。</w:t>
            </w:r>
          </w:p>
          <w:p w14:paraId="3C15C2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制定工作服务方案及质量保证措施。入围供应商派项目服务组进驻采购单位前，应在调查了解项目服务基本情况后，有针对性地编制全面、完整的工作方案提交采购人,经采购人审查同意后,严格按照工作方案要求开展工作，在约定时间内完成方案确定的服务任务，不得缺项或自行调整服务任务。</w:t>
            </w:r>
          </w:p>
          <w:p w14:paraId="6CE412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4.供应商不得将采购人委托的竣工财务决算评审工作转交第三方完成。</w:t>
            </w:r>
          </w:p>
          <w:p w14:paraId="49229E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供应商应按采购合同规定的时间完成评审工作，并向采购人提交评审工作成果，编制底稿要求事实清楚，数据准确，结论明确，并附有充分、可靠、相关的证明材料，实行复制制度和相关人员签字确认制度。会计、审计及财政专项业务检查服务过程形成的工作底稿，并加盖供应商公章。</w:t>
            </w:r>
          </w:p>
          <w:p w14:paraId="04E8FF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工程项目征集人、采购人等提出与评审工作有关的疑问，供应商必须在规定的时间内提出书面答复意见，并送采购人审定后由采购人答复。沟通服务过程中发现的问题，听取对问题的解释和意见，做好会议记录备案。服务过程中及时向采购人报告服务进展情况和遇到的重大问题，及时反映服务中的重要信息和成果。</w:t>
            </w:r>
          </w:p>
          <w:p w14:paraId="6ACC20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7.供应商不得将采购人委托的评审工作内容透露给除采购人以外的任何人。如发现供应商有违规情况并经查实的，采购人有权终止合同并追究入围供应商违约责任，并将有关情况报送征集人。</w:t>
            </w:r>
          </w:p>
          <w:p w14:paraId="36ECBC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合同有效期内，征集人、采购人认为供应商实际投入的评审人员不足以满足评审任务需要或认为评审人员不称职时，可向供应商发出要求增加或更换（必要时可指定）评审人员的通知，供应商在收到通知后的2天内应增加或更换相应的评审人员，由此产生的费用由入围供应商自行承担。</w:t>
            </w:r>
          </w:p>
          <w:p w14:paraId="65A2F0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 供应商已为某工程项目有关的供应商、项目业主或施工方提供与该工程项目有关设计、监理、造价咨询等服务的，不能再接受该项目的评审服务委托，已接受委托的，应主动向采购人提出。如发现供应商有违规情况并经查实的，采购人有权终止合同并追究供应商违约责任，并将有关情况报送征集人。</w:t>
            </w:r>
          </w:p>
          <w:p w14:paraId="4BDA55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10.成果报告必须采购人意见，且经采购人同意.经采购人确认后作为支付服务费用的依据。</w:t>
            </w:r>
          </w:p>
          <w:p w14:paraId="6CEC5A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11.入围的供应商，在签订框架协议前须签订由征集人印制的《社会中介机构廉洁从业承诺书》。</w:t>
            </w:r>
          </w:p>
          <w:p w14:paraId="1FC778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服务期内，供应商出现违反廉洁从业规定时，征集人将实行一票否决，终止合同并追究供应商相关责任。</w:t>
            </w:r>
          </w:p>
          <w:p w14:paraId="12609F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12.征集人、采购人认为有必要时，可以约谈、询问供应商的法人代表及相关负责人，供应商不得拒绝。</w:t>
            </w:r>
          </w:p>
        </w:tc>
        <w:tc>
          <w:tcPr>
            <w:tcW w:w="816" w:type="dxa"/>
            <w:tcBorders>
              <w:top w:val="single" w:color="auto" w:sz="4" w:space="0"/>
              <w:left w:val="single" w:color="auto" w:sz="4" w:space="0"/>
              <w:bottom w:val="single" w:color="auto" w:sz="4" w:space="0"/>
              <w:right w:val="single" w:color="auto" w:sz="4" w:space="0"/>
            </w:tcBorders>
            <w:shd w:val="clear" w:color="auto" w:fill="auto"/>
          </w:tcPr>
          <w:p w14:paraId="566A01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p>
        </w:tc>
      </w:tr>
      <w:tr w14:paraId="759B5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6AA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8854" w:type="dxa"/>
            <w:gridSpan w:val="5"/>
            <w:tcBorders>
              <w:top w:val="single" w:color="auto" w:sz="4" w:space="0"/>
              <w:left w:val="single" w:color="auto" w:sz="4" w:space="0"/>
              <w:bottom w:val="single" w:color="auto" w:sz="4" w:space="0"/>
              <w:right w:val="single" w:color="auto" w:sz="4" w:space="0"/>
            </w:tcBorders>
            <w:shd w:val="clear" w:color="auto" w:fill="auto"/>
          </w:tcPr>
          <w:p w14:paraId="44928F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框架协议签订期：征集人自入围通知书发出之日起25日内和入围供应商签订框架协议。</w:t>
            </w:r>
          </w:p>
          <w:p w14:paraId="4DB086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▲二、框架协议的期限：两年</w:t>
            </w:r>
            <w:r>
              <w:rPr>
                <w:rFonts w:hint="eastAsia" w:ascii="宋体" w:hAnsi="宋体" w:eastAsia="宋体" w:cs="宋体"/>
                <w:color w:val="auto"/>
                <w:sz w:val="21"/>
                <w:szCs w:val="21"/>
                <w:highlight w:val="none"/>
                <w:lang w:eastAsia="zh-CN"/>
              </w:rPr>
              <w:t>。</w:t>
            </w:r>
          </w:p>
          <w:p w14:paraId="094EE1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▲三、确定第二阶段成交供应商方式：直接选定。由采购人依据项目实际情况、供应商服务质量、价格及服务便利性、用户评价等因素，从第一阶段入围供应商中直接选定。</w:t>
            </w:r>
            <w:r>
              <w:rPr>
                <w:rFonts w:hint="eastAsia" w:ascii="宋体" w:hAnsi="宋体" w:eastAsia="宋体" w:cs="宋体"/>
                <w:color w:val="auto"/>
                <w:sz w:val="21"/>
                <w:szCs w:val="21"/>
                <w:highlight w:val="none"/>
                <w:lang w:val="en-US" w:eastAsia="zh-CN"/>
              </w:rPr>
              <w:t>服务费费率</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于中标的费率。</w:t>
            </w:r>
          </w:p>
          <w:p w14:paraId="5B95D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提交服务成果时间及要求：成果提交的时间和要求以采购人与成交供应商签订的采购合同约定为准。原则上，供应商提交时，可先送一份资料，确认后再打印足额份数签认。如采购人提供的相关资料不齐全的，供应商向采购人提交资料的时间相应顺延。供应商应向采购人提供经采购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通过的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成果一式四份及电子文档</w:t>
            </w:r>
            <w:r>
              <w:rPr>
                <w:rFonts w:hint="eastAsia" w:ascii="宋体" w:hAnsi="宋体" w:eastAsia="宋体" w:cs="宋体"/>
                <w:color w:val="auto"/>
                <w:sz w:val="21"/>
                <w:szCs w:val="21"/>
                <w:highlight w:val="none"/>
                <w:lang w:eastAsia="zh-CN"/>
              </w:rPr>
              <w:t>。</w:t>
            </w:r>
          </w:p>
          <w:p w14:paraId="6BD5E9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▲五、提交服务成果地点：按采购人要求。</w:t>
            </w:r>
          </w:p>
          <w:p w14:paraId="604B25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▲六、质量控制要求</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供应商要严格遵守国家的法律、法规和有关规章制度，严格遵守行为准则和职业道德，严格遵守现行的财政投资项目审核操作规程及质量控制办法规定及征集人相关考评办法。</w:t>
            </w:r>
          </w:p>
          <w:p w14:paraId="134205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严格按照现行的基本建设财务规则要求进行审核工作，依照相关依据发表专业意见出具成果文件，并对成果的真实性、完整性、准确性负责。</w:t>
            </w:r>
          </w:p>
          <w:p w14:paraId="0AB8DF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③采购人将对成交供应商提交的评审报告和评审结论进行复审，复审结果因成交供应商造成严重质量问题时，采购人不支付该项目的评审费用，成交供应商承担由此造成的全部经济和法律 责任。</w:t>
            </w:r>
          </w:p>
          <w:p w14:paraId="4E5430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④成交供应商不得泄露采购人及所承接项目的任何商业机密，不得未经采购人同意擅自对外 公开评审结论。</w:t>
            </w:r>
          </w:p>
          <w:p w14:paraId="095472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⑤评审人员需严格遵守廉洁自律的有关规定，坚决抵制各种可能影响客观公正评审的商业贿 赂，坚决不搞人情评审，避免和杜绝吃拿卡要的不良行为。如因评审人员原因出现违规违纪行为， 应及时处理并承担相应法律责任，采购人有权追究其相关责任。</w:t>
            </w:r>
          </w:p>
          <w:p w14:paraId="4CF375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监督管理</w:t>
            </w:r>
          </w:p>
          <w:p w14:paraId="6783F4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为保证投资评审协审服务的质量，做好</w:t>
            </w:r>
            <w:r>
              <w:rPr>
                <w:rFonts w:hint="eastAsia" w:ascii="宋体" w:hAnsi="宋体" w:eastAsia="宋体" w:cs="宋体"/>
                <w:color w:val="auto"/>
                <w:sz w:val="21"/>
                <w:szCs w:val="21"/>
                <w:highlight w:val="none"/>
                <w:lang w:eastAsia="zh-CN"/>
              </w:rPr>
              <w:t>2025—2027年度中马钦州产业园区财政投资建设项目竣工财务决算协审服务框架协议采购</w:t>
            </w:r>
            <w:r>
              <w:rPr>
                <w:rFonts w:hint="eastAsia" w:ascii="宋体" w:hAnsi="宋体" w:eastAsia="宋体" w:cs="宋体"/>
                <w:color w:val="auto"/>
                <w:sz w:val="21"/>
                <w:szCs w:val="21"/>
                <w:highlight w:val="none"/>
              </w:rPr>
              <w:t>采购工作，</w:t>
            </w:r>
            <w:r>
              <w:rPr>
                <w:rFonts w:hint="eastAsia" w:ascii="宋体" w:hAnsi="宋体" w:eastAsia="宋体" w:cs="宋体"/>
                <w:color w:val="auto"/>
                <w:sz w:val="21"/>
                <w:szCs w:val="21"/>
                <w:highlight w:val="none"/>
                <w:lang w:val="en-US" w:eastAsia="zh-CN"/>
              </w:rPr>
              <w:t>征集</w:t>
            </w:r>
            <w:r>
              <w:rPr>
                <w:rFonts w:hint="eastAsia" w:ascii="宋体" w:hAnsi="宋体" w:eastAsia="宋体" w:cs="宋体"/>
                <w:color w:val="auto"/>
                <w:sz w:val="21"/>
                <w:szCs w:val="21"/>
                <w:highlight w:val="none"/>
              </w:rPr>
              <w:t>人根据工作开展情况，定期对入围供应商评审工作进行综 合考核。除剩余入围供应商不足入围供应商总数 70%且影响框架协议执行的情形外，框架协议有效期内，不再补充征集供应商。</w:t>
            </w:r>
          </w:p>
          <w:p w14:paraId="7FB552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、其他要求：</w:t>
            </w:r>
          </w:p>
          <w:p w14:paraId="2F5977D5">
            <w:pPr>
              <w:keepNext w:val="0"/>
              <w:keepLines w:val="0"/>
              <w:numPr>
                <w:ilvl w:val="0"/>
                <w:numId w:val="1"/>
              </w:numPr>
              <w:suppressLineNumbers w:val="0"/>
              <w:spacing w:before="0" w:beforeAutospacing="0" w:after="0" w:afterAutospacing="0" w:line="360" w:lineRule="auto"/>
              <w:ind w:left="0" w:right="0" w:firstLine="0" w:firstLineChars="0"/>
              <w:rPr>
                <w:rFonts w:hint="default" w:hAnsi="宋体" w:cs="宋体"/>
                <w:color w:val="auto"/>
                <w:highlight w:val="none"/>
              </w:rPr>
            </w:pPr>
            <w:r>
              <w:rPr>
                <w:rFonts w:hint="eastAsia" w:hAnsi="宋体" w:cs="宋体"/>
                <w:color w:val="auto"/>
                <w:highlight w:val="none"/>
              </w:rPr>
              <w:t>竣工财务决算协审服务费计费标准如下表：</w:t>
            </w:r>
          </w:p>
          <w:tbl>
            <w:tblPr>
              <w:tblStyle w:val="33"/>
              <w:tblW w:w="83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961"/>
              <w:gridCol w:w="2018"/>
              <w:gridCol w:w="2395"/>
            </w:tblGrid>
            <w:tr w14:paraId="1443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0" w:hRule="atLeast"/>
              </w:trPr>
              <w:tc>
                <w:tcPr>
                  <w:tcW w:w="3961" w:type="dxa"/>
                  <w:noWrap w:val="0"/>
                  <w:vAlign w:val="center"/>
                </w:tcPr>
                <w:p w14:paraId="39A93583">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szCs w:val="21"/>
                      <w:highlight w:val="none"/>
                    </w:rPr>
                    <w:t>项目送审投资总额M（万元）</w:t>
                  </w:r>
                </w:p>
              </w:tc>
              <w:tc>
                <w:tcPr>
                  <w:tcW w:w="2018" w:type="dxa"/>
                  <w:noWrap w:val="0"/>
                  <w:vAlign w:val="center"/>
                </w:tcPr>
                <w:p w14:paraId="05775FAC">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计费标准（费率）‰</w:t>
                  </w:r>
                </w:p>
              </w:tc>
              <w:tc>
                <w:tcPr>
                  <w:tcW w:w="2395" w:type="dxa"/>
                  <w:noWrap w:val="0"/>
                  <w:vAlign w:val="center"/>
                </w:tcPr>
                <w:p w14:paraId="4C50401C">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备注</w:t>
                  </w:r>
                </w:p>
              </w:tc>
            </w:tr>
            <w:tr w14:paraId="5690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14:paraId="20721B69">
                  <w:pPr>
                    <w:pStyle w:val="18"/>
                    <w:keepNext w:val="0"/>
                    <w:keepLines w:val="0"/>
                    <w:suppressLineNumbers w:val="0"/>
                    <w:spacing w:before="0" w:beforeAutospacing="0" w:after="0" w:afterAutospacing="0" w:line="360" w:lineRule="auto"/>
                    <w:ind w:left="130" w:leftChars="62" w:right="0" w:firstLine="105" w:firstLineChars="50"/>
                    <w:rPr>
                      <w:rFonts w:hint="eastAsia" w:hAnsi="宋体" w:cs="宋体"/>
                      <w:color w:val="auto"/>
                      <w:highlight w:val="none"/>
                    </w:rPr>
                  </w:pPr>
                  <w:r>
                    <w:rPr>
                      <w:rFonts w:hint="eastAsia" w:hAnsi="宋体" w:cs="宋体"/>
                      <w:color w:val="auto"/>
                      <w:highlight w:val="none"/>
                    </w:rPr>
                    <w:t>M≤5000</w:t>
                  </w:r>
                </w:p>
              </w:tc>
              <w:tc>
                <w:tcPr>
                  <w:tcW w:w="2018" w:type="dxa"/>
                  <w:noWrap w:val="0"/>
                  <w:vAlign w:val="center"/>
                </w:tcPr>
                <w:p w14:paraId="2D4E776F">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44</w:t>
                  </w:r>
                </w:p>
              </w:tc>
              <w:tc>
                <w:tcPr>
                  <w:tcW w:w="2395" w:type="dxa"/>
                  <w:vMerge w:val="continue"/>
                  <w:noWrap w:val="0"/>
                  <w:vAlign w:val="top"/>
                </w:tcPr>
                <w:p w14:paraId="739C3FE2">
                  <w:pPr>
                    <w:pStyle w:val="18"/>
                    <w:keepNext w:val="0"/>
                    <w:keepLines w:val="0"/>
                    <w:suppressLineNumbers w:val="0"/>
                    <w:spacing w:before="0" w:beforeAutospacing="0" w:after="0" w:afterAutospacing="0" w:line="360" w:lineRule="auto"/>
                    <w:ind w:left="130" w:leftChars="62" w:right="0"/>
                    <w:rPr>
                      <w:rFonts w:hint="eastAsia" w:hAnsi="宋体" w:cs="宋体"/>
                      <w:color w:val="auto"/>
                      <w:highlight w:val="none"/>
                    </w:rPr>
                  </w:pPr>
                </w:p>
              </w:tc>
            </w:tr>
            <w:tr w14:paraId="65F2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14:paraId="37AB2A03">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5000&lt;M≤10000</w:t>
                  </w:r>
                </w:p>
              </w:tc>
              <w:tc>
                <w:tcPr>
                  <w:tcW w:w="2018" w:type="dxa"/>
                  <w:noWrap w:val="0"/>
                  <w:vAlign w:val="center"/>
                </w:tcPr>
                <w:p w14:paraId="4ADF8041">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264</w:t>
                  </w:r>
                </w:p>
              </w:tc>
              <w:tc>
                <w:tcPr>
                  <w:tcW w:w="2395" w:type="dxa"/>
                  <w:vMerge w:val="continue"/>
                  <w:noWrap w:val="0"/>
                  <w:vAlign w:val="top"/>
                </w:tcPr>
                <w:p w14:paraId="28568A51">
                  <w:pPr>
                    <w:pStyle w:val="18"/>
                    <w:keepNext w:val="0"/>
                    <w:keepLines w:val="0"/>
                    <w:suppressLineNumbers w:val="0"/>
                    <w:spacing w:before="0" w:beforeAutospacing="0" w:after="0" w:afterAutospacing="0" w:line="360" w:lineRule="auto"/>
                    <w:ind w:left="130" w:leftChars="62" w:right="0" w:firstLine="161" w:firstLineChars="50"/>
                    <w:rPr>
                      <w:rFonts w:hint="default" w:hAnsi="宋体" w:cs="宋体"/>
                      <w:b/>
                      <w:bCs/>
                      <w:color w:val="auto"/>
                      <w:sz w:val="32"/>
                      <w:highlight w:val="none"/>
                    </w:rPr>
                  </w:pPr>
                </w:p>
              </w:tc>
            </w:tr>
            <w:tr w14:paraId="48FE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14:paraId="19BF06FD">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10000&lt;M≤50000</w:t>
                  </w:r>
                </w:p>
              </w:tc>
              <w:tc>
                <w:tcPr>
                  <w:tcW w:w="2018" w:type="dxa"/>
                  <w:noWrap w:val="0"/>
                  <w:vAlign w:val="center"/>
                </w:tcPr>
                <w:p w14:paraId="641118E8">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0664</w:t>
                  </w:r>
                </w:p>
              </w:tc>
              <w:tc>
                <w:tcPr>
                  <w:tcW w:w="2395" w:type="dxa"/>
                  <w:vMerge w:val="continue"/>
                  <w:noWrap w:val="0"/>
                  <w:vAlign w:val="top"/>
                </w:tcPr>
                <w:p w14:paraId="5262E6B4">
                  <w:pPr>
                    <w:pStyle w:val="18"/>
                    <w:keepNext w:val="0"/>
                    <w:keepLines w:val="0"/>
                    <w:suppressLineNumbers w:val="0"/>
                    <w:spacing w:before="0" w:beforeAutospacing="0" w:after="0" w:afterAutospacing="0" w:line="360" w:lineRule="auto"/>
                    <w:ind w:left="130" w:leftChars="62" w:right="0" w:firstLine="161" w:firstLineChars="50"/>
                    <w:rPr>
                      <w:rFonts w:hint="default" w:hAnsi="宋体" w:cs="宋体"/>
                      <w:b/>
                      <w:bCs/>
                      <w:color w:val="auto"/>
                      <w:sz w:val="32"/>
                      <w:highlight w:val="none"/>
                    </w:rPr>
                  </w:pPr>
                </w:p>
              </w:tc>
            </w:tr>
            <w:tr w14:paraId="6237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14:paraId="3123828E">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50000&lt;M≤200000</w:t>
                  </w:r>
                </w:p>
              </w:tc>
              <w:tc>
                <w:tcPr>
                  <w:tcW w:w="2018" w:type="dxa"/>
                  <w:noWrap w:val="0"/>
                  <w:vAlign w:val="center"/>
                </w:tcPr>
                <w:p w14:paraId="02156449">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0.0</w:t>
                  </w:r>
                  <w:r>
                    <w:rPr>
                      <w:rFonts w:hint="eastAsia" w:hAnsi="宋体" w:cs="宋体"/>
                      <w:color w:val="auto"/>
                      <w:highlight w:val="none"/>
                      <w:lang w:val="en-US" w:eastAsia="zh-CN"/>
                    </w:rPr>
                    <w:t>336</w:t>
                  </w:r>
                </w:p>
              </w:tc>
              <w:tc>
                <w:tcPr>
                  <w:tcW w:w="2395" w:type="dxa"/>
                  <w:vMerge w:val="continue"/>
                  <w:noWrap w:val="0"/>
                  <w:vAlign w:val="top"/>
                </w:tcPr>
                <w:p w14:paraId="498AFB81">
                  <w:pPr>
                    <w:pStyle w:val="18"/>
                    <w:keepNext w:val="0"/>
                    <w:keepLines w:val="0"/>
                    <w:suppressLineNumbers w:val="0"/>
                    <w:spacing w:before="0" w:beforeAutospacing="0" w:after="0" w:afterAutospacing="0" w:line="360" w:lineRule="auto"/>
                    <w:ind w:left="130" w:leftChars="62" w:right="0" w:firstLine="161" w:firstLineChars="50"/>
                    <w:rPr>
                      <w:rFonts w:hint="default" w:hAnsi="宋体" w:cs="宋体"/>
                      <w:b/>
                      <w:bCs/>
                      <w:color w:val="auto"/>
                      <w:sz w:val="32"/>
                      <w:highlight w:val="none"/>
                    </w:rPr>
                  </w:pPr>
                </w:p>
              </w:tc>
            </w:tr>
            <w:tr w14:paraId="20EC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trPr>
              <w:tc>
                <w:tcPr>
                  <w:tcW w:w="3961" w:type="dxa"/>
                  <w:noWrap w:val="0"/>
                  <w:vAlign w:val="center"/>
                </w:tcPr>
                <w:p w14:paraId="266D0D52">
                  <w:pPr>
                    <w:pStyle w:val="18"/>
                    <w:keepNext w:val="0"/>
                    <w:keepLines w:val="0"/>
                    <w:suppressLineNumbers w:val="0"/>
                    <w:spacing w:before="0" w:beforeAutospacing="0" w:after="0" w:afterAutospacing="0" w:line="360" w:lineRule="auto"/>
                    <w:ind w:left="130" w:leftChars="62" w:right="0" w:firstLine="105" w:firstLineChars="50"/>
                    <w:rPr>
                      <w:rFonts w:hint="default" w:hAnsi="宋体" w:cs="宋体"/>
                      <w:color w:val="auto"/>
                      <w:highlight w:val="none"/>
                    </w:rPr>
                  </w:pPr>
                  <w:r>
                    <w:rPr>
                      <w:rFonts w:hint="eastAsia" w:hAnsi="宋体" w:cs="宋体"/>
                      <w:color w:val="auto"/>
                      <w:highlight w:val="none"/>
                    </w:rPr>
                    <w:t>M&gt;200000</w:t>
                  </w:r>
                </w:p>
              </w:tc>
              <w:tc>
                <w:tcPr>
                  <w:tcW w:w="2018" w:type="dxa"/>
                  <w:noWrap w:val="0"/>
                  <w:vAlign w:val="center"/>
                </w:tcPr>
                <w:p w14:paraId="35E3BC30">
                  <w:pPr>
                    <w:pStyle w:val="18"/>
                    <w:keepNext w:val="0"/>
                    <w:keepLines w:val="0"/>
                    <w:suppressLineNumbers w:val="0"/>
                    <w:spacing w:before="0" w:beforeAutospacing="0" w:after="0" w:afterAutospacing="0" w:line="360" w:lineRule="auto"/>
                    <w:ind w:left="130" w:leftChars="62" w:right="0" w:firstLine="105" w:firstLineChars="50"/>
                    <w:rPr>
                      <w:rFonts w:hint="default" w:hAnsi="宋体" w:eastAsia="宋体" w:cs="宋体"/>
                      <w:color w:val="auto"/>
                      <w:highlight w:val="none"/>
                      <w:lang w:val="en-US" w:eastAsia="zh-CN"/>
                    </w:rPr>
                  </w:pPr>
                  <w:r>
                    <w:rPr>
                      <w:rFonts w:hint="eastAsia" w:hAnsi="宋体" w:cs="宋体"/>
                      <w:color w:val="auto"/>
                      <w:highlight w:val="none"/>
                    </w:rPr>
                    <w:t>0.02</w:t>
                  </w:r>
                  <w:r>
                    <w:rPr>
                      <w:rFonts w:hint="eastAsia" w:hAnsi="宋体" w:cs="宋体"/>
                      <w:color w:val="auto"/>
                      <w:highlight w:val="none"/>
                      <w:lang w:val="en-US" w:eastAsia="zh-CN"/>
                    </w:rPr>
                    <w:t>24</w:t>
                  </w:r>
                </w:p>
              </w:tc>
              <w:tc>
                <w:tcPr>
                  <w:tcW w:w="2395" w:type="dxa"/>
                  <w:vMerge w:val="continue"/>
                  <w:noWrap w:val="0"/>
                  <w:vAlign w:val="top"/>
                </w:tcPr>
                <w:p w14:paraId="30B08B28">
                  <w:pPr>
                    <w:pStyle w:val="18"/>
                    <w:keepNext w:val="0"/>
                    <w:keepLines w:val="0"/>
                    <w:suppressLineNumbers w:val="0"/>
                    <w:spacing w:before="0" w:beforeAutospacing="0" w:after="0" w:afterAutospacing="0" w:line="360" w:lineRule="auto"/>
                    <w:ind w:left="130" w:leftChars="62" w:right="0" w:firstLine="161" w:firstLineChars="50"/>
                    <w:rPr>
                      <w:rFonts w:hint="default" w:hAnsi="宋体" w:cs="宋体"/>
                      <w:b/>
                      <w:bCs/>
                      <w:color w:val="auto"/>
                      <w:sz w:val="32"/>
                      <w:highlight w:val="none"/>
                    </w:rPr>
                  </w:pPr>
                </w:p>
              </w:tc>
            </w:tr>
          </w:tbl>
          <w:p w14:paraId="0443AD44">
            <w:pPr>
              <w:pStyle w:val="132"/>
              <w:keepNext w:val="0"/>
              <w:keepLines w:val="0"/>
              <w:pageBreakBefore w:val="0"/>
              <w:suppressLineNumbers w:val="0"/>
              <w:kinsoku/>
              <w:overflowPunct/>
              <w:topLinePunct w:val="0"/>
              <w:autoSpaceDE/>
              <w:autoSpaceDN/>
              <w:bidi w:val="0"/>
              <w:adjustRightInd/>
              <w:snapToGrid/>
              <w:spacing w:before="0" w:beforeAutospacing="0" w:after="0" w:afterAutospacing="0"/>
              <w:ind w:left="0" w:right="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备注：</w:t>
            </w:r>
          </w:p>
          <w:p w14:paraId="1222B43B">
            <w:pPr>
              <w:pStyle w:val="132"/>
              <w:keepNext w:val="0"/>
              <w:keepLines w:val="0"/>
              <w:pageBreakBefore w:val="0"/>
              <w:suppressLineNumbers w:val="0"/>
              <w:kinsoku/>
              <w:overflowPunct/>
              <w:topLinePunct w:val="0"/>
              <w:autoSpaceDE/>
              <w:autoSpaceDN/>
              <w:bidi w:val="0"/>
              <w:adjustRightInd/>
              <w:snapToGrid/>
              <w:spacing w:before="0" w:beforeAutospacing="0" w:after="0" w:afterAutospacing="0"/>
              <w:ind w:left="0" w:right="0"/>
              <w:textAlignment w:val="auto"/>
              <w:rPr>
                <w:rFonts w:hint="eastAsia" w:ascii="宋体" w:hAnsi="宋体" w:cs="宋体"/>
                <w:color w:val="auto"/>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竣工财务决算协审服务费实行上限封顶，协审服务费超过</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万元的，按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万元计。如按上述规定计算得出的协审服务费少于2000元的，按2000元计</w:t>
            </w:r>
            <w:r>
              <w:rPr>
                <w:rFonts w:hint="eastAsia" w:ascii="宋体" w:hAnsi="宋体" w:cs="宋体"/>
                <w:color w:val="auto"/>
                <w:highlight w:val="none"/>
              </w:rPr>
              <w:t>。</w:t>
            </w:r>
          </w:p>
          <w:p w14:paraId="14250A57">
            <w:pPr>
              <w:keepNext w:val="0"/>
              <w:keepLines w:val="0"/>
              <w:suppressLineNumbers w:val="0"/>
              <w:spacing w:before="127" w:beforeAutospacing="0" w:after="0" w:afterAutospacing="0" w:line="298" w:lineRule="auto"/>
              <w:ind w:left="121" w:right="256" w:firstLine="382"/>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）因供应商自身原因中途将委托项目退回给征集人的，征集人不支付任何评审费用,且征集人有权不再委托项目或依法终止该项目合同。</w:t>
            </w:r>
          </w:p>
          <w:p w14:paraId="1C368180">
            <w:pPr>
              <w:keepNext w:val="0"/>
              <w:keepLines w:val="0"/>
              <w:pageBreakBefore w:val="0"/>
              <w:suppressLineNumbers w:val="0"/>
              <w:kinsoku/>
              <w:overflowPunct/>
              <w:topLinePunct w:val="0"/>
              <w:autoSpaceDE/>
              <w:autoSpaceDN/>
              <w:bidi w:val="0"/>
              <w:adjustRightInd/>
              <w:snapToGrid/>
              <w:spacing w:before="153" w:beforeAutospacing="0" w:after="0" w:afterAutospacing="0" w:line="334" w:lineRule="auto"/>
              <w:ind w:left="120" w:right="256" w:firstLine="382"/>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3</w:t>
            </w:r>
            <w:r>
              <w:rPr>
                <w:rFonts w:hint="eastAsia" w:ascii="宋体" w:hAnsi="宋体" w:eastAsia="宋体" w:cs="宋体"/>
                <w:color w:val="auto"/>
                <w:spacing w:val="0"/>
                <w:sz w:val="21"/>
                <w:szCs w:val="21"/>
                <w:highlight w:val="none"/>
              </w:rPr>
              <w:t>）因供应商自身原因未按时完成评审的，审核时间延迟 7 天以内的，征集人按每逾期一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天扣减该项目评审服务费的 10%计算；审核时间延迟 7 天以上的视为受托方无法完成该项目评审工作，征集人有权收回工程资料并不支付该项目的评审服务费，当年累计出现两次，征集人有权不再委托项目或依法终止该项目合同。</w:t>
            </w:r>
          </w:p>
          <w:p w14:paraId="2A23B3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cs="宋体"/>
                <w:color w:val="auto"/>
                <w:szCs w:val="21"/>
                <w:highlight w:val="none"/>
                <w:lang w:eastAsia="ar-SA"/>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乙方的响应报价已包括</w:t>
            </w:r>
            <w:r>
              <w:rPr>
                <w:rFonts w:hint="eastAsia" w:ascii="宋体" w:hAnsi="宋体" w:cs="宋体"/>
                <w:color w:val="auto"/>
                <w:szCs w:val="21"/>
                <w:highlight w:val="none"/>
                <w:lang w:eastAsia="zh-CN"/>
              </w:rPr>
              <w:t>但不限于</w:t>
            </w:r>
            <w:r>
              <w:rPr>
                <w:rFonts w:hint="eastAsia" w:ascii="宋体" w:hAnsi="宋体" w:cs="宋体"/>
                <w:color w:val="auto"/>
                <w:szCs w:val="21"/>
                <w:highlight w:val="none"/>
              </w:rPr>
              <w:t>实施和完成</w:t>
            </w:r>
            <w:r>
              <w:rPr>
                <w:rFonts w:hint="eastAsia" w:ascii="宋体" w:hAnsi="宋体" w:cs="宋体"/>
                <w:color w:val="auto"/>
                <w:szCs w:val="21"/>
                <w:highlight w:val="none"/>
                <w:lang w:eastAsia="zh-CN"/>
              </w:rPr>
              <w:t>编制评审</w:t>
            </w:r>
            <w:r>
              <w:rPr>
                <w:rFonts w:hint="eastAsia" w:ascii="宋体" w:hAnsi="宋体" w:cs="宋体"/>
                <w:color w:val="auto"/>
                <w:szCs w:val="21"/>
                <w:highlight w:val="none"/>
              </w:rPr>
              <w:t>工作所需的劳务费、技术服务费、交通、通讯、办公场地、管理费、税费和利润</w:t>
            </w:r>
            <w:r>
              <w:rPr>
                <w:rFonts w:hint="eastAsia" w:ascii="宋体" w:hAnsi="宋体" w:cs="宋体"/>
                <w:color w:val="auto"/>
                <w:szCs w:val="21"/>
                <w:highlight w:val="none"/>
                <w:lang w:eastAsia="zh-CN"/>
              </w:rPr>
              <w:t>及</w:t>
            </w:r>
            <w:r>
              <w:rPr>
                <w:rFonts w:hint="eastAsia" w:ascii="宋体" w:hAnsi="宋体" w:cs="宋体"/>
                <w:color w:val="auto"/>
                <w:szCs w:val="21"/>
                <w:highlight w:val="none"/>
              </w:rPr>
              <w:t>政策性文件规定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合同包含的所有风险、责任等各项费用，除非上述费用在合同中另有说明，合同期内，费率不再调整</w:t>
            </w:r>
            <w:r>
              <w:rPr>
                <w:rFonts w:hint="eastAsia" w:ascii="宋体" w:hAnsi="宋体" w:cs="宋体"/>
                <w:color w:val="auto"/>
                <w:szCs w:val="21"/>
                <w:highlight w:val="none"/>
                <w:lang w:eastAsia="zh-CN"/>
              </w:rPr>
              <w:t>。</w:t>
            </w:r>
          </w:p>
          <w:p w14:paraId="41EDABC5">
            <w:pPr>
              <w:keepNext w:val="0"/>
              <w:keepLines w:val="0"/>
              <w:pageBreakBefore w:val="0"/>
              <w:widowControl/>
              <w:suppressLineNumbers w:val="0"/>
              <w:kinsoku/>
              <w:wordWrap/>
              <w:overflowPunct/>
              <w:topLinePunct w:val="0"/>
              <w:autoSpaceDE/>
              <w:autoSpaceDN/>
              <w:bidi w:val="0"/>
              <w:adjustRightInd/>
              <w:snapToGrid/>
              <w:spacing w:before="153" w:beforeAutospacing="0" w:after="0" w:afterAutospacing="0" w:line="334" w:lineRule="auto"/>
              <w:ind w:left="120" w:leftChars="0" w:right="256" w:rightChars="0" w:firstLine="382"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（5）确定第二阶段成交供应商方式为</w:t>
            </w:r>
            <w:r>
              <w:rPr>
                <w:rFonts w:hint="eastAsia" w:ascii="宋体" w:hAnsi="宋体" w:eastAsia="宋体" w:cs="宋体"/>
                <w:color w:val="auto"/>
                <w:sz w:val="21"/>
                <w:szCs w:val="21"/>
                <w:highlight w:val="none"/>
              </w:rPr>
              <w:t>采购人可按</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于</w:t>
            </w:r>
            <w:r>
              <w:rPr>
                <w:rFonts w:hint="eastAsia" w:ascii="宋体" w:hAnsi="宋体" w:cs="宋体"/>
                <w:b/>
                <w:bCs/>
                <w:color w:val="auto"/>
                <w:sz w:val="21"/>
                <w:szCs w:val="21"/>
                <w:highlight w:val="none"/>
                <w:lang w:val="en-US" w:eastAsia="zh-CN"/>
              </w:rPr>
              <w:t>上述费率</w:t>
            </w:r>
            <w:r>
              <w:rPr>
                <w:rFonts w:hint="eastAsia" w:ascii="宋体" w:hAnsi="宋体" w:eastAsia="宋体" w:cs="宋体"/>
                <w:b/>
                <w:bCs/>
                <w:color w:val="auto"/>
                <w:sz w:val="21"/>
                <w:szCs w:val="21"/>
                <w:highlight w:val="none"/>
              </w:rPr>
              <w:t>直接</w:t>
            </w:r>
            <w:r>
              <w:rPr>
                <w:rFonts w:hint="eastAsia" w:ascii="宋体" w:hAnsi="宋体" w:eastAsia="宋体" w:cs="宋体"/>
                <w:b/>
                <w:bCs/>
                <w:color w:val="auto"/>
                <w:sz w:val="21"/>
                <w:szCs w:val="21"/>
                <w:highlight w:val="none"/>
                <w:lang w:val="en-US" w:eastAsia="zh-CN"/>
              </w:rPr>
              <w:t>在第一阶段入围</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color w:val="auto"/>
                <w:sz w:val="21"/>
                <w:szCs w:val="21"/>
                <w:highlight w:val="none"/>
              </w:rPr>
              <w:t>合同期内，费率不再调整。采购人不再向成交供应商支付其响应报价之外的任何费用。供应商的报价已包括了实施和完成</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工作所需的劳务费、技术服务费、交通、通讯、办公场地、管理费、税费和利润等费用和政策性文件规定及合同包含的所有风险、责任等各项应有的费用。</w:t>
            </w:r>
          </w:p>
          <w:p w14:paraId="62F42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p w14:paraId="6F2279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default" w:ascii="Calibri" w:hAnsi="Calibri" w:eastAsia="宋体" w:cs="Calibri"/>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竣工财务决算</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lang w:val="en-US" w:eastAsia="zh-CN"/>
              </w:rPr>
              <w:t>费按谁使用谁支付的原则，由</w:t>
            </w:r>
            <w:r>
              <w:rPr>
                <w:rFonts w:hint="eastAsia" w:ascii="宋体" w:hAnsi="宋体" w:eastAsia="宋体" w:cs="宋体"/>
                <w:color w:val="auto"/>
                <w:sz w:val="21"/>
                <w:szCs w:val="21"/>
                <w:highlight w:val="none"/>
              </w:rPr>
              <w:t>采购人按</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于中标的费率直接</w:t>
            </w:r>
            <w:r>
              <w:rPr>
                <w:rFonts w:hint="eastAsia" w:ascii="宋体" w:hAnsi="宋体" w:eastAsia="宋体" w:cs="宋体"/>
                <w:b/>
                <w:bCs/>
                <w:color w:val="auto"/>
                <w:sz w:val="21"/>
                <w:szCs w:val="21"/>
                <w:highlight w:val="none"/>
                <w:lang w:val="en-US" w:eastAsia="zh-CN"/>
              </w:rPr>
              <w:t>在第一阶段入围</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合同期内，费率不再调整。采购人不再向成交供应商支付其响应报价之外的任何费用</w:t>
            </w:r>
            <w:r>
              <w:rPr>
                <w:rFonts w:hint="eastAsia" w:ascii="宋体" w:hAnsi="宋体" w:eastAsia="宋体" w:cs="宋体"/>
                <w:color w:val="auto"/>
                <w:sz w:val="21"/>
                <w:szCs w:val="21"/>
                <w:highlight w:val="none"/>
                <w:lang w:eastAsia="zh-CN"/>
              </w:rPr>
              <w:t>。</w:t>
            </w:r>
          </w:p>
          <w:p w14:paraId="00674E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default" w:ascii="Calibri" w:hAnsi="Calibri" w:eastAsia="宋体" w:cs="Calibri"/>
                <w:color w:val="auto"/>
                <w:sz w:val="21"/>
                <w:szCs w:val="21"/>
                <w:highlight w:val="none"/>
                <w:lang w:eastAsia="zh-CN"/>
              </w:rPr>
              <w:t>②</w:t>
            </w:r>
            <w:r>
              <w:rPr>
                <w:rFonts w:hint="eastAsia" w:ascii="宋体" w:hAnsi="宋体" w:eastAsia="宋体" w:cs="宋体"/>
                <w:color w:val="auto"/>
                <w:sz w:val="21"/>
                <w:szCs w:val="21"/>
                <w:highlight w:val="none"/>
                <w:lang w:eastAsia="zh-CN"/>
              </w:rPr>
              <w:t>本项目无预付款，评审服务费按工程项目申请支付，由采购人直接支付给成交供应商。成交供应商在完成评审工作后将加盖公章后的支付申请送采购人签认，由采购人直接向成交供应商支付评审服务费。合同履行期间，如成交供应商存在违法行为，在政府采购监督管理部门调查期间、被行政处罚期间，采购人可视情况中止合同，并延期支付评审服务费；</w:t>
            </w:r>
          </w:p>
          <w:p w14:paraId="1E4F8F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③本项目使用货币币制如未作特别说明均为人民币。</w:t>
            </w:r>
          </w:p>
          <w:p w14:paraId="3D3B12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④验收标准：符合现行国家相关标准、行业标准、地方标准或者其它标准、规范。</w:t>
            </w:r>
          </w:p>
          <w:p w14:paraId="421863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、违约责任</w:t>
            </w:r>
          </w:p>
          <w:p w14:paraId="10A6FD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入围第一阶段</w:t>
            </w:r>
            <w:r>
              <w:rPr>
                <w:rFonts w:hint="eastAsia" w:ascii="宋体" w:hAnsi="宋体" w:eastAsia="宋体" w:cs="宋体"/>
                <w:color w:val="auto"/>
                <w:sz w:val="21"/>
                <w:szCs w:val="21"/>
                <w:highlight w:val="none"/>
              </w:rPr>
              <w:t>供应商如有下列行为之一的，根据其情节轻重暂停或取消其协议供应商资格，并在</w:t>
            </w:r>
            <w:r>
              <w:rPr>
                <w:rFonts w:hint="eastAsia" w:ascii="宋体" w:hAnsi="宋体" w:eastAsia="宋体" w:cs="宋体"/>
                <w:color w:val="auto"/>
                <w:sz w:val="21"/>
                <w:szCs w:val="21"/>
                <w:highlight w:val="none"/>
                <w:lang w:val="en-US" w:eastAsia="zh-CN"/>
              </w:rPr>
              <w:t>下轮框架协议</w:t>
            </w:r>
            <w:r>
              <w:rPr>
                <w:rFonts w:hint="eastAsia" w:ascii="宋体" w:hAnsi="宋体" w:eastAsia="宋体" w:cs="宋体"/>
                <w:color w:val="auto"/>
                <w:sz w:val="21"/>
                <w:szCs w:val="21"/>
                <w:highlight w:val="none"/>
              </w:rPr>
              <w:t>采购中，在评分环节进行扣分或取消其下一次</w:t>
            </w:r>
            <w:r>
              <w:rPr>
                <w:rFonts w:hint="eastAsia" w:ascii="宋体" w:hAnsi="宋体" w:eastAsia="宋体" w:cs="宋体"/>
                <w:color w:val="auto"/>
                <w:sz w:val="21"/>
                <w:szCs w:val="21"/>
                <w:highlight w:val="none"/>
                <w:lang w:eastAsia="zh-CN"/>
              </w:rPr>
              <w:t>入围</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资格：</w:t>
            </w:r>
          </w:p>
          <w:p w14:paraId="51DC33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不按要求和承诺提供相关的</w:t>
            </w:r>
            <w:r>
              <w:rPr>
                <w:rFonts w:hint="eastAsia" w:ascii="宋体" w:hAnsi="宋体" w:eastAsia="宋体" w:cs="宋体"/>
                <w:b/>
                <w:bCs/>
                <w:color w:val="auto"/>
                <w:sz w:val="21"/>
                <w:szCs w:val="21"/>
                <w:highlight w:val="none"/>
                <w:u w:val="single"/>
              </w:rPr>
              <w:t>财政投资建设项目竣工财务决算协审服务</w:t>
            </w:r>
            <w:r>
              <w:rPr>
                <w:rFonts w:hint="eastAsia" w:ascii="宋体" w:hAnsi="宋体" w:eastAsia="宋体" w:cs="宋体"/>
                <w:color w:val="auto"/>
                <w:sz w:val="21"/>
                <w:szCs w:val="21"/>
                <w:highlight w:val="none"/>
              </w:rPr>
              <w:t>；</w:t>
            </w:r>
          </w:p>
          <w:p w14:paraId="4901FB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提供虚假报告和不切合实际的数据；</w:t>
            </w:r>
          </w:p>
          <w:p w14:paraId="3E34C5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不能按承诺的服务时间要求完成工作的；</w:t>
            </w:r>
          </w:p>
          <w:p w14:paraId="3B1A62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串通订立虚假政府采购合同的；</w:t>
            </w:r>
          </w:p>
          <w:p w14:paraId="013FB1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不按要求报送</w:t>
            </w:r>
            <w:r>
              <w:rPr>
                <w:rFonts w:hint="eastAsia" w:ascii="宋体" w:hAnsi="宋体" w:eastAsia="宋体" w:cs="宋体"/>
                <w:b/>
                <w:bCs/>
                <w:color w:val="auto"/>
                <w:sz w:val="21"/>
                <w:szCs w:val="21"/>
                <w:highlight w:val="none"/>
                <w:u w:val="single"/>
              </w:rPr>
              <w:t>财政投资建设项目竣工财务决算协审服务</w:t>
            </w:r>
            <w:r>
              <w:rPr>
                <w:rFonts w:hint="eastAsia" w:ascii="宋体" w:hAnsi="宋体" w:eastAsia="宋体" w:cs="宋体"/>
                <w:b/>
                <w:color w:val="auto"/>
                <w:sz w:val="21"/>
                <w:szCs w:val="21"/>
                <w:highlight w:val="none"/>
                <w:lang w:eastAsia="zh-CN"/>
              </w:rPr>
              <w:t>入围</w:t>
            </w:r>
            <w:r>
              <w:rPr>
                <w:rFonts w:hint="eastAsia" w:ascii="宋体" w:hAnsi="宋体" w:eastAsia="宋体" w:cs="宋体"/>
                <w:b/>
                <w:color w:val="auto"/>
                <w:sz w:val="21"/>
                <w:szCs w:val="21"/>
                <w:highlight w:val="none"/>
              </w:rPr>
              <w:t>采购</w:t>
            </w:r>
            <w:r>
              <w:rPr>
                <w:rFonts w:hint="eastAsia" w:ascii="宋体" w:hAnsi="宋体" w:eastAsia="宋体" w:cs="宋体"/>
                <w:color w:val="auto"/>
                <w:sz w:val="21"/>
                <w:szCs w:val="21"/>
                <w:highlight w:val="none"/>
              </w:rPr>
              <w:t>情况汇总表等有关资料的；</w:t>
            </w:r>
          </w:p>
          <w:p w14:paraId="557B7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有其他违反有关法律法规规定的情形的。</w:t>
            </w:r>
          </w:p>
        </w:tc>
      </w:tr>
    </w:tbl>
    <w:p w14:paraId="5D1823E0">
      <w:pPr>
        <w:spacing w:line="240" w:lineRule="auto"/>
        <w:ind w:left="0"/>
        <w:rPr>
          <w:rFonts w:hint="eastAsia" w:ascii="宋体" w:hAnsi="宋体" w:eastAsia="宋体" w:cs="宋体"/>
          <w:color w:val="auto"/>
          <w:sz w:val="32"/>
          <w:szCs w:val="32"/>
          <w:highlight w:val="none"/>
        </w:rPr>
      </w:pPr>
    </w:p>
    <w:p w14:paraId="74CC7D17">
      <w:pPr>
        <w:spacing w:line="240" w:lineRule="auto"/>
        <w:ind w:lef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D60A08E">
      <w:pPr>
        <w:spacing w:line="240" w:lineRule="auto"/>
        <w:ind w:left="0"/>
        <w:rPr>
          <w:rFonts w:ascii="Arial Unicode MS" w:hAnsi="Arial Unicode MS" w:eastAsia="Arial Unicode MS" w:cs="Arial Unicode MS"/>
          <w:color w:val="auto"/>
          <w:sz w:val="32"/>
          <w:szCs w:val="32"/>
          <w:highlight w:val="none"/>
        </w:rPr>
      </w:pPr>
      <w:r>
        <w:rPr>
          <w:rFonts w:hint="eastAsia" w:ascii="宋体" w:hAnsi="宋体" w:eastAsia="宋体" w:cs="宋体"/>
          <w:color w:val="auto"/>
          <w:sz w:val="32"/>
          <w:szCs w:val="32"/>
          <w:highlight w:val="none"/>
        </w:rPr>
        <w:t>附件</w:t>
      </w:r>
      <w:r>
        <w:rPr>
          <w:rFonts w:hint="eastAsia" w:ascii="Arial Unicode MS" w:hAnsi="Arial Unicode MS" w:eastAsia="Arial Unicode MS" w:cs="Arial Unicode MS"/>
          <w:color w:val="auto"/>
          <w:sz w:val="32"/>
          <w:szCs w:val="32"/>
          <w:highlight w:val="none"/>
        </w:rPr>
        <w:t>1</w:t>
      </w:r>
      <w:r>
        <w:rPr>
          <w:rFonts w:hint="eastAsia" w:ascii="宋体" w:hAnsi="宋体" w:eastAsia="宋体" w:cs="宋体"/>
          <w:color w:val="auto"/>
          <w:sz w:val="32"/>
          <w:szCs w:val="32"/>
          <w:highlight w:val="none"/>
        </w:rPr>
        <w:t>：</w:t>
      </w:r>
    </w:p>
    <w:p w14:paraId="581D1164">
      <w:pPr>
        <w:keepNext w:val="0"/>
        <w:keepLines w:val="0"/>
        <w:widowControl w:val="0"/>
        <w:suppressLineNumbers w:val="0"/>
        <w:spacing w:before="7" w:beforeAutospacing="0" w:after="0" w:afterAutospacing="0"/>
        <w:ind w:left="0" w:right="0"/>
        <w:jc w:val="both"/>
        <w:rPr>
          <w:rFonts w:hint="eastAsia" w:ascii="Arial Unicode MS" w:hAnsi="Arial Unicode MS" w:eastAsia="Arial Unicode MS" w:cs="Arial Unicode MS"/>
          <w:color w:val="auto"/>
          <w:kern w:val="2"/>
          <w:sz w:val="17"/>
          <w:szCs w:val="17"/>
          <w:highlight w:val="none"/>
        </w:rPr>
      </w:pPr>
    </w:p>
    <w:p w14:paraId="501FA8CD">
      <w:pPr>
        <w:keepNext w:val="0"/>
        <w:keepLines w:val="0"/>
        <w:widowControl w:val="0"/>
        <w:suppressLineNumbers w:val="0"/>
        <w:spacing w:before="0" w:beforeAutospacing="0" w:after="0" w:afterAutospacing="0" w:line="528" w:lineRule="exact"/>
        <w:ind w:left="0" w:right="0"/>
        <w:jc w:val="center"/>
        <w:rPr>
          <w:rFonts w:hint="eastAsia" w:ascii="Arial Unicode MS" w:hAnsi="Arial Unicode MS" w:eastAsia="Arial Unicode MS" w:cs="Arial Unicode MS"/>
          <w:color w:val="auto"/>
          <w:kern w:val="2"/>
          <w:sz w:val="40"/>
          <w:szCs w:val="40"/>
          <w:highlight w:val="none"/>
        </w:rPr>
      </w:pPr>
      <w:r>
        <w:rPr>
          <w:rFonts w:hint="eastAsia" w:ascii="宋体" w:hAnsi="宋体" w:eastAsia="宋体" w:cs="宋体"/>
          <w:color w:val="auto"/>
          <w:kern w:val="2"/>
          <w:sz w:val="40"/>
          <w:szCs w:val="40"/>
          <w:highlight w:val="none"/>
          <w:lang w:val="en-US" w:eastAsia="zh-CN" w:bidi="ar"/>
        </w:rPr>
        <w:t>节能产品政府采购品目清单</w:t>
      </w:r>
    </w:p>
    <w:tbl>
      <w:tblPr>
        <w:tblStyle w:val="33"/>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116"/>
        <w:gridCol w:w="1516"/>
        <w:gridCol w:w="1612"/>
        <w:gridCol w:w="4335"/>
      </w:tblGrid>
      <w:tr w14:paraId="315B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55" w:hRule="atLeast"/>
          <w:jc w:val="center"/>
        </w:trPr>
        <w:tc>
          <w:tcPr>
            <w:tcW w:w="660" w:type="dxa"/>
            <w:tcBorders>
              <w:top w:val="single" w:color="000000" w:sz="8" w:space="0"/>
              <w:left w:val="single" w:color="000000" w:sz="8" w:space="0"/>
              <w:bottom w:val="nil"/>
              <w:right w:val="single" w:color="000000" w:sz="8" w:space="0"/>
            </w:tcBorders>
            <w:shd w:val="clear" w:color="auto" w:fill="auto"/>
            <w:vAlign w:val="top"/>
          </w:tcPr>
          <w:p w14:paraId="5C1CA92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bidi="ar"/>
              </w:rPr>
              <w:t>品目序号</w:t>
            </w:r>
          </w:p>
        </w:tc>
        <w:tc>
          <w:tcPr>
            <w:tcW w:w="4020" w:type="dxa"/>
            <w:gridSpan w:val="3"/>
            <w:tcBorders>
              <w:top w:val="single" w:color="000000" w:sz="8" w:space="0"/>
              <w:left w:val="nil"/>
              <w:bottom w:val="single" w:color="000000" w:sz="8" w:space="0"/>
              <w:right w:val="single" w:color="000000" w:sz="8" w:space="0"/>
            </w:tcBorders>
            <w:shd w:val="clear" w:color="auto" w:fill="auto"/>
            <w:vAlign w:val="center"/>
          </w:tcPr>
          <w:p w14:paraId="10D8258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bidi="ar"/>
              </w:rPr>
              <w:t>名称</w:t>
            </w:r>
          </w:p>
        </w:tc>
        <w:tc>
          <w:tcPr>
            <w:tcW w:w="4540" w:type="dxa"/>
            <w:tcBorders>
              <w:top w:val="single" w:color="000000" w:sz="8" w:space="0"/>
              <w:left w:val="nil"/>
              <w:bottom w:val="single" w:color="000000" w:sz="8" w:space="0"/>
              <w:right w:val="single" w:color="000000" w:sz="8" w:space="0"/>
            </w:tcBorders>
            <w:shd w:val="clear" w:color="auto" w:fill="auto"/>
            <w:vAlign w:val="center"/>
          </w:tcPr>
          <w:p w14:paraId="38652F7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bidi="ar"/>
              </w:rPr>
              <w:t>依据的标准</w:t>
            </w:r>
          </w:p>
        </w:tc>
      </w:tr>
      <w:tr w14:paraId="099B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8C471D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1D2163A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A020101计算机设备</w:t>
            </w:r>
          </w:p>
        </w:tc>
        <w:tc>
          <w:tcPr>
            <w:tcW w:w="1320" w:type="dxa"/>
            <w:tcBorders>
              <w:top w:val="nil"/>
              <w:left w:val="nil"/>
              <w:bottom w:val="single" w:color="000000" w:sz="8" w:space="0"/>
              <w:right w:val="single" w:color="000000" w:sz="8" w:space="0"/>
            </w:tcBorders>
            <w:shd w:val="clear" w:color="auto" w:fill="auto"/>
            <w:vAlign w:val="center"/>
          </w:tcPr>
          <w:p w14:paraId="34207AD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★A02010104台式计算机</w:t>
            </w:r>
          </w:p>
        </w:tc>
        <w:tc>
          <w:tcPr>
            <w:tcW w:w="1620" w:type="dxa"/>
            <w:tcBorders>
              <w:top w:val="nil"/>
              <w:left w:val="nil"/>
              <w:bottom w:val="single" w:color="000000" w:sz="8" w:space="0"/>
              <w:right w:val="single" w:color="000000" w:sz="8" w:space="0"/>
            </w:tcBorders>
            <w:shd w:val="clear" w:color="auto" w:fill="auto"/>
            <w:vAlign w:val="center"/>
          </w:tcPr>
          <w:p w14:paraId="4E0FB50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396A45C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《微型计算机能效限定值及能效等级》（GB28380）</w:t>
            </w:r>
          </w:p>
        </w:tc>
      </w:tr>
      <w:tr w14:paraId="2D39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F4E9B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894ADB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14:paraId="462D01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★A02010105便携式计算机</w:t>
            </w:r>
          </w:p>
        </w:tc>
        <w:tc>
          <w:tcPr>
            <w:tcW w:w="1620" w:type="dxa"/>
            <w:tcBorders>
              <w:top w:val="nil"/>
              <w:left w:val="nil"/>
              <w:bottom w:val="single" w:color="000000" w:sz="8" w:space="0"/>
              <w:right w:val="single" w:color="000000" w:sz="8" w:space="0"/>
            </w:tcBorders>
            <w:shd w:val="clear" w:color="auto" w:fill="auto"/>
            <w:vAlign w:val="center"/>
          </w:tcPr>
          <w:p w14:paraId="1BBD0B0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1CF6B67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《微型计算机能效限定值及能效等级》（GB28380）</w:t>
            </w:r>
          </w:p>
        </w:tc>
      </w:tr>
      <w:tr w14:paraId="388C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5F3C2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0B27E7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14:paraId="624486A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★A02010107平板式微型计算机</w:t>
            </w:r>
          </w:p>
        </w:tc>
        <w:tc>
          <w:tcPr>
            <w:tcW w:w="1620" w:type="dxa"/>
            <w:tcBorders>
              <w:top w:val="nil"/>
              <w:left w:val="nil"/>
              <w:bottom w:val="single" w:color="000000" w:sz="8" w:space="0"/>
              <w:right w:val="single" w:color="000000" w:sz="8" w:space="0"/>
            </w:tcBorders>
            <w:shd w:val="clear" w:color="auto" w:fill="auto"/>
            <w:vAlign w:val="center"/>
          </w:tcPr>
          <w:p w14:paraId="5D7555B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3137CA2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《微型计算机能效限定值及能效等级》（GB28380）</w:t>
            </w:r>
          </w:p>
        </w:tc>
      </w:tr>
      <w:tr w14:paraId="2315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14:paraId="17A63B2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14:paraId="7F2B73B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A020106输入输出设备</w:t>
            </w:r>
          </w:p>
        </w:tc>
        <w:tc>
          <w:tcPr>
            <w:tcW w:w="1320" w:type="dxa"/>
            <w:vMerge w:val="restart"/>
            <w:tcBorders>
              <w:top w:val="nil"/>
              <w:left w:val="nil"/>
              <w:bottom w:val="single" w:color="000000" w:sz="8" w:space="0"/>
              <w:right w:val="single" w:color="000000" w:sz="8" w:space="0"/>
            </w:tcBorders>
            <w:shd w:val="clear" w:color="auto" w:fill="auto"/>
            <w:vAlign w:val="center"/>
          </w:tcPr>
          <w:p w14:paraId="1F3BD15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A02010601打印设备</w:t>
            </w:r>
          </w:p>
        </w:tc>
        <w:tc>
          <w:tcPr>
            <w:tcW w:w="1620" w:type="dxa"/>
            <w:tcBorders>
              <w:top w:val="nil"/>
              <w:left w:val="nil"/>
              <w:bottom w:val="single" w:color="000000" w:sz="8" w:space="0"/>
              <w:right w:val="single" w:color="000000" w:sz="8" w:space="0"/>
            </w:tcBorders>
            <w:shd w:val="clear" w:color="auto" w:fill="auto"/>
            <w:vAlign w:val="center"/>
          </w:tcPr>
          <w:p w14:paraId="3D25B6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A0201060101喷墨打印机</w:t>
            </w:r>
          </w:p>
        </w:tc>
        <w:tc>
          <w:tcPr>
            <w:tcW w:w="4540" w:type="dxa"/>
            <w:tcBorders>
              <w:top w:val="nil"/>
              <w:left w:val="nil"/>
              <w:bottom w:val="single" w:color="000000" w:sz="8" w:space="0"/>
              <w:right w:val="single" w:color="000000" w:sz="8" w:space="0"/>
            </w:tcBorders>
            <w:shd w:val="clear" w:color="auto" w:fill="auto"/>
            <w:vAlign w:val="center"/>
          </w:tcPr>
          <w:p w14:paraId="69F577E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《复印机、打印机和传真机能效限定值及能效等级》（GB21521）</w:t>
            </w:r>
          </w:p>
        </w:tc>
      </w:tr>
      <w:tr w14:paraId="7979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5446710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E78913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76908AA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5B8EC6A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★A0201060102激光打印机</w:t>
            </w:r>
          </w:p>
        </w:tc>
        <w:tc>
          <w:tcPr>
            <w:tcW w:w="4540" w:type="dxa"/>
            <w:tcBorders>
              <w:top w:val="nil"/>
              <w:left w:val="nil"/>
              <w:bottom w:val="single" w:color="000000" w:sz="8" w:space="0"/>
              <w:right w:val="single" w:color="000000" w:sz="8" w:space="0"/>
            </w:tcBorders>
            <w:shd w:val="clear" w:color="auto" w:fill="auto"/>
            <w:vAlign w:val="center"/>
          </w:tcPr>
          <w:p w14:paraId="7C6E808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《复印机、打印机和传真机能效限定值及能效等级》（GB21521）</w:t>
            </w:r>
          </w:p>
        </w:tc>
      </w:tr>
      <w:tr w14:paraId="38D6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2FB2C8E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18C9D7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50F560F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4A96A24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★A0201060104针式打印机</w:t>
            </w:r>
          </w:p>
        </w:tc>
        <w:tc>
          <w:tcPr>
            <w:tcW w:w="4540" w:type="dxa"/>
            <w:tcBorders>
              <w:top w:val="nil"/>
              <w:left w:val="nil"/>
              <w:bottom w:val="single" w:color="000000" w:sz="8" w:space="0"/>
              <w:right w:val="single" w:color="000000" w:sz="8" w:space="0"/>
            </w:tcBorders>
            <w:shd w:val="clear" w:color="auto" w:fill="auto"/>
            <w:vAlign w:val="center"/>
          </w:tcPr>
          <w:p w14:paraId="7F3A77A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《复印机、打印机和传真机能效限定值及能效等级》（GB21521）</w:t>
            </w:r>
          </w:p>
        </w:tc>
      </w:tr>
      <w:tr w14:paraId="38F8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7A02528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FF1E6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14:paraId="490600C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A02010604显示设备</w:t>
            </w:r>
          </w:p>
        </w:tc>
        <w:tc>
          <w:tcPr>
            <w:tcW w:w="1620" w:type="dxa"/>
            <w:tcBorders>
              <w:top w:val="nil"/>
              <w:left w:val="nil"/>
              <w:bottom w:val="single" w:color="000000" w:sz="8" w:space="0"/>
              <w:right w:val="single" w:color="000000" w:sz="8" w:space="0"/>
            </w:tcBorders>
            <w:shd w:val="clear" w:color="auto" w:fill="auto"/>
            <w:vAlign w:val="center"/>
          </w:tcPr>
          <w:p w14:paraId="7DFE11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★A0201060401液晶显示器</w:t>
            </w:r>
          </w:p>
        </w:tc>
        <w:tc>
          <w:tcPr>
            <w:tcW w:w="4540" w:type="dxa"/>
            <w:tcBorders>
              <w:top w:val="nil"/>
              <w:left w:val="nil"/>
              <w:bottom w:val="single" w:color="000000" w:sz="8" w:space="0"/>
              <w:right w:val="single" w:color="000000" w:sz="8" w:space="0"/>
            </w:tcBorders>
            <w:shd w:val="clear" w:color="auto" w:fill="auto"/>
            <w:vAlign w:val="center"/>
          </w:tcPr>
          <w:p w14:paraId="52E1466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《计算机显示器能效限定值及能效等级》（GB21520）</w:t>
            </w:r>
          </w:p>
        </w:tc>
      </w:tr>
      <w:tr w14:paraId="4631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056414E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9D5EE1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14:paraId="7DEE7E9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A02010609图形图像输入设备</w:t>
            </w:r>
          </w:p>
        </w:tc>
        <w:tc>
          <w:tcPr>
            <w:tcW w:w="1620" w:type="dxa"/>
            <w:tcBorders>
              <w:top w:val="nil"/>
              <w:left w:val="nil"/>
              <w:bottom w:val="single" w:color="000000" w:sz="8" w:space="0"/>
              <w:right w:val="single" w:color="000000" w:sz="8" w:space="0"/>
            </w:tcBorders>
            <w:shd w:val="clear" w:color="auto" w:fill="auto"/>
            <w:vAlign w:val="center"/>
          </w:tcPr>
          <w:p w14:paraId="2E72DA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A0201060901扫描仪</w:t>
            </w:r>
          </w:p>
        </w:tc>
        <w:tc>
          <w:tcPr>
            <w:tcW w:w="4540" w:type="dxa"/>
            <w:tcBorders>
              <w:top w:val="nil"/>
              <w:left w:val="nil"/>
              <w:bottom w:val="single" w:color="000000" w:sz="8" w:space="0"/>
              <w:right w:val="single" w:color="000000" w:sz="8" w:space="0"/>
            </w:tcBorders>
            <w:shd w:val="clear" w:color="auto" w:fill="auto"/>
            <w:vAlign w:val="center"/>
          </w:tcPr>
          <w:p w14:paraId="06F4F7B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参照《复印机、打印机和传真机能效限定值及能效等级》（GB21521中打印速度为15页/分的针式打印机相关要求中打印速度为15页/分的针式打印机相关要求</w:t>
            </w:r>
          </w:p>
        </w:tc>
      </w:tr>
      <w:tr w14:paraId="1CED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14:paraId="5B375B2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14:paraId="4AA6DA3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A020202投影仪</w:t>
            </w:r>
          </w:p>
        </w:tc>
        <w:tc>
          <w:tcPr>
            <w:tcW w:w="1320" w:type="dxa"/>
            <w:tcBorders>
              <w:top w:val="nil"/>
              <w:left w:val="nil"/>
              <w:bottom w:val="single" w:color="000000" w:sz="8" w:space="0"/>
              <w:right w:val="single" w:color="000000" w:sz="8" w:space="0"/>
            </w:tcBorders>
            <w:shd w:val="clear" w:color="auto" w:fill="auto"/>
            <w:vAlign w:val="center"/>
          </w:tcPr>
          <w:p w14:paraId="35374EF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0237AA3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2E5760A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《投影机能效限定值及能效等级》（GB32028）</w:t>
            </w:r>
          </w:p>
        </w:tc>
      </w:tr>
      <w:tr w14:paraId="4A02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14:paraId="322346D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14:paraId="71DF84A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A020204多功能一体机</w:t>
            </w:r>
          </w:p>
        </w:tc>
        <w:tc>
          <w:tcPr>
            <w:tcW w:w="1320" w:type="dxa"/>
            <w:tcBorders>
              <w:top w:val="nil"/>
              <w:left w:val="nil"/>
              <w:bottom w:val="single" w:color="000000" w:sz="8" w:space="0"/>
              <w:right w:val="single" w:color="000000" w:sz="8" w:space="0"/>
            </w:tcBorders>
            <w:shd w:val="clear" w:color="auto" w:fill="auto"/>
            <w:vAlign w:val="center"/>
          </w:tcPr>
          <w:p w14:paraId="7176EC7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4F2EBF0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45A490A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《复印机、打印机和传真机能效限定值及能效等级》（GB21521）</w:t>
            </w:r>
          </w:p>
        </w:tc>
      </w:tr>
      <w:tr w14:paraId="45F9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14:paraId="1B893A4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14:paraId="79402B7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A020519泵</w:t>
            </w:r>
          </w:p>
        </w:tc>
        <w:tc>
          <w:tcPr>
            <w:tcW w:w="1320" w:type="dxa"/>
            <w:tcBorders>
              <w:top w:val="nil"/>
              <w:left w:val="nil"/>
              <w:bottom w:val="single" w:color="000000" w:sz="8" w:space="0"/>
              <w:right w:val="single" w:color="000000" w:sz="8" w:space="0"/>
            </w:tcBorders>
            <w:shd w:val="clear" w:color="auto" w:fill="auto"/>
            <w:vAlign w:val="center"/>
          </w:tcPr>
          <w:p w14:paraId="78AB879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A02051901离心泵</w:t>
            </w:r>
          </w:p>
        </w:tc>
        <w:tc>
          <w:tcPr>
            <w:tcW w:w="1620" w:type="dxa"/>
            <w:tcBorders>
              <w:top w:val="nil"/>
              <w:left w:val="nil"/>
              <w:bottom w:val="single" w:color="000000" w:sz="8" w:space="0"/>
              <w:right w:val="single" w:color="000000" w:sz="8" w:space="0"/>
            </w:tcBorders>
            <w:shd w:val="clear" w:color="auto" w:fill="auto"/>
            <w:vAlign w:val="center"/>
          </w:tcPr>
          <w:p w14:paraId="3392CAF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2360FD5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《清水离心泵能效限定值及节能评价值》（GB19762）</w:t>
            </w:r>
          </w:p>
        </w:tc>
      </w:tr>
      <w:tr w14:paraId="0A62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14:paraId="43A19F2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6</w:t>
            </w:r>
          </w:p>
        </w:tc>
        <w:tc>
          <w:tcPr>
            <w:tcW w:w="1080" w:type="dxa"/>
            <w:vMerge w:val="restart"/>
            <w:tcBorders>
              <w:top w:val="nil"/>
              <w:left w:val="nil"/>
              <w:bottom w:val="single" w:color="000000" w:sz="8" w:space="0"/>
              <w:right w:val="single" w:color="000000" w:sz="8" w:space="0"/>
            </w:tcBorders>
            <w:shd w:val="clear" w:color="auto" w:fill="auto"/>
            <w:vAlign w:val="center"/>
          </w:tcPr>
          <w:p w14:paraId="2CADE4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A020523制冷空调设备</w:t>
            </w:r>
          </w:p>
        </w:tc>
        <w:tc>
          <w:tcPr>
            <w:tcW w:w="1320" w:type="dxa"/>
            <w:vMerge w:val="restart"/>
            <w:tcBorders>
              <w:top w:val="nil"/>
              <w:left w:val="nil"/>
              <w:bottom w:val="single" w:color="000000" w:sz="8" w:space="0"/>
              <w:right w:val="single" w:color="000000" w:sz="8" w:space="0"/>
            </w:tcBorders>
            <w:shd w:val="clear" w:color="auto" w:fill="auto"/>
            <w:vAlign w:val="center"/>
          </w:tcPr>
          <w:p w14:paraId="2CED745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★A02052301制冷压缩机</w:t>
            </w:r>
          </w:p>
        </w:tc>
        <w:tc>
          <w:tcPr>
            <w:tcW w:w="1620" w:type="dxa"/>
            <w:tcBorders>
              <w:top w:val="nil"/>
              <w:left w:val="nil"/>
              <w:bottom w:val="single" w:color="000000" w:sz="8" w:space="0"/>
              <w:right w:val="single" w:color="000000" w:sz="8" w:space="0"/>
            </w:tcBorders>
            <w:shd w:val="clear" w:color="auto" w:fill="auto"/>
            <w:vAlign w:val="center"/>
          </w:tcPr>
          <w:p w14:paraId="7605419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冷水机组</w:t>
            </w:r>
          </w:p>
        </w:tc>
        <w:tc>
          <w:tcPr>
            <w:tcW w:w="4540" w:type="dxa"/>
            <w:tcBorders>
              <w:top w:val="nil"/>
              <w:left w:val="nil"/>
              <w:bottom w:val="single" w:color="000000" w:sz="8" w:space="0"/>
              <w:right w:val="single" w:color="000000" w:sz="8" w:space="0"/>
            </w:tcBorders>
            <w:shd w:val="clear" w:color="auto" w:fill="auto"/>
            <w:vAlign w:val="center"/>
          </w:tcPr>
          <w:p w14:paraId="119ADFB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《冷水机组能效限定值及能效等级》（GB19577），《低环境温度空气源热泵（冷水）机组能效限定值及能效等级》（GB37480）</w:t>
            </w:r>
          </w:p>
        </w:tc>
      </w:tr>
      <w:tr w14:paraId="09EB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5E5F76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DB816B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7358F07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13D4575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水源热泵机组</w:t>
            </w:r>
          </w:p>
        </w:tc>
        <w:tc>
          <w:tcPr>
            <w:tcW w:w="4540" w:type="dxa"/>
            <w:tcBorders>
              <w:top w:val="nil"/>
              <w:left w:val="nil"/>
              <w:bottom w:val="single" w:color="000000" w:sz="8" w:space="0"/>
              <w:right w:val="single" w:color="000000" w:sz="8" w:space="0"/>
            </w:tcBorders>
            <w:shd w:val="clear" w:color="auto" w:fill="auto"/>
            <w:vAlign w:val="center"/>
          </w:tcPr>
          <w:p w14:paraId="7EA0DAF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《水（地）源热泵机组能效限定值及能效等级》（GB30721）</w:t>
            </w:r>
          </w:p>
        </w:tc>
      </w:tr>
      <w:tr w14:paraId="5BA0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193C89E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61AF50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4CD9AEC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3950ADB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溴化锂吸收式冷水机组</w:t>
            </w:r>
          </w:p>
        </w:tc>
        <w:tc>
          <w:tcPr>
            <w:tcW w:w="4540" w:type="dxa"/>
            <w:tcBorders>
              <w:top w:val="nil"/>
              <w:left w:val="nil"/>
              <w:bottom w:val="single" w:color="000000" w:sz="8" w:space="0"/>
              <w:right w:val="single" w:color="000000" w:sz="8" w:space="0"/>
            </w:tcBorders>
            <w:shd w:val="clear" w:color="auto" w:fill="auto"/>
            <w:vAlign w:val="center"/>
          </w:tcPr>
          <w:p w14:paraId="687FF44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《溴化锂吸收式冷水机组能效限定值及能效等级》（GB29540）</w:t>
            </w:r>
          </w:p>
        </w:tc>
      </w:tr>
      <w:tr w14:paraId="18FE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0100E53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46E8EE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restart"/>
            <w:tcBorders>
              <w:top w:val="nil"/>
              <w:left w:val="nil"/>
              <w:bottom w:val="single" w:color="000000" w:sz="8" w:space="0"/>
              <w:right w:val="single" w:color="000000" w:sz="8" w:space="0"/>
            </w:tcBorders>
            <w:shd w:val="clear" w:color="auto" w:fill="auto"/>
            <w:vAlign w:val="center"/>
          </w:tcPr>
          <w:p w14:paraId="2E13609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★A02052305空调机组</w:t>
            </w:r>
          </w:p>
        </w:tc>
        <w:tc>
          <w:tcPr>
            <w:tcW w:w="1620" w:type="dxa"/>
            <w:tcBorders>
              <w:top w:val="nil"/>
              <w:left w:val="nil"/>
              <w:bottom w:val="single" w:color="000000" w:sz="8" w:space="0"/>
              <w:right w:val="single" w:color="000000" w:sz="8" w:space="0"/>
            </w:tcBorders>
            <w:shd w:val="clear" w:color="auto" w:fill="auto"/>
            <w:vAlign w:val="center"/>
          </w:tcPr>
          <w:p w14:paraId="53A483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多联式空调（热泵）机组(制冷量&gt;14000W)</w:t>
            </w:r>
          </w:p>
        </w:tc>
        <w:tc>
          <w:tcPr>
            <w:tcW w:w="4540" w:type="dxa"/>
            <w:tcBorders>
              <w:top w:val="nil"/>
              <w:left w:val="nil"/>
              <w:bottom w:val="single" w:color="000000" w:sz="8" w:space="0"/>
              <w:right w:val="single" w:color="000000" w:sz="8" w:space="0"/>
            </w:tcBorders>
            <w:shd w:val="clear" w:color="auto" w:fill="auto"/>
            <w:vAlign w:val="center"/>
          </w:tcPr>
          <w:p w14:paraId="164821E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《多联式空调（热泵）机组能效限定值及能源效率等级》（GB21454）</w:t>
            </w:r>
          </w:p>
        </w:tc>
      </w:tr>
      <w:tr w14:paraId="411E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435C26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B149E3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545A32A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1244FF3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单元式空气调节机(制冷量&gt;14000W</w:t>
            </w:r>
          </w:p>
        </w:tc>
        <w:tc>
          <w:tcPr>
            <w:tcW w:w="4540" w:type="dxa"/>
            <w:tcBorders>
              <w:top w:val="nil"/>
              <w:left w:val="nil"/>
              <w:bottom w:val="single" w:color="000000" w:sz="8" w:space="0"/>
              <w:right w:val="single" w:color="000000" w:sz="8" w:space="0"/>
            </w:tcBorders>
            <w:shd w:val="clear" w:color="auto" w:fill="auto"/>
            <w:vAlign w:val="center"/>
          </w:tcPr>
          <w:p w14:paraId="1FBF7E0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《单元式空气调节机能效限定值及能效等级》（GB19576）《风管送风式空调机组能效限定值及能效等级》（GB37479）</w:t>
            </w:r>
          </w:p>
        </w:tc>
      </w:tr>
      <w:tr w14:paraId="5A87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27643E6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EE292C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14:paraId="4B0F88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★A02052309专用制冷、空调设备</w:t>
            </w:r>
          </w:p>
        </w:tc>
        <w:tc>
          <w:tcPr>
            <w:tcW w:w="1620" w:type="dxa"/>
            <w:tcBorders>
              <w:top w:val="nil"/>
              <w:left w:val="nil"/>
              <w:bottom w:val="single" w:color="000000" w:sz="8" w:space="0"/>
              <w:right w:val="single" w:color="000000" w:sz="8" w:space="0"/>
            </w:tcBorders>
            <w:shd w:val="clear" w:color="auto" w:fill="auto"/>
            <w:vAlign w:val="center"/>
          </w:tcPr>
          <w:p w14:paraId="524D655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机房空调</w:t>
            </w:r>
          </w:p>
        </w:tc>
        <w:tc>
          <w:tcPr>
            <w:tcW w:w="4540" w:type="dxa"/>
            <w:tcBorders>
              <w:top w:val="nil"/>
              <w:left w:val="nil"/>
              <w:bottom w:val="single" w:color="000000" w:sz="8" w:space="0"/>
              <w:right w:val="single" w:color="000000" w:sz="8" w:space="0"/>
            </w:tcBorders>
            <w:shd w:val="clear" w:color="auto" w:fill="auto"/>
            <w:vAlign w:val="center"/>
          </w:tcPr>
          <w:p w14:paraId="0250F52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《单元式空气调节机能效限定值及能效等级》（GB19576）</w:t>
            </w:r>
          </w:p>
        </w:tc>
      </w:tr>
      <w:tr w14:paraId="4EA2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46C9B18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E1D38B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14:paraId="015BD8A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A02052399其他制冷空调设备</w:t>
            </w:r>
          </w:p>
        </w:tc>
        <w:tc>
          <w:tcPr>
            <w:tcW w:w="1620" w:type="dxa"/>
            <w:tcBorders>
              <w:top w:val="nil"/>
              <w:left w:val="nil"/>
              <w:bottom w:val="single" w:color="000000" w:sz="8" w:space="0"/>
              <w:right w:val="single" w:color="000000" w:sz="8" w:space="0"/>
            </w:tcBorders>
            <w:shd w:val="clear" w:color="auto" w:fill="auto"/>
            <w:vAlign w:val="center"/>
          </w:tcPr>
          <w:p w14:paraId="2C77817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冷却塔</w:t>
            </w:r>
          </w:p>
        </w:tc>
        <w:tc>
          <w:tcPr>
            <w:tcW w:w="4540" w:type="dxa"/>
            <w:tcBorders>
              <w:top w:val="nil"/>
              <w:left w:val="nil"/>
              <w:bottom w:val="single" w:color="000000" w:sz="8" w:space="0"/>
              <w:right w:val="single" w:color="000000" w:sz="8" w:space="0"/>
            </w:tcBorders>
            <w:shd w:val="clear" w:color="auto" w:fill="auto"/>
            <w:vAlign w:val="center"/>
          </w:tcPr>
          <w:p w14:paraId="02E1BE5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《机械通风冷却塔第1部分：中小型开式冷却塔》（GB/T7190.1）；《机械通风冷却塔第2部分：大型开式冷却塔》（GB/T7190.2）</w:t>
            </w:r>
          </w:p>
        </w:tc>
      </w:tr>
      <w:tr w14:paraId="089E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14:paraId="6A7616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7</w:t>
            </w:r>
          </w:p>
        </w:tc>
        <w:tc>
          <w:tcPr>
            <w:tcW w:w="1080" w:type="dxa"/>
            <w:tcBorders>
              <w:top w:val="nil"/>
              <w:left w:val="nil"/>
              <w:bottom w:val="single" w:color="000000" w:sz="8" w:space="0"/>
              <w:right w:val="single" w:color="000000" w:sz="8" w:space="0"/>
            </w:tcBorders>
            <w:shd w:val="clear" w:color="auto" w:fill="auto"/>
            <w:vAlign w:val="center"/>
          </w:tcPr>
          <w:p w14:paraId="370A651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A020601电机</w:t>
            </w:r>
          </w:p>
        </w:tc>
        <w:tc>
          <w:tcPr>
            <w:tcW w:w="1320" w:type="dxa"/>
            <w:tcBorders>
              <w:top w:val="nil"/>
              <w:left w:val="nil"/>
              <w:bottom w:val="single" w:color="000000" w:sz="8" w:space="0"/>
              <w:right w:val="single" w:color="000000" w:sz="8" w:space="0"/>
            </w:tcBorders>
            <w:shd w:val="clear" w:color="auto" w:fill="auto"/>
            <w:vAlign w:val="center"/>
          </w:tcPr>
          <w:p w14:paraId="43D18DB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2473D80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4A2050E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《中小型三相异步电动机能效限定值及能效等级》（GB18613）</w:t>
            </w:r>
          </w:p>
        </w:tc>
      </w:tr>
      <w:tr w14:paraId="18C4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14:paraId="508AD40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8</w:t>
            </w:r>
          </w:p>
        </w:tc>
        <w:tc>
          <w:tcPr>
            <w:tcW w:w="1080" w:type="dxa"/>
            <w:tcBorders>
              <w:top w:val="nil"/>
              <w:left w:val="nil"/>
              <w:bottom w:val="single" w:color="000000" w:sz="8" w:space="0"/>
              <w:right w:val="single" w:color="000000" w:sz="8" w:space="0"/>
            </w:tcBorders>
            <w:shd w:val="clear" w:color="auto" w:fill="auto"/>
            <w:vAlign w:val="center"/>
          </w:tcPr>
          <w:p w14:paraId="017AA55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A020602变压器</w:t>
            </w:r>
          </w:p>
        </w:tc>
        <w:tc>
          <w:tcPr>
            <w:tcW w:w="1320" w:type="dxa"/>
            <w:tcBorders>
              <w:top w:val="nil"/>
              <w:left w:val="nil"/>
              <w:bottom w:val="single" w:color="000000" w:sz="8" w:space="0"/>
              <w:right w:val="single" w:color="000000" w:sz="8" w:space="0"/>
            </w:tcBorders>
            <w:shd w:val="clear" w:color="auto" w:fill="auto"/>
            <w:vAlign w:val="center"/>
          </w:tcPr>
          <w:p w14:paraId="7186D2C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配电变压器</w:t>
            </w:r>
          </w:p>
        </w:tc>
        <w:tc>
          <w:tcPr>
            <w:tcW w:w="1620" w:type="dxa"/>
            <w:tcBorders>
              <w:top w:val="nil"/>
              <w:left w:val="nil"/>
              <w:bottom w:val="single" w:color="000000" w:sz="8" w:space="0"/>
              <w:right w:val="single" w:color="000000" w:sz="8" w:space="0"/>
            </w:tcBorders>
            <w:shd w:val="clear" w:color="auto" w:fill="auto"/>
            <w:vAlign w:val="center"/>
          </w:tcPr>
          <w:p w14:paraId="629B6A1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34994BB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《三相配电变压器能效限定值及能效等级》（GB20052）</w:t>
            </w:r>
          </w:p>
        </w:tc>
      </w:tr>
      <w:tr w14:paraId="49B4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14:paraId="06739A7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9</w:t>
            </w:r>
          </w:p>
        </w:tc>
        <w:tc>
          <w:tcPr>
            <w:tcW w:w="1080" w:type="dxa"/>
            <w:tcBorders>
              <w:top w:val="nil"/>
              <w:left w:val="nil"/>
              <w:bottom w:val="single" w:color="000000" w:sz="8" w:space="0"/>
              <w:right w:val="single" w:color="000000" w:sz="8" w:space="0"/>
            </w:tcBorders>
            <w:shd w:val="clear" w:color="auto" w:fill="auto"/>
            <w:vAlign w:val="center"/>
          </w:tcPr>
          <w:p w14:paraId="57ECFB6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★A020609镇流器</w:t>
            </w:r>
          </w:p>
        </w:tc>
        <w:tc>
          <w:tcPr>
            <w:tcW w:w="1320" w:type="dxa"/>
            <w:tcBorders>
              <w:top w:val="nil"/>
              <w:left w:val="nil"/>
              <w:bottom w:val="single" w:color="000000" w:sz="8" w:space="0"/>
              <w:right w:val="single" w:color="000000" w:sz="8" w:space="0"/>
            </w:tcBorders>
            <w:shd w:val="clear" w:color="auto" w:fill="auto"/>
            <w:vAlign w:val="center"/>
          </w:tcPr>
          <w:p w14:paraId="44C900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管型荧光灯镇流器</w:t>
            </w:r>
          </w:p>
        </w:tc>
        <w:tc>
          <w:tcPr>
            <w:tcW w:w="1620" w:type="dxa"/>
            <w:tcBorders>
              <w:top w:val="nil"/>
              <w:left w:val="nil"/>
              <w:bottom w:val="single" w:color="000000" w:sz="8" w:space="0"/>
              <w:right w:val="single" w:color="000000" w:sz="8" w:space="0"/>
            </w:tcBorders>
            <w:shd w:val="clear" w:color="auto" w:fill="auto"/>
            <w:vAlign w:val="center"/>
          </w:tcPr>
          <w:p w14:paraId="461534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07C957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《管形荧光灯镇流器能效限定值及能效等级》（GB17896）</w:t>
            </w:r>
          </w:p>
        </w:tc>
      </w:tr>
      <w:tr w14:paraId="7710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14:paraId="6B31D4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10</w:t>
            </w:r>
          </w:p>
        </w:tc>
        <w:tc>
          <w:tcPr>
            <w:tcW w:w="1080" w:type="dxa"/>
            <w:vMerge w:val="restart"/>
            <w:tcBorders>
              <w:top w:val="nil"/>
              <w:left w:val="nil"/>
              <w:bottom w:val="single" w:color="000000" w:sz="8" w:space="0"/>
              <w:right w:val="single" w:color="000000" w:sz="8" w:space="0"/>
            </w:tcBorders>
            <w:shd w:val="clear" w:color="auto" w:fill="auto"/>
            <w:vAlign w:val="center"/>
          </w:tcPr>
          <w:p w14:paraId="1471C4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A020618生活用电器</w:t>
            </w:r>
          </w:p>
        </w:tc>
        <w:tc>
          <w:tcPr>
            <w:tcW w:w="1320" w:type="dxa"/>
            <w:tcBorders>
              <w:top w:val="nil"/>
              <w:left w:val="nil"/>
              <w:bottom w:val="single" w:color="000000" w:sz="8" w:space="0"/>
              <w:right w:val="single" w:color="000000" w:sz="8" w:space="0"/>
            </w:tcBorders>
            <w:shd w:val="clear" w:color="auto" w:fill="auto"/>
            <w:vAlign w:val="center"/>
          </w:tcPr>
          <w:p w14:paraId="2A53F0F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A0206180101电冰箱</w:t>
            </w:r>
          </w:p>
        </w:tc>
        <w:tc>
          <w:tcPr>
            <w:tcW w:w="1620" w:type="dxa"/>
            <w:tcBorders>
              <w:top w:val="nil"/>
              <w:left w:val="nil"/>
              <w:bottom w:val="single" w:color="000000" w:sz="8" w:space="0"/>
              <w:right w:val="single" w:color="000000" w:sz="8" w:space="0"/>
            </w:tcBorders>
            <w:shd w:val="clear" w:color="auto" w:fill="auto"/>
            <w:vAlign w:val="center"/>
          </w:tcPr>
          <w:p w14:paraId="2F6368D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6354A87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《家用电冰箱耗电量限定值及能效等级》（GB 12021.2）</w:t>
            </w:r>
          </w:p>
        </w:tc>
      </w:tr>
      <w:tr w14:paraId="6CF7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7D64E30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7328FF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restart"/>
            <w:tcBorders>
              <w:top w:val="nil"/>
              <w:left w:val="nil"/>
              <w:bottom w:val="single" w:color="000000" w:sz="8" w:space="0"/>
              <w:right w:val="single" w:color="000000" w:sz="8" w:space="0"/>
            </w:tcBorders>
            <w:shd w:val="clear" w:color="auto" w:fill="auto"/>
            <w:vAlign w:val="center"/>
          </w:tcPr>
          <w:p w14:paraId="5DFC944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★A0206180203空调机</w:t>
            </w:r>
          </w:p>
        </w:tc>
        <w:tc>
          <w:tcPr>
            <w:tcW w:w="1620" w:type="dxa"/>
            <w:tcBorders>
              <w:top w:val="nil"/>
              <w:left w:val="nil"/>
              <w:bottom w:val="single" w:color="000000" w:sz="8" w:space="0"/>
              <w:right w:val="single" w:color="000000" w:sz="8" w:space="0"/>
            </w:tcBorders>
            <w:shd w:val="clear" w:color="auto" w:fill="auto"/>
            <w:vAlign w:val="center"/>
          </w:tcPr>
          <w:p w14:paraId="6DBCC8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房间空气调节器</w:t>
            </w:r>
          </w:p>
        </w:tc>
        <w:tc>
          <w:tcPr>
            <w:tcW w:w="4540" w:type="dxa"/>
            <w:tcBorders>
              <w:top w:val="nil"/>
              <w:left w:val="nil"/>
              <w:bottom w:val="single" w:color="000000" w:sz="8" w:space="0"/>
              <w:right w:val="single" w:color="000000" w:sz="8" w:space="0"/>
            </w:tcBorders>
            <w:shd w:val="clear" w:color="auto" w:fill="auto"/>
            <w:vAlign w:val="center"/>
          </w:tcPr>
          <w:p w14:paraId="0DCB104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《转速可控型房间空气调节器能效限定值及能效等级》（GB21455-2013），待2019年修订发布后，按《房间空气调节器能效限定值及能效等级》（GB21455-2019实施。</w:t>
            </w:r>
          </w:p>
        </w:tc>
      </w:tr>
      <w:tr w14:paraId="5274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39129D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D7899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3A81844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21D88C2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多联式空调（热泵）机组（制冷量≤ 14000W）</w:t>
            </w:r>
          </w:p>
        </w:tc>
        <w:tc>
          <w:tcPr>
            <w:tcW w:w="4540" w:type="dxa"/>
            <w:tcBorders>
              <w:top w:val="nil"/>
              <w:left w:val="nil"/>
              <w:bottom w:val="single" w:color="000000" w:sz="8" w:space="0"/>
              <w:right w:val="single" w:color="000000" w:sz="8" w:space="0"/>
            </w:tcBorders>
            <w:shd w:val="clear" w:color="auto" w:fill="auto"/>
            <w:vAlign w:val="center"/>
          </w:tcPr>
          <w:p w14:paraId="26A9E06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《多联式空调（热泵）机组能效限定值及能源效率等级》（GB21454）</w:t>
            </w:r>
          </w:p>
        </w:tc>
      </w:tr>
      <w:tr w14:paraId="10DE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1932974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9E34AF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7AC37CD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3817ED4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单元式空气调节机(制冷量≤14000W)</w:t>
            </w:r>
          </w:p>
        </w:tc>
        <w:tc>
          <w:tcPr>
            <w:tcW w:w="4540" w:type="dxa"/>
            <w:tcBorders>
              <w:top w:val="nil"/>
              <w:left w:val="nil"/>
              <w:bottom w:val="single" w:color="000000" w:sz="8" w:space="0"/>
              <w:right w:val="single" w:color="000000" w:sz="8" w:space="0"/>
            </w:tcBorders>
            <w:shd w:val="clear" w:color="auto" w:fill="auto"/>
            <w:vAlign w:val="center"/>
          </w:tcPr>
          <w:p w14:paraId="7742248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《单元式空气调节机能效限定值及能源效率等级》（GB19576）《风管送风式空调机组能效限定值及能效等级》（GB37479）</w:t>
            </w:r>
          </w:p>
        </w:tc>
      </w:tr>
      <w:tr w14:paraId="3313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4C1C083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FB3204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000000" w:sz="8" w:space="0"/>
              <w:right w:val="single" w:color="000000" w:sz="8" w:space="0"/>
            </w:tcBorders>
            <w:shd w:val="clear" w:color="auto" w:fill="auto"/>
            <w:vAlign w:val="center"/>
          </w:tcPr>
          <w:p w14:paraId="6518901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A0206180301洗衣机</w:t>
            </w:r>
          </w:p>
        </w:tc>
        <w:tc>
          <w:tcPr>
            <w:tcW w:w="1620" w:type="dxa"/>
            <w:tcBorders>
              <w:top w:val="nil"/>
              <w:left w:val="nil"/>
              <w:bottom w:val="single" w:color="000000" w:sz="8" w:space="0"/>
              <w:right w:val="single" w:color="000000" w:sz="8" w:space="0"/>
            </w:tcBorders>
            <w:shd w:val="clear" w:color="auto" w:fill="auto"/>
            <w:vAlign w:val="center"/>
          </w:tcPr>
          <w:p w14:paraId="6564D2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3B6CC0B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《电动洗衣机能效水效限定值及等级》（GB12021.4）</w:t>
            </w:r>
          </w:p>
        </w:tc>
      </w:tr>
      <w:tr w14:paraId="643D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4F093CA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045AD6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restart"/>
            <w:tcBorders>
              <w:top w:val="nil"/>
              <w:left w:val="nil"/>
              <w:bottom w:val="single" w:color="000000" w:sz="8" w:space="0"/>
              <w:right w:val="single" w:color="000000" w:sz="8" w:space="0"/>
            </w:tcBorders>
            <w:shd w:val="clear" w:color="auto" w:fill="auto"/>
            <w:vAlign w:val="center"/>
          </w:tcPr>
          <w:p w14:paraId="4EFB7DE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A02061808热水器</w:t>
            </w:r>
          </w:p>
        </w:tc>
        <w:tc>
          <w:tcPr>
            <w:tcW w:w="1620" w:type="dxa"/>
            <w:tcBorders>
              <w:top w:val="nil"/>
              <w:left w:val="nil"/>
              <w:bottom w:val="single" w:color="000000" w:sz="8" w:space="0"/>
              <w:right w:val="single" w:color="000000" w:sz="8" w:space="0"/>
            </w:tcBorders>
            <w:shd w:val="clear" w:color="auto" w:fill="auto"/>
            <w:vAlign w:val="center"/>
          </w:tcPr>
          <w:p w14:paraId="3BC8FB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★电热水器</w:t>
            </w:r>
          </w:p>
        </w:tc>
        <w:tc>
          <w:tcPr>
            <w:tcW w:w="4540" w:type="dxa"/>
            <w:tcBorders>
              <w:top w:val="nil"/>
              <w:left w:val="nil"/>
              <w:bottom w:val="single" w:color="000000" w:sz="8" w:space="0"/>
              <w:right w:val="single" w:color="000000" w:sz="8" w:space="0"/>
            </w:tcBorders>
            <w:shd w:val="clear" w:color="auto" w:fill="auto"/>
            <w:vAlign w:val="center"/>
          </w:tcPr>
          <w:p w14:paraId="616A43C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《储水式电热水器能效限定值及能效等级》（GB21519）</w:t>
            </w:r>
          </w:p>
        </w:tc>
      </w:tr>
      <w:tr w14:paraId="7A76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0A0DE7E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BA2CE2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7532796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41B847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燃气热水器</w:t>
            </w:r>
          </w:p>
        </w:tc>
        <w:tc>
          <w:tcPr>
            <w:tcW w:w="4540" w:type="dxa"/>
            <w:tcBorders>
              <w:top w:val="nil"/>
              <w:left w:val="nil"/>
              <w:bottom w:val="single" w:color="000000" w:sz="8" w:space="0"/>
              <w:right w:val="single" w:color="000000" w:sz="8" w:space="0"/>
            </w:tcBorders>
            <w:shd w:val="clear" w:color="auto" w:fill="auto"/>
            <w:vAlign w:val="center"/>
          </w:tcPr>
          <w:p w14:paraId="0C33A99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《家用燃气快速热水器和燃气采暖热水炉能效限定值及能效等级》（GB20665）</w:t>
            </w:r>
          </w:p>
        </w:tc>
      </w:tr>
      <w:tr w14:paraId="4584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31BD4F9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7C1C5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12827A3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559EFF3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热泵热水器</w:t>
            </w:r>
          </w:p>
        </w:tc>
        <w:tc>
          <w:tcPr>
            <w:tcW w:w="4540" w:type="dxa"/>
            <w:tcBorders>
              <w:top w:val="nil"/>
              <w:left w:val="nil"/>
              <w:bottom w:val="single" w:color="000000" w:sz="8" w:space="0"/>
              <w:right w:val="single" w:color="000000" w:sz="8" w:space="0"/>
            </w:tcBorders>
            <w:shd w:val="clear" w:color="auto" w:fill="auto"/>
            <w:vAlign w:val="center"/>
          </w:tcPr>
          <w:p w14:paraId="784EB15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《热泵热水机（器）能效限定值及能效等级》（GB29541）</w:t>
            </w:r>
          </w:p>
        </w:tc>
      </w:tr>
      <w:tr w14:paraId="7615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14:paraId="2FFB1C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91A90E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14:paraId="1E6C54F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3701FBC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太阳能热水系统</w:t>
            </w:r>
          </w:p>
        </w:tc>
        <w:tc>
          <w:tcPr>
            <w:tcW w:w="4540" w:type="dxa"/>
            <w:tcBorders>
              <w:top w:val="nil"/>
              <w:left w:val="nil"/>
              <w:bottom w:val="single" w:color="000000" w:sz="8" w:space="0"/>
              <w:right w:val="single" w:color="000000" w:sz="8" w:space="0"/>
            </w:tcBorders>
            <w:shd w:val="clear" w:color="auto" w:fill="auto"/>
            <w:vAlign w:val="center"/>
          </w:tcPr>
          <w:p w14:paraId="74ACF07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《家用太阳能热水系统能效限定值及能效等级》（GB26969）</w:t>
            </w:r>
          </w:p>
        </w:tc>
      </w:tr>
      <w:tr w14:paraId="3B92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restart"/>
            <w:tcBorders>
              <w:top w:val="nil"/>
              <w:left w:val="single" w:color="auto" w:sz="8" w:space="0"/>
              <w:bottom w:val="single" w:color="auto" w:sz="8" w:space="0"/>
              <w:right w:val="single" w:color="auto" w:sz="8" w:space="0"/>
            </w:tcBorders>
            <w:shd w:val="clear" w:color="auto" w:fill="auto"/>
            <w:vAlign w:val="center"/>
          </w:tcPr>
          <w:p w14:paraId="00C3A26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11</w:t>
            </w:r>
          </w:p>
        </w:tc>
        <w:tc>
          <w:tcPr>
            <w:tcW w:w="1080" w:type="dxa"/>
            <w:vMerge w:val="restart"/>
            <w:tcBorders>
              <w:top w:val="nil"/>
              <w:left w:val="nil"/>
              <w:bottom w:val="single" w:color="auto" w:sz="8" w:space="0"/>
              <w:right w:val="single" w:color="auto" w:sz="8" w:space="0"/>
            </w:tcBorders>
            <w:shd w:val="clear" w:color="auto" w:fill="auto"/>
            <w:vAlign w:val="center"/>
          </w:tcPr>
          <w:p w14:paraId="1E72073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A020619照明设备</w:t>
            </w:r>
          </w:p>
        </w:tc>
        <w:tc>
          <w:tcPr>
            <w:tcW w:w="1320" w:type="dxa"/>
            <w:tcBorders>
              <w:top w:val="nil"/>
              <w:left w:val="nil"/>
              <w:bottom w:val="single" w:color="auto" w:sz="8" w:space="0"/>
              <w:right w:val="single" w:color="auto" w:sz="8" w:space="0"/>
            </w:tcBorders>
            <w:shd w:val="clear" w:color="auto" w:fill="auto"/>
            <w:vAlign w:val="center"/>
          </w:tcPr>
          <w:p w14:paraId="024B278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★普通照明用双端荧光灯</w:t>
            </w:r>
          </w:p>
        </w:tc>
        <w:tc>
          <w:tcPr>
            <w:tcW w:w="1620" w:type="dxa"/>
            <w:tcBorders>
              <w:top w:val="nil"/>
              <w:left w:val="nil"/>
              <w:bottom w:val="single" w:color="auto" w:sz="8" w:space="0"/>
              <w:right w:val="single" w:color="auto" w:sz="8" w:space="0"/>
            </w:tcBorders>
            <w:shd w:val="clear" w:color="auto" w:fill="auto"/>
            <w:vAlign w:val="center"/>
          </w:tcPr>
          <w:p w14:paraId="5E71CB1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14:paraId="3A068FB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《普通照明用双端荧光灯能效限定值及能效等级》（GB19043）</w:t>
            </w:r>
          </w:p>
        </w:tc>
      </w:tr>
      <w:tr w14:paraId="480E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14:paraId="3B13A3C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auto" w:sz="8" w:space="0"/>
              <w:right w:val="single" w:color="auto" w:sz="8" w:space="0"/>
            </w:tcBorders>
            <w:shd w:val="clear" w:color="auto" w:fill="auto"/>
            <w:vAlign w:val="center"/>
          </w:tcPr>
          <w:p w14:paraId="47A60EE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14:paraId="09F506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LED道路/隧道照明产品</w:t>
            </w:r>
          </w:p>
        </w:tc>
        <w:tc>
          <w:tcPr>
            <w:tcW w:w="1620" w:type="dxa"/>
            <w:tcBorders>
              <w:top w:val="nil"/>
              <w:left w:val="nil"/>
              <w:bottom w:val="single" w:color="auto" w:sz="8" w:space="0"/>
              <w:right w:val="single" w:color="auto" w:sz="8" w:space="0"/>
            </w:tcBorders>
            <w:shd w:val="clear" w:color="auto" w:fill="auto"/>
            <w:vAlign w:val="center"/>
          </w:tcPr>
          <w:p w14:paraId="4F3CADA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14:paraId="2DF9CE0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《道路和隧道照明用LED灯具能效限定值及能效等级》（GB37478）</w:t>
            </w:r>
          </w:p>
        </w:tc>
      </w:tr>
      <w:tr w14:paraId="5E52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14:paraId="48BB70C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auto" w:sz="8" w:space="0"/>
              <w:right w:val="single" w:color="auto" w:sz="8" w:space="0"/>
            </w:tcBorders>
            <w:shd w:val="clear" w:color="auto" w:fill="auto"/>
            <w:vAlign w:val="center"/>
          </w:tcPr>
          <w:p w14:paraId="3445AFE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14:paraId="790A33B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LED筒灯</w:t>
            </w:r>
          </w:p>
        </w:tc>
        <w:tc>
          <w:tcPr>
            <w:tcW w:w="1620" w:type="dxa"/>
            <w:tcBorders>
              <w:top w:val="nil"/>
              <w:left w:val="nil"/>
              <w:bottom w:val="single" w:color="auto" w:sz="8" w:space="0"/>
              <w:right w:val="single" w:color="auto" w:sz="8" w:space="0"/>
            </w:tcBorders>
            <w:shd w:val="clear" w:color="auto" w:fill="auto"/>
            <w:vAlign w:val="center"/>
          </w:tcPr>
          <w:p w14:paraId="38846EB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14:paraId="41BC047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《室内照明用LED产品能效限定值及能效等级》（GB30255）</w:t>
            </w:r>
          </w:p>
        </w:tc>
      </w:tr>
      <w:tr w14:paraId="0E65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14:paraId="6A74D86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auto" w:sz="8" w:space="0"/>
              <w:right w:val="single" w:color="auto" w:sz="8" w:space="0"/>
            </w:tcBorders>
            <w:shd w:val="clear" w:color="auto" w:fill="auto"/>
            <w:vAlign w:val="center"/>
          </w:tcPr>
          <w:p w14:paraId="4C6B3EB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14:paraId="6655954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普通照明用非定向自镇流LED灯</w:t>
            </w:r>
          </w:p>
        </w:tc>
        <w:tc>
          <w:tcPr>
            <w:tcW w:w="1620" w:type="dxa"/>
            <w:tcBorders>
              <w:top w:val="nil"/>
              <w:left w:val="nil"/>
              <w:bottom w:val="single" w:color="auto" w:sz="8" w:space="0"/>
              <w:right w:val="single" w:color="auto" w:sz="8" w:space="0"/>
            </w:tcBorders>
            <w:shd w:val="clear" w:color="auto" w:fill="auto"/>
            <w:vAlign w:val="center"/>
          </w:tcPr>
          <w:p w14:paraId="325FD42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14:paraId="3529C31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《室内照明用LED产品能效限定值及能效等级》（GB30255）</w:t>
            </w:r>
          </w:p>
        </w:tc>
      </w:tr>
      <w:tr w14:paraId="7159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660" w:type="dxa"/>
            <w:tcBorders>
              <w:top w:val="nil"/>
              <w:left w:val="single" w:color="auto" w:sz="8" w:space="0"/>
              <w:bottom w:val="single" w:color="auto" w:sz="8" w:space="0"/>
              <w:right w:val="single" w:color="auto" w:sz="8" w:space="0"/>
            </w:tcBorders>
            <w:shd w:val="clear" w:color="auto" w:fill="auto"/>
            <w:vAlign w:val="center"/>
          </w:tcPr>
          <w:p w14:paraId="2CC7C3A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12</w:t>
            </w:r>
          </w:p>
        </w:tc>
        <w:tc>
          <w:tcPr>
            <w:tcW w:w="1080" w:type="dxa"/>
            <w:tcBorders>
              <w:top w:val="nil"/>
              <w:left w:val="nil"/>
              <w:bottom w:val="single" w:color="auto" w:sz="8" w:space="0"/>
              <w:right w:val="single" w:color="auto" w:sz="8" w:space="0"/>
            </w:tcBorders>
            <w:shd w:val="clear" w:color="auto" w:fill="auto"/>
            <w:vAlign w:val="center"/>
          </w:tcPr>
          <w:p w14:paraId="5D86D42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★A020910电视设备</w:t>
            </w:r>
          </w:p>
        </w:tc>
        <w:tc>
          <w:tcPr>
            <w:tcW w:w="1320" w:type="dxa"/>
            <w:tcBorders>
              <w:top w:val="nil"/>
              <w:left w:val="nil"/>
              <w:bottom w:val="single" w:color="auto" w:sz="8" w:space="0"/>
              <w:right w:val="single" w:color="auto" w:sz="8" w:space="0"/>
            </w:tcBorders>
            <w:shd w:val="clear" w:color="auto" w:fill="auto"/>
            <w:vAlign w:val="center"/>
          </w:tcPr>
          <w:p w14:paraId="0E8219F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A02091001普通电视设备（电视机）</w:t>
            </w:r>
          </w:p>
        </w:tc>
        <w:tc>
          <w:tcPr>
            <w:tcW w:w="1620" w:type="dxa"/>
            <w:tcBorders>
              <w:top w:val="nil"/>
              <w:left w:val="nil"/>
              <w:bottom w:val="single" w:color="auto" w:sz="8" w:space="0"/>
              <w:right w:val="single" w:color="auto" w:sz="8" w:space="0"/>
            </w:tcBorders>
            <w:shd w:val="clear" w:color="auto" w:fill="auto"/>
            <w:vAlign w:val="center"/>
          </w:tcPr>
          <w:p w14:paraId="383FD12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14:paraId="522F6E8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《平板电视能效限定值及能效等级》（GB24850）</w:t>
            </w:r>
          </w:p>
        </w:tc>
      </w:tr>
      <w:tr w14:paraId="2F94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5" w:hRule="atLeast"/>
          <w:jc w:val="center"/>
        </w:trPr>
        <w:tc>
          <w:tcPr>
            <w:tcW w:w="660" w:type="dxa"/>
            <w:tcBorders>
              <w:top w:val="nil"/>
              <w:left w:val="single" w:color="auto" w:sz="8" w:space="0"/>
              <w:bottom w:val="single" w:color="auto" w:sz="8" w:space="0"/>
              <w:right w:val="single" w:color="auto" w:sz="8" w:space="0"/>
            </w:tcBorders>
            <w:shd w:val="clear" w:color="auto" w:fill="auto"/>
            <w:vAlign w:val="center"/>
          </w:tcPr>
          <w:p w14:paraId="626506C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13</w:t>
            </w:r>
          </w:p>
        </w:tc>
        <w:tc>
          <w:tcPr>
            <w:tcW w:w="1080" w:type="dxa"/>
            <w:tcBorders>
              <w:top w:val="nil"/>
              <w:left w:val="nil"/>
              <w:bottom w:val="single" w:color="auto" w:sz="8" w:space="0"/>
              <w:right w:val="single" w:color="auto" w:sz="8" w:space="0"/>
            </w:tcBorders>
            <w:shd w:val="clear" w:color="auto" w:fill="auto"/>
            <w:vAlign w:val="center"/>
          </w:tcPr>
          <w:p w14:paraId="1F0079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★A020911视频设备</w:t>
            </w:r>
          </w:p>
        </w:tc>
        <w:tc>
          <w:tcPr>
            <w:tcW w:w="1320" w:type="dxa"/>
            <w:tcBorders>
              <w:top w:val="nil"/>
              <w:left w:val="nil"/>
              <w:bottom w:val="single" w:color="auto" w:sz="8" w:space="0"/>
              <w:right w:val="single" w:color="auto" w:sz="8" w:space="0"/>
            </w:tcBorders>
            <w:shd w:val="clear" w:color="auto" w:fill="auto"/>
            <w:vAlign w:val="center"/>
          </w:tcPr>
          <w:p w14:paraId="0B6E0F7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A02091107视频监控设备</w:t>
            </w:r>
          </w:p>
        </w:tc>
        <w:tc>
          <w:tcPr>
            <w:tcW w:w="1620" w:type="dxa"/>
            <w:tcBorders>
              <w:top w:val="nil"/>
              <w:left w:val="nil"/>
              <w:bottom w:val="single" w:color="auto" w:sz="8" w:space="0"/>
              <w:right w:val="single" w:color="auto" w:sz="8" w:space="0"/>
            </w:tcBorders>
            <w:shd w:val="clear" w:color="auto" w:fill="auto"/>
            <w:vAlign w:val="center"/>
          </w:tcPr>
          <w:p w14:paraId="007F883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监视器</w:t>
            </w:r>
          </w:p>
        </w:tc>
        <w:tc>
          <w:tcPr>
            <w:tcW w:w="4540" w:type="dxa"/>
            <w:tcBorders>
              <w:top w:val="nil"/>
              <w:left w:val="nil"/>
              <w:bottom w:val="single" w:color="auto" w:sz="8" w:space="0"/>
              <w:right w:val="single" w:color="auto" w:sz="8" w:space="0"/>
            </w:tcBorders>
            <w:shd w:val="clear" w:color="auto" w:fill="auto"/>
            <w:vAlign w:val="center"/>
          </w:tcPr>
          <w:p w14:paraId="22AFF2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以射频信号为主要信号输入的监视器应符合《平板电视能效限定值及能效等级》（GB24850），以数字信号为主要信号输入的监视器应符合《计算机显示器能效限定值及能效等级》（GB21520）</w:t>
            </w:r>
          </w:p>
        </w:tc>
      </w:tr>
      <w:tr w14:paraId="3F00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auto" w:sz="8" w:space="0"/>
              <w:bottom w:val="single" w:color="auto" w:sz="8" w:space="0"/>
              <w:right w:val="single" w:color="auto" w:sz="8" w:space="0"/>
            </w:tcBorders>
            <w:shd w:val="clear" w:color="auto" w:fill="auto"/>
            <w:vAlign w:val="center"/>
          </w:tcPr>
          <w:p w14:paraId="405D429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14</w:t>
            </w:r>
          </w:p>
        </w:tc>
        <w:tc>
          <w:tcPr>
            <w:tcW w:w="1080" w:type="dxa"/>
            <w:tcBorders>
              <w:top w:val="nil"/>
              <w:left w:val="nil"/>
              <w:bottom w:val="single" w:color="auto" w:sz="8" w:space="0"/>
              <w:right w:val="single" w:color="auto" w:sz="8" w:space="0"/>
            </w:tcBorders>
            <w:shd w:val="clear" w:color="auto" w:fill="auto"/>
            <w:vAlign w:val="center"/>
          </w:tcPr>
          <w:p w14:paraId="142E638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A031210饮食炊事机械</w:t>
            </w:r>
          </w:p>
        </w:tc>
        <w:tc>
          <w:tcPr>
            <w:tcW w:w="1320" w:type="dxa"/>
            <w:tcBorders>
              <w:top w:val="nil"/>
              <w:left w:val="nil"/>
              <w:bottom w:val="single" w:color="auto" w:sz="8" w:space="0"/>
              <w:right w:val="single" w:color="auto" w:sz="8" w:space="0"/>
            </w:tcBorders>
            <w:shd w:val="clear" w:color="auto" w:fill="auto"/>
            <w:vAlign w:val="center"/>
          </w:tcPr>
          <w:p w14:paraId="07A2FA2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商用燃气灶具</w:t>
            </w:r>
          </w:p>
        </w:tc>
        <w:tc>
          <w:tcPr>
            <w:tcW w:w="1620" w:type="dxa"/>
            <w:tcBorders>
              <w:top w:val="nil"/>
              <w:left w:val="nil"/>
              <w:bottom w:val="single" w:color="auto" w:sz="8" w:space="0"/>
              <w:right w:val="single" w:color="auto" w:sz="8" w:space="0"/>
            </w:tcBorders>
            <w:shd w:val="clear" w:color="auto" w:fill="auto"/>
            <w:vAlign w:val="center"/>
          </w:tcPr>
          <w:p w14:paraId="7CFAB49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14:paraId="6E91E61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《商用燃气灶具能效限定值及能效等级》（GB30531）</w:t>
            </w:r>
          </w:p>
        </w:tc>
      </w:tr>
      <w:tr w14:paraId="2C08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660" w:type="dxa"/>
            <w:vMerge w:val="restart"/>
            <w:tcBorders>
              <w:top w:val="nil"/>
              <w:left w:val="single" w:color="auto" w:sz="8" w:space="0"/>
              <w:bottom w:val="single" w:color="auto" w:sz="8" w:space="0"/>
              <w:right w:val="single" w:color="auto" w:sz="8" w:space="0"/>
            </w:tcBorders>
            <w:shd w:val="clear" w:color="auto" w:fill="auto"/>
            <w:vAlign w:val="center"/>
          </w:tcPr>
          <w:p w14:paraId="06C6D9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15</w:t>
            </w:r>
          </w:p>
        </w:tc>
        <w:tc>
          <w:tcPr>
            <w:tcW w:w="1080" w:type="dxa"/>
            <w:vMerge w:val="restart"/>
            <w:tcBorders>
              <w:top w:val="nil"/>
              <w:left w:val="nil"/>
              <w:bottom w:val="single" w:color="000000" w:sz="8" w:space="0"/>
              <w:right w:val="single" w:color="auto" w:sz="8" w:space="0"/>
            </w:tcBorders>
            <w:shd w:val="clear" w:color="auto" w:fill="auto"/>
            <w:vAlign w:val="center"/>
          </w:tcPr>
          <w:p w14:paraId="4D30FF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★A060805便器</w:t>
            </w:r>
          </w:p>
        </w:tc>
        <w:tc>
          <w:tcPr>
            <w:tcW w:w="1320" w:type="dxa"/>
            <w:tcBorders>
              <w:top w:val="nil"/>
              <w:left w:val="nil"/>
              <w:bottom w:val="single" w:color="auto" w:sz="8" w:space="0"/>
              <w:right w:val="single" w:color="auto" w:sz="8" w:space="0"/>
            </w:tcBorders>
            <w:shd w:val="clear" w:color="auto" w:fill="auto"/>
            <w:vAlign w:val="center"/>
          </w:tcPr>
          <w:p w14:paraId="5A94BE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坐便器</w:t>
            </w:r>
          </w:p>
        </w:tc>
        <w:tc>
          <w:tcPr>
            <w:tcW w:w="1620" w:type="dxa"/>
            <w:tcBorders>
              <w:top w:val="nil"/>
              <w:left w:val="nil"/>
              <w:bottom w:val="single" w:color="auto" w:sz="8" w:space="0"/>
              <w:right w:val="single" w:color="auto" w:sz="8" w:space="0"/>
            </w:tcBorders>
            <w:shd w:val="clear" w:color="auto" w:fill="auto"/>
            <w:vAlign w:val="center"/>
          </w:tcPr>
          <w:p w14:paraId="32CBFA6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14:paraId="433C70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《坐便器水效限定值及水效等级》（GB25502）</w:t>
            </w:r>
          </w:p>
        </w:tc>
      </w:tr>
      <w:tr w14:paraId="29BB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14:paraId="05C8EEC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auto" w:sz="8" w:space="0"/>
            </w:tcBorders>
            <w:shd w:val="clear" w:color="auto" w:fill="auto"/>
            <w:vAlign w:val="center"/>
          </w:tcPr>
          <w:p w14:paraId="652FD0B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14:paraId="704CA55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蹲便器</w:t>
            </w:r>
          </w:p>
        </w:tc>
        <w:tc>
          <w:tcPr>
            <w:tcW w:w="1620" w:type="dxa"/>
            <w:tcBorders>
              <w:top w:val="nil"/>
              <w:left w:val="nil"/>
              <w:bottom w:val="single" w:color="auto" w:sz="8" w:space="0"/>
              <w:right w:val="single" w:color="auto" w:sz="8" w:space="0"/>
            </w:tcBorders>
            <w:shd w:val="clear" w:color="auto" w:fill="auto"/>
            <w:vAlign w:val="center"/>
          </w:tcPr>
          <w:p w14:paraId="635925C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14:paraId="3E6EE79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《蹲便器用水效率限定值及用水效率等级》（GB30717）</w:t>
            </w:r>
          </w:p>
        </w:tc>
      </w:tr>
      <w:tr w14:paraId="0D0D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vMerge w:val="continue"/>
            <w:tcBorders>
              <w:top w:val="nil"/>
              <w:left w:val="single" w:color="auto" w:sz="8" w:space="0"/>
              <w:bottom w:val="single" w:color="auto" w:sz="8" w:space="0"/>
              <w:right w:val="single" w:color="auto" w:sz="8" w:space="0"/>
            </w:tcBorders>
            <w:shd w:val="clear" w:color="auto" w:fill="auto"/>
            <w:vAlign w:val="center"/>
          </w:tcPr>
          <w:p w14:paraId="5159026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80" w:type="dxa"/>
            <w:vMerge w:val="continue"/>
            <w:tcBorders>
              <w:top w:val="nil"/>
              <w:left w:val="nil"/>
              <w:bottom w:val="single" w:color="000000" w:sz="8" w:space="0"/>
              <w:right w:val="single" w:color="auto" w:sz="8" w:space="0"/>
            </w:tcBorders>
            <w:shd w:val="clear" w:color="auto" w:fill="auto"/>
            <w:vAlign w:val="center"/>
          </w:tcPr>
          <w:p w14:paraId="167DF9B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320" w:type="dxa"/>
            <w:tcBorders>
              <w:top w:val="nil"/>
              <w:left w:val="nil"/>
              <w:bottom w:val="single" w:color="auto" w:sz="8" w:space="0"/>
              <w:right w:val="single" w:color="auto" w:sz="8" w:space="0"/>
            </w:tcBorders>
            <w:shd w:val="clear" w:color="auto" w:fill="auto"/>
            <w:vAlign w:val="center"/>
          </w:tcPr>
          <w:p w14:paraId="5676777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小便器</w:t>
            </w:r>
          </w:p>
        </w:tc>
        <w:tc>
          <w:tcPr>
            <w:tcW w:w="1620" w:type="dxa"/>
            <w:tcBorders>
              <w:top w:val="nil"/>
              <w:left w:val="nil"/>
              <w:bottom w:val="single" w:color="auto" w:sz="8" w:space="0"/>
              <w:right w:val="single" w:color="auto" w:sz="8" w:space="0"/>
            </w:tcBorders>
            <w:shd w:val="clear" w:color="auto" w:fill="auto"/>
            <w:vAlign w:val="center"/>
          </w:tcPr>
          <w:p w14:paraId="536E64D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auto" w:sz="8" w:space="0"/>
              <w:right w:val="single" w:color="auto" w:sz="8" w:space="0"/>
            </w:tcBorders>
            <w:shd w:val="clear" w:color="auto" w:fill="auto"/>
            <w:vAlign w:val="center"/>
          </w:tcPr>
          <w:p w14:paraId="743A2D3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《小便器用水效率限定值及用水效率等级》（GB28377）</w:t>
            </w:r>
          </w:p>
        </w:tc>
      </w:tr>
      <w:tr w14:paraId="4239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14:paraId="47E3A35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16</w:t>
            </w:r>
          </w:p>
        </w:tc>
        <w:tc>
          <w:tcPr>
            <w:tcW w:w="1080" w:type="dxa"/>
            <w:tcBorders>
              <w:top w:val="nil"/>
              <w:left w:val="nil"/>
              <w:bottom w:val="single" w:color="000000" w:sz="8" w:space="0"/>
              <w:right w:val="single" w:color="000000" w:sz="8" w:space="0"/>
            </w:tcBorders>
            <w:shd w:val="clear" w:color="auto" w:fill="auto"/>
            <w:vAlign w:val="center"/>
          </w:tcPr>
          <w:p w14:paraId="109C45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★A060806水嘴</w:t>
            </w:r>
          </w:p>
        </w:tc>
        <w:tc>
          <w:tcPr>
            <w:tcW w:w="1320" w:type="dxa"/>
            <w:tcBorders>
              <w:top w:val="nil"/>
              <w:left w:val="nil"/>
              <w:bottom w:val="single" w:color="000000" w:sz="8" w:space="0"/>
              <w:right w:val="single" w:color="000000" w:sz="8" w:space="0"/>
            </w:tcBorders>
            <w:shd w:val="clear" w:color="auto" w:fill="auto"/>
            <w:vAlign w:val="center"/>
          </w:tcPr>
          <w:p w14:paraId="08990D6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3929425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3F992FE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《水嘴用水效率限定值及用水效率等级》（GB 25501）</w:t>
            </w:r>
          </w:p>
        </w:tc>
      </w:tr>
      <w:tr w14:paraId="127A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14:paraId="078A5E9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17</w:t>
            </w:r>
          </w:p>
        </w:tc>
        <w:tc>
          <w:tcPr>
            <w:tcW w:w="1080" w:type="dxa"/>
            <w:tcBorders>
              <w:top w:val="nil"/>
              <w:left w:val="nil"/>
              <w:bottom w:val="single" w:color="000000" w:sz="8" w:space="0"/>
              <w:right w:val="single" w:color="000000" w:sz="8" w:space="0"/>
            </w:tcBorders>
            <w:shd w:val="clear" w:color="auto" w:fill="auto"/>
            <w:vAlign w:val="center"/>
          </w:tcPr>
          <w:p w14:paraId="4229EA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A060807便器冲洗阀</w:t>
            </w:r>
          </w:p>
        </w:tc>
        <w:tc>
          <w:tcPr>
            <w:tcW w:w="1320" w:type="dxa"/>
            <w:tcBorders>
              <w:top w:val="nil"/>
              <w:left w:val="nil"/>
              <w:bottom w:val="single" w:color="000000" w:sz="8" w:space="0"/>
              <w:right w:val="single" w:color="000000" w:sz="8" w:space="0"/>
            </w:tcBorders>
            <w:shd w:val="clear" w:color="auto" w:fill="auto"/>
            <w:vAlign w:val="center"/>
          </w:tcPr>
          <w:p w14:paraId="004DC74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269B6A8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38659FF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《便器冲洗阀用水效率限定值及用水效率等级》（GB28379）</w:t>
            </w:r>
          </w:p>
        </w:tc>
      </w:tr>
      <w:tr w14:paraId="1868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660" w:type="dxa"/>
            <w:tcBorders>
              <w:top w:val="nil"/>
              <w:left w:val="single" w:color="000000" w:sz="8" w:space="0"/>
              <w:bottom w:val="single" w:color="000000" w:sz="8" w:space="0"/>
              <w:right w:val="single" w:color="000000" w:sz="8" w:space="0"/>
            </w:tcBorders>
            <w:shd w:val="clear" w:color="auto" w:fill="auto"/>
            <w:vAlign w:val="center"/>
          </w:tcPr>
          <w:p w14:paraId="02861DC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18</w:t>
            </w:r>
          </w:p>
        </w:tc>
        <w:tc>
          <w:tcPr>
            <w:tcW w:w="1080" w:type="dxa"/>
            <w:tcBorders>
              <w:top w:val="nil"/>
              <w:left w:val="nil"/>
              <w:bottom w:val="single" w:color="000000" w:sz="8" w:space="0"/>
              <w:right w:val="single" w:color="000000" w:sz="8" w:space="0"/>
            </w:tcBorders>
            <w:shd w:val="clear" w:color="auto" w:fill="auto"/>
            <w:vAlign w:val="center"/>
          </w:tcPr>
          <w:p w14:paraId="642A90F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A060810淋浴器</w:t>
            </w:r>
          </w:p>
        </w:tc>
        <w:tc>
          <w:tcPr>
            <w:tcW w:w="1320" w:type="dxa"/>
            <w:tcBorders>
              <w:top w:val="nil"/>
              <w:left w:val="nil"/>
              <w:bottom w:val="single" w:color="000000" w:sz="8" w:space="0"/>
              <w:right w:val="single" w:color="000000" w:sz="8" w:space="0"/>
            </w:tcBorders>
            <w:shd w:val="clear" w:color="auto" w:fill="auto"/>
            <w:vAlign w:val="center"/>
          </w:tcPr>
          <w:p w14:paraId="75508D8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620" w:type="dxa"/>
            <w:tcBorders>
              <w:top w:val="nil"/>
              <w:left w:val="nil"/>
              <w:bottom w:val="single" w:color="000000" w:sz="8" w:space="0"/>
              <w:right w:val="single" w:color="000000" w:sz="8" w:space="0"/>
            </w:tcBorders>
            <w:shd w:val="clear" w:color="auto" w:fill="auto"/>
            <w:vAlign w:val="center"/>
          </w:tcPr>
          <w:p w14:paraId="53049FE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4540" w:type="dxa"/>
            <w:tcBorders>
              <w:top w:val="nil"/>
              <w:left w:val="nil"/>
              <w:bottom w:val="single" w:color="000000" w:sz="8" w:space="0"/>
              <w:right w:val="single" w:color="000000" w:sz="8" w:space="0"/>
            </w:tcBorders>
            <w:shd w:val="clear" w:color="auto" w:fill="auto"/>
            <w:vAlign w:val="center"/>
          </w:tcPr>
          <w:p w14:paraId="492D040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《淋浴器用水效率限定值及用水效率等级》（GB28378）</w:t>
            </w:r>
          </w:p>
        </w:tc>
      </w:tr>
    </w:tbl>
    <w:p w14:paraId="124B50D1">
      <w:pPr>
        <w:keepNext w:val="0"/>
        <w:keepLines w:val="0"/>
        <w:widowControl w:val="0"/>
        <w:suppressLineNumbers w:val="0"/>
        <w:spacing w:before="0" w:beforeAutospacing="0" w:after="120" w:afterAutospacing="0" w:line="36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spacing w:val="-3"/>
          <w:kern w:val="2"/>
          <w:sz w:val="21"/>
          <w:szCs w:val="21"/>
          <w:highlight w:val="none"/>
          <w:lang w:val="en-US" w:eastAsia="zh-CN" w:bidi="ar"/>
        </w:rPr>
        <w:t>注：</w:t>
      </w:r>
      <w:r>
        <w:rPr>
          <w:rFonts w:hint="default" w:ascii="Times New Roman" w:hAnsi="Times New Roman" w:eastAsia="宋体" w:cs="Times New Roman"/>
          <w:color w:val="auto"/>
          <w:spacing w:val="-3"/>
          <w:kern w:val="2"/>
          <w:sz w:val="21"/>
          <w:szCs w:val="21"/>
          <w:highlight w:val="none"/>
          <w:lang w:val="en-US" w:eastAsia="zh-CN" w:bidi="ar"/>
        </w:rPr>
        <w:t>1.</w:t>
      </w:r>
      <w:r>
        <w:rPr>
          <w:rFonts w:hint="eastAsia" w:ascii="宋体" w:hAnsi="宋体" w:eastAsia="宋体" w:cs="宋体"/>
          <w:color w:val="auto"/>
          <w:spacing w:val="-3"/>
          <w:kern w:val="2"/>
          <w:sz w:val="21"/>
          <w:szCs w:val="21"/>
          <w:highlight w:val="none"/>
          <w:lang w:val="en-US" w:eastAsia="zh-CN" w:bidi="ar"/>
        </w:rPr>
        <w:t>节能产品认证应依据相关国家标准的最新版本，依据国家标准中二级能效（水效）</w:t>
      </w:r>
      <w:r>
        <w:rPr>
          <w:rFonts w:hint="eastAsia" w:ascii="宋体" w:hAnsi="宋体" w:eastAsia="宋体" w:cs="宋体"/>
          <w:color w:val="auto"/>
          <w:kern w:val="2"/>
          <w:sz w:val="21"/>
          <w:szCs w:val="21"/>
          <w:highlight w:val="none"/>
          <w:lang w:val="en-US" w:eastAsia="zh-CN" w:bidi="ar"/>
        </w:rPr>
        <w:t>指标。</w:t>
      </w:r>
    </w:p>
    <w:p w14:paraId="0DA7F804">
      <w:pPr>
        <w:keepNext w:val="0"/>
        <w:keepLines w:val="0"/>
        <w:widowControl w:val="0"/>
        <w:suppressLineNumbers w:val="0"/>
        <w:spacing w:before="0" w:beforeAutospacing="0" w:after="120" w:afterAutospacing="0" w:line="360" w:lineRule="auto"/>
        <w:ind w:left="0" w:right="0"/>
        <w:jc w:val="both"/>
        <w:rPr>
          <w:rFonts w:hint="default" w:ascii="Times New Roman" w:hAnsi="Times New Roman" w:eastAsia="宋体" w:cs="Times New Roman"/>
          <w:b/>
          <w:bCs/>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2</w:t>
      </w:r>
      <w:r>
        <w:rPr>
          <w:rFonts w:hint="default" w:ascii="Times New Roman" w:hAnsi="Times New Roman" w:eastAsia="宋体" w:cs="Times New Roman"/>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以</w:t>
      </w:r>
      <w:r>
        <w:rPr>
          <w:rFonts w:hint="default" w:ascii="Times New Roman" w:hAnsi="Times New Roman" w:eastAsia="宋体" w:cs="Times New Roman"/>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w:t>
      </w:r>
      <w:r>
        <w:rPr>
          <w:rFonts w:hint="default" w:ascii="Times New Roman" w:hAnsi="Times New Roman" w:eastAsia="宋体" w:cs="Times New Roman"/>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标注的为政府强制采购产品。</w:t>
      </w:r>
    </w:p>
    <w:p w14:paraId="135D51B0">
      <w:pPr>
        <w:jc w:val="left"/>
        <w:rPr>
          <w:rFonts w:ascii="Arial Unicode MS" w:hAnsi="Arial Unicode MS" w:eastAsia="Arial Unicode MS" w:cs="Arial Unicode MS"/>
          <w:color w:val="auto"/>
          <w:sz w:val="32"/>
          <w:szCs w:val="32"/>
          <w:highlight w:val="none"/>
        </w:rPr>
      </w:pPr>
      <w:r>
        <w:rPr>
          <w:rFonts w:hint="eastAsia" w:ascii="宋体" w:hAnsi="宋体" w:eastAsia="宋体" w:cs="Times New Roman"/>
          <w:color w:val="auto"/>
          <w:kern w:val="2"/>
          <w:sz w:val="21"/>
          <w:szCs w:val="21"/>
          <w:highlight w:val="none"/>
        </w:rPr>
        <w:br w:type="page"/>
      </w:r>
      <w:r>
        <w:rPr>
          <w:rFonts w:hint="eastAsia" w:ascii="宋体" w:hAnsi="宋体" w:eastAsia="宋体" w:cs="宋体"/>
          <w:color w:val="auto"/>
          <w:sz w:val="32"/>
          <w:szCs w:val="32"/>
          <w:highlight w:val="none"/>
        </w:rPr>
        <w:t>附件</w:t>
      </w:r>
      <w:r>
        <w:rPr>
          <w:rFonts w:hint="eastAsia" w:ascii="Arial Unicode MS" w:hAnsi="Arial Unicode MS" w:eastAsia="Arial Unicode MS" w:cs="Arial Unicode MS"/>
          <w:color w:val="auto"/>
          <w:sz w:val="32"/>
          <w:szCs w:val="32"/>
          <w:highlight w:val="none"/>
        </w:rPr>
        <w:t>2</w:t>
      </w:r>
      <w:r>
        <w:rPr>
          <w:rFonts w:hint="eastAsia" w:ascii="宋体" w:hAnsi="宋体" w:eastAsia="宋体" w:cs="宋体"/>
          <w:color w:val="auto"/>
          <w:sz w:val="32"/>
          <w:szCs w:val="32"/>
          <w:highlight w:val="none"/>
        </w:rPr>
        <w:t>：</w:t>
      </w:r>
    </w:p>
    <w:p w14:paraId="342DE1BE">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3"/>
        <w:tblW w:w="0" w:type="auto"/>
        <w:jc w:val="center"/>
        <w:tblLayout w:type="fixed"/>
        <w:tblCellMar>
          <w:top w:w="0" w:type="dxa"/>
          <w:left w:w="108" w:type="dxa"/>
          <w:bottom w:w="0" w:type="dxa"/>
          <w:right w:w="108" w:type="dxa"/>
        </w:tblCellMar>
      </w:tblPr>
      <w:tblGrid>
        <w:gridCol w:w="1701"/>
        <w:gridCol w:w="1384"/>
        <w:gridCol w:w="913"/>
        <w:gridCol w:w="1620"/>
        <w:gridCol w:w="1440"/>
        <w:gridCol w:w="1164"/>
      </w:tblGrid>
      <w:tr w14:paraId="5B83A3B6">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2B6C2E1E">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11D8C46">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44BA1606">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1C9B134E">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41BA047B">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小型</w:t>
            </w:r>
          </w:p>
        </w:tc>
        <w:tc>
          <w:tcPr>
            <w:tcW w:w="1164" w:type="dxa"/>
            <w:tcBorders>
              <w:top w:val="single" w:color="auto" w:sz="4" w:space="0"/>
              <w:left w:val="nil"/>
              <w:bottom w:val="single" w:color="auto" w:sz="4" w:space="0"/>
              <w:right w:val="single" w:color="auto" w:sz="4" w:space="0"/>
            </w:tcBorders>
            <w:vAlign w:val="center"/>
          </w:tcPr>
          <w:p w14:paraId="27F86F4E">
            <w:pPr>
              <w:keepNext w:val="0"/>
              <w:keepLines w:val="0"/>
              <w:widowControl/>
              <w:suppressLineNumbers w:val="0"/>
              <w:spacing w:before="0" w:beforeAutospacing="0" w:after="0" w:afterAutospacing="0"/>
              <w:ind w:left="0" w:right="0"/>
              <w:jc w:val="center"/>
              <w:rPr>
                <w:rFonts w:hint="default" w:ascii="仿宋_GB2312" w:hAnsi="仿宋" w:eastAsia="仿宋_GB2312" w:cs="宋体"/>
                <w:b/>
                <w:color w:val="auto"/>
                <w:kern w:val="0"/>
                <w:sz w:val="24"/>
                <w:szCs w:val="24"/>
                <w:highlight w:val="none"/>
              </w:rPr>
            </w:pPr>
            <w:r>
              <w:rPr>
                <w:rFonts w:hint="eastAsia" w:ascii="仿宋_GB2312" w:hAnsi="仿宋" w:eastAsia="仿宋_GB2312" w:cs="宋体"/>
                <w:b/>
                <w:color w:val="auto"/>
                <w:kern w:val="0"/>
                <w:sz w:val="24"/>
                <w:szCs w:val="24"/>
                <w:highlight w:val="none"/>
              </w:rPr>
              <w:t>微型</w:t>
            </w:r>
          </w:p>
        </w:tc>
      </w:tr>
      <w:tr w14:paraId="6D4DC95E">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00359C1C">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507CEBB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586C71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A5CD4B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4CE4A72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64" w:type="dxa"/>
            <w:tcBorders>
              <w:top w:val="nil"/>
              <w:left w:val="nil"/>
              <w:bottom w:val="single" w:color="auto" w:sz="4" w:space="0"/>
              <w:right w:val="single" w:color="auto" w:sz="4" w:space="0"/>
            </w:tcBorders>
            <w:vAlign w:val="center"/>
          </w:tcPr>
          <w:p w14:paraId="3223954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0F8D40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AB29482">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4DB8EC5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2F2984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A2DB07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48B2C8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64" w:type="dxa"/>
            <w:tcBorders>
              <w:top w:val="nil"/>
              <w:left w:val="nil"/>
              <w:bottom w:val="single" w:color="auto" w:sz="4" w:space="0"/>
              <w:right w:val="single" w:color="auto" w:sz="4" w:space="0"/>
            </w:tcBorders>
            <w:vAlign w:val="center"/>
          </w:tcPr>
          <w:p w14:paraId="7E0579E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E65CEC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C21856B">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CEAD68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6F60E4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AE49AF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019D890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64" w:type="dxa"/>
            <w:tcBorders>
              <w:top w:val="nil"/>
              <w:left w:val="nil"/>
              <w:bottom w:val="single" w:color="auto" w:sz="4" w:space="0"/>
              <w:right w:val="single" w:color="auto" w:sz="4" w:space="0"/>
            </w:tcBorders>
            <w:vAlign w:val="center"/>
          </w:tcPr>
          <w:p w14:paraId="445AAB4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7C69ADA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D0DEAC3">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4A5CD12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F08311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3643BD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42B929C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64" w:type="dxa"/>
            <w:tcBorders>
              <w:top w:val="nil"/>
              <w:left w:val="nil"/>
              <w:bottom w:val="single" w:color="auto" w:sz="4" w:space="0"/>
              <w:right w:val="single" w:color="auto" w:sz="4" w:space="0"/>
            </w:tcBorders>
            <w:vAlign w:val="center"/>
          </w:tcPr>
          <w:p w14:paraId="6113484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EAF191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F281654">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D30E9D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D27F3C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AAD6B6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444516A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64" w:type="dxa"/>
            <w:tcBorders>
              <w:top w:val="nil"/>
              <w:left w:val="nil"/>
              <w:bottom w:val="single" w:color="auto" w:sz="4" w:space="0"/>
              <w:right w:val="single" w:color="auto" w:sz="4" w:space="0"/>
            </w:tcBorders>
            <w:vAlign w:val="center"/>
          </w:tcPr>
          <w:p w14:paraId="4AF7D20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6384EA2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91CAEA7">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2D67AFC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377B4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B7BCA5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5CD454B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64" w:type="dxa"/>
            <w:tcBorders>
              <w:top w:val="nil"/>
              <w:left w:val="nil"/>
              <w:bottom w:val="single" w:color="auto" w:sz="4" w:space="0"/>
              <w:right w:val="single" w:color="auto" w:sz="4" w:space="0"/>
            </w:tcBorders>
            <w:vAlign w:val="center"/>
          </w:tcPr>
          <w:p w14:paraId="408F02E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1F37CF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31D8EC0">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F18100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9F1CB0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EEC1B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15190EF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64" w:type="dxa"/>
            <w:tcBorders>
              <w:top w:val="nil"/>
              <w:left w:val="nil"/>
              <w:bottom w:val="single" w:color="auto" w:sz="4" w:space="0"/>
              <w:right w:val="single" w:color="auto" w:sz="4" w:space="0"/>
            </w:tcBorders>
            <w:vAlign w:val="center"/>
          </w:tcPr>
          <w:p w14:paraId="2AA81AA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250EA15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77F10C1">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50F3D25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ADACB7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0E90A4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6FCF8CB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64" w:type="dxa"/>
            <w:tcBorders>
              <w:top w:val="nil"/>
              <w:left w:val="nil"/>
              <w:bottom w:val="single" w:color="auto" w:sz="4" w:space="0"/>
              <w:right w:val="single" w:color="auto" w:sz="4" w:space="0"/>
            </w:tcBorders>
            <w:vAlign w:val="center"/>
          </w:tcPr>
          <w:p w14:paraId="309A2BB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70C7FC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674A847">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1C670B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1170A4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A74E0A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0F7F892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64" w:type="dxa"/>
            <w:tcBorders>
              <w:top w:val="nil"/>
              <w:left w:val="nil"/>
              <w:bottom w:val="single" w:color="auto" w:sz="4" w:space="0"/>
              <w:right w:val="single" w:color="auto" w:sz="4" w:space="0"/>
            </w:tcBorders>
            <w:vAlign w:val="center"/>
          </w:tcPr>
          <w:p w14:paraId="5C47F53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92542F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1EA2697">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272C3EF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03AA5C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072B93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1AA794A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64" w:type="dxa"/>
            <w:tcBorders>
              <w:top w:val="nil"/>
              <w:left w:val="nil"/>
              <w:bottom w:val="single" w:color="auto" w:sz="4" w:space="0"/>
              <w:right w:val="single" w:color="auto" w:sz="4" w:space="0"/>
            </w:tcBorders>
            <w:vAlign w:val="center"/>
          </w:tcPr>
          <w:p w14:paraId="6C64060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D70330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4027FDD">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5830E7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09092C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C82AEE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0A0CFC1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64" w:type="dxa"/>
            <w:tcBorders>
              <w:top w:val="nil"/>
              <w:left w:val="nil"/>
              <w:bottom w:val="single" w:color="auto" w:sz="4" w:space="0"/>
              <w:right w:val="single" w:color="auto" w:sz="4" w:space="0"/>
            </w:tcBorders>
            <w:vAlign w:val="center"/>
          </w:tcPr>
          <w:p w14:paraId="7E1CDFC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73DAC8A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54FF208">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7757E9D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2963FE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1DAFBA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119B14E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64" w:type="dxa"/>
            <w:tcBorders>
              <w:top w:val="nil"/>
              <w:left w:val="nil"/>
              <w:bottom w:val="single" w:color="auto" w:sz="4" w:space="0"/>
              <w:right w:val="single" w:color="auto" w:sz="4" w:space="0"/>
            </w:tcBorders>
            <w:vAlign w:val="center"/>
          </w:tcPr>
          <w:p w14:paraId="399941F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059961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92DB077">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4BC97A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715DE0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7BBA4B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537F76C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64" w:type="dxa"/>
            <w:tcBorders>
              <w:top w:val="nil"/>
              <w:left w:val="nil"/>
              <w:bottom w:val="single" w:color="auto" w:sz="4" w:space="0"/>
              <w:right w:val="single" w:color="auto" w:sz="4" w:space="0"/>
            </w:tcBorders>
            <w:vAlign w:val="center"/>
          </w:tcPr>
          <w:p w14:paraId="2355BDA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FB39C5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1918A8F">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056A6E0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6BB710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3AAB63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733F57A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64" w:type="dxa"/>
            <w:tcBorders>
              <w:top w:val="nil"/>
              <w:left w:val="nil"/>
              <w:bottom w:val="single" w:color="auto" w:sz="4" w:space="0"/>
              <w:right w:val="single" w:color="auto" w:sz="4" w:space="0"/>
            </w:tcBorders>
            <w:vAlign w:val="center"/>
          </w:tcPr>
          <w:p w14:paraId="6B7FBC9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946393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1CE4D45">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33CE7B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E84DC4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61D8B5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136A4CB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64" w:type="dxa"/>
            <w:tcBorders>
              <w:top w:val="nil"/>
              <w:left w:val="nil"/>
              <w:bottom w:val="single" w:color="auto" w:sz="4" w:space="0"/>
              <w:right w:val="single" w:color="auto" w:sz="4" w:space="0"/>
            </w:tcBorders>
            <w:vAlign w:val="center"/>
          </w:tcPr>
          <w:p w14:paraId="31A9359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A7A872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14B4DA">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1E5DBB6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954E39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3C9063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94F958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14:paraId="56BA906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B7B789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B4545B4">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5D5C11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A1BDCB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4BAF06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2E03EB0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64" w:type="dxa"/>
            <w:tcBorders>
              <w:top w:val="nil"/>
              <w:left w:val="nil"/>
              <w:bottom w:val="single" w:color="auto" w:sz="4" w:space="0"/>
              <w:right w:val="single" w:color="auto" w:sz="4" w:space="0"/>
            </w:tcBorders>
            <w:vAlign w:val="center"/>
          </w:tcPr>
          <w:p w14:paraId="4EA8A76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12FE52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508FBDB">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3EDDFC0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10FB8E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014068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24C02C2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14:paraId="131B099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34BA5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AD12DEB">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24E6EC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90E9B3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6B30B0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7E61C64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64" w:type="dxa"/>
            <w:tcBorders>
              <w:top w:val="nil"/>
              <w:left w:val="nil"/>
              <w:bottom w:val="single" w:color="auto" w:sz="4" w:space="0"/>
              <w:right w:val="single" w:color="auto" w:sz="4" w:space="0"/>
            </w:tcBorders>
            <w:vAlign w:val="center"/>
          </w:tcPr>
          <w:p w14:paraId="0E40EBB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475531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6441182">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38BFAD4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5729EF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CD60E5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47D427A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14:paraId="557F66D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D1440A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1E50721">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8493FD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642071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E2C86E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283A6AC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64" w:type="dxa"/>
            <w:tcBorders>
              <w:top w:val="nil"/>
              <w:left w:val="nil"/>
              <w:bottom w:val="single" w:color="auto" w:sz="4" w:space="0"/>
              <w:right w:val="single" w:color="auto" w:sz="4" w:space="0"/>
            </w:tcBorders>
            <w:vAlign w:val="center"/>
          </w:tcPr>
          <w:p w14:paraId="362EA897">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03B9BF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C666CB0">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3F418C8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40F682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E16DAD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8912E0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14:paraId="75A282A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AF2091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5CF7B0C">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2BBD64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0F22F6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59998C5">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20801C0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64" w:type="dxa"/>
            <w:tcBorders>
              <w:top w:val="nil"/>
              <w:left w:val="nil"/>
              <w:bottom w:val="single" w:color="auto" w:sz="4" w:space="0"/>
              <w:right w:val="single" w:color="auto" w:sz="4" w:space="0"/>
            </w:tcBorders>
            <w:vAlign w:val="center"/>
          </w:tcPr>
          <w:p w14:paraId="5CC744D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C4BA1C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2690BA">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620B75C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E9EB39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902380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101D2A7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64" w:type="dxa"/>
            <w:tcBorders>
              <w:top w:val="nil"/>
              <w:left w:val="nil"/>
              <w:bottom w:val="single" w:color="auto" w:sz="4" w:space="0"/>
              <w:right w:val="single" w:color="auto" w:sz="4" w:space="0"/>
            </w:tcBorders>
            <w:vAlign w:val="center"/>
          </w:tcPr>
          <w:p w14:paraId="24DC6E8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1C58A7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9FE0137">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CC0ED99">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A388A5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206693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7076436F">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64" w:type="dxa"/>
            <w:tcBorders>
              <w:top w:val="nil"/>
              <w:left w:val="nil"/>
              <w:bottom w:val="single" w:color="auto" w:sz="4" w:space="0"/>
              <w:right w:val="single" w:color="auto" w:sz="4" w:space="0"/>
            </w:tcBorders>
            <w:vAlign w:val="center"/>
          </w:tcPr>
          <w:p w14:paraId="2DD4E91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358CE35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3CA6AD9">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10C8820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52253C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B8BA71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2CCF15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64" w:type="dxa"/>
            <w:tcBorders>
              <w:top w:val="nil"/>
              <w:left w:val="nil"/>
              <w:bottom w:val="single" w:color="auto" w:sz="4" w:space="0"/>
              <w:right w:val="single" w:color="auto" w:sz="4" w:space="0"/>
            </w:tcBorders>
            <w:vAlign w:val="center"/>
          </w:tcPr>
          <w:p w14:paraId="4C5D8752">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8FBFE5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8619932">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61B52D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CA55AF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E70C5B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643142A4">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64" w:type="dxa"/>
            <w:tcBorders>
              <w:top w:val="nil"/>
              <w:left w:val="nil"/>
              <w:bottom w:val="single" w:color="auto" w:sz="4" w:space="0"/>
              <w:right w:val="single" w:color="auto" w:sz="4" w:space="0"/>
            </w:tcBorders>
            <w:vAlign w:val="center"/>
          </w:tcPr>
          <w:p w14:paraId="027CCD7B">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72B29F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DEF851B">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496674DC">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66C26EA">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D6B0D7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743E497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14:paraId="0436FE5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F0DC3A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22C076A">
            <w:pPr>
              <w:keepNext w:val="0"/>
              <w:keepLines w:val="0"/>
              <w:widowControl/>
              <w:suppressLineNumbers w:val="0"/>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D68F9A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33572FB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D345C3D">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65885AC3">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64" w:type="dxa"/>
            <w:tcBorders>
              <w:top w:val="nil"/>
              <w:left w:val="nil"/>
              <w:bottom w:val="single" w:color="auto" w:sz="4" w:space="0"/>
              <w:right w:val="single" w:color="auto" w:sz="4" w:space="0"/>
            </w:tcBorders>
            <w:vAlign w:val="center"/>
          </w:tcPr>
          <w:p w14:paraId="3CBDBD61">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962531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16FD469E">
            <w:pPr>
              <w:keepNext w:val="0"/>
              <w:keepLines w:val="0"/>
              <w:widowControl/>
              <w:suppressLineNumbers w:val="0"/>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410C2606">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E93C0A0">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F5A051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032C158">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64" w:type="dxa"/>
            <w:tcBorders>
              <w:top w:val="nil"/>
              <w:left w:val="nil"/>
              <w:bottom w:val="single" w:color="auto" w:sz="4" w:space="0"/>
              <w:right w:val="single" w:color="auto" w:sz="4" w:space="0"/>
            </w:tcBorders>
            <w:vAlign w:val="center"/>
          </w:tcPr>
          <w:p w14:paraId="338DEEAE">
            <w:pPr>
              <w:keepNext w:val="0"/>
              <w:keepLines w:val="0"/>
              <w:widowControl/>
              <w:suppressLineNumbers w:val="0"/>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4F095477">
      <w:pPr>
        <w:spacing w:line="360" w:lineRule="auto"/>
        <w:ind w:firstLine="525" w:firstLineChars="250"/>
        <w:rPr>
          <w:rFonts w:ascii="仿宋_GB2312" w:hAnsi="仿宋" w:eastAsia="仿宋_GB2312" w:cs="Times New Roman"/>
          <w:color w:val="auto"/>
          <w:szCs w:val="21"/>
          <w:highlight w:val="none"/>
        </w:rPr>
      </w:pPr>
      <w:r>
        <w:rPr>
          <w:rFonts w:hint="eastAsia" w:ascii="仿宋_GB2312" w:hAnsi="仿宋" w:eastAsia="仿宋_GB2312" w:cs="Times New Roman"/>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6C5335E">
      <w:pPr>
        <w:jc w:val="center"/>
        <w:outlineLvl w:val="0"/>
        <w:rPr>
          <w:rFonts w:ascii="宋体" w:hAnsi="宋体" w:eastAsia="宋体" w:cs="Times New Roman"/>
          <w:color w:val="auto"/>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09A4DD11">
      <w:pPr>
        <w:jc w:val="center"/>
        <w:outlineLvl w:val="0"/>
        <w:rPr>
          <w:rFonts w:ascii="宋体" w:hAnsi="宋体" w:eastAsia="宋体" w:cs="宋体"/>
          <w:b/>
          <w:color w:val="auto"/>
          <w:sz w:val="36"/>
          <w:szCs w:val="36"/>
          <w:highlight w:val="none"/>
        </w:rPr>
      </w:pPr>
      <w:bookmarkStart w:id="47" w:name="_Toc26153"/>
      <w:bookmarkStart w:id="48" w:name="_Toc532545044"/>
      <w:bookmarkStart w:id="49" w:name="_Toc20553"/>
      <w:bookmarkStart w:id="50" w:name="_Toc80092992"/>
      <w:bookmarkStart w:id="51" w:name="_Toc23939"/>
      <w:bookmarkStart w:id="52" w:name="_Toc19823"/>
      <w:bookmarkStart w:id="53" w:name="_Toc7604"/>
      <w:bookmarkStart w:id="54" w:name="_Toc7338"/>
      <w:r>
        <w:rPr>
          <w:rFonts w:hint="eastAsia" w:ascii="宋体" w:hAnsi="宋体" w:eastAsia="宋体" w:cs="宋体"/>
          <w:b/>
          <w:color w:val="auto"/>
          <w:sz w:val="36"/>
          <w:szCs w:val="20"/>
          <w:highlight w:val="none"/>
        </w:rPr>
        <w:t>第三章  供应商须知</w:t>
      </w:r>
      <w:bookmarkEnd w:id="47"/>
      <w:bookmarkEnd w:id="48"/>
      <w:bookmarkEnd w:id="49"/>
      <w:bookmarkEnd w:id="50"/>
      <w:bookmarkEnd w:id="51"/>
      <w:bookmarkEnd w:id="52"/>
      <w:bookmarkEnd w:id="53"/>
      <w:bookmarkEnd w:id="54"/>
    </w:p>
    <w:p w14:paraId="45BF5BC7">
      <w:pPr>
        <w:pageBreakBefore w:val="0"/>
        <w:widowControl w:val="0"/>
        <w:kinsoku/>
        <w:overflowPunct/>
        <w:topLinePunct w:val="0"/>
        <w:bidi w:val="0"/>
        <w:spacing w:line="360" w:lineRule="auto"/>
        <w:ind w:left="0" w:leftChars="0"/>
        <w:jc w:val="center"/>
        <w:outlineLvl w:val="1"/>
        <w:rPr>
          <w:rFonts w:ascii="宋体" w:hAnsi="宋体" w:eastAsia="宋体" w:cs="宋体"/>
          <w:b/>
          <w:color w:val="auto"/>
          <w:sz w:val="30"/>
          <w:szCs w:val="30"/>
          <w:highlight w:val="none"/>
        </w:rPr>
      </w:pPr>
      <w:bookmarkStart w:id="55" w:name="_Toc10814"/>
      <w:bookmarkStart w:id="56" w:name="_Toc32321"/>
      <w:bookmarkStart w:id="57" w:name="_Toc7808"/>
      <w:bookmarkStart w:id="58" w:name="_Toc80092993"/>
      <w:bookmarkStart w:id="59" w:name="_Toc13651"/>
      <w:bookmarkStart w:id="60" w:name="_Toc14199"/>
      <w:bookmarkStart w:id="61" w:name="_Toc27580"/>
      <w:r>
        <w:rPr>
          <w:rFonts w:hint="eastAsia" w:ascii="宋体" w:hAnsi="宋体" w:eastAsia="宋体" w:cs="宋体"/>
          <w:b/>
          <w:color w:val="auto"/>
          <w:sz w:val="30"/>
          <w:szCs w:val="30"/>
          <w:highlight w:val="none"/>
        </w:rPr>
        <w:t>第一节 供应商须知前附表</w:t>
      </w:r>
      <w:bookmarkEnd w:id="55"/>
      <w:bookmarkEnd w:id="56"/>
      <w:bookmarkEnd w:id="57"/>
      <w:bookmarkEnd w:id="58"/>
      <w:bookmarkEnd w:id="59"/>
      <w:bookmarkEnd w:id="60"/>
      <w:bookmarkEnd w:id="61"/>
    </w:p>
    <w:tbl>
      <w:tblPr>
        <w:tblStyle w:val="3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6"/>
        <w:gridCol w:w="1940"/>
        <w:gridCol w:w="7060"/>
      </w:tblGrid>
      <w:tr w14:paraId="70124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525AE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条款号</w:t>
            </w:r>
          </w:p>
        </w:tc>
        <w:tc>
          <w:tcPr>
            <w:tcW w:w="985" w:type="pct"/>
            <w:tcBorders>
              <w:top w:val="single" w:color="auto" w:sz="4" w:space="0"/>
              <w:left w:val="single" w:color="auto" w:sz="4" w:space="0"/>
              <w:bottom w:val="single" w:color="auto" w:sz="4" w:space="0"/>
              <w:right w:val="single" w:color="auto" w:sz="4" w:space="0"/>
            </w:tcBorders>
            <w:vAlign w:val="center"/>
          </w:tcPr>
          <w:p w14:paraId="159AF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项目内容</w:t>
            </w:r>
          </w:p>
        </w:tc>
        <w:tc>
          <w:tcPr>
            <w:tcW w:w="3584" w:type="pct"/>
            <w:tcBorders>
              <w:top w:val="single" w:color="auto" w:sz="4" w:space="0"/>
              <w:left w:val="single" w:color="auto" w:sz="4" w:space="0"/>
              <w:bottom w:val="single" w:color="auto" w:sz="4" w:space="0"/>
              <w:right w:val="single" w:color="auto" w:sz="4" w:space="0"/>
            </w:tcBorders>
            <w:vAlign w:val="center"/>
          </w:tcPr>
          <w:p w14:paraId="1F7567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编列内容</w:t>
            </w:r>
          </w:p>
        </w:tc>
      </w:tr>
      <w:tr w14:paraId="544D6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2B47F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985" w:type="pct"/>
            <w:tcBorders>
              <w:top w:val="single" w:color="auto" w:sz="4" w:space="0"/>
              <w:left w:val="single" w:color="auto" w:sz="4" w:space="0"/>
              <w:bottom w:val="single" w:color="auto" w:sz="4" w:space="0"/>
              <w:right w:val="single" w:color="auto" w:sz="4" w:space="0"/>
            </w:tcBorders>
            <w:vAlign w:val="center"/>
          </w:tcPr>
          <w:p w14:paraId="326A4D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征集人</w:t>
            </w:r>
          </w:p>
        </w:tc>
        <w:tc>
          <w:tcPr>
            <w:tcW w:w="3584" w:type="pct"/>
            <w:tcBorders>
              <w:top w:val="single" w:color="auto" w:sz="4" w:space="0"/>
              <w:left w:val="single" w:color="auto" w:sz="4" w:space="0"/>
              <w:bottom w:val="single" w:color="auto" w:sz="4" w:space="0"/>
              <w:right w:val="single" w:color="auto" w:sz="4" w:space="0"/>
            </w:tcBorders>
            <w:vAlign w:val="center"/>
          </w:tcPr>
          <w:p w14:paraId="2A0ED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中国—马来西亚钦州产业园区财政金融局</w:t>
            </w:r>
          </w:p>
        </w:tc>
      </w:tr>
      <w:tr w14:paraId="0D3D4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20127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985" w:type="pct"/>
            <w:tcBorders>
              <w:top w:val="single" w:color="auto" w:sz="4" w:space="0"/>
              <w:left w:val="single" w:color="auto" w:sz="4" w:space="0"/>
              <w:bottom w:val="single" w:color="auto" w:sz="4" w:space="0"/>
              <w:right w:val="single" w:color="auto" w:sz="4" w:space="0"/>
            </w:tcBorders>
            <w:vAlign w:val="center"/>
          </w:tcPr>
          <w:p w14:paraId="344425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3584" w:type="pct"/>
            <w:tcBorders>
              <w:top w:val="single" w:color="auto" w:sz="4" w:space="0"/>
              <w:left w:val="single" w:color="auto" w:sz="4" w:space="0"/>
              <w:bottom w:val="single" w:color="auto" w:sz="4" w:space="0"/>
              <w:right w:val="single" w:color="auto" w:sz="4" w:space="0"/>
            </w:tcBorders>
            <w:vAlign w:val="center"/>
          </w:tcPr>
          <w:p w14:paraId="51BA4B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广西城建咨询设计有限公司</w:t>
            </w:r>
          </w:p>
        </w:tc>
      </w:tr>
      <w:tr w14:paraId="672FA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4BCAD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5815BB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w:t>
            </w:r>
          </w:p>
        </w:tc>
        <w:tc>
          <w:tcPr>
            <w:tcW w:w="3584" w:type="pct"/>
            <w:tcBorders>
              <w:top w:val="single" w:color="auto" w:sz="4" w:space="0"/>
              <w:left w:val="single" w:color="auto" w:sz="4" w:space="0"/>
              <w:bottom w:val="single" w:color="auto" w:sz="4" w:space="0"/>
              <w:right w:val="single" w:color="auto" w:sz="4" w:space="0"/>
            </w:tcBorders>
            <w:vAlign w:val="center"/>
          </w:tcPr>
          <w:p w14:paraId="344E3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rPr>
              <w:t>封闭式框架协议采购</w:t>
            </w:r>
            <w:r>
              <w:rPr>
                <w:rFonts w:hint="eastAsia" w:ascii="宋体" w:hAnsi="宋体" w:cs="宋体"/>
                <w:color w:val="auto"/>
                <w:szCs w:val="21"/>
                <w:highlight w:val="none"/>
                <w:lang w:eastAsia="zh-CN"/>
              </w:rPr>
              <w:t>，确定第二阶段成交供应商方式为直接选定。</w:t>
            </w:r>
          </w:p>
        </w:tc>
      </w:tr>
      <w:tr w14:paraId="50DB5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332957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985" w:type="pct"/>
            <w:tcBorders>
              <w:top w:val="single" w:color="auto" w:sz="4" w:space="0"/>
              <w:left w:val="single" w:color="auto" w:sz="4" w:space="0"/>
              <w:bottom w:val="single" w:color="auto" w:sz="4" w:space="0"/>
              <w:right w:val="single" w:color="auto" w:sz="4" w:space="0"/>
            </w:tcBorders>
            <w:vAlign w:val="center"/>
          </w:tcPr>
          <w:p w14:paraId="7FEC5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2" w:name="_8.1"/>
            <w:bookmarkEnd w:id="62"/>
            <w:bookmarkStart w:id="63" w:name="_5"/>
            <w:bookmarkEnd w:id="63"/>
            <w:bookmarkStart w:id="64" w:name="_9.2"/>
            <w:bookmarkEnd w:id="64"/>
            <w:r>
              <w:rPr>
                <w:rFonts w:hint="eastAsia" w:ascii="宋体" w:hAnsi="宋体" w:eastAsia="宋体" w:cs="宋体"/>
                <w:color w:val="auto"/>
                <w:szCs w:val="21"/>
                <w:highlight w:val="none"/>
              </w:rPr>
              <w:t>是否接受联合体响应</w:t>
            </w:r>
          </w:p>
        </w:tc>
        <w:tc>
          <w:tcPr>
            <w:tcW w:w="3584" w:type="pct"/>
            <w:tcBorders>
              <w:top w:val="single" w:color="auto" w:sz="4" w:space="0"/>
              <w:left w:val="single" w:color="auto" w:sz="4" w:space="0"/>
              <w:bottom w:val="single" w:color="auto" w:sz="4" w:space="0"/>
              <w:right w:val="single" w:color="auto" w:sz="4" w:space="0"/>
            </w:tcBorders>
            <w:vAlign w:val="center"/>
          </w:tcPr>
          <w:p w14:paraId="5A5F2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bookmarkStart w:id="65" w:name="PO_3000001866_PM007"/>
            <w:r>
              <w:rPr>
                <w:rFonts w:hint="eastAsia" w:ascii="宋体" w:hAnsi="宋体" w:eastAsia="宋体" w:cs="宋体"/>
                <w:color w:val="auto"/>
                <w:szCs w:val="21"/>
                <w:highlight w:val="none"/>
              </w:rPr>
              <w:t>不接受联合体</w:t>
            </w:r>
            <w:bookmarkEnd w:id="65"/>
            <w:r>
              <w:rPr>
                <w:rFonts w:hint="eastAsia" w:ascii="宋体" w:hAnsi="宋体" w:eastAsia="宋体" w:cs="宋体"/>
                <w:color w:val="auto"/>
                <w:szCs w:val="21"/>
                <w:highlight w:val="none"/>
              </w:rPr>
              <w:t>响应。</w:t>
            </w:r>
          </w:p>
        </w:tc>
      </w:tr>
      <w:tr w14:paraId="179FA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08EC6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985" w:type="pct"/>
            <w:tcBorders>
              <w:top w:val="single" w:color="auto" w:sz="4" w:space="0"/>
              <w:left w:val="single" w:color="auto" w:sz="4" w:space="0"/>
              <w:bottom w:val="single" w:color="auto" w:sz="4" w:space="0"/>
              <w:right w:val="single" w:color="auto" w:sz="4" w:space="0"/>
            </w:tcBorders>
            <w:vAlign w:val="center"/>
          </w:tcPr>
          <w:p w14:paraId="0031C7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联合体响应要求</w:t>
            </w:r>
          </w:p>
        </w:tc>
        <w:tc>
          <w:tcPr>
            <w:tcW w:w="3584" w:type="pct"/>
            <w:tcBorders>
              <w:top w:val="single" w:color="auto" w:sz="4" w:space="0"/>
              <w:left w:val="single" w:color="auto" w:sz="4" w:space="0"/>
              <w:bottom w:val="single" w:color="auto" w:sz="4" w:space="0"/>
              <w:right w:val="single" w:color="auto" w:sz="4" w:space="0"/>
            </w:tcBorders>
            <w:vAlign w:val="center"/>
          </w:tcPr>
          <w:p w14:paraId="0B0A5F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23850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2E3A5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985" w:type="pct"/>
            <w:tcBorders>
              <w:top w:val="single" w:color="auto" w:sz="4" w:space="0"/>
              <w:left w:val="single" w:color="auto" w:sz="4" w:space="0"/>
              <w:bottom w:val="single" w:color="auto" w:sz="4" w:space="0"/>
              <w:right w:val="single" w:color="auto" w:sz="4" w:space="0"/>
            </w:tcBorders>
            <w:vAlign w:val="center"/>
          </w:tcPr>
          <w:p w14:paraId="27255F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3584" w:type="pct"/>
            <w:tcBorders>
              <w:top w:val="single" w:color="auto" w:sz="4" w:space="0"/>
              <w:left w:val="single" w:color="auto" w:sz="4" w:space="0"/>
              <w:bottom w:val="single" w:color="auto" w:sz="4" w:space="0"/>
              <w:right w:val="single" w:color="auto" w:sz="4" w:space="0"/>
            </w:tcBorders>
            <w:vAlign w:val="center"/>
          </w:tcPr>
          <w:p w14:paraId="349A8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不允许转包/分包</w:t>
            </w:r>
          </w:p>
        </w:tc>
      </w:tr>
      <w:tr w14:paraId="1A971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72576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985" w:type="pct"/>
            <w:tcBorders>
              <w:top w:val="single" w:color="auto" w:sz="4" w:space="0"/>
              <w:left w:val="single" w:color="auto" w:sz="4" w:space="0"/>
              <w:bottom w:val="single" w:color="auto" w:sz="4" w:space="0"/>
              <w:right w:val="single" w:color="auto" w:sz="4" w:space="0"/>
            </w:tcBorders>
            <w:vAlign w:val="center"/>
          </w:tcPr>
          <w:p w14:paraId="0EC4B2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3584" w:type="pct"/>
            <w:tcBorders>
              <w:top w:val="single" w:color="auto" w:sz="4" w:space="0"/>
              <w:left w:val="single" w:color="auto" w:sz="4" w:space="0"/>
              <w:bottom w:val="single" w:color="auto" w:sz="4" w:space="0"/>
              <w:right w:val="single" w:color="auto" w:sz="4" w:space="0"/>
            </w:tcBorders>
            <w:vAlign w:val="center"/>
          </w:tcPr>
          <w:p w14:paraId="2F1DB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77094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39A723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985" w:type="pct"/>
            <w:tcBorders>
              <w:top w:val="single" w:color="auto" w:sz="4" w:space="0"/>
              <w:left w:val="single" w:color="auto" w:sz="4" w:space="0"/>
              <w:bottom w:val="single" w:color="auto" w:sz="4" w:space="0"/>
              <w:right w:val="single" w:color="auto" w:sz="4" w:space="0"/>
            </w:tcBorders>
            <w:vAlign w:val="center"/>
          </w:tcPr>
          <w:p w14:paraId="1B3A8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3584" w:type="pct"/>
            <w:tcBorders>
              <w:top w:val="single" w:color="auto" w:sz="4" w:space="0"/>
              <w:left w:val="single" w:color="auto" w:sz="4" w:space="0"/>
              <w:bottom w:val="single" w:color="auto" w:sz="4" w:space="0"/>
              <w:right w:val="single" w:color="auto" w:sz="4" w:space="0"/>
            </w:tcBorders>
            <w:vAlign w:val="center"/>
          </w:tcPr>
          <w:p w14:paraId="09A7A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不组织召开开标前答疑会</w:t>
            </w:r>
          </w:p>
        </w:tc>
      </w:tr>
      <w:tr w14:paraId="08E32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429" w:type="pct"/>
            <w:tcBorders>
              <w:left w:val="single" w:color="auto" w:sz="4" w:space="0"/>
              <w:right w:val="single" w:color="auto" w:sz="4" w:space="0"/>
            </w:tcBorders>
            <w:vAlign w:val="center"/>
          </w:tcPr>
          <w:p w14:paraId="0ADD5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985" w:type="pct"/>
            <w:tcBorders>
              <w:top w:val="single" w:color="auto" w:sz="4" w:space="0"/>
              <w:left w:val="single" w:color="auto" w:sz="4" w:space="0"/>
              <w:bottom w:val="single" w:color="auto" w:sz="4" w:space="0"/>
              <w:right w:val="single" w:color="auto" w:sz="4" w:space="0"/>
            </w:tcBorders>
            <w:vAlign w:val="center"/>
          </w:tcPr>
          <w:p w14:paraId="23B7A1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bookmarkStart w:id="66" w:name="_13.2"/>
            <w:bookmarkEnd w:id="66"/>
            <w:r>
              <w:rPr>
                <w:rFonts w:hint="eastAsia" w:ascii="宋体" w:hAnsi="宋体" w:eastAsia="宋体" w:cs="宋体"/>
                <w:color w:val="auto"/>
                <w:szCs w:val="21"/>
                <w:highlight w:val="none"/>
              </w:rPr>
              <w:t>资格证明文件组成</w:t>
            </w:r>
          </w:p>
        </w:tc>
        <w:tc>
          <w:tcPr>
            <w:tcW w:w="3584" w:type="pct"/>
            <w:tcBorders>
              <w:top w:val="single" w:color="auto" w:sz="4" w:space="0"/>
              <w:left w:val="single" w:color="auto" w:sz="4" w:space="0"/>
              <w:bottom w:val="single" w:color="auto" w:sz="4" w:space="0"/>
              <w:right w:val="single" w:color="auto" w:sz="4" w:space="0"/>
            </w:tcBorders>
            <w:vAlign w:val="center"/>
          </w:tcPr>
          <w:p w14:paraId="5015979F">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供应商为法人或者其他组织的，提供营业执照等证明文件（如营业执照或者事业单位法人证书或者</w:t>
            </w:r>
            <w:r>
              <w:rPr>
                <w:rFonts w:hint="default" w:ascii="宋体" w:hAnsi="宋体" w:eastAsia="宋体" w:cs="宋体"/>
                <w:color w:val="auto"/>
                <w:sz w:val="22"/>
                <w:szCs w:val="21"/>
                <w:highlight w:val="none"/>
                <w:lang w:val="zh-CN" w:bidi="zh-CN"/>
              </w:rPr>
              <w:t>执业许可证</w:t>
            </w:r>
            <w:r>
              <w:rPr>
                <w:rFonts w:hint="eastAsia" w:ascii="宋体" w:hAnsi="宋体" w:eastAsia="宋体" w:cs="宋体"/>
                <w:color w:val="auto"/>
                <w:szCs w:val="21"/>
                <w:highlight w:val="none"/>
              </w:rPr>
              <w:t>等），供应商为自然人的，提供身份证复印件；（</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26BC9C5D">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供应商依法缴纳税收的相关材料提交</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2025年1月至响应文件提交截止时间内</w:t>
            </w:r>
            <w:r>
              <w:rPr>
                <w:rFonts w:hint="eastAsia" w:ascii="宋体" w:hAnsi="宋体" w:cs="宋体"/>
                <w:color w:val="auto"/>
                <w:szCs w:val="21"/>
                <w:highlight w:val="none"/>
              </w:rPr>
              <w:t>]任意连续</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rPr>
              <w:t>个月</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275321B4">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供应商依法缴纳社会保障资金的相关材料提交</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2025年1月至响应文件提交截止时间内</w:t>
            </w:r>
            <w:r>
              <w:rPr>
                <w:rFonts w:hint="eastAsia" w:ascii="宋体" w:hAnsi="宋体" w:cs="宋体"/>
                <w:color w:val="auto"/>
                <w:szCs w:val="21"/>
                <w:highlight w:val="none"/>
              </w:rPr>
              <w:t>]任意连续3个月</w:t>
            </w:r>
            <w:r>
              <w:rPr>
                <w:rFonts w:hint="eastAsia" w:ascii="宋体" w:hAnsi="宋体" w:eastAsia="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74E0303E">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年财务状况报告复印件，供应商成立不满一年的应提供上一个月的财务状况报告复印件（上述财务状况</w:t>
            </w:r>
            <w:r>
              <w:rPr>
                <w:rFonts w:hint="eastAsia" w:ascii="宋体" w:hAnsi="宋体" w:cs="宋体"/>
                <w:color w:val="auto"/>
                <w:szCs w:val="21"/>
                <w:highlight w:val="none"/>
                <w:lang w:val="en-US" w:eastAsia="zh-CN"/>
              </w:rPr>
              <w:t>报告</w:t>
            </w:r>
            <w:r>
              <w:rPr>
                <w:rFonts w:hint="eastAsia" w:ascii="宋体" w:hAnsi="宋体" w:cs="宋体"/>
                <w:color w:val="auto"/>
                <w:szCs w:val="21"/>
                <w:highlight w:val="none"/>
              </w:rPr>
              <w:t>包括：</w:t>
            </w:r>
            <w:r>
              <w:rPr>
                <w:rFonts w:hint="eastAsia" w:ascii="宋体" w:hAnsi="宋体" w:cs="宋体"/>
                <w:b/>
                <w:bCs/>
                <w:color w:val="auto"/>
                <w:szCs w:val="21"/>
                <w:highlight w:val="none"/>
              </w:rPr>
              <w:t>供应商执行《企业会计准则》的</w:t>
            </w:r>
            <w:r>
              <w:rPr>
                <w:rFonts w:hint="eastAsia" w:ascii="宋体" w:hAnsi="宋体" w:cs="宋体"/>
                <w:color w:val="auto"/>
                <w:szCs w:val="21"/>
                <w:highlight w:val="none"/>
              </w:rPr>
              <w:t>，提供资产负债表、利润表、现金流量表、所有者权益变动表及其附注（以下称“四表一注”）；</w:t>
            </w:r>
            <w:r>
              <w:rPr>
                <w:rFonts w:hint="eastAsia" w:ascii="宋体" w:hAnsi="宋体" w:cs="宋体"/>
                <w:b/>
                <w:bCs/>
                <w:color w:val="auto"/>
                <w:szCs w:val="21"/>
                <w:highlight w:val="none"/>
              </w:rPr>
              <w:t>供应商执行《小企业会计准则》的</w:t>
            </w:r>
            <w:r>
              <w:rPr>
                <w:rFonts w:hint="eastAsia" w:ascii="宋体" w:hAnsi="宋体" w:cs="宋体"/>
                <w:color w:val="auto"/>
                <w:szCs w:val="21"/>
                <w:highlight w:val="none"/>
              </w:rPr>
              <w:t>，提供资产负债表、利润表、现金流量表及其附注（以下称“三表一注”）]；</w:t>
            </w:r>
            <w:r>
              <w:rPr>
                <w:rFonts w:hint="eastAsia" w:ascii="宋体" w:hAnsi="宋体" w:cs="宋体"/>
                <w:b/>
                <w:bCs/>
                <w:color w:val="auto"/>
                <w:szCs w:val="21"/>
                <w:highlight w:val="none"/>
              </w:rPr>
              <w:t>供应商执行《政府会计制度》的</w:t>
            </w:r>
            <w:r>
              <w:rPr>
                <w:rFonts w:hint="eastAsia" w:ascii="宋体" w:hAnsi="宋体" w:cs="宋体"/>
                <w:color w:val="auto"/>
                <w:szCs w:val="21"/>
                <w:highlight w:val="none"/>
              </w:rPr>
              <w:t>，提供资产负债表、收入费用表和净资产变动表及其附注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64F0C5CD">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2CE3E3E1">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响应资格声明；（</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489493A9">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采购人或采购代理机构根据</w:t>
            </w:r>
            <w:r>
              <w:rPr>
                <w:rFonts w:hint="eastAsia" w:ascii="宋体" w:hAnsi="宋体" w:eastAsia="宋体" w:cs="Times New Roman"/>
                <w:color w:val="auto"/>
                <w:szCs w:val="21"/>
                <w:highlight w:val="none"/>
                <w:lang w:eastAsia="zh-CN"/>
              </w:rPr>
              <w:t>征集</w:t>
            </w:r>
            <w:r>
              <w:rPr>
                <w:rFonts w:hint="eastAsia" w:ascii="宋体" w:hAnsi="宋体" w:eastAsia="宋体" w:cs="Times New Roman"/>
                <w:color w:val="auto"/>
                <w:szCs w:val="21"/>
                <w:highlight w:val="none"/>
              </w:rPr>
              <w:t>公告对应的特定资格要求及特定条件设置供应商提供的资格证明材料</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lang w:eastAsia="zh-CN"/>
              </w:rPr>
              <w:t>（</w:t>
            </w:r>
            <w:r>
              <w:rPr>
                <w:rFonts w:hint="eastAsia" w:ascii="宋体" w:hAnsi="宋体" w:eastAsia="宋体" w:cs="Times New Roman"/>
                <w:b/>
                <w:color w:val="auto"/>
                <w:szCs w:val="21"/>
                <w:highlight w:val="none"/>
              </w:rPr>
              <w:t>必须提供，否则按无效响应处理</w:t>
            </w:r>
            <w:r>
              <w:rPr>
                <w:rFonts w:hint="eastAsia" w:ascii="宋体" w:hAnsi="宋体" w:eastAsia="宋体" w:cs="Times New Roman"/>
                <w:color w:val="auto"/>
                <w:szCs w:val="21"/>
                <w:highlight w:val="none"/>
              </w:rPr>
              <w:t>）</w:t>
            </w:r>
          </w:p>
          <w:p w14:paraId="779BAE5C">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中小企业声明函或监狱企业证明材料或残疾人福利性单位声明函</w:t>
            </w:r>
            <w:r>
              <w:rPr>
                <w:rFonts w:hint="eastAsia" w:ascii="宋体" w:hAnsi="宋体" w:eastAsia="宋体" w:cs="宋体"/>
                <w:color w:val="auto"/>
                <w:szCs w:val="21"/>
                <w:highlight w:val="none"/>
              </w:rPr>
              <w:t>（如有）</w:t>
            </w:r>
            <w:r>
              <w:rPr>
                <w:rFonts w:hint="eastAsia" w:ascii="宋体" w:hAnsi="宋体" w:eastAsia="宋体" w:cs="Times New Roman"/>
                <w:color w:val="auto"/>
                <w:szCs w:val="21"/>
                <w:highlight w:val="none"/>
              </w:rPr>
              <w:t>；</w:t>
            </w:r>
          </w:p>
          <w:p w14:paraId="629B27F0">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供应商认为需要的其他资格证明</w:t>
            </w:r>
            <w:r>
              <w:rPr>
                <w:rFonts w:hint="eastAsia" w:ascii="宋体" w:hAnsi="宋体" w:eastAsia="宋体" w:cs="宋体"/>
                <w:color w:val="auto"/>
                <w:szCs w:val="21"/>
                <w:highlight w:val="none"/>
                <w:lang w:eastAsia="zh-CN"/>
              </w:rPr>
              <w:t>文件</w:t>
            </w:r>
            <w:r>
              <w:rPr>
                <w:rFonts w:hint="eastAsia" w:ascii="宋体" w:hAnsi="宋体" w:eastAsia="宋体" w:cs="宋体"/>
                <w:color w:val="auto"/>
                <w:szCs w:val="21"/>
                <w:highlight w:val="none"/>
              </w:rPr>
              <w:t>或说明（如有）。</w:t>
            </w:r>
          </w:p>
          <w:p w14:paraId="61F2F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以上要求提供的电子资料，必须加盖供应商电子公章，否则</w:t>
            </w:r>
            <w:r>
              <w:rPr>
                <w:rFonts w:hint="eastAsia" w:ascii="宋体" w:hAnsi="宋体" w:eastAsia="宋体" w:cs="宋体"/>
                <w:b/>
                <w:color w:val="auto"/>
                <w:szCs w:val="21"/>
                <w:highlight w:val="none"/>
              </w:rPr>
              <w:t>作无效响应处理。</w:t>
            </w:r>
          </w:p>
          <w:p w14:paraId="3701F7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.联合体响应时，第1-5项</w:t>
            </w:r>
            <w:r>
              <w:rPr>
                <w:rFonts w:hint="eastAsia" w:ascii="宋体" w:hAnsi="宋体" w:eastAsia="宋体" w:cs="宋体"/>
                <w:b/>
                <w:bCs/>
                <w:color w:val="auto"/>
                <w:szCs w:val="21"/>
                <w:highlight w:val="none"/>
                <w:lang w:eastAsia="zh-CN"/>
              </w:rPr>
              <w:t>、第</w:t>
            </w:r>
            <w:r>
              <w:rPr>
                <w:rFonts w:hint="eastAsia" w:ascii="宋体" w:hAnsi="宋体" w:eastAsia="宋体" w:cs="宋体"/>
                <w:b/>
                <w:bCs/>
                <w:color w:val="auto"/>
                <w:szCs w:val="21"/>
                <w:highlight w:val="none"/>
                <w:lang w:val="en-US" w:eastAsia="zh-CN"/>
              </w:rPr>
              <w:t>7项</w:t>
            </w:r>
            <w:r>
              <w:rPr>
                <w:rFonts w:hint="eastAsia" w:ascii="宋体" w:hAnsi="宋体" w:eastAsia="宋体" w:cs="宋体"/>
                <w:b/>
                <w:bCs/>
                <w:color w:val="auto"/>
                <w:szCs w:val="21"/>
                <w:highlight w:val="none"/>
              </w:rPr>
              <w:t>资格证明文件联合体各方均必须分别提供，联合体各方分别盖章和签字，否则响应文件按无效响应处理。</w:t>
            </w:r>
          </w:p>
        </w:tc>
      </w:tr>
      <w:tr w14:paraId="1A6AE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left w:val="single" w:color="auto" w:sz="4" w:space="0"/>
              <w:right w:val="single" w:color="auto" w:sz="4" w:space="0"/>
            </w:tcBorders>
            <w:vAlign w:val="center"/>
          </w:tcPr>
          <w:p w14:paraId="18C908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622EB5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bookmarkStart w:id="67" w:name="_13.3"/>
            <w:bookmarkEnd w:id="67"/>
            <w:r>
              <w:rPr>
                <w:rFonts w:hint="eastAsia" w:ascii="宋体" w:hAnsi="宋体" w:eastAsia="宋体" w:cs="宋体"/>
                <w:color w:val="auto"/>
                <w:szCs w:val="21"/>
                <w:highlight w:val="none"/>
              </w:rPr>
              <w:t>商务文件组成</w:t>
            </w:r>
          </w:p>
        </w:tc>
        <w:tc>
          <w:tcPr>
            <w:tcW w:w="3584" w:type="pct"/>
            <w:tcBorders>
              <w:top w:val="single" w:color="auto" w:sz="4" w:space="0"/>
              <w:left w:val="single" w:color="auto" w:sz="4" w:space="0"/>
              <w:bottom w:val="single" w:color="auto" w:sz="4" w:space="0"/>
              <w:right w:val="single" w:color="auto" w:sz="4" w:space="0"/>
            </w:tcBorders>
            <w:vAlign w:val="center"/>
          </w:tcPr>
          <w:p w14:paraId="0A38DE6B">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无串通响应行为的承诺函；（</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36E151C4">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法定代表人身份证明及法定代表人有效身份证正反面复印件；（</w:t>
            </w:r>
            <w:r>
              <w:rPr>
                <w:rFonts w:hint="eastAsia" w:ascii="宋体" w:hAnsi="宋体" w:eastAsia="宋体" w:cs="宋体"/>
                <w:b/>
                <w:bCs/>
                <w:color w:val="auto"/>
                <w:szCs w:val="21"/>
                <w:highlight w:val="none"/>
              </w:rPr>
              <w:t>除自然人响应外</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2858EC5D">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法定代表人授权委托书及委托代理人有效身份证正反面复印件；（</w:t>
            </w:r>
            <w:r>
              <w:rPr>
                <w:rFonts w:hint="eastAsia" w:ascii="宋体" w:hAnsi="宋体" w:eastAsia="宋体" w:cs="宋体"/>
                <w:b/>
                <w:color w:val="auto"/>
                <w:szCs w:val="21"/>
                <w:highlight w:val="none"/>
              </w:rPr>
              <w:t>委托时必须提供，否则作无效响应处理</w:t>
            </w:r>
            <w:r>
              <w:rPr>
                <w:rFonts w:hint="eastAsia" w:ascii="宋体" w:hAnsi="宋体" w:eastAsia="宋体" w:cs="宋体"/>
                <w:color w:val="auto"/>
                <w:szCs w:val="21"/>
                <w:highlight w:val="none"/>
              </w:rPr>
              <w:t>）</w:t>
            </w:r>
          </w:p>
          <w:p w14:paraId="1DD9DC78">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商务条款偏离表；（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1BC0306B">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人员配备一览表；</w:t>
            </w:r>
          </w:p>
          <w:p w14:paraId="2268C711">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供应商类似项目业绩证明文件；</w:t>
            </w:r>
          </w:p>
          <w:p w14:paraId="781E22C3">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企业信誉证明文件；</w:t>
            </w:r>
          </w:p>
          <w:p w14:paraId="29013BDE">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b w:val="0"/>
                <w:bCs w:val="0"/>
                <w:color w:val="auto"/>
                <w:szCs w:val="21"/>
                <w:highlight w:val="none"/>
              </w:rPr>
            </w:pPr>
            <w:r>
              <w:rPr>
                <w:rFonts w:hint="eastAsia" w:ascii="宋体" w:hAnsi="宋体" w:eastAsia="宋体" w:cs="宋体"/>
                <w:color w:val="auto"/>
                <w:szCs w:val="21"/>
                <w:highlight w:val="none"/>
              </w:rPr>
              <w:t>供应商认为需要的其他商务文件或说明。</w:t>
            </w:r>
          </w:p>
          <w:p w14:paraId="4A0207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注： 1.法定代表人授权委托书必须由法定代表人及委托代理人签字，并加盖供应商公章，否则作无效响应处理。</w:t>
            </w:r>
          </w:p>
          <w:p w14:paraId="7BD24D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以上要求提供的电子资料，必须加盖供应商电子公章，否则</w:t>
            </w:r>
            <w:r>
              <w:rPr>
                <w:rFonts w:hint="eastAsia" w:ascii="宋体" w:hAnsi="宋体" w:eastAsia="宋体" w:cs="宋体"/>
                <w:b/>
                <w:color w:val="auto"/>
                <w:szCs w:val="21"/>
                <w:highlight w:val="none"/>
              </w:rPr>
              <w:t>作无效响应处理</w:t>
            </w:r>
            <w:r>
              <w:rPr>
                <w:rFonts w:hint="eastAsia" w:ascii="宋体" w:hAnsi="宋体" w:eastAsia="宋体" w:cs="宋体"/>
                <w:b/>
                <w:bCs/>
                <w:color w:val="auto"/>
                <w:szCs w:val="21"/>
                <w:highlight w:val="none"/>
              </w:rPr>
              <w:t>。</w:t>
            </w:r>
          </w:p>
        </w:tc>
      </w:tr>
      <w:tr w14:paraId="1DF83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vMerge w:val="restart"/>
            <w:tcBorders>
              <w:left w:val="single" w:color="auto" w:sz="4" w:space="0"/>
              <w:right w:val="single" w:color="auto" w:sz="4" w:space="0"/>
            </w:tcBorders>
            <w:vAlign w:val="center"/>
          </w:tcPr>
          <w:p w14:paraId="150888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0FAF9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bookmarkStart w:id="68" w:name="_13.4"/>
            <w:bookmarkEnd w:id="68"/>
            <w:r>
              <w:rPr>
                <w:rFonts w:hint="eastAsia" w:ascii="宋体" w:hAnsi="宋体" w:eastAsia="宋体" w:cs="宋体"/>
                <w:color w:val="auto"/>
                <w:szCs w:val="21"/>
                <w:highlight w:val="none"/>
              </w:rPr>
              <w:t>技术文件组成</w:t>
            </w:r>
          </w:p>
        </w:tc>
        <w:tc>
          <w:tcPr>
            <w:tcW w:w="3584" w:type="pct"/>
            <w:tcBorders>
              <w:top w:val="single" w:color="auto" w:sz="4" w:space="0"/>
              <w:left w:val="single" w:color="auto" w:sz="4" w:space="0"/>
              <w:bottom w:val="single" w:color="auto" w:sz="4" w:space="0"/>
              <w:right w:val="single" w:color="auto" w:sz="4" w:space="0"/>
            </w:tcBorders>
            <w:vAlign w:val="center"/>
          </w:tcPr>
          <w:p w14:paraId="4F144BFA">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响应服务技术需求偏离表；（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25A3381F">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实施方案（工作的程序与方法、质量管控措施、项目实施计划、廉洁措施、评审报告质量等，各供应商根据自身实际情况编写）；</w:t>
            </w:r>
          </w:p>
          <w:p w14:paraId="032F0034">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服务承诺；</w:t>
            </w:r>
          </w:p>
          <w:p w14:paraId="79E3A3A4">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认为需要的其他技术文件或说明（如有）</w:t>
            </w:r>
            <w:r>
              <w:rPr>
                <w:rFonts w:hint="eastAsia" w:ascii="宋体" w:hAnsi="宋体" w:eastAsia="宋体" w:cs="宋体"/>
                <w:color w:val="auto"/>
                <w:szCs w:val="21"/>
                <w:highlight w:val="none"/>
                <w:lang w:eastAsia="zh-CN"/>
              </w:rPr>
              <w:t>。</w:t>
            </w:r>
          </w:p>
          <w:p w14:paraId="34427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注：以上要求提供的电子资料，必须加盖供应商电子公章，否则</w:t>
            </w:r>
            <w:r>
              <w:rPr>
                <w:rFonts w:hint="eastAsia" w:ascii="宋体" w:hAnsi="宋体" w:eastAsia="宋体" w:cs="宋体"/>
                <w:b/>
                <w:color w:val="auto"/>
                <w:szCs w:val="21"/>
                <w:highlight w:val="none"/>
              </w:rPr>
              <w:t>作无效响应处理</w:t>
            </w:r>
            <w:r>
              <w:rPr>
                <w:rFonts w:hint="eastAsia" w:ascii="宋体" w:hAnsi="宋体" w:eastAsia="宋体" w:cs="宋体"/>
                <w:b/>
                <w:bCs/>
                <w:color w:val="auto"/>
                <w:szCs w:val="21"/>
                <w:highlight w:val="none"/>
              </w:rPr>
              <w:t>。</w:t>
            </w:r>
          </w:p>
        </w:tc>
      </w:tr>
      <w:tr w14:paraId="582DB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vMerge w:val="continue"/>
            <w:tcBorders>
              <w:left w:val="single" w:color="auto" w:sz="4" w:space="0"/>
              <w:bottom w:val="single" w:color="auto" w:sz="4" w:space="0"/>
              <w:right w:val="single" w:color="auto" w:sz="4" w:space="0"/>
            </w:tcBorders>
            <w:vAlign w:val="center"/>
          </w:tcPr>
          <w:p w14:paraId="47E7D4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6331E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3584" w:type="pct"/>
            <w:tcBorders>
              <w:top w:val="single" w:color="auto" w:sz="4" w:space="0"/>
              <w:left w:val="single" w:color="auto" w:sz="4" w:space="0"/>
              <w:bottom w:val="single" w:color="auto" w:sz="4" w:space="0"/>
              <w:right w:val="single" w:color="auto" w:sz="4" w:space="0"/>
            </w:tcBorders>
            <w:vAlign w:val="center"/>
          </w:tcPr>
          <w:p w14:paraId="771BF5B5">
            <w:pPr>
              <w:keepNext w:val="0"/>
              <w:keepLines w:val="0"/>
              <w:pageBreakBefore w:val="0"/>
              <w:widowControl w:val="0"/>
              <w:numPr>
                <w:ilvl w:val="0"/>
                <w:numId w:val="5"/>
              </w:numPr>
              <w:suppressLineNumbers w:val="0"/>
              <w:tabs>
                <w:tab w:val="left" w:pos="459"/>
              </w:tabs>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响应函；</w:t>
            </w:r>
            <w:r>
              <w:rPr>
                <w:rFonts w:hint="eastAsia" w:ascii="宋体" w:hAnsi="宋体" w:eastAsia="宋体" w:cs="宋体"/>
                <w:b/>
                <w:color w:val="auto"/>
                <w:szCs w:val="21"/>
                <w:highlight w:val="none"/>
              </w:rPr>
              <w:t>（必须提供，否则作无效响应处理）</w:t>
            </w:r>
          </w:p>
          <w:p w14:paraId="2746C80F">
            <w:pPr>
              <w:keepNext w:val="0"/>
              <w:keepLines w:val="0"/>
              <w:pageBreakBefore w:val="0"/>
              <w:widowControl w:val="0"/>
              <w:numPr>
                <w:ilvl w:val="0"/>
                <w:numId w:val="5"/>
              </w:numPr>
              <w:suppressLineNumbers w:val="0"/>
              <w:tabs>
                <w:tab w:val="left" w:pos="459"/>
              </w:tabs>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开标一览表；（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619E8976">
            <w:pPr>
              <w:keepNext w:val="0"/>
              <w:keepLines w:val="0"/>
              <w:pageBreakBefore w:val="0"/>
              <w:widowControl w:val="0"/>
              <w:numPr>
                <w:ilvl w:val="0"/>
                <w:numId w:val="5"/>
              </w:numPr>
              <w:suppressLineNumbers w:val="0"/>
              <w:tabs>
                <w:tab w:val="left" w:pos="459"/>
              </w:tabs>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供应商针对报价需要说明的其他文件和说明。</w:t>
            </w:r>
          </w:p>
          <w:p w14:paraId="3E4AA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4"/>
                <w:highlight w:val="none"/>
              </w:rPr>
            </w:pPr>
            <w:r>
              <w:rPr>
                <w:rFonts w:hint="eastAsia" w:ascii="宋体" w:hAnsi="宋体" w:eastAsia="宋体" w:cs="宋体"/>
                <w:b/>
                <w:bCs/>
                <w:color w:val="auto"/>
                <w:szCs w:val="21"/>
                <w:highlight w:val="none"/>
              </w:rPr>
              <w:t>注：以上要求提供的电子资料，必须加盖供应商电子公章，否则作无效响应处理。</w:t>
            </w:r>
          </w:p>
        </w:tc>
      </w:tr>
      <w:tr w14:paraId="0EE4E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71A3EB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985" w:type="pct"/>
            <w:tcBorders>
              <w:top w:val="single" w:color="auto" w:sz="4" w:space="0"/>
              <w:left w:val="single" w:color="auto" w:sz="4" w:space="0"/>
              <w:bottom w:val="single" w:color="auto" w:sz="4" w:space="0"/>
              <w:right w:val="single" w:color="auto" w:sz="4" w:space="0"/>
            </w:tcBorders>
            <w:vAlign w:val="center"/>
          </w:tcPr>
          <w:p w14:paraId="0649B3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69" w:name="_16.2"/>
            <w:bookmarkEnd w:id="69"/>
            <w:r>
              <w:rPr>
                <w:rFonts w:hint="eastAsia" w:ascii="宋体" w:hAnsi="宋体" w:eastAsia="宋体" w:cs="宋体"/>
                <w:color w:val="auto"/>
                <w:szCs w:val="21"/>
                <w:highlight w:val="none"/>
              </w:rPr>
              <w:t>响应报价要求</w:t>
            </w:r>
          </w:p>
        </w:tc>
        <w:tc>
          <w:tcPr>
            <w:tcW w:w="3584" w:type="pct"/>
            <w:tcBorders>
              <w:top w:val="single" w:color="auto" w:sz="4" w:space="0"/>
              <w:left w:val="single" w:color="auto" w:sz="4" w:space="0"/>
              <w:bottom w:val="single" w:color="auto" w:sz="4" w:space="0"/>
              <w:right w:val="single" w:color="auto" w:sz="4" w:space="0"/>
            </w:tcBorders>
            <w:vAlign w:val="center"/>
          </w:tcPr>
          <w:p w14:paraId="2B7A1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响应报价是履行合同的最终价格，供应商在响应报价时，</w:t>
            </w:r>
            <w:r>
              <w:rPr>
                <w:rFonts w:hint="eastAsia" w:ascii="Times New Roman" w:hAnsi="Times New Roman" w:eastAsia="宋体" w:cs="Times New Roman"/>
                <w:color w:val="auto"/>
                <w:szCs w:val="24"/>
                <w:highlight w:val="none"/>
              </w:rPr>
              <w:t>必须承诺按最高限制单价</w:t>
            </w:r>
            <w:r>
              <w:rPr>
                <w:rFonts w:hint="eastAsia" w:ascii="宋体" w:hAnsi="宋体"/>
                <w:color w:val="auto"/>
                <w:szCs w:val="21"/>
                <w:highlight w:val="none"/>
              </w:rPr>
              <w:t>（含固定</w:t>
            </w:r>
            <w:r>
              <w:rPr>
                <w:rFonts w:hint="eastAsia" w:ascii="宋体" w:hAnsi="宋体"/>
                <w:color w:val="auto"/>
                <w:szCs w:val="21"/>
                <w:highlight w:val="none"/>
                <w:lang w:val="en-US" w:eastAsia="zh-CN"/>
              </w:rPr>
              <w:t>费率</w:t>
            </w:r>
            <w:r>
              <w:rPr>
                <w:rFonts w:hint="eastAsia" w:ascii="宋体" w:hAnsi="宋体"/>
                <w:color w:val="auto"/>
                <w:szCs w:val="21"/>
                <w:highlight w:val="none"/>
              </w:rPr>
              <w:t>）</w:t>
            </w:r>
            <w:r>
              <w:rPr>
                <w:rFonts w:hint="eastAsia" w:ascii="Times New Roman" w:hAnsi="Times New Roman" w:eastAsia="宋体" w:cs="Times New Roman"/>
                <w:color w:val="auto"/>
                <w:szCs w:val="24"/>
                <w:highlight w:val="none"/>
              </w:rPr>
              <w:t>的计费方式和费率计算服务费，超过最高限制单价的响应报价为无效响应报价</w:t>
            </w:r>
            <w:r>
              <w:rPr>
                <w:rFonts w:hint="default" w:ascii="Times New Roman" w:hAnsi="Times New Roman" w:eastAsia="宋体" w:cs="Times New Roman"/>
                <w:color w:val="auto"/>
                <w:szCs w:val="24"/>
                <w:highlight w:val="none"/>
              </w:rPr>
              <w:t>。供应商的报价已包括了实施和完成</w:t>
            </w:r>
            <w:r>
              <w:rPr>
                <w:rFonts w:hint="eastAsia" w:ascii="Times New Roman" w:hAnsi="Times New Roman" w:eastAsia="宋体" w:cs="Times New Roman"/>
                <w:color w:val="auto"/>
                <w:szCs w:val="24"/>
                <w:highlight w:val="none"/>
                <w:lang w:val="en-US" w:eastAsia="zh-CN"/>
              </w:rPr>
              <w:t>服务</w:t>
            </w:r>
            <w:r>
              <w:rPr>
                <w:rFonts w:hint="default" w:ascii="Times New Roman" w:hAnsi="Times New Roman" w:eastAsia="宋体" w:cs="Times New Roman"/>
                <w:color w:val="auto"/>
                <w:szCs w:val="24"/>
                <w:highlight w:val="none"/>
              </w:rPr>
              <w:t>工作所需的劳务费、技术服务费、交通、通讯、办公场地、管理费、税费和利润等费用和政策性文件规定及合同包含的所有风险、责任等各项应有的费用。合同期内，费率不再调整。采购人不再向成交供应商支付其响应报价之外的任何费用。</w:t>
            </w:r>
          </w:p>
          <w:p w14:paraId="4CD51A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imes New Roman" w:hAnsi="Times New Roman" w:eastAsia="宋体" w:cs="Times New Roman"/>
                <w:color w:val="auto"/>
                <w:szCs w:val="24"/>
                <w:highlight w:val="none"/>
                <w:lang w:eastAsia="zh-CN"/>
              </w:rPr>
            </w:pPr>
            <w:r>
              <w:rPr>
                <w:rFonts w:hint="default" w:ascii="Times New Roman" w:hAnsi="Times New Roman" w:eastAsia="宋体" w:cs="Times New Roman"/>
                <w:b/>
                <w:bCs/>
                <w:color w:val="auto"/>
                <w:szCs w:val="24"/>
                <w:highlight w:val="none"/>
              </w:rPr>
              <w:t>注：文件中若需要填写数字价格的地方均填写“0.00”，此填写仅为了</w:t>
            </w:r>
            <w:r>
              <w:rPr>
                <w:rFonts w:hint="eastAsia" w:ascii="Times New Roman" w:hAnsi="Times New Roman" w:eastAsia="宋体" w:cs="Times New Roman"/>
                <w:b/>
                <w:bCs/>
                <w:color w:val="auto"/>
                <w:szCs w:val="24"/>
                <w:highlight w:val="none"/>
              </w:rPr>
              <w:t>响应</w:t>
            </w:r>
            <w:r>
              <w:rPr>
                <w:rFonts w:hint="default" w:ascii="Times New Roman" w:hAnsi="Times New Roman" w:eastAsia="宋体" w:cs="Times New Roman"/>
                <w:b/>
                <w:bCs/>
                <w:color w:val="auto"/>
                <w:szCs w:val="24"/>
                <w:highlight w:val="none"/>
              </w:rPr>
              <w:t>文件完整性，计费方式按上述所示。</w:t>
            </w:r>
            <w:r>
              <w:rPr>
                <w:rFonts w:hint="eastAsia" w:ascii="Times New Roman" w:hAnsi="Times New Roman" w:eastAsia="宋体" w:cs="Times New Roman"/>
                <w:b/>
                <w:bCs/>
                <w:color w:val="auto"/>
                <w:szCs w:val="24"/>
                <w:highlight w:val="none"/>
              </w:rPr>
              <w:t>本文件若有其他关于报价的描述与本条不符，均以本条为准。采购人可按不</w:t>
            </w:r>
            <w:r>
              <w:rPr>
                <w:rFonts w:hint="eastAsia" w:ascii="Times New Roman" w:hAnsi="Times New Roman" w:eastAsia="宋体" w:cs="Times New Roman"/>
                <w:b/>
                <w:bCs/>
                <w:color w:val="auto"/>
                <w:szCs w:val="24"/>
                <w:highlight w:val="none"/>
                <w:lang w:val="en-US" w:eastAsia="zh-CN"/>
              </w:rPr>
              <w:t>高</w:t>
            </w:r>
            <w:r>
              <w:rPr>
                <w:rFonts w:hint="eastAsia" w:ascii="Times New Roman" w:hAnsi="Times New Roman" w:eastAsia="宋体" w:cs="Times New Roman"/>
                <w:b/>
                <w:bCs/>
                <w:color w:val="auto"/>
                <w:szCs w:val="24"/>
                <w:highlight w:val="none"/>
              </w:rPr>
              <w:t>于中标的费率直接至</w:t>
            </w:r>
            <w:r>
              <w:rPr>
                <w:rFonts w:hint="eastAsia" w:ascii="Times New Roman" w:hAnsi="Times New Roman" w:eastAsia="宋体" w:cs="Times New Roman"/>
                <w:b/>
                <w:bCs/>
                <w:color w:val="auto"/>
                <w:szCs w:val="24"/>
                <w:highlight w:val="none"/>
                <w:lang w:val="en-US" w:eastAsia="zh-CN"/>
              </w:rPr>
              <w:t>第一阶段入围</w:t>
            </w:r>
            <w:r>
              <w:rPr>
                <w:rFonts w:hint="eastAsia" w:ascii="Times New Roman" w:hAnsi="Times New Roman" w:eastAsia="宋体" w:cs="Times New Roman"/>
                <w:b/>
                <w:bCs/>
                <w:color w:val="auto"/>
                <w:szCs w:val="24"/>
                <w:highlight w:val="none"/>
              </w:rPr>
              <w:t>供应商处采购</w:t>
            </w:r>
            <w:r>
              <w:rPr>
                <w:rFonts w:hint="eastAsia" w:ascii="Times New Roman" w:hAnsi="Times New Roman" w:eastAsia="宋体" w:cs="Times New Roman"/>
                <w:b/>
                <w:bCs/>
                <w:color w:val="auto"/>
                <w:szCs w:val="24"/>
                <w:highlight w:val="none"/>
                <w:lang w:eastAsia="zh-CN"/>
              </w:rPr>
              <w:t>。</w:t>
            </w:r>
          </w:p>
        </w:tc>
      </w:tr>
      <w:tr w14:paraId="4CCAA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6EDC4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985" w:type="pct"/>
            <w:tcBorders>
              <w:top w:val="single" w:color="auto" w:sz="4" w:space="0"/>
              <w:left w:val="single" w:color="auto" w:sz="4" w:space="0"/>
              <w:bottom w:val="single" w:color="auto" w:sz="4" w:space="0"/>
              <w:right w:val="single" w:color="auto" w:sz="4" w:space="0"/>
            </w:tcBorders>
            <w:vAlign w:val="center"/>
          </w:tcPr>
          <w:p w14:paraId="7AD55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0" w:name="_17.1"/>
            <w:bookmarkEnd w:id="70"/>
            <w:r>
              <w:rPr>
                <w:rFonts w:hint="eastAsia" w:ascii="宋体" w:hAnsi="宋体" w:eastAsia="宋体" w:cs="宋体"/>
                <w:color w:val="auto"/>
                <w:szCs w:val="21"/>
                <w:highlight w:val="none"/>
              </w:rPr>
              <w:t>响应有效期</w:t>
            </w:r>
          </w:p>
        </w:tc>
        <w:tc>
          <w:tcPr>
            <w:tcW w:w="3584" w:type="pct"/>
            <w:tcBorders>
              <w:top w:val="single" w:color="auto" w:sz="4" w:space="0"/>
              <w:left w:val="single" w:color="auto" w:sz="4" w:space="0"/>
              <w:bottom w:val="single" w:color="auto" w:sz="4" w:space="0"/>
              <w:right w:val="single" w:color="auto" w:sz="4" w:space="0"/>
            </w:tcBorders>
            <w:vAlign w:val="center"/>
          </w:tcPr>
          <w:p w14:paraId="0395FE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自响应截止之日起</w:t>
            </w:r>
            <w:r>
              <w:rPr>
                <w:rFonts w:hint="eastAsia"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4"/>
                <w:highlight w:val="none"/>
                <w:u w:val="single"/>
              </w:rPr>
              <w:t>60</w:t>
            </w:r>
            <w:r>
              <w:rPr>
                <w:rFonts w:hint="eastAsia" w:ascii="Times New Roman" w:hAnsi="Times New Roman" w:eastAsia="宋体" w:cs="Times New Roman"/>
                <w:color w:val="auto"/>
                <w:szCs w:val="24"/>
                <w:highlight w:val="none"/>
                <w:u w:val="single"/>
              </w:rPr>
              <w:t xml:space="preserve"> </w:t>
            </w:r>
            <w:r>
              <w:rPr>
                <w:rFonts w:hint="default" w:ascii="Times New Roman" w:hAnsi="Times New Roman" w:eastAsia="宋体" w:cs="Times New Roman"/>
                <w:color w:val="auto"/>
                <w:szCs w:val="24"/>
                <w:highlight w:val="none"/>
              </w:rPr>
              <w:t>日。</w:t>
            </w:r>
          </w:p>
        </w:tc>
      </w:tr>
      <w:tr w14:paraId="27E08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752DB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85" w:type="pct"/>
            <w:tcBorders>
              <w:top w:val="single" w:color="auto" w:sz="4" w:space="0"/>
              <w:left w:val="single" w:color="auto" w:sz="4" w:space="0"/>
              <w:bottom w:val="single" w:color="auto" w:sz="4" w:space="0"/>
              <w:right w:val="single" w:color="auto" w:sz="4" w:space="0"/>
            </w:tcBorders>
            <w:vAlign w:val="center"/>
          </w:tcPr>
          <w:p w14:paraId="2DB34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1" w:name="_18"/>
            <w:bookmarkEnd w:id="71"/>
            <w:r>
              <w:rPr>
                <w:rFonts w:hint="eastAsia" w:ascii="宋体" w:hAnsi="宋体" w:eastAsia="宋体" w:cs="宋体"/>
                <w:color w:val="auto"/>
                <w:szCs w:val="21"/>
                <w:highlight w:val="none"/>
              </w:rPr>
              <w:t>响应保证金金额</w:t>
            </w:r>
          </w:p>
        </w:tc>
        <w:tc>
          <w:tcPr>
            <w:tcW w:w="3584" w:type="pct"/>
            <w:tcBorders>
              <w:top w:val="single" w:color="auto" w:sz="4" w:space="0"/>
              <w:left w:val="single" w:color="auto" w:sz="4" w:space="0"/>
              <w:bottom w:val="single" w:color="auto" w:sz="4" w:space="0"/>
              <w:right w:val="single" w:color="auto" w:sz="4" w:space="0"/>
            </w:tcBorders>
            <w:vAlign w:val="center"/>
          </w:tcPr>
          <w:p w14:paraId="33AC21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本项目不收取响应保证金。</w:t>
            </w:r>
          </w:p>
        </w:tc>
      </w:tr>
      <w:tr w14:paraId="5E321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12210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985" w:type="pct"/>
            <w:tcBorders>
              <w:top w:val="single" w:color="auto" w:sz="4" w:space="0"/>
              <w:left w:val="single" w:color="auto" w:sz="4" w:space="0"/>
              <w:bottom w:val="single" w:color="auto" w:sz="4" w:space="0"/>
              <w:right w:val="single" w:color="auto" w:sz="4" w:space="0"/>
            </w:tcBorders>
            <w:vAlign w:val="center"/>
          </w:tcPr>
          <w:p w14:paraId="1F6F1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响应文件编制要求</w:t>
            </w:r>
          </w:p>
        </w:tc>
        <w:tc>
          <w:tcPr>
            <w:tcW w:w="3584" w:type="pct"/>
            <w:tcBorders>
              <w:top w:val="single" w:color="auto" w:sz="4" w:space="0"/>
              <w:left w:val="single" w:color="auto" w:sz="4" w:space="0"/>
              <w:bottom w:val="single" w:color="auto" w:sz="4" w:space="0"/>
              <w:right w:val="single" w:color="auto" w:sz="4" w:space="0"/>
            </w:tcBorders>
            <w:vAlign w:val="center"/>
          </w:tcPr>
          <w:p w14:paraId="5DE07C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color w:val="auto"/>
                <w:szCs w:val="21"/>
                <w:highlight w:val="none"/>
                <w:u w:val="single"/>
              </w:rPr>
            </w:pPr>
            <w:r>
              <w:rPr>
                <w:rFonts w:hint="eastAsia" w:ascii="宋体" w:hAnsi="宋体" w:eastAsia="宋体" w:cs="宋体"/>
                <w:color w:val="auto"/>
                <w:szCs w:val="21"/>
                <w:highlight w:val="none"/>
              </w:rPr>
              <w:t>响应文件应按报价文件、资格证明文件、商务文件、技术文件分别编制，报价文件、资格证明文件分别生成电子文件，商务文件和技术文件按顺序合并生成电子文件。</w:t>
            </w:r>
            <w:r>
              <w:rPr>
                <w:rFonts w:hint="eastAsia" w:ascii="宋体" w:hAnsi="宋体" w:eastAsia="宋体" w:cs="宋体"/>
                <w:b/>
                <w:color w:val="auto"/>
                <w:szCs w:val="21"/>
                <w:highlight w:val="none"/>
                <w:u w:val="single"/>
              </w:rPr>
              <w:t>电子版响应文件制作方式见征集公告附件。</w:t>
            </w:r>
          </w:p>
        </w:tc>
      </w:tr>
      <w:tr w14:paraId="55FD0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04A6B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85" w:type="pct"/>
            <w:tcBorders>
              <w:top w:val="single" w:color="auto" w:sz="4" w:space="0"/>
              <w:left w:val="single" w:color="auto" w:sz="4" w:space="0"/>
              <w:bottom w:val="single" w:color="auto" w:sz="4" w:space="0"/>
              <w:right w:val="single" w:color="auto" w:sz="4" w:space="0"/>
            </w:tcBorders>
            <w:vAlign w:val="center"/>
          </w:tcPr>
          <w:p w14:paraId="52965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3584" w:type="pct"/>
            <w:tcBorders>
              <w:top w:val="single" w:color="auto" w:sz="4" w:space="0"/>
              <w:left w:val="single" w:color="auto" w:sz="4" w:space="0"/>
              <w:bottom w:val="single" w:color="auto" w:sz="4" w:space="0"/>
              <w:right w:val="single" w:color="auto" w:sz="4" w:space="0"/>
            </w:tcBorders>
            <w:vAlign w:val="center"/>
          </w:tcPr>
          <w:p w14:paraId="67C70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0DD9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29" w:type="pct"/>
            <w:vMerge w:val="restart"/>
            <w:tcBorders>
              <w:top w:val="single" w:color="auto" w:sz="4" w:space="0"/>
              <w:left w:val="single" w:color="auto" w:sz="4" w:space="0"/>
              <w:right w:val="single" w:color="auto" w:sz="4" w:space="0"/>
            </w:tcBorders>
            <w:vAlign w:val="center"/>
          </w:tcPr>
          <w:p w14:paraId="354FA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985" w:type="pct"/>
            <w:tcBorders>
              <w:top w:val="single" w:color="auto" w:sz="4" w:space="0"/>
              <w:left w:val="single" w:color="auto" w:sz="4" w:space="0"/>
              <w:bottom w:val="single" w:color="auto" w:sz="4" w:space="0"/>
              <w:right w:val="single" w:color="auto" w:sz="4" w:space="0"/>
            </w:tcBorders>
            <w:vAlign w:val="center"/>
          </w:tcPr>
          <w:p w14:paraId="7C927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2" w:name="_21.1"/>
            <w:bookmarkEnd w:id="72"/>
            <w:r>
              <w:rPr>
                <w:rFonts w:hint="eastAsia" w:ascii="宋体" w:hAnsi="宋体" w:eastAsia="宋体" w:cs="宋体"/>
                <w:color w:val="auto"/>
                <w:szCs w:val="21"/>
                <w:highlight w:val="none"/>
              </w:rPr>
              <w:t>响应截止时间</w:t>
            </w:r>
          </w:p>
        </w:tc>
        <w:tc>
          <w:tcPr>
            <w:tcW w:w="3584" w:type="pct"/>
            <w:tcBorders>
              <w:top w:val="single" w:color="auto" w:sz="4" w:space="0"/>
              <w:left w:val="single" w:color="auto" w:sz="4" w:space="0"/>
              <w:bottom w:val="single" w:color="auto" w:sz="4" w:space="0"/>
              <w:right w:val="single" w:color="auto" w:sz="4" w:space="0"/>
            </w:tcBorders>
            <w:vAlign w:val="center"/>
          </w:tcPr>
          <w:p w14:paraId="0F04C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rPr>
              <w:t>详见征集公告</w:t>
            </w:r>
          </w:p>
        </w:tc>
      </w:tr>
      <w:tr w14:paraId="6F171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29" w:type="pct"/>
            <w:vMerge w:val="continue"/>
            <w:tcBorders>
              <w:left w:val="single" w:color="auto" w:sz="4" w:space="0"/>
              <w:right w:val="single" w:color="auto" w:sz="4" w:space="0"/>
            </w:tcBorders>
            <w:vAlign w:val="center"/>
          </w:tcPr>
          <w:p w14:paraId="323097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494DD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响应文件提交起止时间</w:t>
            </w:r>
          </w:p>
        </w:tc>
        <w:tc>
          <w:tcPr>
            <w:tcW w:w="3584" w:type="pct"/>
            <w:tcBorders>
              <w:top w:val="single" w:color="auto" w:sz="4" w:space="0"/>
              <w:left w:val="single" w:color="auto" w:sz="4" w:space="0"/>
              <w:bottom w:val="single" w:color="auto" w:sz="4" w:space="0"/>
              <w:right w:val="single" w:color="auto" w:sz="4" w:space="0"/>
            </w:tcBorders>
            <w:vAlign w:val="center"/>
          </w:tcPr>
          <w:p w14:paraId="442A2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详见征集公告</w:t>
            </w:r>
          </w:p>
        </w:tc>
      </w:tr>
      <w:tr w14:paraId="578CA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29" w:type="pct"/>
            <w:vMerge w:val="continue"/>
            <w:tcBorders>
              <w:left w:val="single" w:color="auto" w:sz="4" w:space="0"/>
              <w:right w:val="single" w:color="auto" w:sz="4" w:space="0"/>
            </w:tcBorders>
            <w:vAlign w:val="center"/>
          </w:tcPr>
          <w:p w14:paraId="08FD4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7019D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响应地点</w:t>
            </w:r>
          </w:p>
        </w:tc>
        <w:tc>
          <w:tcPr>
            <w:tcW w:w="3584" w:type="pct"/>
            <w:tcBorders>
              <w:top w:val="single" w:color="auto" w:sz="4" w:space="0"/>
              <w:left w:val="single" w:color="auto" w:sz="4" w:space="0"/>
              <w:bottom w:val="single" w:color="auto" w:sz="4" w:space="0"/>
              <w:right w:val="single" w:color="auto" w:sz="4" w:space="0"/>
            </w:tcBorders>
            <w:vAlign w:val="center"/>
          </w:tcPr>
          <w:p w14:paraId="2945B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详见征集公告</w:t>
            </w:r>
          </w:p>
        </w:tc>
      </w:tr>
      <w:tr w14:paraId="2EE38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29" w:type="pct"/>
            <w:vMerge w:val="continue"/>
            <w:tcBorders>
              <w:left w:val="single" w:color="auto" w:sz="4" w:space="0"/>
              <w:right w:val="single" w:color="auto" w:sz="4" w:space="0"/>
            </w:tcBorders>
            <w:vAlign w:val="center"/>
          </w:tcPr>
          <w:p w14:paraId="5B48B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3C3184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供应商递交响应样品截止时间及地点</w:t>
            </w:r>
          </w:p>
        </w:tc>
        <w:tc>
          <w:tcPr>
            <w:tcW w:w="3584" w:type="pct"/>
            <w:tcBorders>
              <w:top w:val="single" w:color="auto" w:sz="4" w:space="0"/>
              <w:left w:val="single" w:color="auto" w:sz="4" w:space="0"/>
              <w:bottom w:val="single" w:color="auto" w:sz="4" w:space="0"/>
              <w:right w:val="single" w:color="auto" w:sz="4" w:space="0"/>
            </w:tcBorders>
            <w:vAlign w:val="center"/>
          </w:tcPr>
          <w:p w14:paraId="7BE98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bCs/>
                <w:color w:val="auto"/>
                <w:szCs w:val="21"/>
                <w:highlight w:val="none"/>
              </w:rPr>
              <w:t>/</w:t>
            </w:r>
          </w:p>
        </w:tc>
      </w:tr>
      <w:tr w14:paraId="3D97B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2FB99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985" w:type="pct"/>
            <w:tcBorders>
              <w:top w:val="single" w:color="auto" w:sz="4" w:space="0"/>
              <w:left w:val="single" w:color="auto" w:sz="4" w:space="0"/>
              <w:bottom w:val="single" w:color="auto" w:sz="4" w:space="0"/>
              <w:right w:val="single" w:color="auto" w:sz="4" w:space="0"/>
            </w:tcBorders>
            <w:vAlign w:val="center"/>
          </w:tcPr>
          <w:p w14:paraId="37DD3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3" w:name="_23"/>
            <w:bookmarkEnd w:id="73"/>
            <w:r>
              <w:rPr>
                <w:rFonts w:hint="eastAsia" w:ascii="宋体" w:hAnsi="宋体" w:eastAsia="宋体" w:cs="宋体"/>
                <w:color w:val="auto"/>
                <w:szCs w:val="21"/>
                <w:highlight w:val="none"/>
              </w:rPr>
              <w:t>开标时间、地点</w:t>
            </w:r>
          </w:p>
        </w:tc>
        <w:tc>
          <w:tcPr>
            <w:tcW w:w="3584" w:type="pct"/>
            <w:tcBorders>
              <w:top w:val="single" w:color="auto" w:sz="4" w:space="0"/>
              <w:left w:val="single" w:color="auto" w:sz="4" w:space="0"/>
              <w:bottom w:val="single" w:color="auto" w:sz="4" w:space="0"/>
              <w:right w:val="single" w:color="auto" w:sz="4" w:space="0"/>
            </w:tcBorders>
            <w:vAlign w:val="center"/>
          </w:tcPr>
          <w:p w14:paraId="267DBF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详见征集公告 </w:t>
            </w:r>
          </w:p>
        </w:tc>
      </w:tr>
      <w:tr w14:paraId="767F8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570092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24.2</w:t>
            </w:r>
          </w:p>
          <w:p w14:paraId="5689F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985" w:type="pct"/>
            <w:tcBorders>
              <w:top w:val="single" w:color="auto" w:sz="4" w:space="0"/>
              <w:left w:val="single" w:color="auto" w:sz="4" w:space="0"/>
              <w:bottom w:val="single" w:color="auto" w:sz="4" w:space="0"/>
              <w:right w:val="single" w:color="auto" w:sz="4" w:space="0"/>
            </w:tcBorders>
            <w:vAlign w:val="center"/>
          </w:tcPr>
          <w:p w14:paraId="586010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解密电子响应文件</w:t>
            </w:r>
          </w:p>
        </w:tc>
        <w:tc>
          <w:tcPr>
            <w:tcW w:w="3584" w:type="pct"/>
            <w:tcBorders>
              <w:top w:val="single" w:color="auto" w:sz="4" w:space="0"/>
              <w:left w:val="single" w:color="auto" w:sz="4" w:space="0"/>
              <w:bottom w:val="single" w:color="auto" w:sz="4" w:space="0"/>
              <w:right w:val="single" w:color="auto" w:sz="4" w:space="0"/>
            </w:tcBorders>
            <w:vAlign w:val="center"/>
          </w:tcPr>
          <w:p w14:paraId="0EEFD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电子响应文件解密时间：30分钟</w:t>
            </w:r>
          </w:p>
        </w:tc>
      </w:tr>
      <w:tr w14:paraId="55B34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429" w:type="pct"/>
            <w:vMerge w:val="restart"/>
            <w:tcBorders>
              <w:top w:val="single" w:color="auto" w:sz="4" w:space="0"/>
              <w:left w:val="single" w:color="auto" w:sz="4" w:space="0"/>
              <w:right w:val="single" w:color="auto" w:sz="4" w:space="0"/>
            </w:tcBorders>
            <w:vAlign w:val="center"/>
          </w:tcPr>
          <w:p w14:paraId="57FDD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985" w:type="pct"/>
            <w:tcBorders>
              <w:top w:val="single" w:color="auto" w:sz="4" w:space="0"/>
              <w:left w:val="single" w:color="auto" w:sz="4" w:space="0"/>
              <w:bottom w:val="single" w:color="auto" w:sz="4" w:space="0"/>
              <w:right w:val="single" w:color="auto" w:sz="4" w:space="0"/>
            </w:tcBorders>
            <w:vAlign w:val="center"/>
          </w:tcPr>
          <w:p w14:paraId="69AAD4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4" w:name="_25.3"/>
            <w:bookmarkEnd w:id="74"/>
            <w:r>
              <w:rPr>
                <w:rFonts w:hint="eastAsia" w:ascii="宋体" w:hAnsi="宋体" w:eastAsia="宋体" w:cs="宋体"/>
                <w:color w:val="auto"/>
                <w:szCs w:val="21"/>
                <w:highlight w:val="none"/>
              </w:rPr>
              <w:t>供应商信用查询渠道</w:t>
            </w:r>
          </w:p>
        </w:tc>
        <w:tc>
          <w:tcPr>
            <w:tcW w:w="3584" w:type="pct"/>
            <w:tcBorders>
              <w:top w:val="single" w:color="auto" w:sz="4" w:space="0"/>
              <w:left w:val="single" w:color="auto" w:sz="4" w:space="0"/>
              <w:bottom w:val="single" w:color="auto" w:sz="4" w:space="0"/>
              <w:right w:val="single" w:color="auto" w:sz="4" w:space="0"/>
            </w:tcBorders>
            <w:vAlign w:val="center"/>
          </w:tcPr>
          <w:p w14:paraId="33305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征集人或者采购代理机构在资格审查结束前，对供应商进行信用查询。</w:t>
            </w:r>
          </w:p>
          <w:p w14:paraId="2E735E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 、中国政府采购网(www.ccgp.gov.cn)。</w:t>
            </w:r>
          </w:p>
        </w:tc>
      </w:tr>
      <w:tr w14:paraId="1C08A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29" w:type="pct"/>
            <w:vMerge w:val="continue"/>
            <w:tcBorders>
              <w:left w:val="single" w:color="auto" w:sz="4" w:space="0"/>
              <w:right w:val="single" w:color="auto" w:sz="4" w:space="0"/>
            </w:tcBorders>
            <w:vAlign w:val="center"/>
          </w:tcPr>
          <w:p w14:paraId="70637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2814A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3584" w:type="pct"/>
            <w:tcBorders>
              <w:top w:val="single" w:color="auto" w:sz="4" w:space="0"/>
              <w:left w:val="single" w:color="auto" w:sz="4" w:space="0"/>
              <w:bottom w:val="single" w:color="auto" w:sz="4" w:space="0"/>
              <w:right w:val="single" w:color="auto" w:sz="4" w:space="0"/>
            </w:tcBorders>
            <w:vAlign w:val="center"/>
          </w:tcPr>
          <w:p w14:paraId="1E773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7D3DC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29" w:type="pct"/>
            <w:vMerge w:val="continue"/>
            <w:tcBorders>
              <w:left w:val="single" w:color="auto" w:sz="4" w:space="0"/>
              <w:right w:val="single" w:color="auto" w:sz="4" w:space="0"/>
            </w:tcBorders>
            <w:vAlign w:val="center"/>
          </w:tcPr>
          <w:p w14:paraId="7E34E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5E5CF3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3584" w:type="pct"/>
            <w:tcBorders>
              <w:top w:val="single" w:color="auto" w:sz="4" w:space="0"/>
              <w:left w:val="single" w:color="auto" w:sz="4" w:space="0"/>
              <w:bottom w:val="single" w:color="auto" w:sz="4" w:space="0"/>
              <w:right w:val="single" w:color="auto" w:sz="4" w:space="0"/>
            </w:tcBorders>
            <w:vAlign w:val="center"/>
          </w:tcPr>
          <w:p w14:paraId="767E4D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作为附件上传保存。</w:t>
            </w:r>
          </w:p>
        </w:tc>
      </w:tr>
      <w:tr w14:paraId="60B3E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9" w:type="pct"/>
            <w:vMerge w:val="continue"/>
            <w:tcBorders>
              <w:left w:val="single" w:color="auto" w:sz="4" w:space="0"/>
              <w:bottom w:val="single" w:color="auto" w:sz="4" w:space="0"/>
              <w:right w:val="single" w:color="auto" w:sz="4" w:space="0"/>
            </w:tcBorders>
            <w:vAlign w:val="center"/>
          </w:tcPr>
          <w:p w14:paraId="57B972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30FFB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3584" w:type="pct"/>
            <w:tcBorders>
              <w:top w:val="single" w:color="auto" w:sz="4" w:space="0"/>
              <w:left w:val="single" w:color="auto" w:sz="4" w:space="0"/>
              <w:bottom w:val="single" w:color="auto" w:sz="4" w:space="0"/>
              <w:right w:val="single" w:color="auto" w:sz="4" w:space="0"/>
            </w:tcBorders>
            <w:vAlign w:val="center"/>
          </w:tcPr>
          <w:p w14:paraId="3161AF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C507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9" w:type="pct"/>
            <w:tcBorders>
              <w:left w:val="single" w:color="auto" w:sz="4" w:space="0"/>
              <w:bottom w:val="single" w:color="auto" w:sz="4" w:space="0"/>
              <w:right w:val="single" w:color="auto" w:sz="4" w:space="0"/>
            </w:tcBorders>
            <w:vAlign w:val="center"/>
          </w:tcPr>
          <w:p w14:paraId="14DDBB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985" w:type="pct"/>
            <w:tcBorders>
              <w:top w:val="single" w:color="auto" w:sz="4" w:space="0"/>
              <w:left w:val="single" w:color="auto" w:sz="4" w:space="0"/>
              <w:bottom w:val="single" w:color="auto" w:sz="4" w:space="0"/>
              <w:right w:val="single" w:color="auto" w:sz="4" w:space="0"/>
            </w:tcBorders>
            <w:vAlign w:val="center"/>
          </w:tcPr>
          <w:p w14:paraId="29CD1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组建评审委员会</w:t>
            </w:r>
          </w:p>
        </w:tc>
        <w:tc>
          <w:tcPr>
            <w:tcW w:w="3584" w:type="pct"/>
            <w:tcBorders>
              <w:top w:val="single" w:color="auto" w:sz="4" w:space="0"/>
              <w:left w:val="single" w:color="auto" w:sz="4" w:space="0"/>
              <w:bottom w:val="single" w:color="auto" w:sz="4" w:space="0"/>
              <w:right w:val="single" w:color="auto" w:sz="4" w:space="0"/>
            </w:tcBorders>
            <w:vAlign w:val="center"/>
          </w:tcPr>
          <w:p w14:paraId="291C5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评审小组的人数：5人或以上单数组成。</w:t>
            </w:r>
          </w:p>
        </w:tc>
      </w:tr>
      <w:tr w14:paraId="0B908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584DD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985" w:type="pct"/>
            <w:tcBorders>
              <w:top w:val="single" w:color="auto" w:sz="4" w:space="0"/>
              <w:left w:val="single" w:color="auto" w:sz="4" w:space="0"/>
              <w:bottom w:val="single" w:color="auto" w:sz="4" w:space="0"/>
              <w:right w:val="single" w:color="auto" w:sz="4" w:space="0"/>
            </w:tcBorders>
            <w:vAlign w:val="center"/>
          </w:tcPr>
          <w:p w14:paraId="26417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5" w:name="_26"/>
            <w:bookmarkEnd w:id="75"/>
            <w:bookmarkStart w:id="76" w:name="_28.3"/>
            <w:bookmarkEnd w:id="76"/>
            <w:r>
              <w:rPr>
                <w:rFonts w:hint="eastAsia" w:ascii="宋体" w:hAnsi="宋体" w:eastAsia="宋体" w:cs="宋体"/>
                <w:color w:val="auto"/>
                <w:szCs w:val="21"/>
                <w:highlight w:val="none"/>
              </w:rPr>
              <w:t>评审方法</w:t>
            </w:r>
          </w:p>
        </w:tc>
        <w:tc>
          <w:tcPr>
            <w:tcW w:w="3584" w:type="pct"/>
            <w:tcBorders>
              <w:top w:val="single" w:color="auto" w:sz="4" w:space="0"/>
              <w:left w:val="single" w:color="auto" w:sz="4" w:space="0"/>
              <w:bottom w:val="single" w:color="auto" w:sz="4" w:space="0"/>
              <w:right w:val="single" w:color="auto" w:sz="4" w:space="0"/>
            </w:tcBorders>
            <w:vAlign w:val="center"/>
          </w:tcPr>
          <w:p w14:paraId="3F0F53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质量优先法</w:t>
            </w:r>
          </w:p>
        </w:tc>
      </w:tr>
      <w:tr w14:paraId="6AB09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29" w:type="pct"/>
            <w:tcBorders>
              <w:top w:val="single" w:color="auto" w:sz="4" w:space="0"/>
              <w:left w:val="single" w:color="auto" w:sz="4" w:space="0"/>
              <w:right w:val="single" w:color="auto" w:sz="4" w:space="0"/>
            </w:tcBorders>
            <w:vAlign w:val="center"/>
          </w:tcPr>
          <w:p w14:paraId="6C41D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985" w:type="pct"/>
            <w:tcBorders>
              <w:top w:val="single" w:color="auto" w:sz="4" w:space="0"/>
              <w:left w:val="single" w:color="auto" w:sz="4" w:space="0"/>
              <w:right w:val="single" w:color="auto" w:sz="4" w:space="0"/>
            </w:tcBorders>
            <w:vAlign w:val="center"/>
          </w:tcPr>
          <w:p w14:paraId="64C73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7" w:name="_29.2.2（2）"/>
            <w:bookmarkEnd w:id="77"/>
            <w:r>
              <w:rPr>
                <w:rFonts w:hint="eastAsia" w:ascii="宋体" w:hAnsi="宋体" w:eastAsia="宋体" w:cs="宋体"/>
                <w:color w:val="auto"/>
                <w:szCs w:val="21"/>
                <w:highlight w:val="none"/>
              </w:rPr>
              <w:t>允许负偏离项</w:t>
            </w:r>
          </w:p>
        </w:tc>
        <w:tc>
          <w:tcPr>
            <w:tcW w:w="3584" w:type="pct"/>
            <w:tcBorders>
              <w:top w:val="single" w:color="auto" w:sz="4" w:space="0"/>
              <w:left w:val="single" w:color="auto" w:sz="4" w:space="0"/>
              <w:right w:val="single" w:color="auto" w:sz="4" w:space="0"/>
            </w:tcBorders>
            <w:vAlign w:val="center"/>
          </w:tcPr>
          <w:p w14:paraId="09F72A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14:paraId="593CB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14:paraId="5C022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77EA0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985" w:type="pct"/>
            <w:tcBorders>
              <w:top w:val="single" w:color="auto" w:sz="4" w:space="0"/>
              <w:left w:val="single" w:color="auto" w:sz="4" w:space="0"/>
              <w:bottom w:val="single" w:color="auto" w:sz="4" w:space="0"/>
              <w:right w:val="single" w:color="auto" w:sz="4" w:space="0"/>
            </w:tcBorders>
            <w:vAlign w:val="center"/>
          </w:tcPr>
          <w:p w14:paraId="371F79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确定供应商时，出现入围候选人分数并列的情形，确定供应商方式 </w:t>
            </w:r>
          </w:p>
        </w:tc>
        <w:tc>
          <w:tcPr>
            <w:tcW w:w="3584" w:type="pct"/>
            <w:tcBorders>
              <w:top w:val="single" w:color="auto" w:sz="4" w:space="0"/>
              <w:left w:val="single" w:color="auto" w:sz="4" w:space="0"/>
              <w:bottom w:val="single" w:color="auto" w:sz="4" w:space="0"/>
              <w:right w:val="single" w:color="auto" w:sz="4" w:space="0"/>
            </w:tcBorders>
            <w:vAlign w:val="center"/>
          </w:tcPr>
          <w:p w14:paraId="5B87F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b/>
                <w:color w:val="auto"/>
                <w:szCs w:val="21"/>
                <w:highlight w:val="none"/>
              </w:rPr>
            </w:pPr>
            <w:r>
              <w:rPr>
                <w:rFonts w:hint="eastAsia" w:ascii="宋体" w:hAnsi="宋体" w:eastAsia="宋体" w:cs="宋体"/>
                <w:color w:val="auto"/>
                <w:szCs w:val="21"/>
                <w:highlight w:val="none"/>
              </w:rPr>
              <w:t>质量优先法，按总得分从高分到低分进行排名，按排名先后顺序确定入围供应商，如出现总得分相等时</w:t>
            </w:r>
            <w:r>
              <w:rPr>
                <w:rFonts w:hint="eastAsia" w:ascii="宋体" w:hAnsi="宋体" w:eastAsia="宋体" w:cs="宋体"/>
                <w:color w:val="auto"/>
                <w:szCs w:val="24"/>
                <w:highlight w:val="none"/>
              </w:rPr>
              <w:t>，按商务分高优先</w:t>
            </w:r>
            <w:r>
              <w:rPr>
                <w:rFonts w:hint="eastAsia" w:ascii="宋体" w:hAnsi="宋体" w:eastAsia="宋体" w:cs="宋体"/>
                <w:color w:val="auto"/>
                <w:szCs w:val="21"/>
                <w:highlight w:val="none"/>
              </w:rPr>
              <w:t>，如商务分得分亦相等时，则由评委无记名投票确定入围供应商。</w:t>
            </w:r>
          </w:p>
        </w:tc>
      </w:tr>
      <w:tr w14:paraId="1F70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9" w:type="pct"/>
            <w:tcBorders>
              <w:top w:val="single" w:color="auto" w:sz="4" w:space="0"/>
              <w:left w:val="single" w:color="auto" w:sz="4" w:space="0"/>
              <w:bottom w:val="single" w:color="auto" w:sz="4" w:space="0"/>
              <w:right w:val="single" w:color="auto" w:sz="4" w:space="0"/>
            </w:tcBorders>
            <w:vAlign w:val="center"/>
          </w:tcPr>
          <w:p w14:paraId="52025C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985" w:type="pct"/>
            <w:tcBorders>
              <w:top w:val="single" w:color="auto" w:sz="4" w:space="0"/>
              <w:left w:val="single" w:color="auto" w:sz="4" w:space="0"/>
              <w:bottom w:val="single" w:color="auto" w:sz="4" w:space="0"/>
              <w:right w:val="single" w:color="auto" w:sz="4" w:space="0"/>
            </w:tcBorders>
            <w:vAlign w:val="center"/>
          </w:tcPr>
          <w:p w14:paraId="5E054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8" w:name="_39.1"/>
            <w:bookmarkEnd w:id="78"/>
            <w:r>
              <w:rPr>
                <w:rFonts w:hint="eastAsia" w:ascii="宋体" w:hAnsi="宋体" w:eastAsia="宋体" w:cs="宋体"/>
                <w:color w:val="auto"/>
                <w:szCs w:val="21"/>
                <w:highlight w:val="none"/>
              </w:rPr>
              <w:t>履约保证金金额</w:t>
            </w:r>
          </w:p>
        </w:tc>
        <w:tc>
          <w:tcPr>
            <w:tcW w:w="3584" w:type="pct"/>
            <w:tcBorders>
              <w:top w:val="single" w:color="auto" w:sz="4" w:space="0"/>
              <w:left w:val="single" w:color="auto" w:sz="4" w:space="0"/>
              <w:bottom w:val="single" w:color="auto" w:sz="4" w:space="0"/>
              <w:right w:val="single" w:color="auto" w:sz="4" w:space="0"/>
            </w:tcBorders>
            <w:vAlign w:val="bottom"/>
          </w:tcPr>
          <w:p w14:paraId="316A3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本项目不收取履约保证金。</w:t>
            </w:r>
          </w:p>
        </w:tc>
      </w:tr>
      <w:tr w14:paraId="05C6B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511A9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985" w:type="pct"/>
            <w:tcBorders>
              <w:top w:val="single" w:color="auto" w:sz="4" w:space="0"/>
              <w:left w:val="single" w:color="auto" w:sz="4" w:space="0"/>
              <w:bottom w:val="single" w:color="auto" w:sz="4" w:space="0"/>
              <w:right w:val="single" w:color="auto" w:sz="4" w:space="0"/>
            </w:tcBorders>
            <w:vAlign w:val="center"/>
          </w:tcPr>
          <w:p w14:paraId="34C496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79" w:name="_40.1"/>
            <w:bookmarkEnd w:id="79"/>
            <w:r>
              <w:rPr>
                <w:rFonts w:hint="eastAsia" w:ascii="宋体" w:hAnsi="宋体" w:eastAsia="宋体" w:cs="宋体"/>
                <w:color w:val="auto"/>
                <w:szCs w:val="21"/>
                <w:highlight w:val="none"/>
              </w:rPr>
              <w:t>签订电子合同携带的材料</w:t>
            </w:r>
          </w:p>
        </w:tc>
        <w:tc>
          <w:tcPr>
            <w:tcW w:w="3584" w:type="pct"/>
            <w:tcBorders>
              <w:top w:val="single" w:color="auto" w:sz="4" w:space="0"/>
              <w:left w:val="single" w:color="auto" w:sz="4" w:space="0"/>
              <w:bottom w:val="single" w:color="auto" w:sz="4" w:space="0"/>
              <w:right w:val="single" w:color="auto" w:sz="4" w:space="0"/>
            </w:tcBorders>
            <w:vAlign w:val="center"/>
          </w:tcPr>
          <w:p w14:paraId="4EAC4D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电子采购合同需要供应商通过有效CA证书进行电子签名与签章</w:t>
            </w:r>
          </w:p>
        </w:tc>
      </w:tr>
      <w:tr w14:paraId="36DDB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9" w:type="pct"/>
            <w:vMerge w:val="restart"/>
            <w:tcBorders>
              <w:top w:val="single" w:color="auto" w:sz="4" w:space="0"/>
              <w:left w:val="single" w:color="auto" w:sz="4" w:space="0"/>
              <w:right w:val="single" w:color="auto" w:sz="4" w:space="0"/>
            </w:tcBorders>
            <w:vAlign w:val="center"/>
          </w:tcPr>
          <w:p w14:paraId="1D4DF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985" w:type="pct"/>
            <w:tcBorders>
              <w:top w:val="single" w:color="auto" w:sz="4" w:space="0"/>
              <w:left w:val="single" w:color="auto" w:sz="4" w:space="0"/>
              <w:bottom w:val="single" w:color="auto" w:sz="4" w:space="0"/>
              <w:right w:val="single" w:color="auto" w:sz="4" w:space="0"/>
            </w:tcBorders>
            <w:vAlign w:val="center"/>
          </w:tcPr>
          <w:p w14:paraId="0ACBE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3584" w:type="pct"/>
            <w:tcBorders>
              <w:top w:val="single" w:color="auto" w:sz="4" w:space="0"/>
              <w:left w:val="single" w:color="auto" w:sz="4" w:space="0"/>
              <w:bottom w:val="single" w:color="auto" w:sz="4" w:space="0"/>
              <w:right w:val="single" w:color="auto" w:sz="4" w:space="0"/>
            </w:tcBorders>
            <w:vAlign w:val="center"/>
          </w:tcPr>
          <w:p w14:paraId="68C26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2646B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29" w:type="pct"/>
            <w:vMerge w:val="continue"/>
            <w:tcBorders>
              <w:left w:val="single" w:color="auto" w:sz="4" w:space="0"/>
              <w:right w:val="single" w:color="auto" w:sz="4" w:space="0"/>
            </w:tcBorders>
            <w:vAlign w:val="center"/>
          </w:tcPr>
          <w:p w14:paraId="1CF5A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322F57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3584" w:type="pct"/>
            <w:tcBorders>
              <w:top w:val="single" w:color="auto" w:sz="4" w:space="0"/>
              <w:left w:val="single" w:color="auto" w:sz="4" w:space="0"/>
              <w:bottom w:val="single" w:color="auto" w:sz="4" w:space="0"/>
              <w:right w:val="single" w:color="auto" w:sz="4" w:space="0"/>
            </w:tcBorders>
            <w:vAlign w:val="center"/>
          </w:tcPr>
          <w:p w14:paraId="1D48AC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Pr>
                <w:rFonts w:hint="default"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质疑联系部门：</w:t>
            </w:r>
            <w:r>
              <w:rPr>
                <w:rFonts w:hint="eastAsia" w:ascii="宋体" w:hAnsi="宋体" w:eastAsia="宋体" w:cs="宋体"/>
                <w:color w:val="auto"/>
                <w:szCs w:val="21"/>
                <w:highlight w:val="none"/>
                <w:u w:val="single"/>
                <w:lang w:val="en-US" w:eastAsia="zh-CN"/>
              </w:rPr>
              <w:t>广西城建咨询设计有限公司</w:t>
            </w:r>
          </w:p>
          <w:p w14:paraId="1CCB3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val="en-US" w:eastAsia="zh-CN"/>
              </w:rPr>
              <w:t>0771-5823850</w:t>
            </w:r>
          </w:p>
          <w:p w14:paraId="7EEF1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rPr>
              <w:t>南宁市青秀区金湖路58号广西建设大厦三楼</w:t>
            </w:r>
          </w:p>
        </w:tc>
      </w:tr>
      <w:tr w14:paraId="5DE47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29" w:type="pct"/>
            <w:vMerge w:val="continue"/>
            <w:tcBorders>
              <w:left w:val="single" w:color="auto" w:sz="4" w:space="0"/>
              <w:bottom w:val="single" w:color="auto" w:sz="4" w:space="0"/>
              <w:right w:val="single" w:color="auto" w:sz="4" w:space="0"/>
            </w:tcBorders>
            <w:vAlign w:val="center"/>
          </w:tcPr>
          <w:p w14:paraId="141C7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47DBF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4"/>
                <w:highlight w:val="none"/>
              </w:rPr>
              <w:t>现场提交质疑办理业务时间</w:t>
            </w:r>
          </w:p>
        </w:tc>
        <w:tc>
          <w:tcPr>
            <w:tcW w:w="3584" w:type="pct"/>
            <w:tcBorders>
              <w:top w:val="single" w:color="auto" w:sz="4" w:space="0"/>
              <w:left w:val="single" w:color="auto" w:sz="4" w:space="0"/>
              <w:bottom w:val="single" w:color="auto" w:sz="4" w:space="0"/>
              <w:right w:val="single" w:color="auto" w:sz="4" w:space="0"/>
            </w:tcBorders>
            <w:vAlign w:val="center"/>
          </w:tcPr>
          <w:p w14:paraId="791F92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4"/>
                <w:highlight w:val="none"/>
              </w:rPr>
              <w:t>质疑期内每个工作日</w:t>
            </w:r>
            <w:r>
              <w:rPr>
                <w:rFonts w:hint="eastAsia" w:ascii="宋体" w:hAnsi="宋体" w:eastAsia="宋体" w:cs="宋体"/>
                <w:color w:val="auto"/>
                <w:szCs w:val="24"/>
                <w:highlight w:val="none"/>
                <w:u w:val="single"/>
              </w:rPr>
              <w:t xml:space="preserve"> 9 </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u w:val="single"/>
              </w:rPr>
              <w:t xml:space="preserve"> 00 </w:t>
            </w:r>
            <w:r>
              <w:rPr>
                <w:rFonts w:hint="eastAsia" w:ascii="宋体" w:hAnsi="宋体" w:eastAsia="宋体" w:cs="宋体"/>
                <w:color w:val="auto"/>
                <w:szCs w:val="24"/>
                <w:highlight w:val="none"/>
              </w:rPr>
              <w:t>分到</w:t>
            </w:r>
            <w:r>
              <w:rPr>
                <w:rFonts w:hint="eastAsia" w:ascii="宋体" w:hAnsi="宋体" w:eastAsia="宋体" w:cs="宋体"/>
                <w:color w:val="auto"/>
                <w:szCs w:val="24"/>
                <w:highlight w:val="none"/>
                <w:u w:val="single"/>
              </w:rPr>
              <w:t xml:space="preserve"> 12 </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u w:val="single"/>
              </w:rPr>
              <w:t xml:space="preserve"> 00 </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u w:val="single"/>
              </w:rPr>
              <w:t xml:space="preserve"> 15 </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u w:val="single"/>
              </w:rPr>
              <w:t xml:space="preserve"> 00</w:t>
            </w:r>
            <w:r>
              <w:rPr>
                <w:rFonts w:hint="eastAsia" w:ascii="宋体" w:hAnsi="宋体" w:eastAsia="宋体" w:cs="宋体"/>
                <w:color w:val="auto"/>
                <w:szCs w:val="24"/>
                <w:highlight w:val="none"/>
              </w:rPr>
              <w:t>分到</w:t>
            </w:r>
            <w:r>
              <w:rPr>
                <w:rFonts w:hint="eastAsia" w:ascii="宋体" w:hAnsi="宋体" w:eastAsia="宋体" w:cs="宋体"/>
                <w:color w:val="auto"/>
                <w:szCs w:val="24"/>
                <w:highlight w:val="none"/>
                <w:u w:val="single"/>
              </w:rPr>
              <w:t xml:space="preserve"> 17 </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u w:val="single"/>
              </w:rPr>
              <w:t>30</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分</w:t>
            </w:r>
          </w:p>
        </w:tc>
      </w:tr>
      <w:tr w14:paraId="43B09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29" w:type="pct"/>
            <w:tcBorders>
              <w:left w:val="single" w:color="auto" w:sz="4" w:space="0"/>
              <w:bottom w:val="single" w:color="auto" w:sz="4" w:space="0"/>
              <w:right w:val="single" w:color="auto" w:sz="4" w:space="0"/>
            </w:tcBorders>
            <w:vAlign w:val="center"/>
          </w:tcPr>
          <w:p w14:paraId="2EBC64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985" w:type="pct"/>
            <w:tcBorders>
              <w:top w:val="single" w:color="auto" w:sz="4" w:space="0"/>
              <w:left w:val="single" w:color="auto" w:sz="4" w:space="0"/>
              <w:bottom w:val="single" w:color="auto" w:sz="4" w:space="0"/>
              <w:right w:val="single" w:color="auto" w:sz="4" w:space="0"/>
            </w:tcBorders>
            <w:vAlign w:val="center"/>
          </w:tcPr>
          <w:p w14:paraId="18330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rPr>
            </w:pPr>
            <w:r>
              <w:rPr>
                <w:rFonts w:hint="eastAsia" w:ascii="宋体" w:hAnsi="宋体" w:eastAsia="宋体" w:cs="宋体"/>
                <w:color w:val="auto"/>
                <w:szCs w:val="24"/>
                <w:highlight w:val="none"/>
              </w:rPr>
              <w:t>投诉受理方式</w:t>
            </w:r>
          </w:p>
        </w:tc>
        <w:tc>
          <w:tcPr>
            <w:tcW w:w="3584" w:type="pct"/>
            <w:tcBorders>
              <w:top w:val="single" w:color="auto" w:sz="4" w:space="0"/>
              <w:left w:val="single" w:color="auto" w:sz="4" w:space="0"/>
              <w:bottom w:val="single" w:color="auto" w:sz="4" w:space="0"/>
              <w:right w:val="single" w:color="auto" w:sz="4" w:space="0"/>
            </w:tcBorders>
            <w:vAlign w:val="center"/>
          </w:tcPr>
          <w:p w14:paraId="1908D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受理方式：纸质方式受理，投诉书正、副本（经过质疑的事项才可投诉）</w:t>
            </w:r>
            <w:r>
              <w:rPr>
                <w:rFonts w:hint="eastAsia" w:ascii="宋体" w:hAnsi="宋体" w:eastAsia="宋体" w:cs="宋体"/>
                <w:color w:val="auto"/>
                <w:szCs w:val="24"/>
                <w:highlight w:val="none"/>
                <w:lang w:eastAsia="zh-CN"/>
              </w:rPr>
              <w:t>。</w:t>
            </w:r>
          </w:p>
          <w:p w14:paraId="5ED87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rPr>
            </w:pPr>
            <w:r>
              <w:rPr>
                <w:rFonts w:hint="eastAsia" w:ascii="宋体" w:hAnsi="宋体" w:eastAsia="宋体" w:cs="宋体"/>
                <w:color w:val="auto"/>
                <w:szCs w:val="24"/>
                <w:highlight w:val="none"/>
              </w:rPr>
              <w:t>邮寄地址：</w:t>
            </w:r>
          </w:p>
          <w:p w14:paraId="449B8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名称：</w:t>
            </w:r>
            <w:r>
              <w:rPr>
                <w:rFonts w:hint="eastAsia" w:ascii="宋体" w:hAnsi="宋体" w:eastAsia="宋体" w:cs="宋体"/>
                <w:color w:val="auto"/>
                <w:szCs w:val="21"/>
                <w:highlight w:val="none"/>
                <w:u w:val="single"/>
              </w:rPr>
              <w:t>中国</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马来西亚钦州产业园区财政金融局</w:t>
            </w:r>
          </w:p>
          <w:p w14:paraId="1529C2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地址：</w:t>
            </w:r>
            <w:r>
              <w:rPr>
                <w:rFonts w:hint="eastAsia" w:ascii="宋体" w:hAnsi="宋体" w:eastAsia="宋体" w:cs="宋体"/>
                <w:color w:val="auto"/>
                <w:szCs w:val="21"/>
                <w:highlight w:val="none"/>
                <w:u w:val="single"/>
              </w:rPr>
              <w:t>广西钦州市中马钦州产业园区中马大街1号</w:t>
            </w:r>
          </w:p>
          <w:p w14:paraId="6F9963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4"/>
                <w:highlight w:val="none"/>
              </w:rPr>
            </w:pPr>
            <w:r>
              <w:rPr>
                <w:rFonts w:hint="eastAsia" w:ascii="宋体" w:hAnsi="宋体" w:eastAsia="宋体" w:cs="宋体"/>
                <w:color w:val="auto"/>
                <w:szCs w:val="24"/>
                <w:highlight w:val="none"/>
              </w:rPr>
              <w:t>联系电话：</w:t>
            </w:r>
            <w:r>
              <w:rPr>
                <w:rFonts w:hint="eastAsia" w:ascii="宋体" w:hAnsi="宋体" w:eastAsia="宋体" w:cs="宋体"/>
                <w:color w:val="auto"/>
                <w:szCs w:val="21"/>
                <w:highlight w:val="none"/>
                <w:u w:val="single"/>
              </w:rPr>
              <w:t xml:space="preserve">0777-5988166 </w:t>
            </w:r>
          </w:p>
        </w:tc>
      </w:tr>
      <w:tr w14:paraId="5DBDB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29" w:type="pct"/>
            <w:vMerge w:val="restart"/>
            <w:tcBorders>
              <w:top w:val="single" w:color="auto" w:sz="4" w:space="0"/>
              <w:left w:val="single" w:color="auto" w:sz="4" w:space="0"/>
              <w:right w:val="single" w:color="auto" w:sz="4" w:space="0"/>
            </w:tcBorders>
            <w:vAlign w:val="center"/>
          </w:tcPr>
          <w:p w14:paraId="6306B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985" w:type="pct"/>
            <w:tcBorders>
              <w:top w:val="single" w:color="auto" w:sz="4" w:space="0"/>
              <w:left w:val="single" w:color="auto" w:sz="4" w:space="0"/>
              <w:bottom w:val="single" w:color="auto" w:sz="4" w:space="0"/>
              <w:right w:val="single" w:color="auto" w:sz="4" w:space="0"/>
            </w:tcBorders>
            <w:vAlign w:val="center"/>
          </w:tcPr>
          <w:p w14:paraId="5F4977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bookmarkStart w:id="80" w:name="_42"/>
            <w:bookmarkEnd w:id="80"/>
            <w:bookmarkStart w:id="81" w:name="_41"/>
            <w:bookmarkEnd w:id="81"/>
            <w:r>
              <w:rPr>
                <w:rFonts w:hint="eastAsia" w:ascii="宋体" w:hAnsi="宋体" w:eastAsia="宋体" w:cs="宋体"/>
                <w:color w:val="auto"/>
                <w:szCs w:val="24"/>
                <w:highlight w:val="none"/>
              </w:rPr>
              <w:t>采购代理费支付方式</w:t>
            </w:r>
          </w:p>
        </w:tc>
        <w:tc>
          <w:tcPr>
            <w:tcW w:w="3584" w:type="pct"/>
            <w:tcBorders>
              <w:top w:val="single" w:color="auto" w:sz="4" w:space="0"/>
              <w:left w:val="single" w:color="auto" w:sz="4" w:space="0"/>
              <w:bottom w:val="single" w:color="auto" w:sz="4" w:space="0"/>
              <w:right w:val="single" w:color="auto" w:sz="4" w:space="0"/>
            </w:tcBorders>
            <w:vAlign w:val="center"/>
          </w:tcPr>
          <w:p w14:paraId="44DFE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0"/>
                <w:highlight w:val="none"/>
              </w:rPr>
            </w:pPr>
            <w:r>
              <w:rPr>
                <w:rFonts w:hint="eastAsia" w:ascii="宋体" w:hAnsi="宋体" w:eastAsia="宋体" w:cs="宋体"/>
                <w:color w:val="auto"/>
                <w:szCs w:val="20"/>
                <w:highlight w:val="none"/>
              </w:rPr>
              <w:sym w:font="Wingdings 2" w:char="0052"/>
            </w:r>
            <w:r>
              <w:rPr>
                <w:rFonts w:hint="eastAsia" w:ascii="宋体" w:hAnsi="宋体" w:eastAsia="宋体" w:cs="宋体"/>
                <w:color w:val="auto"/>
                <w:szCs w:val="20"/>
                <w:highlight w:val="none"/>
              </w:rPr>
              <w:t>本项目代理服务费由</w:t>
            </w:r>
            <w:r>
              <w:rPr>
                <w:rFonts w:hint="eastAsia" w:ascii="宋体" w:hAnsi="宋体" w:eastAsia="宋体" w:cs="宋体"/>
                <w:color w:val="auto"/>
                <w:szCs w:val="20"/>
                <w:highlight w:val="none"/>
                <w:u w:val="single"/>
              </w:rPr>
              <w:t>供应商</w:t>
            </w:r>
            <w:r>
              <w:rPr>
                <w:rFonts w:hint="eastAsia" w:ascii="宋体" w:hAnsi="宋体" w:eastAsia="宋体" w:cs="宋体"/>
                <w:color w:val="auto"/>
                <w:szCs w:val="20"/>
                <w:highlight w:val="none"/>
              </w:rPr>
              <w:t>在领取入围通知书前，一次性向采购代理机构支付。</w:t>
            </w:r>
          </w:p>
        </w:tc>
      </w:tr>
      <w:tr w14:paraId="13510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29" w:type="pct"/>
            <w:vMerge w:val="continue"/>
            <w:tcBorders>
              <w:left w:val="single" w:color="auto" w:sz="4" w:space="0"/>
              <w:right w:val="single" w:color="auto" w:sz="4" w:space="0"/>
            </w:tcBorders>
            <w:vAlign w:val="center"/>
          </w:tcPr>
          <w:p w14:paraId="667D7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2AA62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4"/>
                <w:highlight w:val="none"/>
              </w:rPr>
              <w:t>采购代理费收取标准</w:t>
            </w:r>
          </w:p>
        </w:tc>
        <w:tc>
          <w:tcPr>
            <w:tcW w:w="3584" w:type="pct"/>
            <w:tcBorders>
              <w:top w:val="single" w:color="auto" w:sz="4" w:space="0"/>
              <w:left w:val="single" w:color="auto" w:sz="4" w:space="0"/>
              <w:bottom w:val="single" w:color="auto" w:sz="4" w:space="0"/>
              <w:right w:val="single" w:color="auto" w:sz="4" w:space="0"/>
            </w:tcBorders>
            <w:vAlign w:val="center"/>
          </w:tcPr>
          <w:p w14:paraId="3CD11B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0"/>
                <w:highlight w:val="none"/>
                <w:u w:val="single"/>
              </w:rPr>
            </w:pPr>
            <w:r>
              <w:rPr>
                <w:rFonts w:hint="eastAsia" w:ascii="宋体" w:hAnsi="宋体" w:eastAsia="宋体" w:cs="宋体"/>
                <w:color w:val="auto"/>
                <w:szCs w:val="20"/>
                <w:highlight w:val="none"/>
              </w:rPr>
              <w:t>固定采购代理收费</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u w:val="single"/>
                <w:lang w:val="en-US" w:eastAsia="zh-CN"/>
              </w:rPr>
              <w:t>3</w:t>
            </w:r>
            <w:r>
              <w:rPr>
                <w:rFonts w:hint="eastAsia" w:ascii="宋体" w:hAnsi="宋体" w:eastAsia="宋体" w:cs="宋体"/>
                <w:color w:val="auto"/>
                <w:szCs w:val="20"/>
                <w:highlight w:val="none"/>
                <w:u w:val="single"/>
              </w:rPr>
              <w:t>000.00元/家</w:t>
            </w:r>
          </w:p>
        </w:tc>
      </w:tr>
      <w:tr w14:paraId="3EF96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429" w:type="pct"/>
            <w:vMerge w:val="continue"/>
            <w:tcBorders>
              <w:left w:val="single" w:color="auto" w:sz="4" w:space="0"/>
              <w:bottom w:val="single" w:color="auto" w:sz="4" w:space="0"/>
              <w:right w:val="single" w:color="auto" w:sz="4" w:space="0"/>
            </w:tcBorders>
            <w:vAlign w:val="center"/>
          </w:tcPr>
          <w:p w14:paraId="2982B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p>
        </w:tc>
        <w:tc>
          <w:tcPr>
            <w:tcW w:w="985" w:type="pct"/>
            <w:tcBorders>
              <w:top w:val="single" w:color="auto" w:sz="4" w:space="0"/>
              <w:left w:val="single" w:color="auto" w:sz="4" w:space="0"/>
              <w:bottom w:val="single" w:color="auto" w:sz="4" w:space="0"/>
              <w:right w:val="single" w:color="auto" w:sz="4" w:space="0"/>
            </w:tcBorders>
            <w:vAlign w:val="center"/>
          </w:tcPr>
          <w:p w14:paraId="4EFDD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4"/>
                <w:highlight w:val="none"/>
              </w:rPr>
              <w:t>代理服务费收款账户信息</w:t>
            </w:r>
          </w:p>
        </w:tc>
        <w:tc>
          <w:tcPr>
            <w:tcW w:w="3584" w:type="pct"/>
            <w:tcBorders>
              <w:top w:val="single" w:color="auto" w:sz="4" w:space="0"/>
              <w:left w:val="single" w:color="auto" w:sz="4" w:space="0"/>
              <w:bottom w:val="single" w:color="auto" w:sz="4" w:space="0"/>
              <w:right w:val="single" w:color="auto" w:sz="4" w:space="0"/>
            </w:tcBorders>
            <w:vAlign w:val="center"/>
          </w:tcPr>
          <w:p w14:paraId="1F686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0"/>
                <w:highlight w:val="none"/>
                <w:lang w:val="en-US" w:eastAsia="zh-CN"/>
              </w:rPr>
            </w:pPr>
            <w:r>
              <w:rPr>
                <w:rFonts w:hint="eastAsia" w:ascii="宋体" w:hAnsi="宋体" w:eastAsia="宋体" w:cs="宋体"/>
                <w:color w:val="auto"/>
                <w:szCs w:val="20"/>
                <w:highlight w:val="none"/>
              </w:rPr>
              <w:t>开户名称：广西城建咨询设计有限公司钦州分公司</w:t>
            </w:r>
          </w:p>
          <w:p w14:paraId="515209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0"/>
                <w:highlight w:val="none"/>
                <w:lang w:val="en-US" w:eastAsia="zh-CN"/>
              </w:rPr>
            </w:pPr>
            <w:r>
              <w:rPr>
                <w:rFonts w:hint="eastAsia" w:ascii="宋体" w:hAnsi="宋体" w:eastAsia="宋体" w:cs="宋体"/>
                <w:color w:val="auto"/>
                <w:szCs w:val="20"/>
                <w:highlight w:val="none"/>
              </w:rPr>
              <w:t>开户银行：工行钦州向阳支行</w:t>
            </w:r>
          </w:p>
          <w:p w14:paraId="6684AB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rPr>
              <w:t>银行账号：2115 5900 0930 0013 302</w:t>
            </w:r>
          </w:p>
        </w:tc>
      </w:tr>
      <w:tr w14:paraId="3DE84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02E81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42.1</w:t>
            </w:r>
          </w:p>
        </w:tc>
        <w:tc>
          <w:tcPr>
            <w:tcW w:w="985" w:type="pct"/>
            <w:tcBorders>
              <w:top w:val="single" w:color="auto" w:sz="4" w:space="0"/>
              <w:left w:val="single" w:color="auto" w:sz="4" w:space="0"/>
              <w:bottom w:val="single" w:color="auto" w:sz="4" w:space="0"/>
              <w:right w:val="single" w:color="auto" w:sz="4" w:space="0"/>
            </w:tcBorders>
            <w:vAlign w:val="center"/>
          </w:tcPr>
          <w:p w14:paraId="04272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3584" w:type="pct"/>
            <w:tcBorders>
              <w:top w:val="single" w:color="auto" w:sz="4" w:space="0"/>
              <w:left w:val="single" w:color="auto" w:sz="4" w:space="0"/>
              <w:bottom w:val="single" w:color="auto" w:sz="4" w:space="0"/>
              <w:right w:val="single" w:color="auto" w:sz="4" w:space="0"/>
            </w:tcBorders>
            <w:vAlign w:val="center"/>
          </w:tcPr>
          <w:p w14:paraId="3CCBD1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eastAsia="宋体" w:cs="宋体"/>
                <w:b/>
                <w:color w:val="auto"/>
                <w:szCs w:val="21"/>
                <w:highlight w:val="none"/>
              </w:rPr>
              <w:t>，由征集人或者采购代理机构负责解释。</w:t>
            </w:r>
          </w:p>
          <w:p w14:paraId="0E1229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法律责任：</w:t>
            </w:r>
            <w:r>
              <w:rPr>
                <w:rFonts w:hint="eastAsia" w:ascii="宋体" w:hAnsi="宋体" w:eastAsia="宋体" w:cs="宋体"/>
                <w:color w:val="auto"/>
                <w:szCs w:val="21"/>
                <w:highlight w:val="none"/>
              </w:rPr>
              <w:t>本征集文件根据《中华人民共和国政府采购法》、《中华人民共和国民法典》；《中华人民共和国政府采购法实施条例》、</w:t>
            </w:r>
            <w:r>
              <w:rPr>
                <w:rFonts w:hint="eastAsia" w:ascii="宋体" w:hAnsi="宋体" w:eastAsia="宋体" w:cs="Times New Roman"/>
                <w:color w:val="auto"/>
                <w:szCs w:val="21"/>
                <w:highlight w:val="none"/>
              </w:rPr>
              <w:t>《政府采购货物和服务招标投标管理办法》</w:t>
            </w:r>
            <w:r>
              <w:rPr>
                <w:rFonts w:hint="eastAsia" w:ascii="宋体" w:hAnsi="宋体" w:eastAsia="宋体" w:cs="宋体"/>
                <w:color w:val="auto"/>
                <w:szCs w:val="21"/>
                <w:highlight w:val="none"/>
              </w:rPr>
              <w:t>等有关法律、法规编制，参与本项目的各政府采购当事人依法享有上述法律法规所赋予的权利与义务。</w:t>
            </w:r>
          </w:p>
        </w:tc>
      </w:tr>
      <w:tr w14:paraId="732C8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9" w:type="pct"/>
            <w:tcBorders>
              <w:top w:val="single" w:color="auto" w:sz="4" w:space="0"/>
              <w:left w:val="single" w:color="auto" w:sz="4" w:space="0"/>
              <w:bottom w:val="single" w:color="auto" w:sz="4" w:space="0"/>
              <w:right w:val="single" w:color="auto" w:sz="4" w:space="0"/>
            </w:tcBorders>
            <w:vAlign w:val="center"/>
          </w:tcPr>
          <w:p w14:paraId="28AE0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985" w:type="pct"/>
            <w:tcBorders>
              <w:top w:val="single" w:color="auto" w:sz="4" w:space="0"/>
              <w:left w:val="single" w:color="auto" w:sz="4" w:space="0"/>
              <w:bottom w:val="single" w:color="auto" w:sz="4" w:space="0"/>
              <w:right w:val="single" w:color="auto" w:sz="4" w:space="0"/>
            </w:tcBorders>
            <w:vAlign w:val="center"/>
          </w:tcPr>
          <w:p w14:paraId="3DEBE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3584" w:type="pct"/>
            <w:tcBorders>
              <w:top w:val="single" w:color="auto" w:sz="4" w:space="0"/>
              <w:left w:val="single" w:color="auto" w:sz="4" w:space="0"/>
              <w:bottom w:val="single" w:color="auto" w:sz="4" w:space="0"/>
              <w:right w:val="single" w:color="auto" w:sz="4" w:space="0"/>
            </w:tcBorders>
            <w:vAlign w:val="center"/>
          </w:tcPr>
          <w:p w14:paraId="4F828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bCs/>
                <w:color w:val="auto"/>
                <w:szCs w:val="20"/>
                <w:highlight w:val="none"/>
              </w:rPr>
            </w:pPr>
            <w:r>
              <w:rPr>
                <w:rFonts w:hint="eastAsia" w:ascii="宋体" w:hAnsi="宋体" w:eastAsia="宋体" w:cs="宋体"/>
                <w:b/>
                <w:bCs/>
                <w:color w:val="auto"/>
                <w:szCs w:val="20"/>
                <w:highlight w:val="none"/>
              </w:rPr>
              <w:t>1.本征集文件中描述供应商的“公章”是指根据我国对公章的管理规定，用供应商法定主体行为名称制作的印章，除本征集文件有特殊规定外，供应商的财务章、部门章、分公司章、工会章、合同章、响应专用章、业务专用章及银行的转账章、现金收讫章、现金付讫章等其他形式印章均不能代替公章。</w:t>
            </w:r>
          </w:p>
          <w:p w14:paraId="26B88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bCs/>
                <w:color w:val="auto"/>
                <w:szCs w:val="20"/>
                <w:highlight w:val="none"/>
              </w:rPr>
            </w:pPr>
            <w:r>
              <w:rPr>
                <w:rFonts w:hint="eastAsia" w:ascii="宋体" w:hAnsi="宋体" w:eastAsia="宋体" w:cs="宋体"/>
                <w:b/>
                <w:bCs/>
                <w:color w:val="auto"/>
                <w:szCs w:val="20"/>
                <w:highlight w:val="none"/>
              </w:rPr>
              <w:t>2.供应商为其他组织或者自然人时，本征集文件规定的法定代表人指负责人或者自然人。本征集文件所称负责人是指参加响应的其他组织营业执照上的负责人，本征集文件所称自然人指参与响应的自然人本人。</w:t>
            </w:r>
          </w:p>
          <w:p w14:paraId="7967B5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bCs/>
                <w:color w:val="auto"/>
                <w:szCs w:val="20"/>
                <w:highlight w:val="none"/>
              </w:rPr>
            </w:pPr>
            <w:r>
              <w:rPr>
                <w:rFonts w:hint="eastAsia" w:ascii="宋体" w:hAnsi="宋体" w:eastAsia="宋体" w:cs="宋体"/>
                <w:b/>
                <w:bCs/>
                <w:color w:val="auto"/>
                <w:szCs w:val="20"/>
                <w:highlight w:val="none"/>
              </w:rPr>
              <w:t>3.本征集文件中描述供应商的“签字”是指供应商的法定代表人或者委托代理人亲自在文件规定签署处亲笔写上个人的名字的行为，私章、签字章、印鉴、影印等其他形式均不能代替亲笔签字。</w:t>
            </w:r>
          </w:p>
          <w:p w14:paraId="4DA44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default" w:ascii="宋体" w:hAnsi="宋体" w:eastAsia="宋体" w:cs="宋体"/>
                <w:b/>
                <w:bCs/>
                <w:color w:val="auto"/>
                <w:szCs w:val="20"/>
                <w:highlight w:val="none"/>
              </w:rPr>
            </w:pPr>
            <w:r>
              <w:rPr>
                <w:rFonts w:hint="eastAsia" w:ascii="宋体" w:hAnsi="宋体" w:eastAsia="宋体" w:cs="宋体"/>
                <w:b/>
                <w:bCs/>
                <w:color w:val="auto"/>
                <w:szCs w:val="20"/>
                <w:highlight w:val="none"/>
              </w:rPr>
              <w:t>4.自然人响应的，征集文件规定盖公章处由自然人摁手指指印。</w:t>
            </w:r>
          </w:p>
          <w:p w14:paraId="23A1F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5.本征集文件所称的“以上”“以下”“以内”“届满”，包括本数；所称的“不满”“超过”“以外”，不包括本数。</w:t>
            </w:r>
          </w:p>
        </w:tc>
      </w:tr>
    </w:tbl>
    <w:p w14:paraId="5975A348">
      <w:pPr>
        <w:keepNext/>
        <w:keepLines/>
        <w:pageBreakBefore w:val="0"/>
        <w:widowControl w:val="0"/>
        <w:kinsoku/>
        <w:overflowPunct/>
        <w:topLinePunct w:val="0"/>
        <w:bidi w:val="0"/>
        <w:spacing w:line="360" w:lineRule="auto"/>
        <w:ind w:left="0" w:leftChars="0"/>
        <w:outlineLvl w:val="1"/>
        <w:rPr>
          <w:rFonts w:ascii="宋体" w:hAnsi="宋体" w:eastAsia="宋体" w:cs="宋体"/>
          <w:b/>
          <w:bCs/>
          <w:color w:val="auto"/>
          <w:sz w:val="32"/>
          <w:szCs w:val="32"/>
          <w:highlight w:val="none"/>
        </w:rPr>
        <w:sectPr>
          <w:footerReference r:id="rId7" w:type="default"/>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38FAEF20">
      <w:pPr>
        <w:keepNext/>
        <w:keepLines/>
        <w:pageBreakBefore w:val="0"/>
        <w:widowControl w:val="0"/>
        <w:kinsoku/>
        <w:overflowPunct/>
        <w:topLinePunct w:val="0"/>
        <w:bidi w:val="0"/>
        <w:spacing w:line="360" w:lineRule="auto"/>
        <w:ind w:left="0" w:leftChars="0"/>
        <w:jc w:val="center"/>
        <w:outlineLvl w:val="1"/>
        <w:rPr>
          <w:rFonts w:ascii="宋体" w:hAnsi="宋体" w:eastAsia="宋体" w:cs="宋体"/>
          <w:b/>
          <w:bCs/>
          <w:color w:val="auto"/>
          <w:sz w:val="32"/>
          <w:szCs w:val="32"/>
          <w:highlight w:val="none"/>
        </w:rPr>
      </w:pPr>
      <w:bookmarkStart w:id="82" w:name="_Toc20307"/>
      <w:bookmarkStart w:id="83" w:name="_Toc10650"/>
      <w:bookmarkStart w:id="84" w:name="_Toc18965"/>
      <w:bookmarkStart w:id="85" w:name="_Toc80092994"/>
      <w:bookmarkStart w:id="86" w:name="_Toc21753"/>
      <w:bookmarkStart w:id="87" w:name="_Toc3163"/>
      <w:bookmarkStart w:id="88" w:name="_Toc22493"/>
      <w:r>
        <w:rPr>
          <w:rFonts w:hint="eastAsia" w:ascii="宋体" w:hAnsi="宋体" w:eastAsia="宋体" w:cs="宋体"/>
          <w:b/>
          <w:bCs/>
          <w:color w:val="auto"/>
          <w:sz w:val="32"/>
          <w:szCs w:val="32"/>
          <w:highlight w:val="none"/>
        </w:rPr>
        <w:t>第二节 供应商须知正文</w:t>
      </w:r>
      <w:bookmarkEnd w:id="82"/>
      <w:bookmarkEnd w:id="83"/>
      <w:bookmarkEnd w:id="84"/>
      <w:bookmarkEnd w:id="85"/>
      <w:bookmarkEnd w:id="86"/>
      <w:bookmarkEnd w:id="87"/>
      <w:bookmarkEnd w:id="88"/>
    </w:p>
    <w:p w14:paraId="3AA99EAB">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89" w:name="_Toc80092995"/>
      <w:bookmarkStart w:id="90" w:name="_Toc22817"/>
      <w:bookmarkStart w:id="91" w:name="_Toc19296"/>
      <w:bookmarkStart w:id="92" w:name="_Toc18912"/>
      <w:bookmarkStart w:id="93" w:name="_Toc27586"/>
      <w:bookmarkStart w:id="94" w:name="_Toc9672"/>
      <w:bookmarkStart w:id="95" w:name="_Toc18414"/>
      <w:r>
        <w:rPr>
          <w:rFonts w:hint="eastAsia" w:ascii="宋体" w:hAnsi="宋体" w:eastAsia="宋体" w:cs="宋体"/>
          <w:b/>
          <w:bCs/>
          <w:color w:val="auto"/>
          <w:sz w:val="32"/>
          <w:szCs w:val="32"/>
          <w:highlight w:val="none"/>
        </w:rPr>
        <w:t>一、总  则</w:t>
      </w:r>
      <w:bookmarkEnd w:id="89"/>
      <w:bookmarkEnd w:id="90"/>
      <w:bookmarkEnd w:id="91"/>
      <w:bookmarkEnd w:id="92"/>
      <w:bookmarkEnd w:id="93"/>
      <w:bookmarkEnd w:id="94"/>
      <w:bookmarkEnd w:id="95"/>
    </w:p>
    <w:p w14:paraId="5C8C6DD6">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96" w:name="_Toc254970527"/>
      <w:bookmarkStart w:id="97" w:name="_Toc254970668"/>
      <w:r>
        <w:rPr>
          <w:rFonts w:hint="eastAsia" w:ascii="宋体" w:hAnsi="宋体" w:eastAsia="宋体" w:cs="宋体"/>
          <w:color w:val="auto"/>
          <w:sz w:val="24"/>
          <w:szCs w:val="24"/>
          <w:highlight w:val="none"/>
        </w:rPr>
        <w:t>1.适用范围</w:t>
      </w:r>
      <w:bookmarkEnd w:id="96"/>
      <w:bookmarkEnd w:id="97"/>
    </w:p>
    <w:p w14:paraId="7A5543B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1.1适用法律：本项目征集人、采购代理机构、供应商、评审委员会的相关行为均受《中华人民共和国政府采购法》、《中华人民共和国政府采购法实施条例》、《政府采购货物和服务</w:t>
      </w:r>
      <w:r>
        <w:rPr>
          <w:rFonts w:hint="eastAsia" w:ascii="宋体" w:hAnsi="宋体" w:eastAsia="宋体" w:cs="宋体"/>
          <w:color w:val="auto"/>
          <w:szCs w:val="21"/>
          <w:highlight w:val="none"/>
          <w:lang w:eastAsia="zh-CN"/>
        </w:rPr>
        <w:t>招标投标</w:t>
      </w:r>
      <w:r>
        <w:rPr>
          <w:rFonts w:hint="eastAsia" w:ascii="宋体" w:hAnsi="宋体" w:eastAsia="宋体" w:cs="宋体"/>
          <w:color w:val="auto"/>
          <w:szCs w:val="21"/>
          <w:highlight w:val="none"/>
        </w:rPr>
        <w:t>管理办法》及本项目本级和上级财政部门政府采购有关规定的约束和保护。</w:t>
      </w:r>
    </w:p>
    <w:p w14:paraId="7C07C457">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1.2本征集文件</w:t>
      </w:r>
      <w:r>
        <w:rPr>
          <w:rFonts w:hint="eastAsia" w:ascii="宋体" w:hAnsi="宋体" w:eastAsia="宋体" w:cs="宋体"/>
          <w:color w:val="auto"/>
          <w:spacing w:val="-6"/>
          <w:szCs w:val="21"/>
          <w:highlight w:val="none"/>
        </w:rPr>
        <w:t>适用于本项目的所有采购程序和环节（法律、法规另有规定的，从其规定）。</w:t>
      </w:r>
    </w:p>
    <w:p w14:paraId="5290524A">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98" w:name="_Toc254970528"/>
      <w:bookmarkStart w:id="99" w:name="_Toc254970669"/>
      <w:r>
        <w:rPr>
          <w:rFonts w:hint="eastAsia" w:ascii="宋体" w:hAnsi="宋体" w:eastAsia="宋体" w:cs="宋体"/>
          <w:color w:val="auto"/>
          <w:sz w:val="24"/>
          <w:szCs w:val="24"/>
          <w:highlight w:val="none"/>
        </w:rPr>
        <w:t>2.定义</w:t>
      </w:r>
      <w:bookmarkEnd w:id="98"/>
      <w:bookmarkEnd w:id="99"/>
    </w:p>
    <w:p w14:paraId="04BC67BE">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2.1“征集人”是指依法进行政府采购的国家机关、事业单位、团体组织。</w:t>
      </w:r>
    </w:p>
    <w:p w14:paraId="156947D6">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0E75395B">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2.3“供应商”是指向征集人、采购人提供货物、工程或者服务的法人、其他组织或者自然人。</w:t>
      </w:r>
    </w:p>
    <w:p w14:paraId="0C7893F2">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2.4“采购人”是指依法在框架协议范围内选定成交供应商并委托其开展相关服务工作的国家机关、事业单位、团体组织、企业等</w:t>
      </w:r>
      <w:r>
        <w:rPr>
          <w:rFonts w:hint="eastAsia" w:ascii="宋体" w:hAnsi="宋体" w:eastAsia="宋体" w:cs="宋体"/>
          <w:color w:val="auto"/>
          <w:szCs w:val="21"/>
          <w:highlight w:val="none"/>
        </w:rPr>
        <w:t>。</w:t>
      </w:r>
    </w:p>
    <w:p w14:paraId="3661FCF7">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2.5“服务”是指除货物和工程以外的其他政府采购对象。</w:t>
      </w:r>
    </w:p>
    <w:p w14:paraId="45B2CC92">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2.6“书面形式”是指合同书、信件和数据电文（包括电报、电传、传真、短信、电子数据交换和电子邮件）等可以有形地表现所载内容的形式。</w:t>
      </w:r>
    </w:p>
    <w:p w14:paraId="013EC218">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2.7“实质性要求”是指征集文件中已经指明不满足则响应无效的条款，或者不能负偏离的条款，或者采购需求中带“</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”的条款。</w:t>
      </w:r>
    </w:p>
    <w:p w14:paraId="007500B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2.8“正偏离”，是指响应文件对征集文件“采购需求”中有关条款作出的响应优于条款要求并有利于征集人的情形。</w:t>
      </w:r>
    </w:p>
    <w:p w14:paraId="3F413D31">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2.9“负偏离”，是指响应文件对征集文件“采购需求”中有关条款作出的响应不满足条款要求，导致采购人要求不能得到满足的情形。</w:t>
      </w:r>
    </w:p>
    <w:p w14:paraId="1A932C3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100" w:name="_Toc254970670"/>
      <w:bookmarkStart w:id="101" w:name="_Toc254970529"/>
    </w:p>
    <w:p w14:paraId="5F07C1AE">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100"/>
      <w:bookmarkEnd w:id="101"/>
      <w:r>
        <w:rPr>
          <w:rFonts w:hint="eastAsia" w:ascii="宋体" w:hAnsi="宋体" w:eastAsia="宋体" w:cs="宋体"/>
          <w:color w:val="auto"/>
          <w:sz w:val="24"/>
          <w:szCs w:val="24"/>
          <w:highlight w:val="none"/>
        </w:rPr>
        <w:t>供应商的资格要求</w:t>
      </w:r>
    </w:p>
    <w:p w14:paraId="2438823A">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供应商的资格要求详见“征集公告”。</w:t>
      </w:r>
    </w:p>
    <w:p w14:paraId="4CC02F72">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02" w:name="_Toc254970671"/>
      <w:bookmarkStart w:id="103" w:name="_Toc254970530"/>
      <w:r>
        <w:rPr>
          <w:rFonts w:hint="eastAsia" w:ascii="宋体" w:hAnsi="宋体" w:eastAsia="宋体" w:cs="宋体"/>
          <w:color w:val="auto"/>
          <w:sz w:val="24"/>
          <w:szCs w:val="24"/>
          <w:highlight w:val="none"/>
        </w:rPr>
        <w:t>4.响应委托</w:t>
      </w:r>
      <w:bookmarkEnd w:id="102"/>
      <w:bookmarkEnd w:id="103"/>
    </w:p>
    <w:p w14:paraId="4CA3ED6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3346B7AB">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04" w:name="_5.投标费用"/>
      <w:bookmarkEnd w:id="104"/>
      <w:bookmarkStart w:id="105" w:name="_Toc254970672"/>
      <w:bookmarkStart w:id="106" w:name="_Toc254970531"/>
      <w:r>
        <w:rPr>
          <w:rFonts w:hint="eastAsia" w:ascii="宋体" w:hAnsi="宋体" w:eastAsia="宋体" w:cs="宋体"/>
          <w:color w:val="auto"/>
          <w:sz w:val="24"/>
          <w:szCs w:val="24"/>
          <w:highlight w:val="none"/>
        </w:rPr>
        <w:t>5.响应费用</w:t>
      </w:r>
      <w:bookmarkEnd w:id="105"/>
      <w:bookmarkEnd w:id="106"/>
    </w:p>
    <w:p w14:paraId="72BCB767">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36C300B0">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6.联合体响应</w:t>
      </w:r>
    </w:p>
    <w:p w14:paraId="7B610AF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6.1本项目是否接受联合体响应，详见“供应商须知前附表”。</w:t>
      </w:r>
    </w:p>
    <w:p w14:paraId="780B84A5">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6.2如接受联合体响应，联合体响应要求详见“供应商须知前附表”。</w:t>
      </w:r>
    </w:p>
    <w:p w14:paraId="18C8BFE3">
      <w:pPr>
        <w:pageBreakBefore w:val="0"/>
        <w:widowControl w:val="0"/>
        <w:kinsoku/>
        <w:overflowPunct/>
        <w:topLinePunct w:val="0"/>
        <w:bidi w:val="0"/>
        <w:spacing w:line="360" w:lineRule="auto"/>
        <w:ind w:left="0" w:leftChars="0" w:firstLine="420" w:firstLineChars="200"/>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Cs w:val="21"/>
          <w:highlight w:val="none"/>
        </w:rPr>
        <w:t>6.3</w:t>
      </w:r>
      <w:r>
        <w:rPr>
          <w:rFonts w:hint="eastAsia" w:ascii="宋体" w:hAnsi="宋体" w:eastAsia="宋体" w:cs="Times New Roman"/>
          <w:bCs/>
          <w:color w:val="auto"/>
          <w:szCs w:val="21"/>
          <w:highlight w:val="none"/>
        </w:rPr>
        <w:t>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14:paraId="234DD909">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7.转包与分包</w:t>
      </w:r>
    </w:p>
    <w:p w14:paraId="653F2613">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7.1本项目是否允许分包详见“供应商须知前附表”。</w:t>
      </w:r>
    </w:p>
    <w:p w14:paraId="557BE0F2">
      <w:pPr>
        <w:pageBreakBefore w:val="0"/>
        <w:widowControl w:val="0"/>
        <w:kinsoku/>
        <w:overflowPunct/>
        <w:topLinePunct w:val="0"/>
        <w:bidi w:val="0"/>
        <w:spacing w:line="360" w:lineRule="auto"/>
        <w:ind w:left="0" w:leftChars="0" w:firstLine="420" w:firstLineChars="200"/>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7.2</w:t>
      </w:r>
      <w:r>
        <w:rPr>
          <w:rFonts w:hint="eastAsia" w:ascii="宋体" w:hAnsi="宋体" w:eastAsia="宋体" w:cs="Times New Roman"/>
          <w:bCs/>
          <w:color w:val="auto"/>
          <w:szCs w:val="21"/>
          <w:highlight w:val="none"/>
        </w:rPr>
        <w:t>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14:paraId="2B531396">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07" w:name="_Toc254970532"/>
      <w:bookmarkStart w:id="108" w:name="_Toc254970673"/>
      <w:r>
        <w:rPr>
          <w:rFonts w:hint="eastAsia" w:ascii="宋体" w:hAnsi="宋体" w:eastAsia="宋体" w:cs="宋体"/>
          <w:color w:val="auto"/>
          <w:sz w:val="24"/>
          <w:szCs w:val="24"/>
          <w:highlight w:val="none"/>
        </w:rPr>
        <w:t>8.特别说明：</w:t>
      </w:r>
      <w:bookmarkEnd w:id="107"/>
      <w:bookmarkEnd w:id="108"/>
      <w:bookmarkStart w:id="109" w:name="_8.1提供相同品牌产品且通过资格审查、符合性审查的不同投标人参加同一合"/>
      <w:bookmarkEnd w:id="109"/>
    </w:p>
    <w:p w14:paraId="4CC0D638">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8.1如果本征集文件要求供应商提供资格、信誉、荣誉、业绩与企业认证等材料的，则供应商所提供的以上材料必须为供应商所拥有。</w:t>
      </w:r>
    </w:p>
    <w:p w14:paraId="7269C798">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8.2供应商应仔细阅读征集文件的所有内容，按照征集文件的要求提交响应文件，并对所提供的全部资料的真实性承担法律责任。</w:t>
      </w:r>
    </w:p>
    <w:p w14:paraId="175E7356">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8.3供应商在响应活动中提供任何虚假材料，将报监管部门查处；入围后发现的，供应商须依照《中华人民共和国消费者权益保护法》规定赔偿征集人，且民事赔偿并不免除违法供应商的行政与刑事责任。</w:t>
      </w:r>
    </w:p>
    <w:p w14:paraId="5539C9AB">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9.回避与串通响应</w:t>
      </w:r>
    </w:p>
    <w:p w14:paraId="7E2097BC">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9.1在政府采购活动中，征集人员及相关人员与供应商有下列利害关系之一的，应当回避：</w:t>
      </w:r>
    </w:p>
    <w:p w14:paraId="0C935E92">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（1）参加采购活动前3年内与供应商存在劳动关系；</w:t>
      </w:r>
    </w:p>
    <w:p w14:paraId="6848D4D1">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（2）参加采购活动前3年内担任供应商的董事、监事；</w:t>
      </w:r>
    </w:p>
    <w:p w14:paraId="6B74D1C7">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（3）参加采购活动前3年内是供应商的控股股东或者实际控制人；</w:t>
      </w:r>
    </w:p>
    <w:p w14:paraId="065FA07E">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（4）与供应商的法定代表人或者负责人有夫妻、直系血亲、三代以内旁系血亲或者近姻亲关系；</w:t>
      </w:r>
    </w:p>
    <w:p w14:paraId="52DC528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（5）与供应商有其他可能影响政府采购活动公平、公正进行的关系。</w:t>
      </w:r>
    </w:p>
    <w:p w14:paraId="1C7E17F0">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3CB1566">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9.2有下列情形之一的视为供应商相互串通响应，响应文件将被视为无效：</w:t>
      </w:r>
    </w:p>
    <w:p w14:paraId="268DEB2F">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（1）不同供应商的响应文件由同一单位或者个人编制；或者不同供应商报名的IP地址一致的；</w:t>
      </w:r>
    </w:p>
    <w:p w14:paraId="186A22D0">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（2）不同供应商委托同一单位或者个人办理响应事宜；</w:t>
      </w:r>
    </w:p>
    <w:p w14:paraId="10094EB1">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（3）不同的供应商的响应文件载明的项目管理员为同一个人；</w:t>
      </w:r>
    </w:p>
    <w:p w14:paraId="63BAEF50">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（4）不同供应商的电子或纸质响应文件异常一致或者响应报价呈规律性差异；</w:t>
      </w:r>
    </w:p>
    <w:p w14:paraId="24E0C159">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（5）不同供应商的纸质响应文件相互混装；</w:t>
      </w:r>
    </w:p>
    <w:p w14:paraId="28D3F72F">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9.3供应商有下列情形之一的，属于恶意串通行为，将报同级监督管理部门：</w:t>
      </w:r>
    </w:p>
    <w:p w14:paraId="24AB4C75">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（1）供应商直接或者间接从征集人或者采购代理机构处获得其他供应商的相关信息并修改其响应文件或者响应文件；</w:t>
      </w:r>
    </w:p>
    <w:p w14:paraId="07068D9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（2）供应商按照采购人或者采购代理机构的授意撤换、修改响应文件或者响应文件；</w:t>
      </w:r>
    </w:p>
    <w:p w14:paraId="6D9DEE8D">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（3）供应商之间协商报价、技术方案等响应文件或者响应文件的实质性内容；</w:t>
      </w:r>
    </w:p>
    <w:p w14:paraId="2641C7E9">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（4）属于同一集团、协会、商会等组织成员的供应商按照该组织要求协同参加政府采购活动；</w:t>
      </w:r>
    </w:p>
    <w:p w14:paraId="690BDC8B">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（5）供应商之间事先约定一致抬高或者压低响应报价，或者在征集项目中事先约定轮流以高价位或者低价位入围，或者事先约定由某一特定供应商入围，然后再参加响应；</w:t>
      </w:r>
    </w:p>
    <w:p w14:paraId="06214389">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（6）供应商之间商定部分供应商放弃参加政府采购活动或者放弃入围；</w:t>
      </w:r>
    </w:p>
    <w:p w14:paraId="64DD94DD">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（7）供应商与征集人或者采购代理机构之间、供应商相互之间，为谋求特定供应商入围或者排斥其他供应商的其他串通行为。</w:t>
      </w:r>
    </w:p>
    <w:p w14:paraId="0AB92ECB">
      <w:pPr>
        <w:pageBreakBefore w:val="0"/>
        <w:widowControl w:val="0"/>
        <w:kinsoku/>
        <w:overflowPunct/>
        <w:topLinePunct w:val="0"/>
        <w:bidi w:val="0"/>
        <w:snapToGrid w:val="0"/>
        <w:spacing w:line="360" w:lineRule="auto"/>
        <w:ind w:left="0" w:leftChars="0" w:firstLine="422" w:firstLineChars="200"/>
        <w:rPr>
          <w:rFonts w:ascii="宋体" w:hAnsi="宋体" w:eastAsia="宋体" w:cs="宋体"/>
          <w:b/>
          <w:color w:val="auto"/>
          <w:szCs w:val="20"/>
          <w:highlight w:val="none"/>
        </w:rPr>
      </w:pPr>
      <w:r>
        <w:rPr>
          <w:rFonts w:hint="eastAsia" w:ascii="宋体" w:hAnsi="宋体" w:eastAsia="宋体" w:cs="宋体"/>
          <w:b/>
          <w:color w:val="auto"/>
          <w:szCs w:val="20"/>
          <w:highlight w:val="none"/>
        </w:rPr>
        <w:br w:type="page"/>
      </w:r>
    </w:p>
    <w:p w14:paraId="17EE2C6E">
      <w:pPr>
        <w:pageBreakBefore w:val="0"/>
        <w:widowControl w:val="0"/>
        <w:kinsoku/>
        <w:overflowPunct/>
        <w:topLinePunct w:val="0"/>
        <w:bidi w:val="0"/>
        <w:spacing w:line="360" w:lineRule="auto"/>
        <w:ind w:left="0" w:leftChars="0" w:firstLine="643" w:firstLineChars="200"/>
        <w:jc w:val="center"/>
        <w:outlineLvl w:val="2"/>
        <w:rPr>
          <w:rFonts w:ascii="宋体" w:hAnsi="宋体" w:eastAsia="宋体" w:cs="宋体"/>
          <w:b/>
          <w:bCs/>
          <w:color w:val="auto"/>
          <w:sz w:val="32"/>
          <w:szCs w:val="32"/>
          <w:highlight w:val="none"/>
        </w:rPr>
      </w:pPr>
      <w:bookmarkStart w:id="110" w:name="_Toc254970534"/>
      <w:bookmarkStart w:id="111" w:name="_Toc80092996"/>
      <w:bookmarkStart w:id="112" w:name="_Toc254970675"/>
      <w:bookmarkStart w:id="113" w:name="_Toc25704"/>
      <w:bookmarkStart w:id="114" w:name="_Toc11960"/>
      <w:bookmarkStart w:id="115" w:name="_Toc4131"/>
      <w:bookmarkStart w:id="116" w:name="_Toc23932"/>
      <w:bookmarkStart w:id="117" w:name="_Toc19525"/>
      <w:bookmarkStart w:id="118" w:name="_Toc25128"/>
      <w:r>
        <w:rPr>
          <w:rFonts w:hint="eastAsia" w:ascii="宋体" w:hAnsi="宋体" w:eastAsia="宋体" w:cs="宋体"/>
          <w:b/>
          <w:bCs/>
          <w:color w:val="auto"/>
          <w:sz w:val="32"/>
          <w:szCs w:val="32"/>
          <w:highlight w:val="none"/>
        </w:rPr>
        <w:t>二、</w:t>
      </w:r>
      <w:bookmarkEnd w:id="110"/>
      <w:bookmarkEnd w:id="111"/>
      <w:bookmarkEnd w:id="112"/>
      <w:r>
        <w:rPr>
          <w:rFonts w:hint="eastAsia" w:ascii="宋体" w:hAnsi="宋体" w:eastAsia="宋体" w:cs="宋体"/>
          <w:b/>
          <w:bCs/>
          <w:color w:val="auto"/>
          <w:sz w:val="32"/>
          <w:szCs w:val="32"/>
          <w:highlight w:val="none"/>
        </w:rPr>
        <w:t>第一阶段（入围阶段）</w:t>
      </w:r>
      <w:bookmarkEnd w:id="113"/>
      <w:bookmarkEnd w:id="114"/>
      <w:bookmarkEnd w:id="115"/>
      <w:bookmarkEnd w:id="116"/>
      <w:bookmarkEnd w:id="117"/>
      <w:bookmarkEnd w:id="118"/>
    </w:p>
    <w:p w14:paraId="144F71B5">
      <w:pPr>
        <w:pageBreakBefore w:val="0"/>
        <w:widowControl w:val="0"/>
        <w:kinsoku/>
        <w:overflowPunct/>
        <w:topLinePunct w:val="0"/>
        <w:bidi w:val="0"/>
        <w:spacing w:line="360" w:lineRule="auto"/>
        <w:ind w:left="0" w:leftChars="0" w:firstLine="643" w:firstLineChars="200"/>
        <w:jc w:val="center"/>
        <w:outlineLvl w:val="2"/>
        <w:rPr>
          <w:rFonts w:ascii="宋体" w:hAnsi="宋体" w:eastAsia="宋体" w:cs="宋体"/>
          <w:b/>
          <w:bCs/>
          <w:color w:val="auto"/>
          <w:sz w:val="32"/>
          <w:szCs w:val="32"/>
          <w:highlight w:val="none"/>
        </w:rPr>
      </w:pPr>
      <w:bookmarkStart w:id="119" w:name="_Toc27335"/>
      <w:bookmarkStart w:id="120" w:name="_Toc28176"/>
      <w:bookmarkStart w:id="121" w:name="_Toc15246"/>
      <w:bookmarkStart w:id="122" w:name="_Toc8288"/>
      <w:bookmarkStart w:id="123" w:name="_Toc16933"/>
      <w:bookmarkStart w:id="124" w:name="_Toc2908"/>
      <w:r>
        <w:rPr>
          <w:rFonts w:hint="eastAsia" w:ascii="宋体" w:hAnsi="宋体" w:eastAsia="宋体" w:cs="宋体"/>
          <w:b/>
          <w:bCs/>
          <w:color w:val="auto"/>
          <w:sz w:val="32"/>
          <w:szCs w:val="32"/>
          <w:highlight w:val="none"/>
        </w:rPr>
        <w:t>（一）征集文件</w:t>
      </w:r>
      <w:bookmarkEnd w:id="119"/>
      <w:bookmarkEnd w:id="120"/>
      <w:bookmarkEnd w:id="121"/>
      <w:bookmarkEnd w:id="122"/>
      <w:bookmarkEnd w:id="123"/>
      <w:bookmarkEnd w:id="124"/>
    </w:p>
    <w:p w14:paraId="14A812D0">
      <w:pPr>
        <w:pageBreakBefore w:val="0"/>
        <w:widowControl w:val="0"/>
        <w:kinsoku/>
        <w:overflowPunct/>
        <w:topLinePunct w:val="0"/>
        <w:bidi w:val="0"/>
        <w:spacing w:line="360" w:lineRule="auto"/>
        <w:ind w:left="0" w:leftChars="0"/>
        <w:rPr>
          <w:rFonts w:ascii="宋体" w:hAnsi="宋体" w:eastAsia="宋体" w:cs="宋体"/>
          <w:color w:val="auto"/>
          <w:szCs w:val="24"/>
          <w:highlight w:val="none"/>
        </w:rPr>
      </w:pPr>
    </w:p>
    <w:p w14:paraId="100CEFDC">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10.征集文件的组成</w:t>
      </w:r>
    </w:p>
    <w:p w14:paraId="01DD07AD">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第一章 征集公告；</w:t>
      </w:r>
    </w:p>
    <w:p w14:paraId="01FD0AC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3AFCAAF5">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第三章 供应商须知；</w:t>
      </w:r>
    </w:p>
    <w:p w14:paraId="138FD9C9">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第四章 评审方法及评审标准；</w:t>
      </w:r>
    </w:p>
    <w:p w14:paraId="6294B16D">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第五章 拟签订的</w:t>
      </w:r>
      <w:r>
        <w:rPr>
          <w:rFonts w:hint="eastAsia" w:ascii="宋体" w:hAnsi="宋体" w:eastAsia="宋体" w:cs="宋体"/>
          <w:color w:val="auto"/>
          <w:kern w:val="0"/>
          <w:szCs w:val="21"/>
          <w:highlight w:val="none"/>
        </w:rPr>
        <w:t>框架协议文本和采购合同文本</w:t>
      </w:r>
      <w:r>
        <w:rPr>
          <w:rFonts w:hint="eastAsia" w:ascii="宋体" w:hAnsi="宋体" w:eastAsia="宋体" w:cs="宋体"/>
          <w:color w:val="auto"/>
          <w:szCs w:val="21"/>
          <w:highlight w:val="none"/>
        </w:rPr>
        <w:t>；</w:t>
      </w:r>
    </w:p>
    <w:p w14:paraId="05B25A3F">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第六章 响应文件格式；</w:t>
      </w:r>
    </w:p>
    <w:p w14:paraId="6D4CA340">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27066006">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根据本章第11.1项的规定对公开征集文件所做的澄清、修改，构成征集文件的组成部分。当公开征集文件与征集文件的澄清和修改就同一内容的表述不一致时，以最后澄清或修改公告为准。</w:t>
      </w:r>
    </w:p>
    <w:p w14:paraId="55071C90">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11.征集文件的澄清、修改 、现场考察和答疑会</w:t>
      </w:r>
    </w:p>
    <w:p w14:paraId="626719CE">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11.1征集人或者采购代理机构可以对已发出的征集文件进行必要的澄清或者修改，但不得改变采购标的和资格条件。澄清或者修改应当在原公告发布媒体上发布澄清公告。澄清或者修改的内容为征集文件的组成部分。</w:t>
      </w:r>
    </w:p>
    <w:p w14:paraId="6303499B">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11.2 供应商应认真审阅本公开征集文件，如有疑问，或发现其中有误或有要求不合理的，应在供应商须知前附表规定的</w:t>
      </w:r>
      <w:r>
        <w:rPr>
          <w:rFonts w:hint="eastAsia" w:ascii="宋体" w:hAnsi="宋体" w:eastAsia="宋体" w:cs="宋体"/>
          <w:color w:val="auto"/>
          <w:kern w:val="0"/>
          <w:szCs w:val="21"/>
          <w:highlight w:val="none"/>
        </w:rPr>
        <w:t>响应截止时间</w:t>
      </w:r>
      <w:r>
        <w:rPr>
          <w:rFonts w:hint="eastAsia" w:ascii="宋体" w:hAnsi="宋体" w:eastAsia="宋体" w:cs="宋体"/>
          <w:color w:val="auto"/>
          <w:szCs w:val="24"/>
          <w:highlight w:val="none"/>
        </w:rPr>
        <w:t>前以书面形式要求征集人或采购代理机构对征集文件予以澄清；否则，由此产生的后果由供应商自行负责。</w:t>
      </w:r>
    </w:p>
    <w:p w14:paraId="7C9229A6">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11.3 征集人或者采购代理机构可以对已发出的征集文件进行必要的澄清或者修改。澄清或者修改的内容可能影响响应文件编制的，征集人或者采购代理机构应当在响应截止时间至少15日前，以书面形式通知(在“</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规定的政府采购信息发布媒体上发布更正公告及平台短信通知)所有获取征集文件的潜在供应商；不足15日的，征集人或者采购代理机构应当顺延提交响应文件的截止时间。发出的澄清或者修改不影响响应文件编制的也应在截标前3日发出。</w:t>
      </w:r>
    </w:p>
    <w:p w14:paraId="5C4BBF90">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11.4 征集人和采购代理机构可以视采购具体情况，变更响应截止时间和开标时间，将变更时间将在“</w:t>
      </w:r>
      <w:r>
        <w:rPr>
          <w:rFonts w:hint="eastAsia" w:ascii="宋体" w:hAnsi="宋体" w:eastAsia="宋体" w:cs="宋体"/>
          <w:color w:val="auto"/>
          <w:szCs w:val="21"/>
          <w:highlight w:val="none"/>
        </w:rPr>
        <w:t>供应商须知前附表”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szCs w:val="24"/>
          <w:highlight w:val="none"/>
        </w:rPr>
        <w:t>发布更正公告。</w:t>
      </w:r>
    </w:p>
    <w:p w14:paraId="35589781">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11.</w:t>
      </w:r>
      <w:bookmarkStart w:id="125" w:name="_Hlk53134511"/>
      <w:r>
        <w:rPr>
          <w:rFonts w:hint="eastAsia" w:ascii="宋体" w:hAnsi="宋体" w:eastAsia="宋体" w:cs="宋体"/>
          <w:color w:val="auto"/>
          <w:szCs w:val="24"/>
          <w:highlight w:val="none"/>
        </w:rPr>
        <w:t>5征集人或者采购代理机构可以在征集文件提供期限截止后，组织已获取征集文件的潜在供应商现场考察或者召开开标前答疑会，具体详见“供应商须知前附表”。</w:t>
      </w:r>
    </w:p>
    <w:bookmarkEnd w:id="125"/>
    <w:p w14:paraId="7C3A7BAE">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26" w:name="_Toc14389"/>
      <w:bookmarkStart w:id="127" w:name="_Toc31945"/>
      <w:bookmarkStart w:id="128" w:name="_Toc254970676"/>
      <w:bookmarkStart w:id="129" w:name="_Toc18078"/>
      <w:bookmarkStart w:id="130" w:name="_Toc254970535"/>
      <w:bookmarkStart w:id="131" w:name="_Toc16658"/>
      <w:bookmarkStart w:id="132" w:name="_Toc4163"/>
      <w:bookmarkStart w:id="133" w:name="_Toc27742"/>
      <w:bookmarkStart w:id="134" w:name="_Toc80092997"/>
      <w:r>
        <w:rPr>
          <w:rFonts w:hint="eastAsia" w:ascii="宋体" w:hAnsi="宋体" w:eastAsia="宋体" w:cs="宋体"/>
          <w:b/>
          <w:bCs/>
          <w:color w:val="auto"/>
          <w:sz w:val="32"/>
          <w:szCs w:val="32"/>
          <w:highlight w:val="none"/>
        </w:rPr>
        <w:t>（二）响应文件的编制</w:t>
      </w:r>
      <w:bookmarkEnd w:id="126"/>
      <w:bookmarkEnd w:id="127"/>
      <w:bookmarkEnd w:id="128"/>
      <w:bookmarkEnd w:id="129"/>
      <w:bookmarkEnd w:id="130"/>
      <w:bookmarkEnd w:id="131"/>
      <w:bookmarkEnd w:id="132"/>
      <w:bookmarkEnd w:id="133"/>
      <w:bookmarkEnd w:id="134"/>
    </w:p>
    <w:p w14:paraId="6482F920">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35" w:name="_Toc254970677"/>
      <w:bookmarkStart w:id="136" w:name="_Toc254970536"/>
      <w:r>
        <w:rPr>
          <w:rFonts w:hint="eastAsia" w:ascii="宋体" w:hAnsi="宋体" w:eastAsia="宋体" w:cs="宋体"/>
          <w:color w:val="auto"/>
          <w:sz w:val="24"/>
          <w:szCs w:val="24"/>
          <w:highlight w:val="none"/>
        </w:rPr>
        <w:t>12.响应文件的编制原则</w:t>
      </w:r>
    </w:p>
    <w:p w14:paraId="207F8A37">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12.1供应商必须按照征集文件的要求编制响应文件。响应文件必须对征集文件提出的要求和条件作出明确响应。</w:t>
      </w:r>
    </w:p>
    <w:p w14:paraId="1C0E7E3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12.2供应商应根据自身实际情况如实响应征集文件，不得仅将征集文件内容简单复制粘贴作为响应，还应当提供相关证明材料，否则将作无效响应处理（定制采购项目不适用本条款）。对于重要技术条款或技术参数应当在响应文件中提供技术支持资料，技术支持资料以征集文件中规定的形式为准，否则将视为无效技术支持资料。</w:t>
      </w:r>
    </w:p>
    <w:p w14:paraId="7ECEF9A3">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13.响应文件的组成</w:t>
      </w:r>
      <w:bookmarkEnd w:id="135"/>
      <w:bookmarkEnd w:id="136"/>
    </w:p>
    <w:p w14:paraId="0363ADD6">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13.1响应文件由报价文件、资格证明文件、商务文件、技术文件四部分组成。</w:t>
      </w:r>
    </w:p>
    <w:p w14:paraId="3B723965">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37" w:name="_13.1报价文件:_具体材料见“投标人须知前附表”。"/>
      <w:bookmarkEnd w:id="137"/>
      <w:bookmarkStart w:id="138" w:name="_13.2资格证明文件：具体材料见“投标人须知前附表”。"/>
      <w:bookmarkEnd w:id="138"/>
      <w:r>
        <w:rPr>
          <w:rFonts w:hint="eastAsia" w:ascii="宋体" w:hAnsi="宋体" w:eastAsia="宋体" w:cs="宋体"/>
          <w:bCs/>
          <w:color w:val="auto"/>
          <w:szCs w:val="21"/>
          <w:highlight w:val="none"/>
        </w:rPr>
        <w:t>（1）资格证明文件：具体材料见“供应商须知前附表”。</w:t>
      </w:r>
    </w:p>
    <w:p w14:paraId="7A1F7843">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39" w:name="_13.3商务文件:_具体材料见“投标人须知前附表”。"/>
      <w:bookmarkEnd w:id="139"/>
      <w:r>
        <w:rPr>
          <w:rFonts w:hint="eastAsia" w:ascii="宋体" w:hAnsi="宋体" w:eastAsia="宋体" w:cs="宋体"/>
          <w:bCs/>
          <w:color w:val="auto"/>
          <w:szCs w:val="21"/>
          <w:highlight w:val="none"/>
        </w:rPr>
        <w:t>（2）商务文件：具体材料见“供应商须知前附表”。</w:t>
      </w:r>
    </w:p>
    <w:p w14:paraId="79B50EED">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40" w:name="_13.4技术文件：具体材料见“投标人须知前附表”。"/>
      <w:bookmarkEnd w:id="140"/>
      <w:r>
        <w:rPr>
          <w:rFonts w:hint="eastAsia" w:ascii="宋体" w:hAnsi="宋体" w:eastAsia="宋体" w:cs="宋体"/>
          <w:bCs/>
          <w:color w:val="auto"/>
          <w:szCs w:val="21"/>
          <w:highlight w:val="none"/>
        </w:rPr>
        <w:t xml:space="preserve">（3）技术文件：具体材料见“供应商须知前附表”。 </w:t>
      </w:r>
    </w:p>
    <w:p w14:paraId="2AC54F9D">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具体材料见“供应商须知前附表”。</w:t>
      </w:r>
    </w:p>
    <w:p w14:paraId="1CCEE412">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41" w:name="_13.5投标文件电子版：具体材料见“投标人须知前附表”。"/>
      <w:bookmarkEnd w:id="141"/>
      <w:r>
        <w:rPr>
          <w:rFonts w:hint="eastAsia" w:ascii="宋体" w:hAnsi="宋体" w:eastAsia="宋体" w:cs="宋体"/>
          <w:bCs/>
          <w:color w:val="auto"/>
          <w:szCs w:val="21"/>
          <w:highlight w:val="none"/>
        </w:rPr>
        <w:t>13.2响应文件电子版：具体要求见本节19.响应文件编制。</w:t>
      </w:r>
    </w:p>
    <w:p w14:paraId="487521AB">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42" w:name="_Toc254970537"/>
      <w:bookmarkStart w:id="143" w:name="_Toc254970678"/>
      <w:r>
        <w:rPr>
          <w:rFonts w:hint="eastAsia" w:ascii="宋体" w:hAnsi="宋体" w:eastAsia="宋体" w:cs="宋体"/>
          <w:color w:val="auto"/>
          <w:sz w:val="24"/>
          <w:szCs w:val="24"/>
          <w:highlight w:val="none"/>
        </w:rPr>
        <w:t>14.响应文件的语言及计量</w:t>
      </w:r>
      <w:bookmarkEnd w:id="142"/>
      <w:bookmarkEnd w:id="143"/>
    </w:p>
    <w:p w14:paraId="53C30027">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535C95CC">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5AA6184A">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14.2响应计量单位</w:t>
      </w:r>
    </w:p>
    <w:p w14:paraId="2790AA2F">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61E39524">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15.响应的风险</w:t>
      </w:r>
    </w:p>
    <w:p w14:paraId="05AE50B5">
      <w:pPr>
        <w:pageBreakBefore w:val="0"/>
        <w:widowControl w:val="0"/>
        <w:kinsoku/>
        <w:overflowPunct/>
        <w:topLinePunct w:val="0"/>
        <w:bidi w:val="0"/>
        <w:spacing w:line="360" w:lineRule="auto"/>
        <w:ind w:left="0" w:leftChars="0" w:firstLine="420" w:firstLineChars="200"/>
        <w:rPr>
          <w:rFonts w:ascii="宋体" w:hAnsi="宋体" w:eastAsia="宋体" w:cs="宋体"/>
          <w:b/>
          <w:bCs/>
          <w:color w:val="auto"/>
          <w:szCs w:val="24"/>
          <w:highlight w:val="none"/>
        </w:rPr>
      </w:pPr>
      <w:r>
        <w:rPr>
          <w:rFonts w:hint="eastAsia" w:ascii="宋体" w:hAnsi="宋体" w:eastAsia="宋体" w:cs="宋体"/>
          <w:color w:val="auto"/>
          <w:szCs w:val="24"/>
          <w:highlight w:val="none"/>
        </w:rPr>
        <w:t>响应文件分为资格文件、商务和技术文件、报价文件三部分。各供应商在编制响应文件时请按照征集文件规定的格式进行，混乱的编排导致响应文件被误读或评审委员会查找不到有效文件是造成供应商响应文件无效的风险。▲</w:t>
      </w:r>
      <w:r>
        <w:rPr>
          <w:rFonts w:hint="eastAsia" w:ascii="宋体" w:hAnsi="宋体" w:eastAsia="宋体" w:cs="宋体"/>
          <w:b/>
          <w:bCs/>
          <w:color w:val="auto"/>
          <w:szCs w:val="24"/>
          <w:highlight w:val="none"/>
        </w:rPr>
        <w:t>响应文件未按规定的格式编制的、没有按照征集文件要求提供全部资料、没有对征集文件作出实质性响应，响应无效；</w:t>
      </w:r>
    </w:p>
    <w:p w14:paraId="31370AF7">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44" w:name="_Toc254970538"/>
      <w:bookmarkStart w:id="145" w:name="_Toc254970679"/>
      <w:r>
        <w:rPr>
          <w:rFonts w:hint="eastAsia" w:ascii="宋体" w:hAnsi="宋体" w:eastAsia="宋体" w:cs="宋体"/>
          <w:color w:val="auto"/>
          <w:sz w:val="24"/>
          <w:szCs w:val="24"/>
          <w:highlight w:val="none"/>
        </w:rPr>
        <w:t>16.响应报价</w:t>
      </w:r>
      <w:bookmarkEnd w:id="144"/>
      <w:bookmarkEnd w:id="145"/>
    </w:p>
    <w:p w14:paraId="7D50A716">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16.1响应报价应</w:t>
      </w:r>
      <w:r>
        <w:rPr>
          <w:rFonts w:hint="eastAsia" w:ascii="宋体" w:hAnsi="宋体" w:eastAsia="宋体" w:cs="宋体"/>
          <w:bCs/>
          <w:color w:val="auto"/>
          <w:szCs w:val="20"/>
          <w:highlight w:val="none"/>
        </w:rPr>
        <w:t>按“第六章　响应文件格式”中“开标一览表”格式填写。</w:t>
      </w:r>
    </w:p>
    <w:p w14:paraId="1DCC1CE8">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46" w:name="_16.2投标报价具体定义见投标人须知前附表。"/>
      <w:bookmarkEnd w:id="146"/>
      <w:r>
        <w:rPr>
          <w:rFonts w:hint="eastAsia" w:ascii="宋体" w:hAnsi="宋体" w:eastAsia="宋体" w:cs="宋体"/>
          <w:bCs/>
          <w:color w:val="auto"/>
          <w:szCs w:val="21"/>
          <w:highlight w:val="none"/>
        </w:rPr>
        <w:t>16.2响应报价具体包括内容详见“供应商须知前附表”。</w:t>
      </w:r>
    </w:p>
    <w:p w14:paraId="37408389">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eastAsia="宋体" w:cs="宋体"/>
          <w:b/>
          <w:color w:val="auto"/>
          <w:szCs w:val="24"/>
          <w:highlight w:val="none"/>
        </w:rPr>
        <w:t>，附带有条件的报价将不予接受</w:t>
      </w:r>
      <w:r>
        <w:rPr>
          <w:rFonts w:hint="eastAsia" w:ascii="宋体" w:hAnsi="宋体" w:eastAsia="宋体" w:cs="宋体"/>
          <w:bCs/>
          <w:color w:val="auto"/>
          <w:szCs w:val="21"/>
          <w:highlight w:val="none"/>
        </w:rPr>
        <w:t>。</w:t>
      </w:r>
    </w:p>
    <w:p w14:paraId="394AD64E">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17.响应有效期</w:t>
      </w:r>
    </w:p>
    <w:p w14:paraId="25642C0F">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bookmarkStart w:id="147" w:name="_17.1投标有效期应按“投标人须知中的前附表”规定的期限。"/>
      <w:bookmarkEnd w:id="147"/>
      <w:r>
        <w:rPr>
          <w:rFonts w:hint="eastAsia" w:ascii="宋体" w:hAnsi="宋体" w:eastAsia="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1A4218E7">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148" w:name="_Toc254970540"/>
      <w:bookmarkStart w:id="149" w:name="_Toc254970681"/>
      <w:r>
        <w:rPr>
          <w:rFonts w:hint="eastAsia" w:ascii="宋体" w:hAnsi="宋体" w:eastAsia="宋体" w:cs="宋体"/>
          <w:bCs/>
          <w:color w:val="auto"/>
          <w:szCs w:val="21"/>
          <w:highlight w:val="none"/>
        </w:rPr>
        <w:t xml:space="preserve"> 响应有效期应按规定的期限作出承诺，具体详见“供应商须知前附表”。</w:t>
      </w:r>
    </w:p>
    <w:p w14:paraId="5D66EAB7">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17.3供应商的响应文件在响应有效期内均保持有效。</w:t>
      </w:r>
      <w:bookmarkEnd w:id="148"/>
      <w:bookmarkEnd w:id="149"/>
    </w:p>
    <w:p w14:paraId="1ED79206">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50" w:name="_18.投标保证金"/>
      <w:bookmarkEnd w:id="150"/>
      <w:bookmarkStart w:id="151" w:name="_Toc254970682"/>
      <w:bookmarkStart w:id="152" w:name="_Toc254970541"/>
      <w:r>
        <w:rPr>
          <w:rFonts w:hint="eastAsia" w:ascii="宋体" w:hAnsi="宋体" w:eastAsia="宋体" w:cs="宋体"/>
          <w:color w:val="auto"/>
          <w:sz w:val="24"/>
          <w:szCs w:val="24"/>
          <w:highlight w:val="none"/>
        </w:rPr>
        <w:t>18.响应保证金</w:t>
      </w:r>
      <w:bookmarkEnd w:id="151"/>
      <w:bookmarkEnd w:id="152"/>
    </w:p>
    <w:p w14:paraId="21EBCCB0">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bookmarkStart w:id="153" w:name="_Toc254970683"/>
      <w:bookmarkStart w:id="154" w:name="_Toc254970542"/>
      <w:r>
        <w:rPr>
          <w:rFonts w:hint="eastAsia" w:ascii="宋体" w:hAnsi="宋体" w:eastAsia="宋体" w:cs="宋体"/>
          <w:color w:val="auto"/>
          <w:szCs w:val="21"/>
          <w:highlight w:val="none"/>
        </w:rPr>
        <w:t>见“供应商须知前附表”。</w:t>
      </w:r>
    </w:p>
    <w:p w14:paraId="5B852549">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19.响应文件的</w:t>
      </w:r>
      <w:bookmarkEnd w:id="153"/>
      <w:bookmarkEnd w:id="154"/>
      <w:r>
        <w:rPr>
          <w:rFonts w:hint="eastAsia" w:ascii="宋体" w:hAnsi="宋体" w:eastAsia="宋体" w:cs="宋体"/>
          <w:color w:val="auto"/>
          <w:sz w:val="24"/>
          <w:szCs w:val="24"/>
          <w:highlight w:val="none"/>
        </w:rPr>
        <w:t>编制</w:t>
      </w:r>
    </w:p>
    <w:p w14:paraId="5911A161">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w:t>
      </w:r>
      <w:bookmarkStart w:id="155" w:name="_19.2投标文件应按报价文件、资格证明文件、商务文件、技术文件分别编制"/>
      <w:bookmarkEnd w:id="155"/>
      <w:r>
        <w:rPr>
          <w:rFonts w:hint="eastAsia" w:ascii="宋体" w:hAnsi="宋体" w:eastAsia="宋体" w:cs="宋体"/>
          <w:color w:val="auto"/>
          <w:szCs w:val="24"/>
          <w:highlight w:val="none"/>
        </w:rPr>
        <w:t>特别注意响应报价不得出现在资格文件、技术文件、商务文件中。</w:t>
      </w:r>
      <w:r>
        <w:rPr>
          <w:rFonts w:hint="eastAsia" w:ascii="宋体" w:hAnsi="宋体" w:eastAsia="宋体" w:cs="宋体"/>
          <w:color w:val="auto"/>
          <w:szCs w:val="21"/>
          <w:highlight w:val="none"/>
        </w:rPr>
        <w:t xml:space="preserve"> </w:t>
      </w:r>
    </w:p>
    <w:p w14:paraId="4A54652D">
      <w:pPr>
        <w:pageBreakBefore w:val="0"/>
        <w:widowControl w:val="0"/>
        <w:kinsoku/>
        <w:overflowPunct/>
        <w:topLinePunct w:val="0"/>
        <w:bidi w:val="0"/>
        <w:adjustRightInd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19.2响应文件按照征集文件第六章格式要求在规定位置进行签署、盖章。供应商的响应文件未按照征集文件要求签署、盖章的，</w:t>
      </w:r>
      <w:r>
        <w:rPr>
          <w:rFonts w:hint="eastAsia" w:ascii="宋体" w:hAnsi="宋体" w:eastAsia="宋体" w:cs="宋体"/>
          <w:b/>
          <w:color w:val="auto"/>
          <w:szCs w:val="21"/>
          <w:highlight w:val="none"/>
        </w:rPr>
        <w:t>其响应无效。</w:t>
      </w:r>
      <w:r>
        <w:rPr>
          <w:rFonts w:hint="eastAsia" w:ascii="宋体" w:hAnsi="宋体" w:eastAsia="宋体" w:cs="宋体"/>
          <w:color w:val="auto"/>
          <w:szCs w:val="21"/>
          <w:highlight w:val="none"/>
        </w:rPr>
        <w:t>骑缝盖公章不视为在规定位置盖章。</w:t>
      </w:r>
    </w:p>
    <w:p w14:paraId="70A141FB">
      <w:pPr>
        <w:pageBreakBefore w:val="0"/>
        <w:widowControl w:val="0"/>
        <w:kinsoku/>
        <w:overflowPunct/>
        <w:topLinePunct w:val="0"/>
        <w:bidi w:val="0"/>
        <w:adjustRightInd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19.3为确保网上操作合法、有效和安全，供应商应当在响应截止时间前完成在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的身份认证，确保在电子响应过程中能够对相关数据电文进行加密和使用电子签名。</w:t>
      </w:r>
    </w:p>
    <w:p w14:paraId="7D84CE00">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19.4响应文件入围的供应商名称应与主体资格证明（如营业执照、事业单位法人证书、执业许可证、自然人身份证等）及公章一致，</w:t>
      </w:r>
      <w:r>
        <w:rPr>
          <w:rFonts w:hint="eastAsia" w:ascii="宋体" w:hAnsi="宋体" w:eastAsia="宋体" w:cs="宋体"/>
          <w:color w:val="auto"/>
          <w:szCs w:val="21"/>
          <w:highlight w:val="none"/>
        </w:rPr>
        <w:t>否则作无效响应处理</w:t>
      </w:r>
      <w:r>
        <w:rPr>
          <w:rFonts w:hint="eastAsia" w:ascii="宋体" w:hAnsi="宋体" w:eastAsia="宋体" w:cs="宋体"/>
          <w:b/>
          <w:color w:val="auto"/>
          <w:szCs w:val="21"/>
          <w:highlight w:val="none"/>
        </w:rPr>
        <w:t>。</w:t>
      </w:r>
    </w:p>
    <w:p w14:paraId="1748CAB6">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19.5响应文件应避免涂改、行间插字或者删除，</w:t>
      </w:r>
      <w:r>
        <w:rPr>
          <w:rFonts w:hint="eastAsia" w:ascii="宋体" w:hAnsi="宋体" w:eastAsia="宋体" w:cs="宋体"/>
          <w:b/>
          <w:color w:val="auto"/>
          <w:szCs w:val="21"/>
          <w:highlight w:val="none"/>
        </w:rPr>
        <w:t>否则其响应无效。</w:t>
      </w:r>
    </w:p>
    <w:p w14:paraId="2EF29745">
      <w:pPr>
        <w:pageBreakBefore w:val="0"/>
        <w:widowControl w:val="0"/>
        <w:kinsoku/>
        <w:overflowPunct/>
        <w:topLinePunct w:val="0"/>
        <w:bidi w:val="0"/>
        <w:spacing w:line="360" w:lineRule="auto"/>
        <w:ind w:left="0" w:leftChars="0" w:firstLine="525" w:firstLineChars="250"/>
        <w:rPr>
          <w:rFonts w:ascii="宋体" w:hAnsi="宋体" w:eastAsia="宋体" w:cs="宋体"/>
          <w:color w:val="auto"/>
          <w:szCs w:val="24"/>
          <w:highlight w:val="none"/>
        </w:rPr>
      </w:pPr>
      <w:r>
        <w:rPr>
          <w:rFonts w:hint="eastAsia" w:ascii="宋体" w:hAnsi="宋体" w:eastAsia="宋体" w:cs="宋体"/>
          <w:color w:val="auto"/>
          <w:szCs w:val="24"/>
          <w:highlight w:val="none"/>
        </w:rPr>
        <w:t>19.6 对征集文件的实质性要求和条件作出响应是指供应商必须对征集文件入围注为实质性要求和条件的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szCs w:val="24"/>
          <w:highlight w:val="none"/>
        </w:rPr>
        <w:t>、商务条款及其它内容</w:t>
      </w:r>
      <w:r>
        <w:rPr>
          <w:rFonts w:hint="eastAsia" w:ascii="宋体" w:hAnsi="宋体" w:eastAsia="宋体" w:cs="宋体"/>
          <w:b/>
          <w:color w:val="auto"/>
          <w:szCs w:val="24"/>
          <w:highlight w:val="none"/>
        </w:rPr>
        <w:t>作出满足或者优于原要求和条件的承诺</w:t>
      </w:r>
      <w:r>
        <w:rPr>
          <w:rFonts w:hint="eastAsia" w:ascii="宋体" w:hAnsi="宋体" w:eastAsia="宋体" w:cs="宋体"/>
          <w:color w:val="auto"/>
          <w:szCs w:val="24"/>
          <w:highlight w:val="none"/>
        </w:rPr>
        <w:t>。</w:t>
      </w:r>
    </w:p>
    <w:p w14:paraId="6BF8C00F">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供应商须知正文”中“四、24.2开标程序。</w:t>
      </w:r>
    </w:p>
    <w:p w14:paraId="044F2B90">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20.备份响应文件</w:t>
      </w:r>
    </w:p>
    <w:p w14:paraId="29B246E3">
      <w:pPr>
        <w:pageBreakBefore w:val="0"/>
        <w:widowControl w:val="0"/>
        <w:kinsoku/>
        <w:overflowPunct/>
        <w:topLinePunct w:val="0"/>
        <w:bidi w:val="0"/>
        <w:spacing w:line="360" w:lineRule="auto"/>
        <w:ind w:left="0" w:leftChars="0" w:firstLine="420" w:firstLineChars="200"/>
        <w:rPr>
          <w:rFonts w:ascii="宋体" w:hAnsi="宋体" w:eastAsia="宋体" w:cs="宋体"/>
          <w:color w:val="auto"/>
          <w:sz w:val="24"/>
          <w:szCs w:val="24"/>
          <w:highlight w:val="none"/>
        </w:rPr>
      </w:pPr>
      <w:r>
        <w:rPr>
          <w:rFonts w:hint="eastAsia" w:ascii="宋体" w:hAnsi="宋体" w:eastAsia="宋体" w:cs="宋体"/>
          <w:bCs/>
          <w:color w:val="auto"/>
          <w:szCs w:val="21"/>
          <w:highlight w:val="none"/>
        </w:rPr>
        <w:t>详见在“供应商须知前附表”。</w:t>
      </w:r>
    </w:p>
    <w:p w14:paraId="50C8F837">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21.响应文件的提交</w:t>
      </w:r>
    </w:p>
    <w:p w14:paraId="2F0715FD">
      <w:pPr>
        <w:pageBreakBefore w:val="0"/>
        <w:widowControl w:val="0"/>
        <w:kinsoku/>
        <w:overflowPunct/>
        <w:topLinePunct w:val="0"/>
        <w:bidi w:val="0"/>
        <w:spacing w:line="360" w:lineRule="auto"/>
        <w:ind w:left="0" w:leftChars="0" w:firstLine="420" w:firstLineChars="200"/>
        <w:rPr>
          <w:rFonts w:ascii="宋体" w:hAnsi="宋体" w:eastAsia="宋体" w:cs="宋体"/>
          <w:b/>
          <w:color w:val="auto"/>
          <w:szCs w:val="24"/>
          <w:highlight w:val="none"/>
        </w:rPr>
      </w:pPr>
      <w:bookmarkStart w:id="156" w:name="_21.1投标人必须在“投标人须知中的前附表”规定的投标文件接收时间和投"/>
      <w:bookmarkEnd w:id="156"/>
      <w:r>
        <w:rPr>
          <w:rFonts w:hint="eastAsia" w:ascii="宋体" w:hAnsi="宋体" w:eastAsia="宋体" w:cs="宋体"/>
          <w:bCs/>
          <w:color w:val="auto"/>
          <w:szCs w:val="21"/>
          <w:highlight w:val="none"/>
        </w:rPr>
        <w:t>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w:t>
      </w:r>
      <w:r>
        <w:rPr>
          <w:rFonts w:hint="eastAsia" w:ascii="宋体" w:hAnsi="宋体"/>
          <w:bCs/>
          <w:color w:val="auto"/>
          <w:szCs w:val="21"/>
          <w:highlight w:val="none"/>
        </w:rPr>
        <w:t>广西政府采购云平台</w:t>
      </w:r>
      <w:r>
        <w:rPr>
          <w:rFonts w:hint="eastAsia" w:ascii="宋体" w:hAnsi="宋体" w:eastAsia="宋体" w:cs="宋体"/>
          <w:bCs/>
          <w:color w:val="auto"/>
          <w:szCs w:val="21"/>
          <w:highlight w:val="none"/>
        </w:rPr>
        <w:t xml:space="preserve">”。 </w:t>
      </w:r>
      <w:r>
        <w:rPr>
          <w:rFonts w:hint="eastAsia" w:ascii="宋体" w:hAnsi="宋体" w:eastAsia="宋体" w:cs="宋体"/>
          <w:b/>
          <w:color w:val="auto"/>
          <w:szCs w:val="24"/>
          <w:highlight w:val="none"/>
        </w:rPr>
        <w:t xml:space="preserve"> </w:t>
      </w:r>
    </w:p>
    <w:p w14:paraId="475AAE78">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21.2未在规定时间内提交或者未按照征集文件要求密封或者标记的电子响应文件，</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将拒收。</w:t>
      </w:r>
    </w:p>
    <w:p w14:paraId="09F2E03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21.3电子版响应文件提交方式见“征集公告”中“四、提交响应文件截止时间、开标时间和地点”</w:t>
      </w:r>
      <w:r>
        <w:rPr>
          <w:rFonts w:hint="eastAsia" w:ascii="宋体" w:hAnsi="宋体" w:eastAsia="宋体" w:cs="宋体"/>
          <w:b/>
          <w:color w:val="auto"/>
          <w:szCs w:val="21"/>
          <w:highlight w:val="none"/>
        </w:rPr>
        <w:t xml:space="preserve"> 。</w:t>
      </w:r>
    </w:p>
    <w:p w14:paraId="6C7A38C6">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 响应文件的补充、修改、撤回与退回</w:t>
      </w:r>
      <w:bookmarkStart w:id="157" w:name="_Toc254970543"/>
      <w:bookmarkStart w:id="158" w:name="_Toc254970684"/>
    </w:p>
    <w:p w14:paraId="1509D112">
      <w:pPr>
        <w:pageBreakBefore w:val="0"/>
        <w:widowControl w:val="0"/>
        <w:kinsoku/>
        <w:overflowPunct/>
        <w:topLinePunct w:val="0"/>
        <w:bidi w:val="0"/>
        <w:spacing w:line="360" w:lineRule="auto"/>
        <w:ind w:left="0" w:leftChars="0" w:firstLine="420" w:firstLineChars="200"/>
        <w:rPr>
          <w:rFonts w:ascii="宋体" w:hAnsi="宋体" w:eastAsia="宋体" w:cs="宋体"/>
          <w:color w:val="auto"/>
          <w:sz w:val="24"/>
          <w:szCs w:val="24"/>
          <w:highlight w:val="none"/>
        </w:rPr>
      </w:pPr>
      <w:r>
        <w:rPr>
          <w:rFonts w:hint="eastAsia" w:ascii="宋体" w:hAnsi="宋体" w:eastAsia="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将拒收。（补充、修改或者撤回方式见公告附件“电子响应文件制作与投送教程”）</w:t>
      </w:r>
    </w:p>
    <w:p w14:paraId="103E7D55">
      <w:pPr>
        <w:pageBreakBefore w:val="0"/>
        <w:widowControl w:val="0"/>
        <w:kinsoku/>
        <w:overflowPunct/>
        <w:topLinePunct w:val="0"/>
        <w:bidi w:val="0"/>
        <w:adjustRightIn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22.2</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收到响应文件，将妥善保存并即时向供应商发出确认回执通知。在响应截止时间前，除供应商补充、修改或者撤回响应文件外，任何单位和个人不得解密或提取响应文件。</w:t>
      </w:r>
    </w:p>
    <w:bookmarkEnd w:id="157"/>
    <w:bookmarkEnd w:id="158"/>
    <w:p w14:paraId="7414D83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22.3在响应截止时间止提交电子版响应文件的供应商不足3家时，电子版响应文件由代理机构在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操作退回，除此之外征集人和采购代理机构对已提交的响应文件概不退回。</w:t>
      </w:r>
    </w:p>
    <w:p w14:paraId="45BA9EE0">
      <w:pPr>
        <w:pageBreakBefore w:val="0"/>
        <w:widowControl w:val="0"/>
        <w:kinsoku/>
        <w:overflowPunct/>
        <w:topLinePunct w:val="0"/>
        <w:bidi w:val="0"/>
        <w:snapToGrid w:val="0"/>
        <w:spacing w:line="360" w:lineRule="auto"/>
        <w:ind w:left="0" w:leftChars="0" w:firstLine="739"/>
        <w:rPr>
          <w:rFonts w:ascii="宋体" w:hAnsi="宋体" w:eastAsia="宋体" w:cs="宋体"/>
          <w:snapToGrid w:val="0"/>
          <w:color w:val="auto"/>
          <w:spacing w:val="-4"/>
          <w:szCs w:val="21"/>
          <w:highlight w:val="none"/>
        </w:rPr>
      </w:pPr>
    </w:p>
    <w:p w14:paraId="032E4B10">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59" w:name="_Toc80092998"/>
      <w:bookmarkStart w:id="160" w:name="_Toc28044"/>
      <w:bookmarkStart w:id="161" w:name="_Toc10508"/>
      <w:bookmarkStart w:id="162" w:name="_Toc31379"/>
      <w:bookmarkStart w:id="163" w:name="_Toc257"/>
      <w:bookmarkStart w:id="164" w:name="_Toc254970544"/>
      <w:bookmarkStart w:id="165" w:name="_Toc31247"/>
      <w:bookmarkStart w:id="166" w:name="_Toc254970685"/>
      <w:bookmarkStart w:id="167" w:name="_Toc4730"/>
      <w:r>
        <w:rPr>
          <w:rFonts w:hint="eastAsia" w:ascii="宋体" w:hAnsi="宋体" w:eastAsia="宋体" w:cs="宋体"/>
          <w:b/>
          <w:bCs/>
          <w:color w:val="auto"/>
          <w:sz w:val="32"/>
          <w:szCs w:val="32"/>
          <w:highlight w:val="none"/>
        </w:rPr>
        <w:t>（三）开    标</w:t>
      </w:r>
      <w:bookmarkEnd w:id="159"/>
      <w:bookmarkEnd w:id="160"/>
      <w:bookmarkEnd w:id="161"/>
      <w:bookmarkEnd w:id="162"/>
      <w:bookmarkEnd w:id="163"/>
      <w:bookmarkEnd w:id="164"/>
      <w:bookmarkEnd w:id="165"/>
      <w:bookmarkEnd w:id="166"/>
      <w:bookmarkEnd w:id="167"/>
    </w:p>
    <w:p w14:paraId="19D940AC">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68" w:name="_23.开标时间和地点"/>
      <w:bookmarkEnd w:id="168"/>
      <w:r>
        <w:rPr>
          <w:rFonts w:hint="eastAsia" w:ascii="宋体" w:hAnsi="宋体" w:eastAsia="宋体" w:cs="宋体"/>
          <w:color w:val="auto"/>
          <w:sz w:val="24"/>
          <w:szCs w:val="24"/>
          <w:highlight w:val="none"/>
        </w:rPr>
        <w:t>23.开标时间和地点</w:t>
      </w:r>
    </w:p>
    <w:p w14:paraId="53C4F1AF">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23.1开标时间及地点详见“供应商须知前附表”</w:t>
      </w:r>
    </w:p>
    <w:p w14:paraId="7B027507">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23.2如</w:t>
      </w:r>
      <w:r>
        <w:rPr>
          <w:rFonts w:hint="eastAsia" w:ascii="宋体" w:hAnsi="宋体" w:eastAsia="宋体" w:cs="宋体"/>
          <w:bCs/>
          <w:color w:val="auto"/>
          <w:szCs w:val="24"/>
          <w:highlight w:val="none"/>
        </w:rPr>
        <w:t>供应商成功解密响应文件，但未在“政采云”电子开标大厅参加开标的，视同认可开标过程和结果，</w:t>
      </w:r>
      <w:r>
        <w:rPr>
          <w:rFonts w:hint="eastAsia" w:ascii="宋体" w:hAnsi="宋体" w:eastAsia="宋体" w:cs="宋体"/>
          <w:color w:val="auto"/>
          <w:szCs w:val="24"/>
          <w:highlight w:val="none"/>
        </w:rPr>
        <w:t>由此产生的后果由供应商自行负责。 供应商不足3家的，不得开标。</w:t>
      </w:r>
    </w:p>
    <w:p w14:paraId="13B2D14D">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24.开标程序</w:t>
      </w:r>
    </w:p>
    <w:p w14:paraId="0F2D193A">
      <w:pPr>
        <w:pageBreakBefore w:val="0"/>
        <w:widowControl w:val="0"/>
        <w:kinsoku/>
        <w:overflowPunct/>
        <w:topLinePunct w:val="0"/>
        <w:autoSpaceDE w:val="0"/>
        <w:autoSpaceDN w:val="0"/>
        <w:bidi w:val="0"/>
        <w:adjustRightInd w:val="0"/>
        <w:spacing w:line="360" w:lineRule="auto"/>
        <w:ind w:left="0" w:leftChars="0" w:firstLine="420" w:firstLineChars="200"/>
        <w:rPr>
          <w:rFonts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60832062">
      <w:pPr>
        <w:pageBreakBefore w:val="0"/>
        <w:widowControl w:val="0"/>
        <w:kinsoku/>
        <w:overflowPunct/>
        <w:topLinePunct w:val="0"/>
        <w:autoSpaceDE w:val="0"/>
        <w:autoSpaceDN w:val="0"/>
        <w:bidi w:val="0"/>
        <w:adjustRightInd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选取评审专家，如采购代理机构未按规定选取专家的，视为本次开评审无效，应当重新采购；</w:t>
      </w:r>
    </w:p>
    <w:p w14:paraId="7632DE4E">
      <w:pPr>
        <w:pageBreakBefore w:val="0"/>
        <w:widowControl w:val="0"/>
        <w:kinsoku/>
        <w:overflowPunct/>
        <w:topLinePunct w:val="0"/>
        <w:autoSpaceDE w:val="0"/>
        <w:autoSpaceDN w:val="0"/>
        <w:bidi w:val="0"/>
        <w:adjustRightInd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（2）采购代理机构将按照征集文件规定的时间通过</w:t>
      </w:r>
      <w:r>
        <w:rPr>
          <w:rFonts w:hint="eastAsia" w:ascii="宋体" w:hAnsi="宋体" w:eastAsia="宋体" w:cs="宋体"/>
          <w:bCs/>
          <w:color w:val="auto"/>
          <w:szCs w:val="21"/>
          <w:highlight w:val="none"/>
          <w:lang w:eastAsia="zh-CN"/>
        </w:rPr>
        <w:t>广西政府采购云平台</w:t>
      </w:r>
      <w:r>
        <w:rPr>
          <w:rFonts w:hint="eastAsia" w:ascii="宋体" w:hAnsi="宋体" w:eastAsia="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6509CF42">
      <w:pPr>
        <w:pageBreakBefore w:val="0"/>
        <w:widowControl w:val="0"/>
        <w:kinsoku/>
        <w:overflowPunct/>
        <w:topLinePunct w:val="0"/>
        <w:autoSpaceDE w:val="0"/>
        <w:autoSpaceDN w:val="0"/>
        <w:bidi w:val="0"/>
        <w:adjustRightInd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0FA4F114">
      <w:pPr>
        <w:pageBreakBefore w:val="0"/>
        <w:widowControl w:val="0"/>
        <w:kinsoku/>
        <w:overflowPunct/>
        <w:topLinePunct w:val="0"/>
        <w:bidi w:val="0"/>
        <w:snapToGrid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（1）解密电子响应文件。</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color w:val="auto"/>
          <w:szCs w:val="21"/>
          <w:highlight w:val="none"/>
        </w:rPr>
        <w:t>按开标时间自动提取所有响应文件。采购代理机构依托</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ascii="宋体" w:hAnsi="宋体" w:eastAsia="宋体" w:cs="宋体"/>
          <w:b/>
          <w:color w:val="auto"/>
          <w:szCs w:val="21"/>
          <w:highlight w:val="none"/>
        </w:rPr>
        <w:t>须携带加密时所用的CA锁准时登录到</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电子开标大厅签到并对电子响应文件解密</w:t>
      </w:r>
      <w:r>
        <w:rPr>
          <w:rFonts w:hint="eastAsia" w:ascii="宋体" w:hAnsi="宋体" w:eastAsia="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ascii="宋体" w:hAnsi="宋体" w:eastAsia="宋体" w:cs="宋体"/>
          <w:b/>
          <w:color w:val="auto"/>
          <w:szCs w:val="21"/>
          <w:highlight w:val="none"/>
        </w:rPr>
        <w:t>均视为无效响应。</w:t>
      </w:r>
    </w:p>
    <w:p w14:paraId="25782FC7">
      <w:pPr>
        <w:pageBreakBefore w:val="0"/>
        <w:widowControl w:val="0"/>
        <w:kinsoku/>
        <w:overflowPunct/>
        <w:topLinePunct w:val="0"/>
        <w:bidi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szCs w:val="20"/>
          <w:highlight w:val="none"/>
        </w:rPr>
        <w:t>29.3 电子交易活动的中止。</w:t>
      </w:r>
      <w:r>
        <w:rPr>
          <w:rFonts w:hint="eastAsia" w:ascii="宋体" w:hAnsi="宋体" w:eastAsia="宋体" w:cs="宋体"/>
          <w:color w:val="auto"/>
          <w:szCs w:val="21"/>
          <w:highlight w:val="none"/>
        </w:rPr>
        <w:t>）</w:t>
      </w:r>
    </w:p>
    <w:p w14:paraId="36CF993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响应文件解密结束，各响应供应商报价均在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远程不见面开标大厅展示；</w:t>
      </w:r>
    </w:p>
    <w:p w14:paraId="61DC94B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通过邮件形式在远程不见面开标大厅发送各供应商签署电子《政府采购活动现场确认声明书》。</w:t>
      </w:r>
    </w:p>
    <w:p w14:paraId="68A43001">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4CE6CBFA">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6FD61DC7">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415FE50E">
      <w:pPr>
        <w:pageBreakBefore w:val="0"/>
        <w:widowControl w:val="0"/>
        <w:kinsoku/>
        <w:overflowPunct/>
        <w:topLinePunct w:val="0"/>
        <w:bidi w:val="0"/>
        <w:snapToGrid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电子化开标或评审程序调整的，按调整后执行。</w:t>
      </w:r>
    </w:p>
    <w:p w14:paraId="7FCDD079">
      <w:pPr>
        <w:pageBreakBefore w:val="0"/>
        <w:widowControl w:val="0"/>
        <w:kinsoku/>
        <w:overflowPunct/>
        <w:topLinePunct w:val="0"/>
        <w:bidi w:val="0"/>
        <w:snapToGrid w:val="0"/>
        <w:spacing w:line="360" w:lineRule="auto"/>
        <w:ind w:left="210" w:leftChars="0" w:hanging="210" w:hangingChars="100"/>
        <w:rPr>
          <w:rFonts w:ascii="宋体" w:hAnsi="宋体" w:eastAsia="宋体" w:cs="宋体"/>
          <w:color w:val="auto"/>
          <w:szCs w:val="20"/>
          <w:highlight w:val="none"/>
        </w:rPr>
      </w:pPr>
    </w:p>
    <w:p w14:paraId="220C6547">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69" w:name="_Toc20337"/>
      <w:bookmarkStart w:id="170" w:name="_Toc5853"/>
      <w:bookmarkStart w:id="171" w:name="_Toc8416"/>
      <w:bookmarkStart w:id="172" w:name="_Toc25252"/>
      <w:bookmarkStart w:id="173" w:name="_Toc12885"/>
      <w:bookmarkStart w:id="174" w:name="_Toc30050"/>
      <w:bookmarkStart w:id="175" w:name="_Toc80092999"/>
      <w:r>
        <w:rPr>
          <w:rFonts w:hint="eastAsia" w:ascii="宋体" w:hAnsi="宋体" w:eastAsia="宋体" w:cs="宋体"/>
          <w:b/>
          <w:bCs/>
          <w:color w:val="auto"/>
          <w:sz w:val="32"/>
          <w:szCs w:val="32"/>
          <w:highlight w:val="none"/>
        </w:rPr>
        <w:t>（四）资格审查</w:t>
      </w:r>
      <w:bookmarkEnd w:id="169"/>
      <w:bookmarkEnd w:id="170"/>
      <w:bookmarkEnd w:id="171"/>
      <w:bookmarkEnd w:id="172"/>
      <w:bookmarkEnd w:id="173"/>
      <w:bookmarkEnd w:id="174"/>
      <w:bookmarkEnd w:id="175"/>
    </w:p>
    <w:p w14:paraId="20EEBC5C">
      <w:pPr>
        <w:pageBreakBefore w:val="0"/>
        <w:widowControl w:val="0"/>
        <w:kinsoku/>
        <w:overflowPunct/>
        <w:topLinePunct w:val="0"/>
        <w:bidi w:val="0"/>
        <w:spacing w:line="360" w:lineRule="auto"/>
        <w:ind w:left="0" w:leftChars="0" w:firstLine="422" w:firstLineChars="200"/>
        <w:outlineLvl w:val="9"/>
        <w:rPr>
          <w:rFonts w:hint="eastAsia" w:ascii="宋体" w:hAnsi="宋体" w:eastAsia="宋体" w:cs="宋体"/>
          <w:b/>
          <w:bCs/>
          <w:color w:val="auto"/>
          <w:sz w:val="21"/>
          <w:szCs w:val="20"/>
          <w:highlight w:val="none"/>
        </w:rPr>
      </w:pPr>
      <w:r>
        <w:rPr>
          <w:rFonts w:hint="eastAsia" w:ascii="宋体" w:hAnsi="宋体" w:eastAsia="宋体" w:cs="宋体"/>
          <w:b/>
          <w:bCs/>
          <w:color w:val="auto"/>
          <w:sz w:val="21"/>
          <w:szCs w:val="20"/>
          <w:highlight w:val="none"/>
        </w:rPr>
        <w:t>25.资格审查</w:t>
      </w:r>
    </w:p>
    <w:p w14:paraId="5D7F0DD4">
      <w:pPr>
        <w:pageBreakBefore w:val="0"/>
        <w:widowControl w:val="0"/>
        <w:kinsoku/>
        <w:overflowPunct/>
        <w:topLinePunct w:val="0"/>
        <w:bidi w:val="0"/>
        <w:spacing w:line="360" w:lineRule="auto"/>
        <w:ind w:left="0" w:leftChars="0" w:firstLine="420" w:firstLineChars="200"/>
        <w:rPr>
          <w:rFonts w:ascii="宋体" w:hAnsi="宋体" w:eastAsia="宋体" w:cs="宋体"/>
          <w:b w:val="0"/>
          <w:bCs w:val="0"/>
          <w:color w:val="auto"/>
          <w:szCs w:val="20"/>
          <w:highlight w:val="none"/>
        </w:rPr>
      </w:pPr>
      <w:r>
        <w:rPr>
          <w:rFonts w:hint="eastAsia" w:ascii="宋体" w:hAnsi="宋体" w:eastAsia="宋体" w:cs="宋体"/>
          <w:b w:val="0"/>
          <w:bCs w:val="0"/>
          <w:color w:val="auto"/>
          <w:szCs w:val="20"/>
          <w:highlight w:val="none"/>
        </w:rPr>
        <w:t xml:space="preserve"> 25.1开标结束后，采购人或采购机构依法进行线上审查。</w:t>
      </w:r>
    </w:p>
    <w:p w14:paraId="2C38044F">
      <w:pPr>
        <w:pageBreakBefore w:val="0"/>
        <w:widowControl w:val="0"/>
        <w:kinsoku/>
        <w:overflowPunct/>
        <w:topLinePunct w:val="0"/>
        <w:bidi w:val="0"/>
        <w:spacing w:line="360" w:lineRule="auto"/>
        <w:ind w:left="0" w:leftChars="0" w:firstLine="420" w:firstLineChars="200"/>
        <w:rPr>
          <w:rFonts w:ascii="宋体" w:hAnsi="宋体" w:eastAsia="宋体" w:cs="宋体"/>
          <w:b w:val="0"/>
          <w:bCs w:val="0"/>
          <w:color w:val="auto"/>
          <w:szCs w:val="20"/>
          <w:highlight w:val="none"/>
        </w:rPr>
      </w:pPr>
      <w:r>
        <w:rPr>
          <w:rFonts w:hint="eastAsia" w:ascii="宋体" w:hAnsi="宋体" w:eastAsia="宋体" w:cs="宋体"/>
          <w:b w:val="0"/>
          <w:bCs w:val="0"/>
          <w:color w:val="auto"/>
          <w:szCs w:val="20"/>
          <w:highlight w:val="none"/>
        </w:rPr>
        <w:t xml:space="preserve"> 25.2征集人或采购</w:t>
      </w:r>
      <w:r>
        <w:rPr>
          <w:rFonts w:hint="eastAsia" w:ascii="宋体" w:hAnsi="宋体" w:eastAsia="宋体" w:cs="宋体"/>
          <w:b w:val="0"/>
          <w:bCs w:val="0"/>
          <w:color w:val="auto"/>
          <w:szCs w:val="20"/>
          <w:highlight w:val="none"/>
          <w:lang w:eastAsia="zh-CN"/>
        </w:rPr>
        <w:t>代理</w:t>
      </w:r>
      <w:r>
        <w:rPr>
          <w:rFonts w:hint="eastAsia" w:ascii="宋体" w:hAnsi="宋体" w:eastAsia="宋体" w:cs="宋体"/>
          <w:b w:val="0"/>
          <w:bCs w:val="0"/>
          <w:color w:val="auto"/>
          <w:szCs w:val="20"/>
          <w:highlight w:val="none"/>
        </w:rPr>
        <w:t>机构依据法律法规和征集文件的规定，对供应商的基本资格条件、特定资格条件进行审查。</w:t>
      </w:r>
    </w:p>
    <w:p w14:paraId="7EDDBB53">
      <w:pPr>
        <w:pageBreakBefore w:val="0"/>
        <w:widowControl w:val="0"/>
        <w:kinsoku/>
        <w:overflowPunct/>
        <w:topLinePunct w:val="0"/>
        <w:bidi w:val="0"/>
        <w:spacing w:line="360" w:lineRule="auto"/>
        <w:ind w:left="0" w:leftChars="0" w:firstLine="420" w:firstLineChars="200"/>
        <w:rPr>
          <w:rFonts w:hint="eastAsia" w:ascii="宋体" w:hAnsi="宋体" w:eastAsia="宋体" w:cs="宋体"/>
          <w:b w:val="0"/>
          <w:bCs w:val="0"/>
          <w:color w:val="auto"/>
          <w:szCs w:val="20"/>
          <w:highlight w:val="none"/>
        </w:rPr>
      </w:pPr>
      <w:r>
        <w:rPr>
          <w:rFonts w:hint="eastAsia" w:ascii="宋体" w:hAnsi="宋体" w:eastAsia="宋体" w:cs="宋体"/>
          <w:b w:val="0"/>
          <w:bCs w:val="0"/>
          <w:color w:val="auto"/>
          <w:szCs w:val="20"/>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6995BAEF">
      <w:pPr>
        <w:pageBreakBefore w:val="0"/>
        <w:widowControl w:val="0"/>
        <w:kinsoku/>
        <w:overflowPunct/>
        <w:topLinePunct w:val="0"/>
        <w:bidi w:val="0"/>
        <w:spacing w:line="360" w:lineRule="auto"/>
        <w:ind w:left="0" w:leftChars="0" w:firstLine="422" w:firstLineChars="200"/>
        <w:rPr>
          <w:rFonts w:ascii="宋体" w:hAnsi="宋体" w:eastAsia="宋体" w:cs="宋体"/>
          <w:b/>
          <w:bCs/>
          <w:color w:val="auto"/>
          <w:szCs w:val="20"/>
          <w:highlight w:val="none"/>
        </w:rPr>
      </w:pPr>
      <w:bookmarkStart w:id="176" w:name="_25.3_投标人有下列情形之一的，资格审查不通过而导致其投标无效："/>
      <w:bookmarkEnd w:id="176"/>
      <w:r>
        <w:rPr>
          <w:rFonts w:hint="eastAsia" w:ascii="宋体" w:hAnsi="宋体" w:eastAsia="宋体" w:cs="宋体"/>
          <w:b/>
          <w:bCs/>
          <w:color w:val="auto"/>
          <w:szCs w:val="20"/>
          <w:highlight w:val="none"/>
        </w:rPr>
        <w:t>25.4供应商有下列情形之一的，资格审查不通过，作无效响应处理：</w:t>
      </w:r>
    </w:p>
    <w:p w14:paraId="601F71B2">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（1）不具备征集文件中规定的资格要求的；（注：其中信用查询规则见“供应商须知前附表”，</w:t>
      </w:r>
      <w:r>
        <w:rPr>
          <w:rFonts w:hint="eastAsia" w:ascii="宋体" w:hAnsi="宋体" w:eastAsia="宋体" w:cs="宋体"/>
          <w:color w:val="auto"/>
          <w:szCs w:val="24"/>
          <w:highlight w:val="none"/>
          <w:lang w:eastAsia="zh-CN"/>
        </w:rPr>
        <w:t>广西政府采购云平台</w:t>
      </w:r>
      <w:r>
        <w:rPr>
          <w:rFonts w:hint="eastAsia" w:ascii="宋体" w:hAnsi="宋体" w:eastAsia="宋体" w:cs="宋体"/>
          <w:color w:val="auto"/>
          <w:szCs w:val="24"/>
          <w:highlight w:val="none"/>
        </w:rPr>
        <w:t>已与“信用中国”平台做接口，审查专家可直接在线查询）</w:t>
      </w:r>
    </w:p>
    <w:p w14:paraId="4D10668F">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（2）响应文件未提供任一项“供应商须知前附表”资格证明文件规定的“必须提供”的文件资料的；</w:t>
      </w:r>
    </w:p>
    <w:p w14:paraId="77B9E0D6">
      <w:pPr>
        <w:spacing w:before="0" w:line="360" w:lineRule="auto"/>
        <w:ind w:left="0"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（3）响应文件提供的资格证明文件出现任一项不符合“供应商须知前附表”资格证明文件规定的“必须提供”的文件资料要求或者无效的。</w:t>
      </w:r>
    </w:p>
    <w:p w14:paraId="5E561CB0">
      <w:pPr>
        <w:spacing w:before="0" w:line="360" w:lineRule="auto"/>
        <w:ind w:left="0" w:firstLine="420" w:firstLineChars="200"/>
        <w:rPr>
          <w:rFonts w:hint="eastAsia" w:ascii="宋体" w:hAnsi="宋体" w:eastAsia="宋体" w:cs="宋体"/>
          <w:color w:val="auto"/>
          <w:sz w:val="21"/>
          <w:szCs w:val="24"/>
          <w:highlight w:val="none"/>
        </w:rPr>
      </w:pP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pacing w:val="0"/>
          <w:sz w:val="21"/>
          <w:szCs w:val="24"/>
          <w:highlight w:val="none"/>
          <w:lang w:val="en-US" w:eastAsia="zh-CN"/>
        </w:rPr>
        <w:t>4</w:t>
      </w:r>
      <w:r>
        <w:rPr>
          <w:rFonts w:hint="eastAsia" w:ascii="宋体" w:hAnsi="宋体" w:eastAsia="宋体" w:cs="宋体"/>
          <w:b w:val="0"/>
          <w:bCs w:val="0"/>
          <w:color w:val="auto"/>
          <w:spacing w:val="0"/>
          <w:sz w:val="21"/>
          <w:szCs w:val="24"/>
          <w:highlight w:val="none"/>
        </w:rPr>
        <w:t>）在“信用中国”网站（</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"https://www.creditchina.gov.cn" </w:instrText>
      </w:r>
      <w:r>
        <w:rPr>
          <w:rFonts w:hint="eastAsia" w:ascii="宋体" w:hAnsi="宋体" w:eastAsia="宋体" w:cs="宋体"/>
          <w:color w:val="auto"/>
          <w:szCs w:val="24"/>
          <w:highlight w:val="none"/>
        </w:rPr>
        <w:fldChar w:fldCharType="separate"/>
      </w:r>
      <w:r>
        <w:rPr>
          <w:rFonts w:hint="eastAsia" w:ascii="宋体" w:hAnsi="宋体" w:eastAsia="宋体" w:cs="宋体"/>
          <w:b w:val="0"/>
          <w:bCs w:val="0"/>
          <w:color w:val="auto"/>
          <w:sz w:val="21"/>
          <w:szCs w:val="24"/>
          <w:highlight w:val="none"/>
        </w:rPr>
        <w:t>www</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creditchina</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gov</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cn</w:t>
      </w:r>
      <w:r>
        <w:rPr>
          <w:rFonts w:hint="eastAsia" w:ascii="宋体" w:hAnsi="宋体" w:eastAsia="宋体" w:cs="宋体"/>
          <w:b w:val="0"/>
          <w:bCs w:val="0"/>
          <w:color w:val="auto"/>
          <w:sz w:val="21"/>
          <w:szCs w:val="24"/>
          <w:highlight w:val="none"/>
        </w:rPr>
        <w:fldChar w:fldCharType="end"/>
      </w:r>
      <w:r>
        <w:rPr>
          <w:rFonts w:hint="eastAsia" w:ascii="宋体" w:hAnsi="宋体" w:eastAsia="宋体" w:cs="宋体"/>
          <w:b w:val="0"/>
          <w:bCs w:val="0"/>
          <w:color w:val="auto"/>
          <w:spacing w:val="0"/>
          <w:sz w:val="21"/>
          <w:szCs w:val="24"/>
          <w:highlight w:val="none"/>
        </w:rPr>
        <w:t>）、中国政府采购网（</w:t>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"https://www.ccgp.gov.cn" </w:instrText>
      </w:r>
      <w:r>
        <w:rPr>
          <w:rFonts w:hint="eastAsia" w:ascii="宋体" w:hAnsi="宋体" w:eastAsia="宋体" w:cs="宋体"/>
          <w:color w:val="auto"/>
          <w:szCs w:val="24"/>
          <w:highlight w:val="none"/>
        </w:rPr>
        <w:fldChar w:fldCharType="separate"/>
      </w:r>
      <w:r>
        <w:rPr>
          <w:rFonts w:hint="eastAsia" w:ascii="宋体" w:hAnsi="宋体" w:eastAsia="宋体" w:cs="宋体"/>
          <w:b w:val="0"/>
          <w:bCs w:val="0"/>
          <w:color w:val="auto"/>
          <w:sz w:val="21"/>
          <w:szCs w:val="24"/>
          <w:highlight w:val="none"/>
        </w:rPr>
        <w:t>www</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ccgp</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gov</w:t>
      </w: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z w:val="21"/>
          <w:szCs w:val="24"/>
          <w:highlight w:val="none"/>
        </w:rPr>
        <w:t>cn</w:t>
      </w:r>
      <w:r>
        <w:rPr>
          <w:rFonts w:hint="eastAsia" w:ascii="宋体" w:hAnsi="宋体" w:eastAsia="宋体" w:cs="宋体"/>
          <w:b w:val="0"/>
          <w:bCs w:val="0"/>
          <w:color w:val="auto"/>
          <w:sz w:val="21"/>
          <w:szCs w:val="24"/>
          <w:highlight w:val="none"/>
        </w:rPr>
        <w:fldChar w:fldCharType="end"/>
      </w:r>
      <w:r>
        <w:rPr>
          <w:rFonts w:hint="eastAsia" w:ascii="宋体" w:hAnsi="宋体" w:eastAsia="宋体" w:cs="宋体"/>
          <w:b w:val="0"/>
          <w:bCs w:val="0"/>
          <w:color w:val="auto"/>
          <w:spacing w:val="0"/>
          <w:sz w:val="21"/>
          <w:szCs w:val="24"/>
          <w:highlight w:val="none"/>
        </w:rPr>
        <w:t>）</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被列入失信被执行人、重大税收违法失信主体、政府采购严重违法失信行为记录名单及其他不符合</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《中华人民共和国政府采购法》第二十二条规定条件的</w:t>
      </w:r>
      <w:r>
        <w:rPr>
          <w:rFonts w:hint="eastAsia" w:ascii="宋体" w:hAnsi="宋体" w:eastAsia="宋体" w:cs="宋体"/>
          <w:b w:val="0"/>
          <w:bCs w:val="0"/>
          <w:color w:val="auto"/>
          <w:sz w:val="21"/>
          <w:szCs w:val="24"/>
          <w:highlight w:val="none"/>
        </w:rPr>
        <w:t>；（</w:t>
      </w:r>
      <w:r>
        <w:rPr>
          <w:rFonts w:hint="eastAsia" w:ascii="宋体" w:hAnsi="宋体" w:eastAsia="宋体" w:cs="宋体"/>
          <w:b w:val="0"/>
          <w:bCs w:val="0"/>
          <w:color w:val="auto"/>
          <w:spacing w:val="0"/>
          <w:sz w:val="21"/>
          <w:szCs w:val="24"/>
          <w:highlight w:val="none"/>
        </w:rPr>
        <w:t>注：其中信用查询规则见“供应商须知</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前附表</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”，“政采云</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”平台已与“信用中国</w:t>
      </w:r>
      <w:r>
        <w:rPr>
          <w:rFonts w:hint="eastAsia" w:ascii="宋体" w:hAnsi="宋体" w:eastAsia="宋体" w:cs="宋体"/>
          <w:color w:val="auto"/>
          <w:spacing w:val="0"/>
          <w:sz w:val="21"/>
          <w:szCs w:val="24"/>
          <w:highlight w:val="none"/>
        </w:rPr>
        <w:t xml:space="preserve"> </w:t>
      </w:r>
      <w:r>
        <w:rPr>
          <w:rFonts w:hint="eastAsia" w:ascii="宋体" w:hAnsi="宋体" w:eastAsia="宋体" w:cs="宋体"/>
          <w:b w:val="0"/>
          <w:bCs w:val="0"/>
          <w:color w:val="auto"/>
          <w:spacing w:val="0"/>
          <w:sz w:val="21"/>
          <w:szCs w:val="24"/>
          <w:highlight w:val="none"/>
        </w:rPr>
        <w:t>”网站、中国政府采购网实现数据对接，可直接在线查</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询）</w:t>
      </w:r>
    </w:p>
    <w:p w14:paraId="2E0BBAD7">
      <w:pPr>
        <w:pageBreakBefore w:val="0"/>
        <w:widowControl w:val="0"/>
        <w:kinsoku/>
        <w:overflowPunct/>
        <w:topLinePunct w:val="0"/>
        <w:bidi w:val="0"/>
        <w:spacing w:before="0" w:line="360" w:lineRule="auto"/>
        <w:ind w:left="0" w:leftChars="0" w:right="0" w:firstLine="420" w:firstLineChars="200"/>
        <w:rPr>
          <w:rFonts w:hint="eastAsia" w:ascii="宋体" w:hAnsi="宋体" w:eastAsia="宋体" w:cs="宋体"/>
          <w:color w:val="auto"/>
          <w:szCs w:val="24"/>
          <w:highlight w:val="none"/>
        </w:rPr>
      </w:pPr>
      <w:r>
        <w:rPr>
          <w:rFonts w:hint="eastAsia" w:ascii="宋体" w:hAnsi="宋体" w:eastAsia="宋体" w:cs="宋体"/>
          <w:b w:val="0"/>
          <w:bCs w:val="0"/>
          <w:color w:val="auto"/>
          <w:spacing w:val="0"/>
          <w:sz w:val="21"/>
          <w:szCs w:val="24"/>
          <w:highlight w:val="none"/>
        </w:rPr>
        <w:t>（</w:t>
      </w:r>
      <w:r>
        <w:rPr>
          <w:rFonts w:hint="eastAsia" w:ascii="宋体" w:hAnsi="宋体" w:eastAsia="宋体" w:cs="宋体"/>
          <w:b w:val="0"/>
          <w:bCs w:val="0"/>
          <w:color w:val="auto"/>
          <w:spacing w:val="0"/>
          <w:sz w:val="21"/>
          <w:szCs w:val="24"/>
          <w:highlight w:val="none"/>
          <w:lang w:val="en-US" w:eastAsia="zh-CN"/>
        </w:rPr>
        <w:t>5</w:t>
      </w:r>
      <w:r>
        <w:rPr>
          <w:rFonts w:hint="eastAsia" w:ascii="宋体" w:hAnsi="宋体" w:eastAsia="宋体" w:cs="宋体"/>
          <w:b w:val="0"/>
          <w:bCs w:val="0"/>
          <w:color w:val="auto"/>
          <w:spacing w:val="0"/>
          <w:sz w:val="21"/>
          <w:szCs w:val="24"/>
          <w:highlight w:val="none"/>
        </w:rPr>
        <w:t>）同一合同项下的不同供应商，单位负责人为同一人或者存在直接控股、管理关系的；为本</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项目提供过整体设计、规范编制或者项目管理、监理、检测等服务的供应商，再参加该采购项目的</w:t>
      </w:r>
      <w:r>
        <w:rPr>
          <w:rFonts w:hint="eastAsia" w:ascii="宋体" w:hAnsi="宋体" w:eastAsia="宋体" w:cs="宋体"/>
          <w:color w:val="auto"/>
          <w:sz w:val="21"/>
          <w:szCs w:val="24"/>
          <w:highlight w:val="none"/>
        </w:rPr>
        <w:t xml:space="preserve"> </w:t>
      </w:r>
      <w:r>
        <w:rPr>
          <w:rFonts w:hint="eastAsia" w:ascii="宋体" w:hAnsi="宋体" w:eastAsia="宋体" w:cs="宋体"/>
          <w:b w:val="0"/>
          <w:bCs w:val="0"/>
          <w:color w:val="auto"/>
          <w:spacing w:val="0"/>
          <w:sz w:val="21"/>
          <w:szCs w:val="24"/>
          <w:highlight w:val="none"/>
        </w:rPr>
        <w:t>其他采购活动的；</w:t>
      </w:r>
    </w:p>
    <w:p w14:paraId="279079E0">
      <w:pPr>
        <w:pageBreakBefore w:val="0"/>
        <w:widowControl w:val="0"/>
        <w:kinsoku/>
        <w:overflowPunct/>
        <w:topLinePunct w:val="0"/>
        <w:bidi w:val="0"/>
        <w:spacing w:line="360" w:lineRule="auto"/>
        <w:ind w:left="0" w:leftChars="0" w:firstLine="422" w:firstLineChars="200"/>
        <w:outlineLvl w:val="9"/>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25.5资格审查的合格供应商不足3家的，不得评审。</w:t>
      </w:r>
    </w:p>
    <w:p w14:paraId="6943CE50">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77" w:name="_Toc80093000"/>
      <w:bookmarkStart w:id="178" w:name="_Toc22253"/>
      <w:bookmarkStart w:id="179" w:name="_Toc10680"/>
      <w:bookmarkStart w:id="180" w:name="_Toc15083"/>
      <w:bookmarkStart w:id="181" w:name="_Toc4032"/>
      <w:bookmarkStart w:id="182" w:name="_Toc31958"/>
      <w:bookmarkStart w:id="183" w:name="_Toc18655"/>
      <w:r>
        <w:rPr>
          <w:rFonts w:hint="eastAsia" w:ascii="宋体" w:hAnsi="宋体" w:eastAsia="宋体" w:cs="宋体"/>
          <w:b/>
          <w:bCs/>
          <w:color w:val="auto"/>
          <w:sz w:val="32"/>
          <w:szCs w:val="32"/>
          <w:highlight w:val="none"/>
        </w:rPr>
        <w:t>（五）评   标</w:t>
      </w:r>
      <w:bookmarkEnd w:id="177"/>
      <w:bookmarkEnd w:id="178"/>
      <w:bookmarkEnd w:id="179"/>
      <w:bookmarkEnd w:id="180"/>
      <w:bookmarkEnd w:id="181"/>
      <w:bookmarkEnd w:id="182"/>
      <w:bookmarkEnd w:id="183"/>
    </w:p>
    <w:p w14:paraId="6E340522">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84" w:name="_26.组建评标委员会"/>
      <w:bookmarkEnd w:id="184"/>
      <w:r>
        <w:rPr>
          <w:rFonts w:hint="eastAsia" w:ascii="宋体" w:hAnsi="宋体" w:eastAsia="宋体" w:cs="宋体"/>
          <w:color w:val="auto"/>
          <w:sz w:val="24"/>
          <w:szCs w:val="24"/>
          <w:highlight w:val="none"/>
        </w:rPr>
        <w:t>26.组建评审委员会</w:t>
      </w:r>
    </w:p>
    <w:p w14:paraId="55E53C0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评审委员会由征集人代表和评审专家组成，人数为5人以上单数，其中评审专家不得少于成员总数的三分之二。</w:t>
      </w:r>
    </w:p>
    <w:p w14:paraId="43CFC1F5">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参加过采购项目前期咨询论证的专家，不得参加该采购项目的评审活动。</w:t>
      </w:r>
    </w:p>
    <w:p w14:paraId="196E7430">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27.评审的依据</w:t>
      </w:r>
    </w:p>
    <w:p w14:paraId="750BFDF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评审委员会以征集文件为依据对响应文件进行评审，“第四章 评审方法和评审标准”没有规定的方法、评审因素和标准，不作为评审依据。</w:t>
      </w:r>
    </w:p>
    <w:p w14:paraId="44F3AD39">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28.评审原则</w:t>
      </w:r>
    </w:p>
    <w:p w14:paraId="2E605DC5">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7EB2A752">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bookmarkStart w:id="185" w:name="_28.3评标方法。本项目将按须知前附表规定的评标办法进行评标，具体评标"/>
      <w:bookmarkEnd w:id="185"/>
    </w:p>
    <w:p w14:paraId="475637C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72F2ABE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28.4评审过程的监控。本项目电子评审过程实行网上留痕、全程录音、录像监控，供应商在评审过程中所进行的试图影响评审结果的不公正活动，可能导致其响应按无效处理。</w:t>
      </w:r>
    </w:p>
    <w:p w14:paraId="712F0500">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29.评审方法及评审标准</w:t>
      </w:r>
    </w:p>
    <w:p w14:paraId="003F5119">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29.1本项目的评审方法详见“供应商须知前附表”。</w:t>
      </w:r>
    </w:p>
    <w:p w14:paraId="027F30F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29.2 评审委员会按照</w:t>
      </w:r>
      <w:r>
        <w:rPr>
          <w:rFonts w:hint="eastAsia" w:ascii="宋体" w:hAnsi="宋体" w:eastAsia="宋体" w:cs="宋体"/>
          <w:b/>
          <w:color w:val="auto"/>
          <w:szCs w:val="24"/>
          <w:highlight w:val="none"/>
        </w:rPr>
        <w:t>“第四章 评审方法和评审标准”</w:t>
      </w:r>
      <w:r>
        <w:rPr>
          <w:rFonts w:hint="eastAsia" w:ascii="宋体" w:hAnsi="宋体" w:eastAsia="宋体" w:cs="宋体"/>
          <w:color w:val="auto"/>
          <w:szCs w:val="24"/>
          <w:highlight w:val="none"/>
        </w:rPr>
        <w:t>规定的方法、评审因素、标准和程序对响应文件进行评审。</w:t>
      </w:r>
    </w:p>
    <w:p w14:paraId="18D1281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29.3 电子交易活动的中止。采购过程中出现以下情形，导致电子交易平台无法正常运行，或者无法保证电子交易的公平、公正和安全时，采购机构可中止电子交易活动：</w:t>
      </w:r>
    </w:p>
    <w:p w14:paraId="250518E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14:paraId="082CDA1A">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14:paraId="0D72BB5D">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14:paraId="156134A1">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14:paraId="56359DB2">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（4）其他无法保证电子交易的公平、公正和安全的情况。</w:t>
      </w:r>
    </w:p>
    <w:p w14:paraId="7B033729">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EEA69AA">
      <w:pPr>
        <w:pageBreakBefore w:val="0"/>
        <w:widowControl w:val="0"/>
        <w:kinsoku/>
        <w:overflowPunct/>
        <w:topLinePunct w:val="0"/>
        <w:bidi w:val="0"/>
        <w:snapToGrid w:val="0"/>
        <w:spacing w:line="360" w:lineRule="auto"/>
        <w:ind w:left="0" w:leftChars="0" w:firstLine="420" w:firstLineChars="200"/>
        <w:rPr>
          <w:rFonts w:ascii="宋体" w:hAnsi="宋体" w:eastAsia="宋体" w:cs="宋体"/>
          <w:color w:val="auto"/>
          <w:szCs w:val="20"/>
          <w:highlight w:val="none"/>
        </w:rPr>
      </w:pPr>
    </w:p>
    <w:p w14:paraId="3E786EDC">
      <w:pPr>
        <w:pageBreakBefore w:val="0"/>
        <w:widowControl w:val="0"/>
        <w:kinsoku/>
        <w:overflowPunct/>
        <w:topLinePunct w:val="0"/>
        <w:bidi w:val="0"/>
        <w:spacing w:line="360" w:lineRule="auto"/>
        <w:jc w:val="center"/>
        <w:outlineLvl w:val="2"/>
        <w:rPr>
          <w:rFonts w:ascii="宋体" w:hAnsi="宋体" w:eastAsia="宋体" w:cs="宋体"/>
          <w:b/>
          <w:bCs/>
          <w:color w:val="auto"/>
          <w:sz w:val="32"/>
          <w:szCs w:val="32"/>
          <w:highlight w:val="none"/>
        </w:rPr>
      </w:pPr>
      <w:bookmarkStart w:id="186" w:name="_Toc80093001"/>
      <w:bookmarkStart w:id="187" w:name="_Toc1634"/>
      <w:bookmarkStart w:id="188" w:name="_Toc14809"/>
      <w:bookmarkStart w:id="189" w:name="_Toc2716"/>
      <w:bookmarkStart w:id="190" w:name="_Toc23422"/>
      <w:bookmarkStart w:id="191" w:name="_Toc20387"/>
      <w:bookmarkStart w:id="192" w:name="_Toc16462"/>
      <w:r>
        <w:rPr>
          <w:rFonts w:hint="eastAsia" w:ascii="宋体" w:hAnsi="宋体" w:eastAsia="宋体" w:cs="宋体"/>
          <w:b/>
          <w:bCs/>
          <w:color w:val="auto"/>
          <w:sz w:val="32"/>
          <w:szCs w:val="32"/>
          <w:highlight w:val="none"/>
        </w:rPr>
        <w:t>（六）</w:t>
      </w:r>
      <w:bookmarkEnd w:id="186"/>
      <w:r>
        <w:rPr>
          <w:rFonts w:hint="eastAsia" w:ascii="宋体" w:hAnsi="宋体" w:eastAsia="宋体" w:cs="宋体"/>
          <w:b/>
          <w:bCs/>
          <w:color w:val="auto"/>
          <w:sz w:val="32"/>
          <w:szCs w:val="32"/>
          <w:highlight w:val="none"/>
        </w:rPr>
        <w:t>入围和框架协议</w:t>
      </w:r>
      <w:bookmarkEnd w:id="187"/>
      <w:bookmarkEnd w:id="188"/>
      <w:bookmarkEnd w:id="189"/>
      <w:bookmarkEnd w:id="190"/>
      <w:bookmarkEnd w:id="191"/>
      <w:bookmarkEnd w:id="192"/>
    </w:p>
    <w:p w14:paraId="15EAA301">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30.确定供应商</w:t>
      </w:r>
    </w:p>
    <w:p w14:paraId="34DFA4F1">
      <w:pPr>
        <w:pageBreakBefore w:val="0"/>
        <w:widowControl w:val="0"/>
        <w:kinsoku/>
        <w:overflowPunct/>
        <w:topLinePunct w:val="0"/>
        <w:bidi w:val="0"/>
        <w:spacing w:line="360" w:lineRule="auto"/>
        <w:ind w:left="0" w:leftChars="0"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30.1本项目授权评审委员会直接按第四章“评审方法及评审标准”的规定排列入围候选人顺序，并依照次序确定供应商。</w:t>
      </w:r>
    </w:p>
    <w:p w14:paraId="63198DC9">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5E9BDD45">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30.3入围供应商无正当理由拒签合同的，根据《中华人民共和国政府采购法》第七十七条第一款规定处理。</w:t>
      </w:r>
    </w:p>
    <w:p w14:paraId="01FFB25F">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w:t>
      </w:r>
      <w:r>
        <w:rPr>
          <w:rFonts w:hint="eastAsia" w:ascii="宋体" w:hAnsi="宋体" w:eastAsia="宋体" w:cs="宋体"/>
          <w:color w:val="auto"/>
          <w:sz w:val="21"/>
          <w:szCs w:val="21"/>
          <w:highlight w:val="none"/>
        </w:rPr>
        <w:t>第五百六十三条</w:t>
      </w:r>
      <w:r>
        <w:rPr>
          <w:rFonts w:hint="eastAsia" w:ascii="宋体" w:hAnsi="宋体" w:eastAsia="宋体" w:cs="宋体"/>
          <w:color w:val="auto"/>
          <w:szCs w:val="21"/>
          <w:highlight w:val="none"/>
        </w:rPr>
        <w:t>，因不可抗力致使不能实现合同目的的，当事人可以解除合同。</w:t>
      </w:r>
    </w:p>
    <w:p w14:paraId="16264714">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 结果公告</w:t>
      </w:r>
    </w:p>
    <w:p w14:paraId="67865952">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1"/>
          <w:highlight w:val="none"/>
        </w:rPr>
        <w:t>31.1</w:t>
      </w:r>
      <w:r>
        <w:rPr>
          <w:rFonts w:hint="eastAsia" w:ascii="宋体" w:hAnsi="宋体" w:eastAsia="宋体" w:cs="宋体"/>
          <w:color w:val="auto"/>
          <w:szCs w:val="24"/>
          <w:highlight w:val="none"/>
        </w:rPr>
        <w:t>在入围供应商确定之日起2个工作日内，由采购代理机构</w:t>
      </w:r>
      <w:r>
        <w:rPr>
          <w:rFonts w:hint="eastAsia" w:ascii="宋体" w:hAnsi="宋体" w:eastAsia="宋体" w:cs="宋体"/>
          <w:b/>
          <w:color w:val="auto"/>
          <w:szCs w:val="21"/>
          <w:highlight w:val="none"/>
        </w:rPr>
        <w:t>在征集公告发布媒体上</w:t>
      </w:r>
      <w:r>
        <w:rPr>
          <w:rFonts w:hint="eastAsia" w:ascii="宋体" w:hAnsi="宋体" w:eastAsia="宋体" w:cs="宋体"/>
          <w:color w:val="auto"/>
          <w:szCs w:val="24"/>
          <w:highlight w:val="none"/>
        </w:rPr>
        <w:t>发布入围结果公告，入围结果公告期限为1个工作日，发布入围结果公告的同时向入围供应商发出入围通知书。</w:t>
      </w:r>
      <w:r>
        <w:rPr>
          <w:rFonts w:hint="eastAsia" w:ascii="宋体" w:hAnsi="宋体" w:eastAsia="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eastAsia="宋体" w:cs="宋体"/>
          <w:color w:val="auto"/>
          <w:szCs w:val="21"/>
          <w:highlight w:val="none"/>
        </w:rPr>
        <w:t>。</w:t>
      </w:r>
    </w:p>
    <w:p w14:paraId="2DF2611F">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以上信息查询记录及相关证据与征集文件一并保存。</w:t>
      </w:r>
    </w:p>
    <w:p w14:paraId="4FD769FF">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12A00064">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32.发出入围通知书</w:t>
      </w:r>
    </w:p>
    <w:p w14:paraId="6BFD7522">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32.1在发布入围公告的同时，采购代理机构向供应商通过</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发出电子入围通知书。</w:t>
      </w:r>
    </w:p>
    <w:p w14:paraId="3B12CC93">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 无义务解释未入围原因</w:t>
      </w:r>
    </w:p>
    <w:p w14:paraId="0774AE6F">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采购代理机构无义务向未入围的供应商解释未入围原因和退还响应文件。</w:t>
      </w:r>
    </w:p>
    <w:p w14:paraId="7A994EA3">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 框架协议授予标准</w:t>
      </w:r>
    </w:p>
    <w:p w14:paraId="0DE4E4C0">
      <w:pPr>
        <w:pageBreakBefore w:val="0"/>
        <w:widowControl w:val="0"/>
        <w:kinsoku/>
        <w:overflowPunct/>
        <w:topLinePunct w:val="0"/>
        <w:bidi w:val="0"/>
        <w:spacing w:line="360" w:lineRule="auto"/>
        <w:ind w:left="0" w:leftChars="0" w:firstLine="480" w:firstLineChars="200"/>
        <w:rPr>
          <w:rFonts w:ascii="宋体" w:hAnsi="宋体" w:eastAsia="宋体" w:cs="宋体"/>
          <w:color w:val="auto"/>
          <w:szCs w:val="21"/>
          <w:highlight w:val="none"/>
        </w:rPr>
      </w:pPr>
      <w:r>
        <w:rPr>
          <w:rFonts w:hint="eastAsia" w:ascii="宋体" w:hAnsi="宋体" w:eastAsia="宋体" w:cs="宋体"/>
          <w:color w:val="auto"/>
          <w:kern w:val="0"/>
          <w:sz w:val="24"/>
          <w:szCs w:val="24"/>
          <w:highlight w:val="none"/>
        </w:rPr>
        <w:t>框架协议</w:t>
      </w:r>
      <w:r>
        <w:rPr>
          <w:rFonts w:hint="eastAsia" w:ascii="宋体" w:hAnsi="宋体" w:eastAsia="宋体" w:cs="宋体"/>
          <w:color w:val="auto"/>
          <w:szCs w:val="21"/>
          <w:highlight w:val="none"/>
        </w:rPr>
        <w:t>将授予被确定实质上响应征集文件要求，具备履行</w:t>
      </w:r>
      <w:r>
        <w:rPr>
          <w:rFonts w:hint="eastAsia" w:ascii="宋体" w:hAnsi="宋体" w:eastAsia="宋体" w:cs="宋体"/>
          <w:color w:val="auto"/>
          <w:kern w:val="0"/>
          <w:sz w:val="24"/>
          <w:szCs w:val="24"/>
          <w:highlight w:val="none"/>
        </w:rPr>
        <w:t>框架协议</w:t>
      </w:r>
      <w:r>
        <w:rPr>
          <w:rFonts w:hint="eastAsia" w:ascii="宋体" w:hAnsi="宋体" w:eastAsia="宋体" w:cs="宋体"/>
          <w:color w:val="auto"/>
          <w:szCs w:val="21"/>
          <w:highlight w:val="none"/>
        </w:rPr>
        <w:t>能力的供应商（征集文件另有约定多名供应商的除外）。</w:t>
      </w:r>
    </w:p>
    <w:p w14:paraId="12479796">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35.履约保证金</w:t>
      </w:r>
    </w:p>
    <w:p w14:paraId="6B37960E">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bookmarkStart w:id="193" w:name="_39.1中标人须于签订合同前按本须知前附表规定的金额转账或电汇到指定账"/>
      <w:bookmarkEnd w:id="193"/>
      <w:r>
        <w:rPr>
          <w:rFonts w:hint="eastAsia" w:ascii="宋体" w:hAnsi="宋体" w:eastAsia="宋体" w:cs="宋体"/>
          <w:color w:val="auto"/>
          <w:szCs w:val="21"/>
          <w:highlight w:val="none"/>
        </w:rPr>
        <w:t>见“供应商须知前附表”。</w:t>
      </w:r>
    </w:p>
    <w:p w14:paraId="6ED2B1D4">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36.签订框架协议</w:t>
      </w:r>
    </w:p>
    <w:p w14:paraId="65C0B000">
      <w:pPr>
        <w:pageBreakBefore w:val="0"/>
        <w:widowControl w:val="0"/>
        <w:kinsoku/>
        <w:overflowPunct/>
        <w:topLinePunct w:val="0"/>
        <w:bidi w:val="0"/>
        <w:adjustRightInd w:val="0"/>
        <w:snapToGrid w:val="0"/>
        <w:spacing w:line="360" w:lineRule="auto"/>
        <w:ind w:left="0" w:leftChars="0" w:firstLine="422" w:firstLineChars="200"/>
        <w:rPr>
          <w:rFonts w:ascii="宋体" w:hAnsi="宋体" w:eastAsia="宋体" w:cs="宋体"/>
          <w:color w:val="auto"/>
          <w:kern w:val="0"/>
          <w:szCs w:val="21"/>
          <w:highlight w:val="none"/>
          <w:lang w:val="zh-CN"/>
        </w:rPr>
      </w:pPr>
      <w:bookmarkStart w:id="194" w:name="_40.1投标人接到中标通知书后，按须知前附表规定向采购人出示相关资格证"/>
      <w:bookmarkEnd w:id="194"/>
      <w:r>
        <w:rPr>
          <w:rFonts w:hint="eastAsia" w:ascii="宋体" w:hAnsi="宋体" w:eastAsia="宋体" w:cs="宋体"/>
          <w:b/>
          <w:color w:val="auto"/>
          <w:szCs w:val="21"/>
          <w:highlight w:val="none"/>
        </w:rPr>
        <w:t xml:space="preserve"> 36.1供应商领取电子入围通知书后，</w:t>
      </w:r>
      <w:r>
        <w:rPr>
          <w:rFonts w:hint="eastAsia" w:ascii="宋体" w:hAnsi="宋体" w:eastAsia="宋体" w:cs="宋体"/>
          <w:color w:val="auto"/>
          <w:kern w:val="0"/>
          <w:szCs w:val="21"/>
          <w:highlight w:val="none"/>
          <w:lang w:val="zh-CN"/>
        </w:rPr>
        <w:t>按规定的日期、时间、地点，由法定代表人或其授权代表与征集人代表签订框架协议。如供应商为联合体的，由联合体成员各方法定代表人或其授权代表与征集人代表签订框架协议，签订携带资料详见“供应商须知前附表”。</w:t>
      </w:r>
    </w:p>
    <w:p w14:paraId="164EC377">
      <w:pPr>
        <w:pageBreakBefore w:val="0"/>
        <w:widowControl w:val="0"/>
        <w:kinsoku/>
        <w:overflowPunct/>
        <w:topLinePunct w:val="0"/>
        <w:bidi w:val="0"/>
        <w:adjustRightInd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val="zh-CN"/>
        </w:rPr>
        <w:t>36.2</w:t>
      </w:r>
      <w:r>
        <w:rPr>
          <w:rFonts w:hint="eastAsia" w:ascii="宋体" w:hAnsi="宋体" w:eastAsia="宋体" w:cs="宋体"/>
          <w:color w:val="auto"/>
          <w:szCs w:val="21"/>
          <w:highlight w:val="none"/>
        </w:rPr>
        <w:t>框架协议由征集人与入围供应商根据征集文件、响应文件等内容通过政府采购电子交易平台在线签订，自动备案。</w:t>
      </w:r>
    </w:p>
    <w:p w14:paraId="3C954421">
      <w:pPr>
        <w:pageBreakBefore w:val="0"/>
        <w:widowControl w:val="0"/>
        <w:kinsoku/>
        <w:overflowPunct/>
        <w:topLinePunct w:val="0"/>
        <w:bidi w:val="0"/>
        <w:adjustRightInd w:val="0"/>
        <w:snapToGrid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36.3签订框架协议时间：入围通知书发出后</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日内征集人与入围供应商签订框架协议。</w:t>
      </w:r>
    </w:p>
    <w:p w14:paraId="632CB3C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36.4供应商拒绝与征集人签订框架协议的，征集人可以按照评审报告推荐的入围候选人名单排序，确定下一候选人为供应商，也可以重新开展政府采购活动。如征集人无正当理由拒签</w:t>
      </w:r>
      <w:r>
        <w:rPr>
          <w:rFonts w:hint="eastAsia" w:ascii="宋体" w:hAnsi="宋体" w:eastAsia="宋体" w:cs="宋体"/>
          <w:color w:val="auto"/>
          <w:kern w:val="0"/>
          <w:sz w:val="24"/>
          <w:szCs w:val="24"/>
          <w:highlight w:val="none"/>
        </w:rPr>
        <w:t>框架协议</w:t>
      </w:r>
      <w:r>
        <w:rPr>
          <w:rFonts w:hint="eastAsia" w:ascii="宋体" w:hAnsi="宋体" w:eastAsia="宋体" w:cs="宋体"/>
          <w:color w:val="auto"/>
          <w:szCs w:val="21"/>
          <w:highlight w:val="none"/>
        </w:rPr>
        <w:t>的，给入围供应商造成损失的，入围供应商可追究征集人承担相应的法律责任。</w:t>
      </w:r>
    </w:p>
    <w:p w14:paraId="3A86163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入围供应商和征集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3014D0F">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36.6征集人或入围供应商不得单方面向框架协议另一方提出任何征集文件没有约定的条件或不合理的要求，作为签订框架协议的条件；也不得协商另行订立背离征集文件和合同实质性内容的协议。</w:t>
      </w:r>
    </w:p>
    <w:p w14:paraId="216F581B">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36.7如签订框架协议并生效后，供应商无故拒绝或延期，除按照框架协议条款处理外，将承担相应的法律责任。</w:t>
      </w:r>
    </w:p>
    <w:p w14:paraId="1416B1E1">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36.8征集人需追加与框架协议标的相同的货物或者服务的，在不改变原框架协议条款且已报财政部门批准落实资金的前提下，可从原入围供应商处添购， 所签订的补充添置框架协议的采购资金总额不超过原框架协议金额的10%。</w:t>
      </w:r>
    </w:p>
    <w:p w14:paraId="3423B5E0">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195" w:name="_41.政府采购合同公告"/>
      <w:bookmarkEnd w:id="195"/>
      <w:r>
        <w:rPr>
          <w:rFonts w:hint="eastAsia" w:ascii="宋体" w:hAnsi="宋体" w:eastAsia="宋体" w:cs="宋体"/>
          <w:color w:val="auto"/>
          <w:sz w:val="24"/>
          <w:szCs w:val="24"/>
          <w:highlight w:val="none"/>
        </w:rPr>
        <w:t>37.</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框架协议公告</w:t>
      </w:r>
    </w:p>
    <w:p w14:paraId="2B0B0B69">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5DF5BBB3">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 询问、质疑和投诉</w:t>
      </w:r>
    </w:p>
    <w:p w14:paraId="5F26BA0A">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659AEBC8">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38.1.1供应商对政府采购活动事项有疑问的，可以向征集人或采购代理机构项目负责人提出询问。</w:t>
      </w:r>
    </w:p>
    <w:p w14:paraId="03426417">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38.1.2征集人或征集人委托的采购代理机构自受理询问之日起3个工作日内对供应商依法提出的询问作出答复，</w:t>
      </w:r>
      <w:r>
        <w:rPr>
          <w:rFonts w:hint="eastAsia" w:ascii="宋体" w:hAnsi="宋体" w:eastAsia="宋体" w:cs="宋体"/>
          <w:color w:val="auto"/>
          <w:szCs w:val="24"/>
          <w:highlight w:val="none"/>
        </w:rPr>
        <w:t>但答复内容不得涉及商业秘密</w:t>
      </w:r>
      <w:r>
        <w:rPr>
          <w:rFonts w:hint="eastAsia" w:ascii="宋体" w:hAnsi="宋体" w:eastAsia="宋体" w:cs="宋体"/>
          <w:bCs/>
          <w:color w:val="auto"/>
          <w:szCs w:val="21"/>
          <w:highlight w:val="none"/>
        </w:rPr>
        <w:t>。</w:t>
      </w:r>
    </w:p>
    <w:p w14:paraId="5A6E1238">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询问事项可能影响入围、成交结果的，征集人应当暂停签订框架协议，已经签订框架协议的，应当中止履行框架协议。</w:t>
      </w:r>
    </w:p>
    <w:p w14:paraId="4295C975">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010A8DEA">
      <w:pPr>
        <w:pageBreakBefore w:val="0"/>
        <w:widowControl w:val="0"/>
        <w:kinsoku/>
        <w:overflowPunct/>
        <w:topLinePunct w:val="0"/>
        <w:bidi w:val="0"/>
        <w:spacing w:line="360" w:lineRule="auto"/>
        <w:ind w:left="0" w:leftChars="0"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38.2.1</w:t>
      </w:r>
      <w:r>
        <w:rPr>
          <w:rFonts w:hint="eastAsia" w:ascii="宋体" w:hAnsi="宋体" w:eastAsia="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4F6ACD9D">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（1）潜在供应商依法获取公开征集文件后，认为采购文件使自己的权益受到损害的，应当在公开征集文件公告期限届满之日起7个工作日内提出质疑。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对公开征集文件中采购需求（含资格要求、采购预算和评分办法）的质疑由征集人受理并负责答复；对公开征集文件中的采购执行程序的质疑由采购代理机构受理并负责答复。</w:t>
      </w:r>
    </w:p>
    <w:p w14:paraId="5D8C8A26">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6FE025CC">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（3）供应商认为入围或者成交结果使自己的权益受到损害的，应当在入围或者成交结果公告期限届满之日起7个工作日内提出质疑，由征集人受理并负责答复。</w:t>
      </w:r>
    </w:p>
    <w:p w14:paraId="309711E1">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7479F42C">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4"/>
          <w:highlight w:val="none"/>
        </w:rPr>
      </w:pPr>
      <w:r>
        <w:rPr>
          <w:rFonts w:hint="eastAsia" w:ascii="宋体" w:hAnsi="宋体" w:eastAsia="宋体" w:cs="宋体"/>
          <w:b/>
          <w:bCs/>
          <w:color w:val="auto"/>
          <w:szCs w:val="24"/>
          <w:highlight w:val="none"/>
        </w:rPr>
        <w:t>38.2.3</w:t>
      </w:r>
      <w:r>
        <w:rPr>
          <w:rFonts w:hint="eastAsia" w:ascii="宋体" w:hAnsi="宋体" w:eastAsia="宋体" w:cs="宋体"/>
          <w:bCs/>
          <w:color w:val="auto"/>
          <w:szCs w:val="24"/>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szCs w:val="24"/>
          <w:highlight w:val="none"/>
        </w:rPr>
        <w:t>。</w:t>
      </w:r>
    </w:p>
    <w:p w14:paraId="1D9DF6D5">
      <w:pPr>
        <w:pageBreakBefore w:val="0"/>
        <w:widowControl w:val="0"/>
        <w:kinsoku/>
        <w:overflowPunct/>
        <w:topLinePunct w:val="0"/>
        <w:bidi w:val="0"/>
        <w:spacing w:line="360" w:lineRule="auto"/>
        <w:ind w:left="0" w:leftChars="0"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38.2.4 质疑供应商提起质疑应当符合下列条件：</w:t>
      </w:r>
    </w:p>
    <w:p w14:paraId="2559A84F">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szCs w:val="24"/>
          <w:highlight w:val="none"/>
        </w:rPr>
        <w:t>采购活动的供应商（潜在供应商已依法获取征集文件的，可以对该征集文件质疑）；</w:t>
      </w:r>
    </w:p>
    <w:p w14:paraId="4FDE9DC3">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（2）质疑函内容符合本章第38.2.5项的规定；</w:t>
      </w:r>
    </w:p>
    <w:p w14:paraId="0379BEE3">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（3）在质疑有效期限内提起质疑；</w:t>
      </w:r>
    </w:p>
    <w:p w14:paraId="52FACF94">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（4）属于所质疑的征集人或征集人委托的采购代理机构组织的采购活动；</w:t>
      </w:r>
    </w:p>
    <w:p w14:paraId="246E9FEA">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 xml:space="preserve">（5）同一质疑事项未经征集人或征集人委托的采购代理机构质疑处理； </w:t>
      </w:r>
    </w:p>
    <w:p w14:paraId="54A4FDBB">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（6）供应商对同一采购程序环节的质疑应当在质疑有效期内一次性提出；</w:t>
      </w:r>
    </w:p>
    <w:p w14:paraId="2E7CAF40">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（7）供应商提交质疑应当提交必要的证明材料，证明材料应以合法手段取得；</w:t>
      </w:r>
    </w:p>
    <w:p w14:paraId="534DC989">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bCs/>
          <w:color w:val="auto"/>
          <w:szCs w:val="24"/>
          <w:highlight w:val="none"/>
        </w:rPr>
        <w:t>（8）财政部门规定的其他条件。</w:t>
      </w:r>
    </w:p>
    <w:p w14:paraId="693B923C">
      <w:pPr>
        <w:pageBreakBefore w:val="0"/>
        <w:widowControl w:val="0"/>
        <w:kinsoku/>
        <w:overflowPunct/>
        <w:topLinePunct w:val="0"/>
        <w:bidi w:val="0"/>
        <w:spacing w:line="360" w:lineRule="auto"/>
        <w:ind w:left="0" w:leftChars="0" w:firstLine="420" w:firstLineChars="200"/>
        <w:rPr>
          <w:rFonts w:ascii="宋体" w:hAnsi="宋体" w:eastAsia="宋体" w:cs="宋体"/>
          <w:b/>
          <w:color w:val="auto"/>
          <w:szCs w:val="21"/>
          <w:highlight w:val="none"/>
        </w:rPr>
      </w:pPr>
      <w:bookmarkStart w:id="196" w:name="_9.2质疑、投诉应当采用书面形式，质疑函、投诉书均应明确阐述招标文件、"/>
      <w:bookmarkEnd w:id="196"/>
      <w:r>
        <w:rPr>
          <w:rFonts w:hint="eastAsia" w:ascii="宋体" w:hAnsi="宋体" w:eastAsia="宋体" w:cs="宋体"/>
          <w:color w:val="auto"/>
          <w:szCs w:val="21"/>
          <w:highlight w:val="none"/>
        </w:rPr>
        <w:t xml:space="preserve"> 38.2.5 </w:t>
      </w:r>
      <w:r>
        <w:rPr>
          <w:rFonts w:hint="eastAsia" w:ascii="宋体" w:hAnsi="宋体" w:eastAsia="宋体" w:cs="宋体"/>
          <w:bCs/>
          <w:color w:val="auto"/>
          <w:szCs w:val="24"/>
          <w:highlight w:val="none"/>
        </w:rPr>
        <w:t>供应商提出质疑应当提交质疑函和必要的证明材料，针对同一采购程序环节的质疑必须在法定质疑期内一次性提出。质疑函应当包括下列内容（质疑函格式后附）：</w:t>
      </w:r>
    </w:p>
    <w:p w14:paraId="61B34B91">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（1）供应商的姓名或者名称、地址、邮编、联系人及联系电话；</w:t>
      </w:r>
    </w:p>
    <w:p w14:paraId="5C187FEA">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（2）质疑项目的名称、编号；</w:t>
      </w:r>
    </w:p>
    <w:p w14:paraId="247F20AE">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（3）具体、明确的质疑事项和与质疑事项相关的请求；</w:t>
      </w:r>
    </w:p>
    <w:p w14:paraId="3C32F180">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（4）事实依据（列明权益受到损害的事实和理由）；</w:t>
      </w:r>
    </w:p>
    <w:p w14:paraId="28F3D0E0">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（5）必要的法律依据；</w:t>
      </w:r>
    </w:p>
    <w:p w14:paraId="7AD405F7">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（6）提出质疑的日期。</w:t>
      </w:r>
    </w:p>
    <w:p w14:paraId="25DE021F">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7）附件材料：网上报名成功页面；营业执照副本内页复印件（要求证件有效并清晰反映企业法人经营范围）；近期连续三个月依法缴纳税收证明材料（复印件）；近期连续三个月在职职工依法缴纳社会保障资金证明材料（复印件）。</w:t>
      </w:r>
    </w:p>
    <w:p w14:paraId="52BB83EB">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供应商为自然人的，应当由本人签字；供应商为法人或者其他组织的，应当由法定代表人、主要负责人，或者其委托代理人签字或者盖章，并加盖公章。</w:t>
      </w:r>
    </w:p>
    <w:p w14:paraId="4EB13944">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0"/>
          <w:highlight w:val="none"/>
        </w:rPr>
      </w:pPr>
      <w:r>
        <w:rPr>
          <w:rFonts w:hint="eastAsia" w:ascii="宋体" w:hAnsi="宋体" w:eastAsia="宋体" w:cs="宋体"/>
          <w:b/>
          <w:color w:val="auto"/>
          <w:szCs w:val="20"/>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7A6CA51">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317C7269">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（一）对征集文件提出的质疑，依法通过澄清或者修改可以继续开展采购活动的，澄清或者修改征集文件后继续开展采购活动；否则应当修改征集文件后重新开展采购活动。</w:t>
      </w:r>
    </w:p>
    <w:p w14:paraId="5FD0EBAD">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（二）对采购过程、入围结果提出的质疑，合格供应商符合法定数量时，可以从合格的入围候选人中另行确定入围供应商的，应当依法另行确定入围供应商；否则应当重新开展采购活动。</w:t>
      </w:r>
    </w:p>
    <w:p w14:paraId="211ADE4F">
      <w:pPr>
        <w:pageBreakBefore w:val="0"/>
        <w:widowControl w:val="0"/>
        <w:kinsoku/>
        <w:overflowPunct/>
        <w:topLinePunct w:val="0"/>
        <w:bidi w:val="0"/>
        <w:spacing w:line="360" w:lineRule="auto"/>
        <w:ind w:left="0" w:leftChars="0"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质疑答复导致入围结果改变的，征集人或者采购代理机构应当将有关情况书面报告本级财政部门。</w:t>
      </w:r>
    </w:p>
    <w:p w14:paraId="115D5CE0">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38.3投诉</w:t>
      </w:r>
    </w:p>
    <w:p w14:paraId="4C4F01DE">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4"/>
          <w:highlight w:val="none"/>
        </w:rPr>
      </w:pPr>
      <w:r>
        <w:rPr>
          <w:rFonts w:hint="eastAsia" w:ascii="宋体" w:hAnsi="宋体" w:eastAsia="宋体" w:cs="宋体"/>
          <w:b/>
          <w:color w:val="auto"/>
          <w:szCs w:val="24"/>
          <w:highlight w:val="none"/>
        </w:rPr>
        <w:t>38.3</w:t>
      </w:r>
      <w:r>
        <w:rPr>
          <w:rFonts w:hint="eastAsia" w:ascii="宋体" w:hAnsi="宋体" w:eastAsia="宋体" w:cs="宋体"/>
          <w:bCs/>
          <w:color w:val="auto"/>
          <w:szCs w:val="24"/>
          <w:highlight w:val="none"/>
        </w:rPr>
        <w:t>.</w:t>
      </w:r>
      <w:r>
        <w:rPr>
          <w:rFonts w:hint="eastAsia" w:ascii="宋体" w:hAnsi="宋体" w:eastAsia="宋体" w:cs="宋体"/>
          <w:b/>
          <w:bCs/>
          <w:color w:val="auto"/>
          <w:szCs w:val="24"/>
          <w:highlight w:val="none"/>
        </w:rPr>
        <w:t xml:space="preserve">1 </w:t>
      </w:r>
      <w:r>
        <w:rPr>
          <w:rFonts w:hint="eastAsia" w:ascii="宋体" w:hAnsi="宋体" w:eastAsia="宋体" w:cs="宋体"/>
          <w:bCs/>
          <w:color w:val="auto"/>
          <w:szCs w:val="24"/>
          <w:highlight w:val="none"/>
        </w:rPr>
        <w:t xml:space="preserve"> 供应商认为征集文件、征集过程、入围和成交结果使自己的合法权益受到损害的，应当首先依法向征集人或征集人委托的</w:t>
      </w:r>
      <w:r>
        <w:rPr>
          <w:rFonts w:hint="eastAsia" w:ascii="宋体" w:hAnsi="宋体" w:eastAsia="宋体" w:cs="宋体"/>
          <w:color w:val="auto"/>
          <w:szCs w:val="24"/>
          <w:highlight w:val="none"/>
        </w:rPr>
        <w:t>采购代理机构</w:t>
      </w:r>
      <w:r>
        <w:rPr>
          <w:rFonts w:hint="eastAsia" w:ascii="宋体" w:hAnsi="宋体" w:eastAsia="宋体" w:cs="宋体"/>
          <w:bCs/>
          <w:color w:val="auto"/>
          <w:szCs w:val="24"/>
          <w:highlight w:val="none"/>
        </w:rPr>
        <w:t>提出质疑。对征集人、</w:t>
      </w:r>
      <w:r>
        <w:rPr>
          <w:rFonts w:hint="eastAsia" w:ascii="宋体" w:hAnsi="宋体" w:eastAsia="宋体" w:cs="宋体"/>
          <w:color w:val="auto"/>
          <w:szCs w:val="24"/>
          <w:highlight w:val="none"/>
        </w:rPr>
        <w:t>采购代理机构</w:t>
      </w:r>
      <w:r>
        <w:rPr>
          <w:rFonts w:hint="eastAsia" w:ascii="宋体" w:hAnsi="宋体" w:eastAsia="宋体" w:cs="宋体"/>
          <w:bCs/>
          <w:color w:val="auto"/>
          <w:szCs w:val="24"/>
          <w:highlight w:val="none"/>
        </w:rPr>
        <w:t>的答复不满意，或者征集人、</w:t>
      </w:r>
      <w:r>
        <w:rPr>
          <w:rFonts w:hint="eastAsia" w:ascii="宋体" w:hAnsi="宋体" w:eastAsia="宋体" w:cs="宋体"/>
          <w:color w:val="auto"/>
          <w:szCs w:val="24"/>
          <w:highlight w:val="none"/>
        </w:rPr>
        <w:t>采购代理机构</w:t>
      </w:r>
      <w:r>
        <w:rPr>
          <w:rFonts w:hint="eastAsia" w:ascii="宋体" w:hAnsi="宋体" w:eastAsia="宋体" w:cs="宋体"/>
          <w:bCs/>
          <w:color w:val="auto"/>
          <w:szCs w:val="24"/>
          <w:highlight w:val="none"/>
        </w:rPr>
        <w:t>未在规定期限内做出答复的，供应商可以在答复期满后15个工作日内向政府采购监督管理部门提起投诉，投诉方式见“供应商须知前附表”。</w:t>
      </w:r>
    </w:p>
    <w:p w14:paraId="41AFDB13">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4"/>
          <w:highlight w:val="none"/>
        </w:rPr>
      </w:pPr>
      <w:r>
        <w:rPr>
          <w:rFonts w:hint="eastAsia" w:ascii="宋体" w:hAnsi="宋体" w:eastAsia="宋体" w:cs="宋体"/>
          <w:b/>
          <w:color w:val="auto"/>
          <w:szCs w:val="24"/>
          <w:highlight w:val="none"/>
        </w:rPr>
        <w:t xml:space="preserve">38.3.2 </w:t>
      </w:r>
      <w:r>
        <w:rPr>
          <w:rFonts w:hint="eastAsia" w:ascii="宋体" w:hAnsi="宋体" w:eastAsia="宋体" w:cs="宋体"/>
          <w:color w:val="auto"/>
          <w:szCs w:val="24"/>
          <w:highlight w:val="none"/>
        </w:rPr>
        <w:t xml:space="preserve"> 投诉人投诉时，应当提交投诉书，并按照被投诉征集人、采购代理机构和与投诉事项有关的供应商数量提供投诉书的副本。投诉书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szCs w:val="24"/>
          <w:highlight w:val="none"/>
        </w:rPr>
        <w:t>（如材料中有外文资料应同时附上对应的中文译本）</w:t>
      </w:r>
      <w:r>
        <w:rPr>
          <w:rFonts w:hint="eastAsia" w:ascii="宋体" w:hAnsi="宋体" w:eastAsia="宋体" w:cs="宋体"/>
          <w:bCs/>
          <w:color w:val="auto"/>
          <w:szCs w:val="24"/>
          <w:highlight w:val="none"/>
        </w:rPr>
        <w:t>（投诉书格式后附）</w:t>
      </w:r>
      <w:r>
        <w:rPr>
          <w:rFonts w:hint="eastAsia" w:ascii="宋体" w:hAnsi="宋体" w:eastAsia="宋体" w:cs="宋体"/>
          <w:color w:val="auto"/>
          <w:szCs w:val="21"/>
          <w:highlight w:val="none"/>
        </w:rPr>
        <w:t>：</w:t>
      </w:r>
    </w:p>
    <w:p w14:paraId="0165A380">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（1）投诉人和被投诉人的名称、地址、邮编、联系人及联系电话等； </w:t>
      </w:r>
    </w:p>
    <w:p w14:paraId="29ECB1A5">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（2）质疑和质疑答复情况及相关证明材料； </w:t>
      </w:r>
    </w:p>
    <w:p w14:paraId="3EA90527">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（3）具体、明确的投诉事项和与投诉事项相关的投诉请求；</w:t>
      </w:r>
    </w:p>
    <w:p w14:paraId="4F7D13E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447F4F6A">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（5）法律依据；</w:t>
      </w:r>
    </w:p>
    <w:p w14:paraId="110EE4A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（6）提起投诉的日期。</w:t>
      </w:r>
    </w:p>
    <w:p w14:paraId="2FF1704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szCs w:val="24"/>
          <w:highlight w:val="none"/>
        </w:rPr>
        <w:tab/>
      </w:r>
    </w:p>
    <w:p w14:paraId="7DE098DE">
      <w:pPr>
        <w:pageBreakBefore w:val="0"/>
        <w:widowControl w:val="0"/>
        <w:kinsoku/>
        <w:overflowPunct/>
        <w:topLinePunct w:val="0"/>
        <w:bidi w:val="0"/>
        <w:spacing w:line="360" w:lineRule="auto"/>
        <w:ind w:left="0" w:leftChars="0" w:firstLine="422" w:firstLineChars="200"/>
        <w:rPr>
          <w:rFonts w:ascii="宋体" w:hAnsi="宋体" w:eastAsia="宋体" w:cs="宋体"/>
          <w:bCs/>
          <w:color w:val="auto"/>
          <w:szCs w:val="24"/>
          <w:highlight w:val="none"/>
        </w:rPr>
      </w:pPr>
      <w:r>
        <w:rPr>
          <w:rFonts w:hint="eastAsia" w:ascii="宋体" w:hAnsi="宋体" w:eastAsia="宋体" w:cs="宋体"/>
          <w:b/>
          <w:color w:val="auto"/>
          <w:szCs w:val="24"/>
          <w:highlight w:val="none"/>
        </w:rPr>
        <w:t xml:space="preserve">38.3.3  </w:t>
      </w:r>
      <w:r>
        <w:rPr>
          <w:rFonts w:hint="eastAsia" w:ascii="宋体" w:hAnsi="宋体" w:eastAsia="宋体" w:cs="宋体"/>
          <w:color w:val="auto"/>
          <w:szCs w:val="24"/>
          <w:highlight w:val="none"/>
        </w:rPr>
        <w:t>投诉人可以委托代理人办理投诉事务。</w:t>
      </w:r>
      <w:r>
        <w:rPr>
          <w:rFonts w:hint="eastAsia" w:ascii="宋体" w:hAnsi="宋体" w:eastAsia="宋体" w:cs="宋体"/>
          <w:bCs/>
          <w:color w:val="auto"/>
          <w:szCs w:val="24"/>
          <w:highlight w:val="none"/>
        </w:rPr>
        <w:t>委托代理人应熟悉相关业务情况。</w:t>
      </w:r>
      <w:r>
        <w:rPr>
          <w:rFonts w:hint="eastAsia" w:ascii="宋体" w:hAnsi="宋体" w:eastAsia="宋体" w:cs="宋体"/>
          <w:color w:val="auto"/>
          <w:szCs w:val="24"/>
          <w:highlight w:val="none"/>
        </w:rPr>
        <w:t>代理人办理投诉事务时，除提交投诉书外，还应当提交投诉人的授权委托书和委托代理人身份证明复印件。</w:t>
      </w:r>
    </w:p>
    <w:p w14:paraId="498E29D4">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4"/>
          <w:highlight w:val="none"/>
        </w:rPr>
      </w:pPr>
      <w:r>
        <w:rPr>
          <w:rFonts w:hint="eastAsia" w:ascii="宋体" w:hAnsi="宋体" w:eastAsia="宋体" w:cs="宋体"/>
          <w:b/>
          <w:color w:val="auto"/>
          <w:szCs w:val="24"/>
          <w:highlight w:val="none"/>
        </w:rPr>
        <w:t>38.3.4</w:t>
      </w:r>
      <w:r>
        <w:rPr>
          <w:rFonts w:hint="eastAsia" w:ascii="宋体" w:hAnsi="宋体" w:eastAsia="宋体" w:cs="宋体"/>
          <w:color w:val="auto"/>
          <w:szCs w:val="24"/>
          <w:highlight w:val="none"/>
        </w:rPr>
        <w:t xml:space="preserve">  投诉人提起投诉应当符合下列条件：</w:t>
      </w:r>
    </w:p>
    <w:p w14:paraId="29682B3A">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（1）投诉人是参与所投诉政府采购活动的供应商；</w:t>
      </w:r>
    </w:p>
    <w:p w14:paraId="0E7DA029">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（2）提起投诉前已依法进行质疑；</w:t>
      </w:r>
    </w:p>
    <w:p w14:paraId="0C82FC8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（3）投诉书内容符合本章第38.3.2项的规定；</w:t>
      </w:r>
    </w:p>
    <w:p w14:paraId="0D423F15">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（4）在投诉有效期限内提起投诉；</w:t>
      </w:r>
    </w:p>
    <w:p w14:paraId="22AC8E51">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）同一投诉事项未经</w:t>
      </w:r>
      <w:r>
        <w:rPr>
          <w:rFonts w:hint="eastAsia" w:ascii="宋体" w:hAnsi="宋体" w:eastAsia="宋体" w:cs="宋体"/>
          <w:bCs/>
          <w:color w:val="auto"/>
          <w:szCs w:val="24"/>
          <w:highlight w:val="none"/>
        </w:rPr>
        <w:t>政府采购监督管理部门</w:t>
      </w:r>
      <w:r>
        <w:rPr>
          <w:rFonts w:hint="eastAsia" w:ascii="宋体" w:hAnsi="宋体" w:eastAsia="宋体" w:cs="宋体"/>
          <w:color w:val="auto"/>
          <w:szCs w:val="24"/>
          <w:highlight w:val="none"/>
        </w:rPr>
        <w:t>投诉处理；</w:t>
      </w:r>
    </w:p>
    <w:p w14:paraId="10333D06">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）国务院财政部门规定的其他条件。</w:t>
      </w:r>
    </w:p>
    <w:p w14:paraId="44938610">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4"/>
          <w:highlight w:val="none"/>
        </w:rPr>
      </w:pPr>
      <w:r>
        <w:rPr>
          <w:rFonts w:hint="eastAsia" w:ascii="宋体" w:hAnsi="宋体" w:eastAsia="宋体" w:cs="宋体"/>
          <w:b/>
          <w:color w:val="auto"/>
          <w:szCs w:val="24"/>
          <w:highlight w:val="none"/>
        </w:rPr>
        <w:t>38.3.5</w:t>
      </w:r>
      <w:r>
        <w:rPr>
          <w:rFonts w:hint="eastAsia" w:ascii="宋体" w:hAnsi="宋体" w:eastAsia="宋体" w:cs="宋体"/>
          <w:color w:val="auto"/>
          <w:szCs w:val="24"/>
          <w:highlight w:val="none"/>
        </w:rPr>
        <w:t xml:space="preserve">  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auto"/>
          <w:kern w:val="0"/>
          <w:szCs w:val="21"/>
          <w:highlight w:val="none"/>
        </w:rPr>
        <w:t>“广西政府采购网”（http://zfcg.gxzf.gov.cn）</w:t>
      </w:r>
      <w:r>
        <w:rPr>
          <w:rFonts w:hint="eastAsia" w:ascii="宋体" w:hAnsi="宋体" w:eastAsia="宋体" w:cs="宋体"/>
          <w:color w:val="auto"/>
          <w:szCs w:val="24"/>
          <w:highlight w:val="none"/>
        </w:rPr>
        <w:t>发布。</w:t>
      </w:r>
    </w:p>
    <w:p w14:paraId="7BDAE248">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4"/>
          <w:highlight w:val="none"/>
        </w:rPr>
      </w:pPr>
      <w:r>
        <w:rPr>
          <w:rFonts w:hint="eastAsia" w:ascii="宋体" w:hAnsi="宋体" w:eastAsia="宋体" w:cs="宋体"/>
          <w:b/>
          <w:color w:val="auto"/>
          <w:szCs w:val="24"/>
          <w:highlight w:val="none"/>
        </w:rPr>
        <w:t>38.3.6</w:t>
      </w:r>
      <w:r>
        <w:rPr>
          <w:rFonts w:hint="eastAsia" w:ascii="宋体" w:hAnsi="宋体" w:eastAsia="宋体" w:cs="宋体"/>
          <w:color w:val="auto"/>
          <w:szCs w:val="24"/>
          <w:highlight w:val="none"/>
        </w:rPr>
        <w:t xml:space="preserve">  政府采购监督管理部门在处理投诉事项期间，可以视具体情况暂停采购活动。</w:t>
      </w:r>
    </w:p>
    <w:p w14:paraId="354CD2F7">
      <w:pPr>
        <w:rPr>
          <w:rFonts w:hint="eastAsia" w:ascii="宋体" w:hAnsi="宋体" w:eastAsia="宋体" w:cs="宋体"/>
          <w:b/>
          <w:bCs/>
          <w:color w:val="auto"/>
          <w:sz w:val="32"/>
          <w:szCs w:val="32"/>
          <w:highlight w:val="none"/>
        </w:rPr>
      </w:pPr>
      <w:bookmarkStart w:id="197" w:name="_Toc4106"/>
      <w:r>
        <w:rPr>
          <w:rFonts w:hint="eastAsia" w:ascii="宋体" w:hAnsi="宋体" w:eastAsia="宋体" w:cs="宋体"/>
          <w:b/>
          <w:bCs/>
          <w:color w:val="auto"/>
          <w:sz w:val="32"/>
          <w:szCs w:val="32"/>
          <w:highlight w:val="none"/>
        </w:rPr>
        <w:br w:type="page"/>
      </w:r>
    </w:p>
    <w:p w14:paraId="75567F69">
      <w:pPr>
        <w:pageBreakBefore w:val="0"/>
        <w:widowControl w:val="0"/>
        <w:kinsoku/>
        <w:overflowPunct/>
        <w:topLinePunct w:val="0"/>
        <w:bidi w:val="0"/>
        <w:snapToGrid w:val="0"/>
        <w:spacing w:line="360" w:lineRule="auto"/>
        <w:ind w:left="0" w:leftChars="0" w:firstLine="482" w:firstLineChars="150"/>
        <w:jc w:val="center"/>
        <w:outlineLvl w:val="2"/>
        <w:rPr>
          <w:rFonts w:ascii="宋体" w:hAnsi="宋体" w:eastAsia="宋体" w:cs="宋体"/>
          <w:b/>
          <w:bCs/>
          <w:color w:val="auto"/>
          <w:sz w:val="32"/>
          <w:szCs w:val="32"/>
          <w:highlight w:val="none"/>
        </w:rPr>
      </w:pPr>
      <w:bookmarkStart w:id="198" w:name="_Toc13550"/>
      <w:bookmarkStart w:id="199" w:name="_Toc8102"/>
      <w:bookmarkStart w:id="200" w:name="_Toc1792"/>
      <w:bookmarkStart w:id="201" w:name="_Toc3037"/>
      <w:r>
        <w:rPr>
          <w:rFonts w:hint="eastAsia" w:ascii="宋体" w:hAnsi="宋体" w:eastAsia="宋体" w:cs="宋体"/>
          <w:b/>
          <w:bCs/>
          <w:color w:val="auto"/>
          <w:sz w:val="32"/>
          <w:szCs w:val="32"/>
          <w:highlight w:val="none"/>
        </w:rPr>
        <w:t>三、第二阶段（成交阶段）</w:t>
      </w:r>
      <w:bookmarkEnd w:id="197"/>
      <w:bookmarkEnd w:id="198"/>
      <w:bookmarkEnd w:id="199"/>
      <w:bookmarkEnd w:id="200"/>
      <w:bookmarkEnd w:id="201"/>
    </w:p>
    <w:p w14:paraId="6B98564A">
      <w:pPr>
        <w:pageBreakBefore w:val="0"/>
        <w:widowControl w:val="0"/>
        <w:kinsoku/>
        <w:overflowPunct/>
        <w:topLinePunct w:val="0"/>
        <w:bidi w:val="0"/>
        <w:spacing w:line="360" w:lineRule="auto"/>
        <w:jc w:val="center"/>
        <w:rPr>
          <w:rFonts w:ascii="宋体" w:hAnsi="宋体" w:eastAsia="宋体" w:cs="宋体"/>
          <w:b/>
          <w:color w:val="auto"/>
          <w:szCs w:val="24"/>
          <w:highlight w:val="none"/>
        </w:rPr>
      </w:pPr>
      <w:r>
        <w:rPr>
          <w:rFonts w:hint="eastAsia" w:ascii="宋体" w:hAnsi="宋体" w:eastAsia="宋体" w:cs="宋体"/>
          <w:b/>
          <w:bCs/>
          <w:color w:val="auto"/>
          <w:sz w:val="32"/>
          <w:szCs w:val="32"/>
          <w:highlight w:val="none"/>
        </w:rPr>
        <w:t>（一）成交供应商</w:t>
      </w:r>
    </w:p>
    <w:p w14:paraId="1D64D571">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39.成交供应商</w:t>
      </w:r>
    </w:p>
    <w:p w14:paraId="677E03F2">
      <w:pPr>
        <w:pageBreakBefore w:val="0"/>
        <w:widowControl w:val="0"/>
        <w:kinsoku/>
        <w:overflowPunct/>
        <w:topLinePunct w:val="0"/>
        <w:bidi w:val="0"/>
        <w:spacing w:line="360" w:lineRule="auto"/>
        <w:ind w:left="0" w:leftChars="0" w:firstLine="422" w:firstLineChars="200"/>
        <w:rPr>
          <w:rFonts w:ascii="宋体" w:hAnsi="宋体" w:eastAsia="宋体" w:cs="宋体"/>
          <w:color w:val="auto"/>
          <w:szCs w:val="24"/>
          <w:highlight w:val="none"/>
        </w:rPr>
      </w:pPr>
      <w:r>
        <w:rPr>
          <w:rFonts w:hint="eastAsia" w:ascii="宋体" w:hAnsi="宋体" w:eastAsia="宋体" w:cs="宋体"/>
          <w:b/>
          <w:color w:val="auto"/>
          <w:szCs w:val="24"/>
          <w:highlight w:val="none"/>
        </w:rPr>
        <w:t>39.1</w:t>
      </w:r>
      <w:r>
        <w:rPr>
          <w:rFonts w:hint="eastAsia" w:ascii="宋体" w:hAnsi="宋体" w:eastAsia="宋体" w:cs="宋体"/>
          <w:color w:val="auto"/>
          <w:szCs w:val="24"/>
          <w:highlight w:val="none"/>
        </w:rPr>
        <w:t xml:space="preserve"> 确定成交供应商</w:t>
      </w:r>
    </w:p>
    <w:p w14:paraId="352832DF">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39.1.1 采购人按照征集文件或框架协议的规定从入围供应商选定成交供应商并签订采购合同。</w:t>
      </w:r>
    </w:p>
    <w:p w14:paraId="487FA866">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39.2成交结果公告</w:t>
      </w:r>
    </w:p>
    <w:p w14:paraId="4670133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39.2.1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0723C4E8">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39.3合同</w:t>
      </w:r>
    </w:p>
    <w:p w14:paraId="6B624CB1">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39.3.1合同授予标准</w:t>
      </w:r>
    </w:p>
    <w:p w14:paraId="48EA2517">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p>
    <w:p w14:paraId="3C3ACAA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39.3.2签订合同</w:t>
      </w:r>
    </w:p>
    <w:p w14:paraId="0D0FAAA0">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采购人与供应商签订的采购合同不能违背框架协议的实质性条款。</w:t>
      </w:r>
    </w:p>
    <w:p w14:paraId="4AE92D1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39.3.3履行合同</w:t>
      </w:r>
    </w:p>
    <w:p w14:paraId="7E7992CA">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采购人与供应商签订采购合同后，合同双方应严格执行合同条款，履行规定的合同义务，保证合同顺利完成，双方均不得擅自变更、中止或终止采购合同。确需解除合同的，应按民典法有关规定和合同约定执行。</w:t>
      </w:r>
    </w:p>
    <w:p w14:paraId="6FEE83A5">
      <w:pPr>
        <w:pageBreakBefore w:val="0"/>
        <w:widowControl w:val="0"/>
        <w:kinsoku/>
        <w:overflowPunct/>
        <w:topLinePunct w:val="0"/>
        <w:bidi w:val="0"/>
        <w:snapToGrid w:val="0"/>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（二）验收</w:t>
      </w:r>
    </w:p>
    <w:p w14:paraId="452FE891">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40.验收</w:t>
      </w:r>
    </w:p>
    <w:p w14:paraId="5433FEAD">
      <w:pPr>
        <w:pageBreakBefore w:val="0"/>
        <w:widowControl w:val="0"/>
        <w:tabs>
          <w:tab w:val="left" w:pos="0"/>
        </w:tabs>
        <w:kinsoku/>
        <w:overflowPunct/>
        <w:topLinePunct w:val="0"/>
        <w:bidi w:val="0"/>
        <w:spacing w:line="360" w:lineRule="auto"/>
        <w:ind w:left="0" w:leftChars="0" w:firstLine="480"/>
        <w:rPr>
          <w:rFonts w:ascii="宋体" w:hAnsi="宋体" w:eastAsia="宋体" w:cs="宋体"/>
          <w:color w:val="auto"/>
          <w:szCs w:val="24"/>
          <w:highlight w:val="none"/>
        </w:rPr>
      </w:pPr>
      <w:r>
        <w:rPr>
          <w:rFonts w:hint="eastAsia" w:ascii="宋体" w:hAnsi="宋体" w:eastAsia="宋体" w:cs="宋体"/>
          <w:color w:val="auto"/>
          <w:szCs w:val="24"/>
          <w:highlight w:val="none"/>
        </w:rPr>
        <w:t>40.1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47BA1E">
      <w:pPr>
        <w:pageBreakBefore w:val="0"/>
        <w:widowControl w:val="0"/>
        <w:tabs>
          <w:tab w:val="left" w:pos="0"/>
        </w:tabs>
        <w:kinsoku/>
        <w:overflowPunct/>
        <w:topLinePunct w:val="0"/>
        <w:bidi w:val="0"/>
        <w:spacing w:line="360" w:lineRule="auto"/>
        <w:ind w:left="0" w:leftChars="0" w:firstLine="480"/>
        <w:rPr>
          <w:rFonts w:ascii="宋体" w:hAnsi="宋体" w:eastAsia="宋体" w:cs="宋体"/>
          <w:color w:val="auto"/>
          <w:szCs w:val="24"/>
          <w:highlight w:val="none"/>
        </w:rPr>
      </w:pPr>
      <w:r>
        <w:rPr>
          <w:rFonts w:hint="eastAsia" w:ascii="宋体" w:hAnsi="宋体" w:eastAsia="宋体" w:cs="宋体"/>
          <w:color w:val="auto"/>
          <w:szCs w:val="24"/>
          <w:highlight w:val="none"/>
        </w:rPr>
        <w:t>40.2采购人可以邀请参加本项目的其他供应商或者第三方机构参与验收。参与验收的供应商或者第三方机构的意见作为验收书的参考资料一并存档。</w:t>
      </w:r>
    </w:p>
    <w:p w14:paraId="3D1CF8EA">
      <w:pPr>
        <w:pageBreakBefore w:val="0"/>
        <w:widowControl w:val="0"/>
        <w:tabs>
          <w:tab w:val="left" w:pos="0"/>
        </w:tabs>
        <w:kinsoku/>
        <w:overflowPunct/>
        <w:topLinePunct w:val="0"/>
        <w:bidi w:val="0"/>
        <w:spacing w:line="360" w:lineRule="auto"/>
        <w:ind w:left="0" w:leftChars="0" w:firstLine="480"/>
        <w:rPr>
          <w:rFonts w:ascii="宋体" w:hAnsi="宋体" w:eastAsia="宋体" w:cs="宋体"/>
          <w:color w:val="auto"/>
          <w:szCs w:val="24"/>
          <w:highlight w:val="none"/>
        </w:rPr>
      </w:pPr>
      <w:r>
        <w:rPr>
          <w:rFonts w:hint="eastAsia" w:ascii="宋体" w:hAnsi="宋体" w:eastAsia="宋体" w:cs="宋体"/>
          <w:color w:val="auto"/>
          <w:szCs w:val="24"/>
          <w:highlight w:val="none"/>
        </w:rPr>
        <w:t>40.3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0ABDE3">
      <w:pPr>
        <w:pageBreakBefore w:val="0"/>
        <w:widowControl w:val="0"/>
        <w:tabs>
          <w:tab w:val="left" w:pos="0"/>
        </w:tabs>
        <w:kinsoku/>
        <w:overflowPunct/>
        <w:topLinePunct w:val="0"/>
        <w:bidi w:val="0"/>
        <w:spacing w:line="360" w:lineRule="auto"/>
        <w:ind w:left="0" w:leftChars="0" w:firstLine="480"/>
        <w:rPr>
          <w:rFonts w:ascii="宋体" w:hAnsi="宋体" w:eastAsia="宋体" w:cs="宋体"/>
          <w:color w:val="auto"/>
          <w:szCs w:val="20"/>
          <w:highlight w:val="none"/>
        </w:rPr>
      </w:pPr>
      <w:r>
        <w:rPr>
          <w:rFonts w:hint="eastAsia" w:ascii="宋体" w:hAnsi="宋体" w:eastAsia="宋体" w:cs="宋体"/>
          <w:color w:val="auto"/>
          <w:szCs w:val="24"/>
          <w:highlight w:val="none"/>
        </w:rPr>
        <w:t>40.4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CE3BAD">
      <w:pPr>
        <w:rPr>
          <w:rFonts w:hint="eastAsia" w:ascii="宋体" w:hAnsi="宋体" w:eastAsia="宋体" w:cs="宋体"/>
          <w:b/>
          <w:bCs/>
          <w:color w:val="auto"/>
          <w:sz w:val="32"/>
          <w:szCs w:val="32"/>
          <w:highlight w:val="none"/>
        </w:rPr>
      </w:pPr>
      <w:bookmarkStart w:id="202" w:name="_八、其他事项"/>
      <w:bookmarkEnd w:id="202"/>
      <w:bookmarkStart w:id="203" w:name="_Toc5541"/>
      <w:bookmarkStart w:id="204" w:name="_Toc80093002"/>
      <w:bookmarkStart w:id="205" w:name="_Toc24821"/>
      <w:r>
        <w:rPr>
          <w:rFonts w:hint="eastAsia" w:ascii="宋体" w:hAnsi="宋体" w:eastAsia="宋体" w:cs="宋体"/>
          <w:b/>
          <w:bCs/>
          <w:color w:val="auto"/>
          <w:sz w:val="32"/>
          <w:szCs w:val="32"/>
          <w:highlight w:val="none"/>
        </w:rPr>
        <w:br w:type="page"/>
      </w:r>
    </w:p>
    <w:p w14:paraId="4D9C72EA">
      <w:pPr>
        <w:pageBreakBefore w:val="0"/>
        <w:widowControl w:val="0"/>
        <w:kinsoku/>
        <w:overflowPunct/>
        <w:topLinePunct w:val="0"/>
        <w:bidi w:val="0"/>
        <w:spacing w:line="360" w:lineRule="auto"/>
        <w:ind w:left="0" w:leftChars="0" w:firstLine="643" w:firstLineChars="200"/>
        <w:jc w:val="center"/>
        <w:outlineLvl w:val="2"/>
        <w:rPr>
          <w:rFonts w:ascii="宋体" w:hAnsi="宋体" w:eastAsia="宋体" w:cs="宋体"/>
          <w:b/>
          <w:bCs/>
          <w:color w:val="auto"/>
          <w:sz w:val="32"/>
          <w:szCs w:val="32"/>
          <w:highlight w:val="none"/>
        </w:rPr>
      </w:pPr>
      <w:bookmarkStart w:id="206" w:name="_Toc30886"/>
      <w:bookmarkStart w:id="207" w:name="_Toc31612"/>
      <w:bookmarkStart w:id="208" w:name="_Toc22472"/>
      <w:bookmarkStart w:id="209" w:name="_Toc15482"/>
      <w:r>
        <w:rPr>
          <w:rFonts w:hint="eastAsia" w:ascii="宋体" w:hAnsi="宋体" w:eastAsia="宋体" w:cs="宋体"/>
          <w:b/>
          <w:bCs/>
          <w:color w:val="auto"/>
          <w:sz w:val="32"/>
          <w:szCs w:val="32"/>
          <w:highlight w:val="none"/>
        </w:rPr>
        <w:t>四、其他事项</w:t>
      </w:r>
      <w:bookmarkEnd w:id="203"/>
      <w:bookmarkEnd w:id="204"/>
      <w:bookmarkEnd w:id="205"/>
      <w:bookmarkEnd w:id="206"/>
      <w:bookmarkEnd w:id="207"/>
      <w:bookmarkEnd w:id="208"/>
      <w:bookmarkEnd w:id="209"/>
    </w:p>
    <w:p w14:paraId="083955B9">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bookmarkStart w:id="210" w:name="_42.代理服务费"/>
      <w:bookmarkEnd w:id="210"/>
      <w:r>
        <w:rPr>
          <w:rFonts w:hint="eastAsia" w:ascii="宋体" w:hAnsi="宋体" w:eastAsia="宋体" w:cs="宋体"/>
          <w:color w:val="auto"/>
          <w:sz w:val="24"/>
          <w:szCs w:val="24"/>
          <w:highlight w:val="none"/>
        </w:rPr>
        <w:t>41.代理服务费</w:t>
      </w:r>
    </w:p>
    <w:p w14:paraId="48D48C92">
      <w:pPr>
        <w:pageBreakBefore w:val="0"/>
        <w:widowControl w:val="0"/>
        <w:kinsoku/>
        <w:overflowPunct/>
        <w:topLinePunct w:val="0"/>
        <w:bidi w:val="0"/>
        <w:spacing w:line="360" w:lineRule="auto"/>
        <w:ind w:left="0" w:leftChars="0"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代理服务收费标准及缴费账户详见“供应商须知前附表”，供应商为联合体的，可以由联合体中的一方或者多方共同交纳代理服务费。</w:t>
      </w:r>
    </w:p>
    <w:p w14:paraId="48EC5668">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 需要补充的其他内容</w:t>
      </w:r>
    </w:p>
    <w:p w14:paraId="05B5C7D8">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42.1本征集文件解释规则详见“供应商须知前附表”。</w:t>
      </w:r>
    </w:p>
    <w:p w14:paraId="0F9359C3">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42.2 其他事项详见“供应商须知前附表”。</w:t>
      </w:r>
    </w:p>
    <w:p w14:paraId="29F5AE76">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w:t>
      </w:r>
      <w:r>
        <w:rPr>
          <w:rFonts w:hint="eastAsia" w:ascii="宋体" w:hAnsi="宋体" w:eastAsia="宋体" w:cs="宋体"/>
          <w:color w:val="auto"/>
          <w:szCs w:val="21"/>
          <w:highlight w:val="none"/>
        </w:rPr>
        <w:t>《中华人民共和国民法典》</w:t>
      </w:r>
      <w:r>
        <w:rPr>
          <w:rFonts w:hint="eastAsia" w:ascii="宋体" w:hAnsi="宋体" w:eastAsia="宋体" w:cs="宋体"/>
          <w:color w:val="auto"/>
          <w:szCs w:val="24"/>
          <w:highlight w:val="none"/>
        </w:rPr>
        <w:t>订立劳动合同的从业人员，不对其中涉及的货物的制造商和工程承建商作出要求的，享受本文件规定的中小企业扶持政策。</w:t>
      </w:r>
    </w:p>
    <w:p w14:paraId="22363CE6">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以联合体形式参加政府采购活动，联合体各方均为中小企业的，联合体视同中小企业。其中，联合体各方均为小微企业的，联合体视同小微企业。</w:t>
      </w:r>
    </w:p>
    <w:p w14:paraId="4C16A61C">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依据本文件规定享受扶持政策获得政府采购合同的，小微企业不得将合同分包给大中型企业，中型企业不得将合同分包给大型企业。</w:t>
      </w:r>
    </w:p>
    <w:p w14:paraId="73B4E8D7">
      <w:pPr>
        <w:pageBreakBefore w:val="0"/>
        <w:widowControl w:val="0"/>
        <w:kinsoku/>
        <w:overflowPunct/>
        <w:topLinePunct w:val="0"/>
        <w:bidi w:val="0"/>
        <w:spacing w:line="360" w:lineRule="auto"/>
        <w:ind w:left="0" w:leftChars="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 政采贷相关说明</w:t>
      </w:r>
    </w:p>
    <w:p w14:paraId="763F385F">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广西线上“政采贷”政策告知函</w:t>
      </w:r>
    </w:p>
    <w:p w14:paraId="507FD658">
      <w:pPr>
        <w:spacing w:line="360" w:lineRule="auto"/>
        <w:rPr>
          <w:rFonts w:hint="eastAsia" w:ascii="宋体" w:hAnsi="宋体" w:cs="宋体"/>
          <w:b/>
          <w:bCs/>
          <w:color w:val="auto"/>
          <w:highlight w:val="none"/>
        </w:rPr>
      </w:pPr>
      <w:r>
        <w:rPr>
          <w:rFonts w:hint="eastAsia" w:ascii="宋体" w:hAnsi="宋体" w:cs="宋体"/>
          <w:b/>
          <w:bCs/>
          <w:color w:val="auto"/>
          <w:highlight w:val="none"/>
        </w:rPr>
        <w:t>各供应商：</w:t>
      </w:r>
    </w:p>
    <w:p w14:paraId="3F541CE4">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   欢迎贵公司参与广西政府采购活动！</w:t>
      </w:r>
    </w:p>
    <w:p w14:paraId="003A697D">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   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上“政采贷”融资模式的通知》(南宁银发〔2021〕258号)，按照双方自愿的原则提供便捷、优惠的贷款服务。</w:t>
      </w:r>
    </w:p>
    <w:p w14:paraId="3D51F80B">
      <w:pPr>
        <w:spacing w:line="360" w:lineRule="auto"/>
        <w:rPr>
          <w:rFonts w:hint="eastAsia" w:ascii="宋体" w:hAnsi="宋体" w:cs="宋体"/>
          <w:b/>
          <w:bCs/>
          <w:color w:val="auto"/>
          <w:highlight w:val="none"/>
        </w:rPr>
      </w:pPr>
      <w:r>
        <w:rPr>
          <w:rFonts w:hint="eastAsia" w:ascii="宋体" w:hAnsi="宋体" w:cs="宋体"/>
          <w:b/>
          <w:bCs/>
          <w:color w:val="auto"/>
          <w:highlight w:val="none"/>
        </w:rPr>
        <w:t xml:space="preserve">    相关金融产品和银行业金融机构联系方式，可在中征应收账款融资服务平台查询 (网址：https://www.crcrfsp.com/，客服电话： 400-009-0001)。</w:t>
      </w:r>
    </w:p>
    <w:p w14:paraId="5D16F198">
      <w:pPr>
        <w:pageBreakBefore w:val="0"/>
        <w:widowControl w:val="0"/>
        <w:kinsoku/>
        <w:overflowPunct/>
        <w:topLinePunct w:val="0"/>
        <w:bidi w:val="0"/>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44.用户反馈和评价机制</w:t>
      </w:r>
    </w:p>
    <w:p w14:paraId="01748527">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本项目将建立用户反馈和评价机制。</w:t>
      </w:r>
    </w:p>
    <w:p w14:paraId="21684520">
      <w:pPr>
        <w:pageBreakBefore w:val="0"/>
        <w:widowControl w:val="0"/>
        <w:kinsoku/>
        <w:overflowPunct/>
        <w:topLinePunct w:val="0"/>
        <w:bidi w:val="0"/>
        <w:spacing w:line="360" w:lineRule="auto"/>
        <w:ind w:left="0" w:leftChars="0" w:firstLine="480" w:firstLineChars="200"/>
        <w:jc w:val="left"/>
        <w:rPr>
          <w:rFonts w:ascii="宋体" w:hAnsi="宋体" w:eastAsia="宋体" w:cs="宋体"/>
          <w:color w:val="auto"/>
          <w:szCs w:val="24"/>
          <w:highlight w:val="none"/>
        </w:rPr>
      </w:pPr>
      <w:r>
        <w:rPr>
          <w:rFonts w:hint="eastAsia" w:ascii="宋体" w:hAnsi="宋体" w:eastAsia="宋体" w:cs="宋体"/>
          <w:color w:val="auto"/>
          <w:sz w:val="24"/>
          <w:szCs w:val="24"/>
          <w:highlight w:val="none"/>
        </w:rPr>
        <w:t>45.入围供应商的清退和补充规则</w:t>
      </w:r>
    </w:p>
    <w:p w14:paraId="34AB557A">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45.1入围供应商有下列情形之一，尚未签订框架协议的，取消其入围资格；已经签订框架协议的，解除与其签订的框架协议： </w:t>
      </w:r>
    </w:p>
    <w:p w14:paraId="1D91A1F2">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（1）恶意串通谋取入围或者合同成交的； </w:t>
      </w:r>
    </w:p>
    <w:p w14:paraId="70C43E46">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（2）提供虚假材料谋取入围或者合同成交的； </w:t>
      </w:r>
    </w:p>
    <w:p w14:paraId="07281172">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（3）无正当理由拒不接受合同授予的； </w:t>
      </w:r>
    </w:p>
    <w:p w14:paraId="3022C299">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（4）不履行合同义务或者履行合同义务不符合约定，经采购人请求履行后仍不履行或者仍未按约定履行的； </w:t>
      </w:r>
    </w:p>
    <w:p w14:paraId="23067452">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（5）框架协议有效期内，因违法行为被禁止或限制参加政府采购活动的； </w:t>
      </w:r>
    </w:p>
    <w:p w14:paraId="5A7C1984">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（6）供应商违反职业道德，有违规违纪问题的；</w:t>
      </w:r>
    </w:p>
    <w:p w14:paraId="3A35973A">
      <w:pPr>
        <w:pageBreakBefore w:val="0"/>
        <w:widowControl w:val="0"/>
        <w:kinsoku/>
        <w:overflowPunct/>
        <w:topLinePunct w:val="0"/>
        <w:bidi w:val="0"/>
        <w:spacing w:line="360" w:lineRule="auto"/>
        <w:ind w:left="0" w:leftChars="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（7）框架协议约定的其他情形。 </w:t>
      </w:r>
    </w:p>
    <w:p w14:paraId="6C5DE3B2">
      <w:pPr>
        <w:pageBreakBefore w:val="0"/>
        <w:widowControl w:val="0"/>
        <w:kinsoku/>
        <w:overflowPunct/>
        <w:topLinePunct w:val="0"/>
        <w:bidi w:val="0"/>
        <w:spacing w:line="360" w:lineRule="auto"/>
        <w:ind w:left="0" w:leftChars="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45.2补充规则：框架协议有效期内，不再补充征集供应商。</w:t>
      </w:r>
    </w:p>
    <w:p w14:paraId="7847CD0D">
      <w:pPr>
        <w:pageBreakBefore w:val="0"/>
        <w:widowControl/>
        <w:kinsoku/>
        <w:wordWrap/>
        <w:overflowPunct/>
        <w:topLinePunct w:val="0"/>
        <w:bidi w:val="0"/>
        <w:spacing w:line="240" w:lineRule="auto"/>
        <w:ind w:left="0" w:leftChars="0"/>
        <w:outlineLvl w:val="9"/>
      </w:pPr>
    </w:p>
    <w:p w14:paraId="0AD5E67D">
      <w:pPr>
        <w:pageBreakBefore w:val="0"/>
        <w:widowControl/>
        <w:kinsoku/>
        <w:overflowPunct/>
        <w:topLinePunct w:val="0"/>
        <w:bidi w:val="0"/>
        <w:spacing w:line="240" w:lineRule="auto"/>
        <w:ind w:left="0" w:leftChars="0"/>
        <w:jc w:val="left"/>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760F1DF8">
      <w:pPr>
        <w:pageBreakBefore w:val="0"/>
        <w:widowControl w:val="0"/>
        <w:kinsoku/>
        <w:overflowPunct/>
        <w:topLinePunct w:val="0"/>
        <w:bidi w:val="0"/>
        <w:spacing w:line="360" w:lineRule="auto"/>
        <w:ind w:left="0" w:leftChars="0"/>
        <w:jc w:val="center"/>
        <w:outlineLvl w:val="0"/>
        <w:rPr>
          <w:rFonts w:ascii="宋体" w:hAnsi="宋体" w:eastAsia="宋体" w:cs="宋体"/>
          <w:b/>
          <w:color w:val="auto"/>
          <w:sz w:val="36"/>
          <w:szCs w:val="20"/>
          <w:highlight w:val="none"/>
        </w:rPr>
      </w:pPr>
      <w:bookmarkStart w:id="211" w:name="_Toc532545043"/>
      <w:bookmarkStart w:id="212" w:name="_Toc22652"/>
      <w:bookmarkStart w:id="213" w:name="_Toc80093003"/>
      <w:bookmarkStart w:id="214" w:name="_Toc23053"/>
      <w:bookmarkStart w:id="215" w:name="_Toc9932"/>
      <w:bookmarkStart w:id="216" w:name="_Toc27926"/>
      <w:bookmarkStart w:id="217" w:name="_Toc11529"/>
      <w:bookmarkStart w:id="218" w:name="_Toc15730"/>
      <w:r>
        <w:rPr>
          <w:rFonts w:hint="eastAsia" w:ascii="宋体" w:hAnsi="宋体" w:eastAsia="宋体" w:cs="宋体"/>
          <w:b/>
          <w:color w:val="auto"/>
          <w:sz w:val="36"/>
          <w:szCs w:val="20"/>
          <w:highlight w:val="none"/>
        </w:rPr>
        <w:t>第四章  评审方法</w:t>
      </w:r>
      <w:bookmarkEnd w:id="211"/>
      <w:r>
        <w:rPr>
          <w:rFonts w:hint="eastAsia" w:ascii="宋体" w:hAnsi="宋体" w:eastAsia="宋体" w:cs="宋体"/>
          <w:b/>
          <w:color w:val="auto"/>
          <w:sz w:val="36"/>
          <w:szCs w:val="20"/>
          <w:highlight w:val="none"/>
        </w:rPr>
        <w:t>及评分标准</w:t>
      </w:r>
      <w:bookmarkEnd w:id="212"/>
      <w:bookmarkEnd w:id="213"/>
      <w:bookmarkEnd w:id="214"/>
      <w:bookmarkEnd w:id="215"/>
      <w:bookmarkEnd w:id="216"/>
      <w:bookmarkEnd w:id="217"/>
      <w:bookmarkEnd w:id="218"/>
    </w:p>
    <w:p w14:paraId="346F1D74">
      <w:pPr>
        <w:pageBreakBefore w:val="0"/>
        <w:widowControl w:val="0"/>
        <w:kinsoku/>
        <w:overflowPunct/>
        <w:topLinePunct w:val="0"/>
        <w:bidi w:val="0"/>
        <w:spacing w:line="360" w:lineRule="auto"/>
        <w:ind w:left="0" w:leftChars="0"/>
        <w:jc w:val="center"/>
        <w:outlineLvl w:val="1"/>
        <w:rPr>
          <w:rFonts w:ascii="宋体" w:hAnsi="宋体" w:eastAsia="宋体" w:cs="宋体"/>
          <w:b/>
          <w:bCs/>
          <w:color w:val="auto"/>
          <w:sz w:val="32"/>
          <w:szCs w:val="32"/>
          <w:highlight w:val="none"/>
        </w:rPr>
      </w:pPr>
      <w:bookmarkStart w:id="219" w:name="_Toc25347"/>
      <w:bookmarkStart w:id="220" w:name="_Toc494"/>
      <w:bookmarkStart w:id="221" w:name="_Toc4208"/>
      <w:bookmarkStart w:id="222" w:name="_Toc24399"/>
      <w:bookmarkStart w:id="223" w:name="_Toc80093004"/>
      <w:bookmarkStart w:id="224" w:name="_Toc4588"/>
      <w:bookmarkStart w:id="225" w:name="_Toc23568"/>
      <w:r>
        <w:rPr>
          <w:rFonts w:hint="eastAsia" w:ascii="宋体" w:hAnsi="宋体" w:eastAsia="宋体" w:cs="宋体"/>
          <w:b/>
          <w:bCs/>
          <w:color w:val="auto"/>
          <w:sz w:val="32"/>
          <w:szCs w:val="32"/>
          <w:highlight w:val="none"/>
        </w:rPr>
        <w:t>第一节 评审方法</w:t>
      </w:r>
      <w:bookmarkEnd w:id="219"/>
      <w:bookmarkEnd w:id="220"/>
      <w:bookmarkEnd w:id="221"/>
      <w:bookmarkEnd w:id="222"/>
      <w:bookmarkEnd w:id="223"/>
      <w:bookmarkEnd w:id="224"/>
      <w:bookmarkEnd w:id="225"/>
    </w:p>
    <w:p w14:paraId="6A5E9027">
      <w:pPr>
        <w:pageBreakBefore w:val="0"/>
        <w:widowControl w:val="0"/>
        <w:tabs>
          <w:tab w:val="left" w:pos="2472"/>
        </w:tabs>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采用质量优先法进行评审，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282DD69B">
      <w:pPr>
        <w:pageBreakBefore w:val="0"/>
        <w:widowControl w:val="0"/>
        <w:tabs>
          <w:tab w:val="left" w:pos="2472"/>
        </w:tabs>
        <w:kinsoku/>
        <w:overflowPunct/>
        <w:topLinePunct w:val="0"/>
        <w:bidi w:val="0"/>
        <w:spacing w:line="360" w:lineRule="auto"/>
        <w:ind w:left="0" w:leftChars="0" w:firstLine="470" w:firstLineChars="200"/>
        <w:rPr>
          <w:rFonts w:ascii="宋体" w:hAnsi="宋体" w:eastAsia="宋体" w:cs="宋体"/>
          <w:color w:val="auto"/>
          <w:szCs w:val="20"/>
          <w:highlight w:val="none"/>
        </w:rPr>
      </w:pPr>
      <w:r>
        <w:rPr>
          <w:rFonts w:hint="eastAsia" w:ascii="宋体" w:hAnsi="宋体" w:eastAsia="宋体" w:cs="宋体"/>
          <w:color w:val="auto"/>
          <w:szCs w:val="21"/>
          <w:highlight w:val="none"/>
        </w:rPr>
        <w:t>根据质量优先法的评审原则，本项目</w:t>
      </w:r>
      <w:r>
        <w:rPr>
          <w:rFonts w:hint="eastAsia" w:ascii="宋体" w:hAnsi="宋体" w:eastAsia="宋体" w:cs="宋体"/>
          <w:bCs/>
          <w:color w:val="auto"/>
          <w:szCs w:val="20"/>
          <w:highlight w:val="none"/>
        </w:rPr>
        <w:t>评分</w:t>
      </w:r>
      <w:r>
        <w:rPr>
          <w:rFonts w:hint="eastAsia" w:ascii="宋体" w:hAnsi="宋体" w:eastAsia="宋体" w:cs="宋体"/>
          <w:color w:val="auto"/>
          <w:szCs w:val="20"/>
          <w:highlight w:val="none"/>
        </w:rPr>
        <w:t>满分100分，</w:t>
      </w:r>
      <w:r>
        <w:rPr>
          <w:rFonts w:hint="eastAsia" w:ascii="宋体" w:hAnsi="宋体" w:eastAsia="宋体" w:cs="宋体"/>
          <w:b/>
          <w:color w:val="auto"/>
          <w:szCs w:val="20"/>
          <w:highlight w:val="none"/>
        </w:rPr>
        <w:t>其中价格分0分；技术分</w:t>
      </w:r>
      <w:r>
        <w:rPr>
          <w:rFonts w:hint="eastAsia" w:ascii="宋体" w:hAnsi="宋体" w:eastAsia="宋体" w:cs="宋体"/>
          <w:b/>
          <w:color w:val="auto"/>
          <w:szCs w:val="20"/>
          <w:highlight w:val="none"/>
          <w:lang w:val="en-US" w:eastAsia="zh-CN"/>
        </w:rPr>
        <w:t>75</w:t>
      </w:r>
      <w:r>
        <w:rPr>
          <w:rFonts w:hint="eastAsia" w:ascii="宋体" w:hAnsi="宋体" w:eastAsia="宋体" w:cs="宋体"/>
          <w:b/>
          <w:color w:val="auto"/>
          <w:szCs w:val="20"/>
          <w:highlight w:val="none"/>
        </w:rPr>
        <w:t>分；商务分</w:t>
      </w:r>
      <w:r>
        <w:rPr>
          <w:rFonts w:hint="eastAsia" w:ascii="宋体" w:hAnsi="宋体" w:eastAsia="宋体" w:cs="宋体"/>
          <w:b/>
          <w:color w:val="auto"/>
          <w:szCs w:val="20"/>
          <w:highlight w:val="none"/>
          <w:lang w:val="en-US" w:eastAsia="zh-CN"/>
        </w:rPr>
        <w:t>25</w:t>
      </w:r>
      <w:r>
        <w:rPr>
          <w:rFonts w:hint="eastAsia" w:ascii="宋体" w:hAnsi="宋体" w:eastAsia="宋体" w:cs="宋体"/>
          <w:b/>
          <w:color w:val="auto"/>
          <w:szCs w:val="20"/>
          <w:highlight w:val="none"/>
        </w:rPr>
        <w:t>分</w:t>
      </w:r>
      <w:r>
        <w:rPr>
          <w:rFonts w:hint="eastAsia" w:ascii="宋体" w:hAnsi="宋体" w:eastAsia="宋体" w:cs="宋体"/>
          <w:color w:val="auto"/>
          <w:szCs w:val="20"/>
          <w:highlight w:val="none"/>
        </w:rPr>
        <w:t>。评标委员会以征集文件为依据，对供应商的技术文件和商务文件等两部分内容按百分制打分，</w:t>
      </w:r>
      <w:r>
        <w:rPr>
          <w:rFonts w:hint="eastAsia" w:ascii="宋体" w:hAnsi="宋体" w:eastAsia="宋体" w:cs="宋体"/>
          <w:bCs/>
          <w:color w:val="auto"/>
          <w:szCs w:val="20"/>
          <w:highlight w:val="none"/>
        </w:rPr>
        <w:t>得分分值按四舍五入取至</w:t>
      </w:r>
      <w:r>
        <w:rPr>
          <w:rFonts w:hint="eastAsia" w:ascii="宋体" w:hAnsi="宋体" w:eastAsia="宋体" w:cs="宋体"/>
          <w:color w:val="auto"/>
          <w:szCs w:val="20"/>
          <w:highlight w:val="none"/>
        </w:rPr>
        <w:t>小数点后四位</w:t>
      </w:r>
      <w:r>
        <w:rPr>
          <w:rFonts w:hint="eastAsia" w:ascii="宋体" w:hAnsi="宋体" w:eastAsia="宋体" w:cs="宋体"/>
          <w:bCs/>
          <w:color w:val="auto"/>
          <w:szCs w:val="20"/>
          <w:highlight w:val="none"/>
        </w:rPr>
        <w:t>。</w:t>
      </w:r>
      <w:r>
        <w:rPr>
          <w:rFonts w:hint="eastAsia" w:ascii="宋体" w:hAnsi="宋体" w:eastAsia="宋体" w:cs="宋体"/>
          <w:color w:val="auto"/>
          <w:szCs w:val="20"/>
          <w:highlight w:val="none"/>
        </w:rPr>
        <w:t>（评审时，对于带有主观因素的评分，由评委独立评审、打分。）</w:t>
      </w:r>
    </w:p>
    <w:p w14:paraId="21AB507C">
      <w:pPr>
        <w:pageBreakBefore w:val="0"/>
        <w:widowControl w:val="0"/>
        <w:kinsoku/>
        <w:overflowPunct/>
        <w:topLinePunct w:val="0"/>
        <w:bidi w:val="0"/>
        <w:spacing w:line="360" w:lineRule="auto"/>
        <w:ind w:left="0" w:leftChars="0"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入围标准详见本章第四节。</w:t>
      </w:r>
    </w:p>
    <w:p w14:paraId="6733D9FA">
      <w:pPr>
        <w:pageBreakBefore w:val="0"/>
        <w:widowControl w:val="0"/>
        <w:kinsoku/>
        <w:overflowPunct/>
        <w:topLinePunct w:val="0"/>
        <w:bidi w:val="0"/>
        <w:spacing w:line="360" w:lineRule="auto"/>
        <w:ind w:left="0" w:leftChars="0" w:firstLine="420"/>
        <w:rPr>
          <w:rFonts w:hint="eastAsia" w:ascii="宋体" w:hAnsi="宋体" w:eastAsia="宋体" w:cs="宋体"/>
          <w:color w:val="auto"/>
          <w:szCs w:val="24"/>
          <w:highlight w:val="none"/>
        </w:rPr>
      </w:pPr>
    </w:p>
    <w:p w14:paraId="0BF30458">
      <w:pPr>
        <w:pageBreakBefore w:val="0"/>
        <w:widowControl w:val="0"/>
        <w:tabs>
          <w:tab w:val="left" w:pos="2472"/>
        </w:tabs>
        <w:kinsoku/>
        <w:overflowPunct/>
        <w:topLinePunct w:val="0"/>
        <w:bidi w:val="0"/>
        <w:spacing w:line="360" w:lineRule="auto"/>
        <w:ind w:left="0" w:leftChars="0"/>
        <w:jc w:val="center"/>
        <w:outlineLvl w:val="1"/>
        <w:rPr>
          <w:rFonts w:ascii="宋体" w:hAnsi="宋体" w:eastAsia="宋体" w:cs="宋体"/>
          <w:b/>
          <w:bCs/>
          <w:color w:val="auto"/>
          <w:sz w:val="32"/>
          <w:szCs w:val="32"/>
          <w:highlight w:val="none"/>
        </w:rPr>
      </w:pPr>
      <w:bookmarkStart w:id="226" w:name="_Toc80093005"/>
      <w:bookmarkStart w:id="227" w:name="_Toc18205"/>
      <w:bookmarkStart w:id="228" w:name="_Toc6682"/>
      <w:bookmarkStart w:id="229" w:name="_Toc13533"/>
      <w:bookmarkStart w:id="230" w:name="_Toc6615"/>
      <w:bookmarkStart w:id="231" w:name="_Toc17150"/>
      <w:bookmarkStart w:id="232" w:name="_Toc19922"/>
      <w:r>
        <w:rPr>
          <w:rFonts w:hint="eastAsia" w:ascii="宋体" w:hAnsi="宋体" w:eastAsia="宋体" w:cs="宋体"/>
          <w:b/>
          <w:bCs/>
          <w:color w:val="auto"/>
          <w:sz w:val="32"/>
          <w:szCs w:val="32"/>
          <w:highlight w:val="none"/>
        </w:rPr>
        <w:t>第二节 评审程序</w:t>
      </w:r>
      <w:bookmarkEnd w:id="226"/>
      <w:bookmarkEnd w:id="227"/>
      <w:bookmarkEnd w:id="228"/>
      <w:bookmarkEnd w:id="229"/>
      <w:bookmarkEnd w:id="230"/>
      <w:bookmarkEnd w:id="231"/>
      <w:bookmarkEnd w:id="232"/>
    </w:p>
    <w:p w14:paraId="143695EF">
      <w:pPr>
        <w:pageBreakBefore w:val="0"/>
        <w:widowControl w:val="0"/>
        <w:kinsoku/>
        <w:overflowPunct/>
        <w:topLinePunct w:val="0"/>
        <w:bidi w:val="0"/>
        <w:spacing w:line="360" w:lineRule="auto"/>
        <w:ind w:left="0" w:leftChars="0" w:firstLine="470" w:firstLineChars="200"/>
        <w:outlineLvl w:val="2"/>
        <w:rPr>
          <w:rFonts w:ascii="宋体" w:hAnsi="宋体" w:eastAsia="宋体" w:cs="宋体"/>
          <w:b/>
          <w:color w:val="auto"/>
          <w:szCs w:val="21"/>
          <w:highlight w:val="none"/>
        </w:rPr>
      </w:pPr>
      <w:bookmarkStart w:id="233" w:name="_Toc14764"/>
      <w:bookmarkStart w:id="234" w:name="_Toc22949"/>
      <w:bookmarkStart w:id="235" w:name="_Toc1517"/>
      <w:bookmarkStart w:id="236" w:name="_Toc10124"/>
      <w:bookmarkStart w:id="237" w:name="_Toc14635"/>
      <w:r>
        <w:rPr>
          <w:rFonts w:hint="eastAsia" w:ascii="宋体" w:hAnsi="宋体" w:eastAsia="宋体" w:cs="宋体"/>
          <w:b/>
          <w:color w:val="auto"/>
          <w:szCs w:val="21"/>
          <w:highlight w:val="none"/>
        </w:rPr>
        <w:t>1.符合性审查</w:t>
      </w:r>
      <w:bookmarkEnd w:id="233"/>
      <w:bookmarkEnd w:id="234"/>
      <w:bookmarkEnd w:id="235"/>
      <w:bookmarkEnd w:id="236"/>
      <w:bookmarkEnd w:id="237"/>
    </w:p>
    <w:p w14:paraId="5188C211">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评审委员会应当对符合资格的供应商的响应文件进行响应报价、商务、技术等实质性内容符合性审查，以确定其是否满足征集文件的实质性要求。</w:t>
      </w:r>
    </w:p>
    <w:p w14:paraId="6D034D81">
      <w:pPr>
        <w:pageBreakBefore w:val="0"/>
        <w:widowControl w:val="0"/>
        <w:kinsoku/>
        <w:overflowPunct/>
        <w:topLinePunct w:val="0"/>
        <w:bidi w:val="0"/>
        <w:spacing w:line="360" w:lineRule="auto"/>
        <w:ind w:left="0" w:leftChars="0" w:firstLine="470" w:firstLineChars="200"/>
        <w:outlineLvl w:val="2"/>
        <w:rPr>
          <w:rFonts w:ascii="宋体" w:hAnsi="宋体" w:eastAsia="宋体" w:cs="宋体"/>
          <w:b/>
          <w:color w:val="auto"/>
          <w:szCs w:val="21"/>
          <w:highlight w:val="none"/>
        </w:rPr>
      </w:pPr>
      <w:bookmarkStart w:id="238" w:name="_Toc15392"/>
      <w:bookmarkStart w:id="239" w:name="_Toc4143"/>
      <w:bookmarkStart w:id="240" w:name="_Toc29219"/>
      <w:bookmarkStart w:id="241" w:name="_Toc3522"/>
      <w:bookmarkStart w:id="242" w:name="_Toc30968"/>
      <w:r>
        <w:rPr>
          <w:rFonts w:hint="eastAsia" w:ascii="宋体" w:hAnsi="宋体" w:eastAsia="宋体" w:cs="宋体"/>
          <w:b/>
          <w:color w:val="auto"/>
          <w:szCs w:val="21"/>
          <w:highlight w:val="none"/>
        </w:rPr>
        <w:t>2.符合性审查不通过而导致响应无效的情形</w:t>
      </w:r>
      <w:bookmarkEnd w:id="238"/>
      <w:bookmarkEnd w:id="239"/>
      <w:bookmarkEnd w:id="240"/>
      <w:bookmarkEnd w:id="241"/>
      <w:bookmarkEnd w:id="242"/>
    </w:p>
    <w:p w14:paraId="37DD9514">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供应商的响应文件中存在对征集文件的任何实质性要求和条件的负偏离，将被视为响应无效。</w:t>
      </w:r>
    </w:p>
    <w:p w14:paraId="6079AB6F">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2.1在报价评审时，如发现下列情形之一的，将被视为响应无效：</w:t>
      </w:r>
    </w:p>
    <w:p w14:paraId="72F6E8B3">
      <w:pPr>
        <w:pageBreakBefore w:val="0"/>
        <w:widowControl w:val="0"/>
        <w:kinsoku/>
        <w:overflowPunct/>
        <w:topLinePunct w:val="0"/>
        <w:bidi w:val="0"/>
        <w:spacing w:line="360" w:lineRule="auto"/>
        <w:ind w:left="0" w:leftChars="0" w:firstLine="47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（1）响应文件未提供“供应商须知前附表”第13.1条规定中“必须提供”的文件资料的</w:t>
      </w:r>
      <w:r>
        <w:rPr>
          <w:rFonts w:hint="eastAsia" w:ascii="宋体" w:hAnsi="宋体" w:eastAsia="宋体" w:cs="宋体"/>
          <w:color w:val="auto"/>
          <w:szCs w:val="21"/>
          <w:highlight w:val="none"/>
          <w:lang w:eastAsia="zh-CN"/>
        </w:rPr>
        <w:t>；</w:t>
      </w:r>
    </w:p>
    <w:p w14:paraId="4423CC0E">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（2）未采用人民币报价或者未按照征集文件标明的币种报价的；</w:t>
      </w:r>
    </w:p>
    <w:p w14:paraId="23A0EF67">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（3）报价超出征集文件规定最高限价，或者超出采购预算金额（包括分项预算）的；</w:t>
      </w:r>
    </w:p>
    <w:p w14:paraId="5C970FE4">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448E18AB">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w:t>
      </w:r>
    </w:p>
    <w:p w14:paraId="68888F08">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（6）供应商属于本章第5条第（2）项情形的。</w:t>
      </w:r>
    </w:p>
    <w:p w14:paraId="208514BE">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2.2在商务评审时，如发现下列情形之一的，将被视为响应无效：</w:t>
      </w:r>
    </w:p>
    <w:p w14:paraId="7844CB0A">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（1）响应文件未按征集文件要求签署、盖章的；</w:t>
      </w:r>
    </w:p>
    <w:p w14:paraId="1407EBBE">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（2）委托代理人未能出具有效身份证明或者出具的身份证明与授权委托书中的信息不符的； </w:t>
      </w:r>
    </w:p>
    <w:p w14:paraId="422DE10E">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（3）响应文件未提供“供应商须知前附表”第13.1条规定中“必须提供”或者“委托时必须提供”的文件资料的;</w:t>
      </w:r>
    </w:p>
    <w:p w14:paraId="05F564B6">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（4）响应有效期、项目完成时间（交货时间、服务完成时间或者服务期等）、质保期、售后服务等征集文件入围“▲”的商务条款发生负偏离的；</w:t>
      </w:r>
    </w:p>
    <w:p w14:paraId="72C5AFAE">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（5）商务条款评审允许负偏离的条款数超过“供应商须知前附表”规定项数的。</w:t>
      </w:r>
    </w:p>
    <w:p w14:paraId="7B7E734F">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（6）响应文件的实质性内容未使用中文表述、使用计量单位不符合征集文件要求的；</w:t>
      </w:r>
    </w:p>
    <w:p w14:paraId="5F9C2E58">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（7）响应文件中的文件资料因填写不齐全或者内容虚假或者出现其他情形而导致被评审委员会认定无效的；</w:t>
      </w:r>
    </w:p>
    <w:p w14:paraId="50F47168">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（8）响应文件含有征集人不能接受的附加条件的；</w:t>
      </w:r>
    </w:p>
    <w:p w14:paraId="5188AB0C">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（9）未响应征集文件实质性要求的；</w:t>
      </w:r>
    </w:p>
    <w:p w14:paraId="024AE2FA">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（10）属于供应商须知正文第9.2条情形的；</w:t>
      </w:r>
    </w:p>
    <w:p w14:paraId="2920D5BD">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（11）法律、法规和征集文件规定的其他无效情形。</w:t>
      </w:r>
    </w:p>
    <w:p w14:paraId="4CD4798D">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2.3在技术评审时，如发现下列情形之一的，将被视为响应无效：</w:t>
      </w:r>
    </w:p>
    <w:p w14:paraId="5C1D9A20">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（1）不满足征集文件要求的服务内容、技术要求、安全、质量标准，或者与征集文件入围“▲”的技术需求发生负偏离的；</w:t>
      </w:r>
    </w:p>
    <w:p w14:paraId="0CC8379A">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（2）技术需求评审允许负偏离的条款数超过“供应商须知前附表”规定项数的；</w:t>
      </w:r>
    </w:p>
    <w:p w14:paraId="4F6D68D4">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（3）响应文件未提供“供应商须知前附表”第13.1条规定中“必须提供”的文件资料的;</w:t>
      </w:r>
    </w:p>
    <w:p w14:paraId="573663B2">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（4）虚假响应，或者出现其他情形而导致被评审委员会认定无效的；</w:t>
      </w:r>
    </w:p>
    <w:p w14:paraId="5915FEE5">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（5）响应技术方案不明确，征集文件未允许但存在一个或者一个以上备选（替代）响应方案的。</w:t>
      </w:r>
    </w:p>
    <w:p w14:paraId="0EC402A9">
      <w:pPr>
        <w:pageBreakBefore w:val="0"/>
        <w:widowControl w:val="0"/>
        <w:kinsoku/>
        <w:overflowPunct/>
        <w:topLinePunct w:val="0"/>
        <w:bidi w:val="0"/>
        <w:spacing w:line="360" w:lineRule="auto"/>
        <w:ind w:left="0" w:leftChars="0" w:firstLine="470" w:firstLineChars="200"/>
        <w:outlineLvl w:val="2"/>
        <w:rPr>
          <w:rFonts w:ascii="宋体" w:hAnsi="宋体" w:eastAsia="宋体" w:cs="宋体"/>
          <w:b/>
          <w:color w:val="auto"/>
          <w:szCs w:val="21"/>
          <w:highlight w:val="none"/>
        </w:rPr>
      </w:pPr>
      <w:bookmarkStart w:id="243" w:name="_Toc27716"/>
      <w:bookmarkStart w:id="244" w:name="_Toc28307"/>
      <w:bookmarkStart w:id="245" w:name="_Toc10349"/>
      <w:bookmarkStart w:id="246" w:name="_Toc28142"/>
      <w:bookmarkStart w:id="247" w:name="_Toc10488"/>
      <w:r>
        <w:rPr>
          <w:rFonts w:hint="eastAsia" w:ascii="宋体" w:hAnsi="宋体" w:eastAsia="宋体" w:cs="宋体"/>
          <w:b/>
          <w:color w:val="auto"/>
          <w:szCs w:val="21"/>
          <w:highlight w:val="none"/>
        </w:rPr>
        <w:t>3.澄清补正、说明或者补正</w:t>
      </w:r>
      <w:bookmarkEnd w:id="243"/>
      <w:bookmarkEnd w:id="244"/>
      <w:bookmarkEnd w:id="245"/>
      <w:bookmarkEnd w:id="246"/>
      <w:bookmarkEnd w:id="247"/>
    </w:p>
    <w:p w14:paraId="30B4C7F3">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对响应文件中含义不明确、同类问题表述不一致或者有明显文字和计算错误的内容，评审委员会应在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发布电子澄清函，要求供应商在规定时间内作出必要的澄清、说明或者补正。供应商在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4C5616B5">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70890823">
      <w:pPr>
        <w:pageBreakBefore w:val="0"/>
        <w:widowControl w:val="0"/>
        <w:kinsoku/>
        <w:overflowPunct/>
        <w:topLinePunct w:val="0"/>
        <w:bidi w:val="0"/>
        <w:spacing w:line="360" w:lineRule="auto"/>
        <w:ind w:left="0" w:leftChars="0" w:firstLine="470" w:firstLineChars="200"/>
        <w:outlineLvl w:val="2"/>
        <w:rPr>
          <w:rFonts w:ascii="宋体" w:hAnsi="宋体" w:eastAsia="宋体" w:cs="宋体"/>
          <w:color w:val="auto"/>
          <w:szCs w:val="21"/>
          <w:highlight w:val="none"/>
        </w:rPr>
      </w:pPr>
      <w:bookmarkStart w:id="248" w:name="_Toc19931"/>
      <w:bookmarkStart w:id="249" w:name="_Toc17659"/>
      <w:bookmarkStart w:id="250" w:name="_Toc776"/>
      <w:bookmarkStart w:id="251" w:name="_Toc27056"/>
      <w:bookmarkStart w:id="252" w:name="_Toc11251"/>
      <w:r>
        <w:rPr>
          <w:rFonts w:hint="eastAsia" w:ascii="宋体" w:hAnsi="宋体" w:eastAsia="宋体" w:cs="宋体"/>
          <w:color w:val="auto"/>
          <w:szCs w:val="21"/>
          <w:highlight w:val="none"/>
        </w:rPr>
        <w:t>4.比较与评价</w:t>
      </w:r>
      <w:bookmarkEnd w:id="248"/>
      <w:bookmarkEnd w:id="249"/>
      <w:bookmarkEnd w:id="250"/>
      <w:bookmarkEnd w:id="251"/>
      <w:bookmarkEnd w:id="252"/>
    </w:p>
    <w:p w14:paraId="5FA9460F">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（1）评审委员会按照征集文件中规定的评审方法和评审标准，对符合性审查合格的响应文件进行商务和技术评估，综合比较与评价。</w:t>
      </w:r>
    </w:p>
    <w:p w14:paraId="30F6E633">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（2）评审委员会独立对每个供应商的响应文件进行评价，并汇总每个供应商的得分。</w:t>
      </w:r>
    </w:p>
    <w:p w14:paraId="013974D8">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（3）各供应商的得分为所有评委的有效评分的算术平均数。</w:t>
      </w:r>
    </w:p>
    <w:p w14:paraId="1EAFA8CC">
      <w:pPr>
        <w:pageBreakBefore w:val="0"/>
        <w:widowControl w:val="0"/>
        <w:kinsoku/>
        <w:overflowPunct/>
        <w:topLinePunct w:val="0"/>
        <w:bidi w:val="0"/>
        <w:spacing w:line="360" w:lineRule="auto"/>
        <w:ind w:left="0" w:leftChars="0" w:firstLine="47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（4）评审委员会按照征集文件中的规定推荐入围候选人。</w:t>
      </w:r>
    </w:p>
    <w:p w14:paraId="56AC0347">
      <w:pPr>
        <w:pageBreakBefore w:val="0"/>
        <w:widowControl w:val="0"/>
        <w:kinsoku/>
        <w:overflowPunct/>
        <w:topLinePunct w:val="0"/>
        <w:bidi w:val="0"/>
        <w:spacing w:line="360" w:lineRule="auto"/>
        <w:ind w:left="0" w:leftChars="0" w:firstLine="47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38618C98">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49739A4D">
      <w:pPr>
        <w:keepNext/>
        <w:keepLines/>
        <w:spacing w:before="260" w:after="260" w:line="413" w:lineRule="auto"/>
        <w:jc w:val="center"/>
        <w:outlineLvl w:val="1"/>
        <w:rPr>
          <w:rFonts w:ascii="宋体" w:hAnsi="宋体" w:eastAsia="宋体" w:cs="宋体"/>
          <w:bCs/>
          <w:color w:val="auto"/>
          <w:sz w:val="30"/>
          <w:szCs w:val="30"/>
          <w:highlight w:val="none"/>
        </w:rPr>
      </w:pPr>
      <w:bookmarkStart w:id="253" w:name="_Toc13540"/>
      <w:bookmarkStart w:id="254" w:name="_Toc17999"/>
      <w:bookmarkStart w:id="255" w:name="_Toc18816"/>
      <w:bookmarkStart w:id="256" w:name="_Toc80093006"/>
      <w:bookmarkStart w:id="257" w:name="_Toc28710"/>
      <w:bookmarkStart w:id="258" w:name="_Toc25475"/>
      <w:bookmarkStart w:id="259" w:name="_Toc1661"/>
      <w:r>
        <w:rPr>
          <w:rFonts w:hint="eastAsia" w:ascii="宋体" w:hAnsi="宋体" w:eastAsia="宋体" w:cs="宋体"/>
          <w:bCs/>
          <w:color w:val="auto"/>
          <w:sz w:val="30"/>
          <w:szCs w:val="30"/>
          <w:highlight w:val="none"/>
        </w:rPr>
        <w:t>第三节 评分标准</w:t>
      </w:r>
      <w:bookmarkEnd w:id="253"/>
      <w:bookmarkEnd w:id="254"/>
      <w:bookmarkEnd w:id="255"/>
      <w:bookmarkEnd w:id="256"/>
      <w:bookmarkEnd w:id="257"/>
      <w:bookmarkEnd w:id="258"/>
      <w:bookmarkEnd w:id="259"/>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85"/>
        <w:gridCol w:w="6058"/>
        <w:gridCol w:w="1506"/>
      </w:tblGrid>
      <w:tr w14:paraId="126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14:paraId="53336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color w:val="auto"/>
                <w:sz w:val="21"/>
                <w:szCs w:val="21"/>
                <w:highlight w:val="none"/>
              </w:rPr>
            </w:pPr>
            <w:bookmarkStart w:id="260" w:name="PO_3000001866_PM051"/>
            <w:bookmarkEnd w:id="260"/>
            <w:bookmarkStart w:id="261" w:name="PO_TDCUS_ITEM_SM_TABLE_1"/>
            <w:r>
              <w:rPr>
                <w:rFonts w:hint="eastAsia" w:ascii="宋体" w:hAnsi="宋体" w:eastAsia="宋体" w:cs="宋体"/>
                <w:b/>
                <w:bCs w:val="0"/>
                <w:color w:val="auto"/>
                <w:sz w:val="21"/>
                <w:szCs w:val="21"/>
                <w:highlight w:val="none"/>
              </w:rPr>
              <w:t>序号</w:t>
            </w:r>
          </w:p>
        </w:tc>
        <w:tc>
          <w:tcPr>
            <w:tcW w:w="703" w:type="pct"/>
            <w:vAlign w:val="center"/>
          </w:tcPr>
          <w:p w14:paraId="4E959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评分类型</w:t>
            </w:r>
          </w:p>
        </w:tc>
        <w:tc>
          <w:tcPr>
            <w:tcW w:w="3074" w:type="pct"/>
            <w:vAlign w:val="center"/>
          </w:tcPr>
          <w:p w14:paraId="3DC0A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c>
          <w:tcPr>
            <w:tcW w:w="762" w:type="pct"/>
            <w:vAlign w:val="center"/>
          </w:tcPr>
          <w:p w14:paraId="5A0DF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r>
      <w:tr w14:paraId="60D2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14:paraId="23C01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03" w:type="pct"/>
            <w:vAlign w:val="center"/>
          </w:tcPr>
          <w:p w14:paraId="102025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报价分</w:t>
            </w:r>
          </w:p>
        </w:tc>
        <w:tc>
          <w:tcPr>
            <w:tcW w:w="3074" w:type="pct"/>
            <w:vAlign w:val="center"/>
          </w:tcPr>
          <w:p w14:paraId="5F1866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p>
        </w:tc>
        <w:tc>
          <w:tcPr>
            <w:tcW w:w="762" w:type="pct"/>
            <w:vAlign w:val="center"/>
          </w:tcPr>
          <w:p w14:paraId="6054BE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满分0分</w:t>
            </w:r>
          </w:p>
        </w:tc>
      </w:tr>
      <w:tr w14:paraId="6AA3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14:paraId="02AC9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703" w:type="pct"/>
            <w:vAlign w:val="center"/>
          </w:tcPr>
          <w:p w14:paraId="02D88A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报价分</w:t>
            </w:r>
          </w:p>
        </w:tc>
        <w:tc>
          <w:tcPr>
            <w:tcW w:w="3074" w:type="pct"/>
            <w:vAlign w:val="center"/>
          </w:tcPr>
          <w:p w14:paraId="282A57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按服务需求一览表中关于响应报价的说明执行</w:t>
            </w:r>
          </w:p>
        </w:tc>
        <w:tc>
          <w:tcPr>
            <w:tcW w:w="762" w:type="pct"/>
            <w:vAlign w:val="center"/>
          </w:tcPr>
          <w:p w14:paraId="3D22A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0</w:t>
            </w:r>
          </w:p>
        </w:tc>
      </w:tr>
      <w:tr w14:paraId="32F0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14:paraId="21822E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703" w:type="pct"/>
            <w:vAlign w:val="center"/>
          </w:tcPr>
          <w:p w14:paraId="1FE8A2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p>
        </w:tc>
        <w:tc>
          <w:tcPr>
            <w:tcW w:w="3074" w:type="pct"/>
            <w:vAlign w:val="center"/>
          </w:tcPr>
          <w:p w14:paraId="0C1F93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color w:val="auto"/>
                <w:sz w:val="21"/>
                <w:szCs w:val="21"/>
                <w:highlight w:val="none"/>
              </w:rPr>
            </w:pPr>
          </w:p>
        </w:tc>
        <w:tc>
          <w:tcPr>
            <w:tcW w:w="762" w:type="pct"/>
            <w:vAlign w:val="center"/>
          </w:tcPr>
          <w:p w14:paraId="0F759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满分7</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r>
      <w:tr w14:paraId="04E4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14:paraId="0697D1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p>
        </w:tc>
        <w:tc>
          <w:tcPr>
            <w:tcW w:w="703" w:type="pct"/>
            <w:vAlign w:val="center"/>
          </w:tcPr>
          <w:p w14:paraId="55495D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服务工作方案</w:t>
            </w:r>
          </w:p>
        </w:tc>
        <w:tc>
          <w:tcPr>
            <w:tcW w:w="3074" w:type="pct"/>
            <w:vAlign w:val="center"/>
          </w:tcPr>
          <w:p w14:paraId="4232EC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分）：服务方案简单，服务工作方案</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lang w:val="zh-CN"/>
              </w:rPr>
              <w:t>工作措施、工作方法、工作手段、工作流程，有项目重点难点分析、应对措施、档案管理方案，符合相关操作规程。</w:t>
            </w:r>
          </w:p>
          <w:p w14:paraId="11C31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二档（</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val="zh-CN"/>
              </w:rPr>
              <w:t>）：在一档的基础上，服务方案提供了的项目重点难点分析、应对措施，有开展业务培训的计划，建立组织机构，符合相关操作规程，有简单的档案管理方案。</w:t>
            </w:r>
          </w:p>
          <w:p w14:paraId="77A61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三档（</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bCs/>
                <w:color w:val="auto"/>
                <w:sz w:val="21"/>
                <w:szCs w:val="21"/>
                <w:highlight w:val="none"/>
              </w:rPr>
              <w:t>满足</w:t>
            </w:r>
            <w:r>
              <w:rPr>
                <w:rFonts w:hint="eastAsia" w:ascii="宋体" w:hAnsi="宋体" w:eastAsia="宋体" w:cs="宋体"/>
                <w:color w:val="auto"/>
                <w:sz w:val="21"/>
                <w:szCs w:val="21"/>
                <w:highlight w:val="none"/>
                <w:lang w:val="zh-CN"/>
              </w:rPr>
              <w:t>二档的基础上，服务方案项目重点难点分析切合实际，应对措施具体，并附有相关的合理化建议，制定开展与本项目有关服务工作开展业务培训的措施，建立完善的组织机构、规范的内部操作规程，符合国家相关操作规程，具有规范的档案管理制度；</w:t>
            </w:r>
          </w:p>
          <w:p w14:paraId="2E43C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分）：</w:t>
            </w:r>
            <w:r>
              <w:rPr>
                <w:rFonts w:hint="eastAsia" w:ascii="宋体" w:hAnsi="宋体" w:eastAsia="宋体" w:cs="宋体"/>
                <w:bCs/>
                <w:color w:val="auto"/>
                <w:sz w:val="21"/>
                <w:szCs w:val="21"/>
                <w:highlight w:val="none"/>
              </w:rPr>
              <w:t>满足</w:t>
            </w:r>
            <w:r>
              <w:rPr>
                <w:rFonts w:hint="eastAsia" w:ascii="宋体" w:hAnsi="宋体" w:eastAsia="宋体" w:cs="宋体"/>
                <w:color w:val="auto"/>
                <w:sz w:val="21"/>
                <w:szCs w:val="21"/>
                <w:highlight w:val="none"/>
                <w:lang w:val="zh-CN"/>
              </w:rPr>
              <w:t>三档的基础上，服务方案有针对性，项目重点难点分析详实且有针对性，应对措施具体有针对性，相关的合理化建议有可操作性和先进性，制定对本项目实施期间队伍的稳定性、开展服务工作效率提高、制定详细的开展与本项目有关服务工作业务培训的具体措施，建立完善的组织机构、规范的内部操作规程，符国家相关操作规程，具有规范的档案管理制度，</w:t>
            </w:r>
            <w:r>
              <w:rPr>
                <w:rFonts w:hint="eastAsia" w:ascii="宋体" w:hAnsi="宋体" w:eastAsia="宋体" w:cs="宋体"/>
                <w:bCs/>
                <w:color w:val="auto"/>
                <w:sz w:val="21"/>
                <w:szCs w:val="21"/>
                <w:highlight w:val="none"/>
              </w:rPr>
              <w:t>有与项目各方沟通协调的方案</w:t>
            </w:r>
            <w:r>
              <w:rPr>
                <w:rFonts w:hint="eastAsia" w:ascii="宋体" w:hAnsi="宋体" w:eastAsia="宋体" w:cs="宋体"/>
                <w:color w:val="auto"/>
                <w:sz w:val="21"/>
                <w:szCs w:val="21"/>
                <w:highlight w:val="none"/>
                <w:lang w:val="zh-CN"/>
              </w:rPr>
              <w:t>。</w:t>
            </w:r>
          </w:p>
          <w:p w14:paraId="21138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sz w:val="21"/>
                <w:szCs w:val="21"/>
                <w:highlight w:val="none"/>
              </w:rPr>
              <w:t>不提供</w:t>
            </w:r>
            <w:r>
              <w:rPr>
                <w:rFonts w:hint="eastAsia" w:ascii="宋体" w:hAnsi="宋体" w:eastAsia="宋体" w:cs="宋体"/>
                <w:bCs/>
                <w:color w:val="auto"/>
                <w:sz w:val="21"/>
                <w:szCs w:val="21"/>
                <w:highlight w:val="none"/>
                <w:lang w:val="en-US" w:eastAsia="zh-CN"/>
              </w:rPr>
              <w:t>或者未达一档</w:t>
            </w:r>
            <w:r>
              <w:rPr>
                <w:rFonts w:hint="eastAsia" w:ascii="宋体" w:hAnsi="宋体" w:eastAsia="宋体" w:cs="宋体"/>
                <w:bCs/>
                <w:color w:val="auto"/>
                <w:sz w:val="21"/>
                <w:szCs w:val="21"/>
                <w:highlight w:val="none"/>
              </w:rPr>
              <w:t>的不得分。</w:t>
            </w:r>
          </w:p>
        </w:tc>
        <w:tc>
          <w:tcPr>
            <w:tcW w:w="762" w:type="pct"/>
            <w:vAlign w:val="center"/>
          </w:tcPr>
          <w:p w14:paraId="416F7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p>
        </w:tc>
      </w:tr>
      <w:tr w14:paraId="22FC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14:paraId="20138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p>
        </w:tc>
        <w:tc>
          <w:tcPr>
            <w:tcW w:w="703" w:type="pct"/>
            <w:vAlign w:val="center"/>
          </w:tcPr>
          <w:p w14:paraId="0B43D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质量管控措施</w:t>
            </w:r>
          </w:p>
        </w:tc>
        <w:tc>
          <w:tcPr>
            <w:tcW w:w="3074" w:type="pct"/>
            <w:vAlign w:val="center"/>
          </w:tcPr>
          <w:p w14:paraId="710E48E8">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一档（</w:t>
            </w:r>
            <w:r>
              <w:rPr>
                <w:rFonts w:hint="eastAsia" w:ascii="宋体" w:hAnsi="宋体" w:eastAsia="宋体" w:cs="宋体"/>
                <w:bCs/>
                <w:color w:val="auto"/>
                <w:sz w:val="21"/>
                <w:szCs w:val="21"/>
                <w:highlight w:val="none"/>
                <w:lang w:val="en-US" w:eastAsia="zh-CN"/>
              </w:rPr>
              <w:t>8分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质量控制措施</w:t>
            </w:r>
            <w:r>
              <w:rPr>
                <w:rFonts w:hint="eastAsia" w:ascii="宋体" w:hAnsi="宋体" w:eastAsia="宋体" w:cs="宋体"/>
                <w:bCs/>
                <w:color w:val="auto"/>
                <w:sz w:val="21"/>
                <w:szCs w:val="21"/>
                <w:highlight w:val="none"/>
                <w:lang w:eastAsia="zh-CN"/>
              </w:rPr>
              <w:t>简单，</w:t>
            </w:r>
            <w:r>
              <w:rPr>
                <w:rFonts w:hint="eastAsia" w:ascii="宋体" w:hAnsi="宋体" w:eastAsia="宋体" w:cs="宋体"/>
                <w:bCs/>
                <w:color w:val="auto"/>
                <w:sz w:val="21"/>
                <w:szCs w:val="21"/>
                <w:highlight w:val="none"/>
              </w:rPr>
              <w:t>质量控制措施包括内部质量复核机制、评审报告质量控制、</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工作底稿和档案管理等；</w:t>
            </w:r>
            <w:r>
              <w:rPr>
                <w:rFonts w:hint="eastAsia" w:ascii="宋体" w:hAnsi="宋体" w:eastAsia="宋体" w:cs="宋体"/>
                <w:bCs/>
                <w:color w:val="auto"/>
                <w:sz w:val="21"/>
                <w:szCs w:val="21"/>
                <w:highlight w:val="none"/>
                <w:lang w:eastAsia="zh-CN"/>
              </w:rPr>
              <w:t>有</w:t>
            </w:r>
            <w:r>
              <w:rPr>
                <w:rFonts w:hint="eastAsia" w:ascii="宋体" w:hAnsi="宋体" w:eastAsia="宋体" w:cs="宋体"/>
                <w:bCs/>
                <w:color w:val="auto"/>
                <w:sz w:val="21"/>
                <w:szCs w:val="21"/>
                <w:highlight w:val="none"/>
              </w:rPr>
              <w:t>三级复核制度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基本满足项目需求</w:t>
            </w:r>
            <w:r>
              <w:rPr>
                <w:rFonts w:hint="eastAsia" w:ascii="宋体" w:hAnsi="宋体" w:eastAsia="宋体" w:cs="宋体"/>
                <w:bCs/>
                <w:color w:val="auto"/>
                <w:sz w:val="21"/>
                <w:szCs w:val="21"/>
                <w:highlight w:val="none"/>
                <w:lang w:eastAsia="zh-CN"/>
              </w:rPr>
              <w:t>。</w:t>
            </w:r>
          </w:p>
          <w:p w14:paraId="4BD0D7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二</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一档的基础上，</w:t>
            </w:r>
            <w:r>
              <w:rPr>
                <w:rFonts w:hint="eastAsia" w:ascii="宋体" w:hAnsi="宋体" w:eastAsia="宋体" w:cs="宋体"/>
                <w:bCs/>
                <w:color w:val="auto"/>
                <w:sz w:val="21"/>
                <w:szCs w:val="21"/>
                <w:highlight w:val="none"/>
              </w:rPr>
              <w:t>提供质量控制措施有三级复核制度、评审报告质量控制以及评审档案管理等措施，满足项目需求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能保证服务质量。</w:t>
            </w:r>
          </w:p>
          <w:p w14:paraId="3EFE8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在二档</w:t>
            </w:r>
            <w:r>
              <w:rPr>
                <w:rFonts w:hint="eastAsia" w:ascii="宋体" w:hAnsi="宋体" w:eastAsia="宋体" w:cs="宋体"/>
                <w:bCs/>
                <w:color w:val="auto"/>
                <w:sz w:val="21"/>
                <w:szCs w:val="21"/>
                <w:highlight w:val="none"/>
              </w:rPr>
              <w:t>的基础上，对评审工作的流程</w:t>
            </w:r>
            <w:r>
              <w:rPr>
                <w:rFonts w:hint="eastAsia" w:ascii="宋体" w:hAnsi="宋体" w:eastAsia="宋体" w:cs="宋体"/>
                <w:bCs/>
                <w:color w:val="auto"/>
                <w:sz w:val="21"/>
                <w:szCs w:val="21"/>
                <w:highlight w:val="none"/>
                <w:lang w:eastAsia="zh-CN"/>
              </w:rPr>
              <w:t>有</w:t>
            </w:r>
            <w:r>
              <w:rPr>
                <w:rFonts w:hint="eastAsia" w:ascii="宋体" w:hAnsi="宋体" w:eastAsia="宋体" w:cs="宋体"/>
                <w:bCs/>
                <w:color w:val="auto"/>
                <w:sz w:val="21"/>
                <w:szCs w:val="21"/>
                <w:highlight w:val="none"/>
              </w:rPr>
              <w:t>保障措施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对工作底稿、踏勘记录、询价记录、对账记录等过程资料</w:t>
            </w:r>
            <w:r>
              <w:rPr>
                <w:rFonts w:hint="eastAsia" w:ascii="宋体" w:hAnsi="宋体" w:eastAsia="宋体" w:cs="宋体"/>
                <w:bCs/>
                <w:color w:val="auto"/>
                <w:sz w:val="21"/>
                <w:szCs w:val="21"/>
                <w:highlight w:val="none"/>
                <w:lang w:eastAsia="zh-CN"/>
              </w:rPr>
              <w:t>有</w:t>
            </w:r>
            <w:r>
              <w:rPr>
                <w:rFonts w:hint="eastAsia" w:ascii="宋体" w:hAnsi="宋体" w:eastAsia="宋体" w:cs="宋体"/>
                <w:bCs/>
                <w:color w:val="auto"/>
                <w:sz w:val="21"/>
                <w:szCs w:val="21"/>
                <w:highlight w:val="none"/>
              </w:rPr>
              <w:t>质量要求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能保证服务质量，监管责任落实到人员。</w:t>
            </w:r>
          </w:p>
          <w:p w14:paraId="5A779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档（20分）：满足</w:t>
            </w: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档的基础上，对评审工作的重要流程、重点重大项目评审有专门的保障措施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对工作底稿、踏勘记录、询价记录、对账记录等过程资料有严格的质量要求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针对有可能出现的问题及时响应并提出应急处理方案，操作性强。</w:t>
            </w:r>
          </w:p>
          <w:p w14:paraId="488642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sz w:val="21"/>
                <w:szCs w:val="21"/>
                <w:highlight w:val="none"/>
              </w:rPr>
              <w:t>不提供</w:t>
            </w:r>
            <w:r>
              <w:rPr>
                <w:rFonts w:hint="eastAsia" w:ascii="宋体" w:hAnsi="宋体" w:eastAsia="宋体" w:cs="宋体"/>
                <w:bCs/>
                <w:color w:val="auto"/>
                <w:sz w:val="21"/>
                <w:szCs w:val="21"/>
                <w:highlight w:val="none"/>
                <w:lang w:val="en-US" w:eastAsia="zh-CN"/>
              </w:rPr>
              <w:t>或者未达一档</w:t>
            </w:r>
            <w:r>
              <w:rPr>
                <w:rFonts w:hint="eastAsia" w:ascii="宋体" w:hAnsi="宋体" w:eastAsia="宋体" w:cs="宋体"/>
                <w:bCs/>
                <w:color w:val="auto"/>
                <w:sz w:val="21"/>
                <w:szCs w:val="21"/>
                <w:highlight w:val="none"/>
              </w:rPr>
              <w:t>的不得分。</w:t>
            </w:r>
          </w:p>
        </w:tc>
        <w:tc>
          <w:tcPr>
            <w:tcW w:w="762" w:type="pct"/>
            <w:vAlign w:val="center"/>
          </w:tcPr>
          <w:p w14:paraId="3DEFBE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w:t>
            </w:r>
          </w:p>
        </w:tc>
      </w:tr>
      <w:tr w14:paraId="5E53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14:paraId="4D506E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p>
        </w:tc>
        <w:tc>
          <w:tcPr>
            <w:tcW w:w="703" w:type="pct"/>
            <w:vAlign w:val="center"/>
          </w:tcPr>
          <w:p w14:paraId="4DFB7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项目实施计划与</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p>
        </w:tc>
        <w:tc>
          <w:tcPr>
            <w:tcW w:w="3074" w:type="pct"/>
            <w:vAlign w:val="center"/>
          </w:tcPr>
          <w:p w14:paraId="04735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一档（</w:t>
            </w:r>
            <w:r>
              <w:rPr>
                <w:rFonts w:hint="eastAsia" w:ascii="宋体" w:hAnsi="宋体" w:eastAsia="宋体" w:cs="宋体"/>
                <w:bCs/>
                <w:color w:val="auto"/>
                <w:sz w:val="21"/>
                <w:szCs w:val="21"/>
                <w:highlight w:val="none"/>
                <w:lang w:val="en-US" w:eastAsia="zh-CN"/>
              </w:rPr>
              <w:t>8分</w:t>
            </w:r>
            <w:r>
              <w:rPr>
                <w:rFonts w:hint="eastAsia" w:ascii="宋体" w:hAnsi="宋体" w:eastAsia="宋体" w:cs="宋体"/>
                <w:bCs/>
                <w:color w:val="auto"/>
                <w:sz w:val="21"/>
                <w:szCs w:val="21"/>
                <w:highlight w:val="none"/>
                <w:lang w:eastAsia="zh-CN"/>
              </w:rPr>
              <w:t>）：提供了简单的</w:t>
            </w:r>
            <w:r>
              <w:rPr>
                <w:rFonts w:hint="eastAsia" w:ascii="宋体" w:hAnsi="宋体" w:eastAsia="宋体" w:cs="宋体"/>
                <w:bCs/>
                <w:color w:val="auto"/>
                <w:sz w:val="21"/>
                <w:szCs w:val="21"/>
                <w:highlight w:val="none"/>
              </w:rPr>
              <w:t>实施计划与</w:t>
            </w:r>
            <w:r>
              <w:rPr>
                <w:rFonts w:hint="eastAsia" w:ascii="宋体" w:hAnsi="宋体" w:eastAsia="宋体" w:cs="宋体"/>
                <w:bCs/>
                <w:color w:val="auto"/>
                <w:sz w:val="21"/>
                <w:szCs w:val="21"/>
                <w:highlight w:val="none"/>
                <w:lang w:val="en-US" w:eastAsia="zh-CN"/>
              </w:rPr>
              <w:t>保证</w:t>
            </w:r>
            <w:r>
              <w:rPr>
                <w:rFonts w:hint="eastAsia" w:ascii="宋体" w:hAnsi="宋体" w:eastAsia="宋体" w:cs="宋体"/>
                <w:bCs/>
                <w:color w:val="auto"/>
                <w:sz w:val="21"/>
                <w:szCs w:val="21"/>
                <w:highlight w:val="none"/>
              </w:rPr>
              <w:t>措施</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制定项目评审时间计划，</w:t>
            </w:r>
            <w:r>
              <w:rPr>
                <w:rFonts w:hint="eastAsia" w:ascii="宋体" w:hAnsi="宋体" w:eastAsia="宋体" w:cs="宋体"/>
                <w:bCs/>
                <w:color w:val="auto"/>
                <w:sz w:val="21"/>
                <w:szCs w:val="21"/>
                <w:highlight w:val="none"/>
              </w:rPr>
              <w:t>基本能在约定时间内完成项目</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；基本满足项目需求。</w:t>
            </w:r>
          </w:p>
          <w:p w14:paraId="1C938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二</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一档的基础上，</w:t>
            </w:r>
            <w:r>
              <w:rPr>
                <w:rFonts w:hint="eastAsia" w:ascii="宋体" w:hAnsi="宋体" w:eastAsia="宋体" w:cs="宋体"/>
                <w:bCs/>
                <w:color w:val="auto"/>
                <w:sz w:val="21"/>
                <w:szCs w:val="21"/>
                <w:highlight w:val="none"/>
              </w:rPr>
              <w:t>有项目实施计划与时间管控措施，</w:t>
            </w:r>
            <w:r>
              <w:rPr>
                <w:rFonts w:hint="eastAsia" w:ascii="宋体" w:hAnsi="宋体" w:eastAsia="宋体" w:cs="宋体"/>
                <w:color w:val="auto"/>
                <w:sz w:val="21"/>
                <w:szCs w:val="21"/>
                <w:highlight w:val="none"/>
              </w:rPr>
              <w:t>制定项目评审时间计划，时间管控节点</w:t>
            </w:r>
            <w:r>
              <w:rPr>
                <w:rFonts w:hint="eastAsia" w:ascii="宋体" w:hAnsi="宋体" w:eastAsia="宋体" w:cs="宋体"/>
                <w:bCs/>
                <w:color w:val="auto"/>
                <w:sz w:val="21"/>
                <w:szCs w:val="21"/>
                <w:highlight w:val="none"/>
              </w:rPr>
              <w:t>，能在约定时间内完成项目</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；满足项目需求。</w:t>
            </w:r>
          </w:p>
          <w:p w14:paraId="1D124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二</w:t>
            </w:r>
            <w:r>
              <w:rPr>
                <w:rFonts w:hint="eastAsia" w:ascii="宋体" w:hAnsi="宋体" w:eastAsia="宋体" w:cs="宋体"/>
                <w:bCs/>
                <w:color w:val="auto"/>
                <w:sz w:val="21"/>
                <w:szCs w:val="21"/>
                <w:highlight w:val="none"/>
              </w:rPr>
              <w:t>档的基础上，计划和措施能细化到评审服务各阶段，</w:t>
            </w:r>
            <w:r>
              <w:rPr>
                <w:rFonts w:hint="eastAsia" w:ascii="宋体" w:hAnsi="宋体" w:eastAsia="宋体" w:cs="宋体"/>
                <w:color w:val="auto"/>
                <w:sz w:val="21"/>
                <w:szCs w:val="21"/>
                <w:highlight w:val="none"/>
              </w:rPr>
              <w:t>具有评审紧急项目的措施，进度监控与调整的措施。</w:t>
            </w:r>
            <w:r>
              <w:rPr>
                <w:rFonts w:hint="eastAsia" w:ascii="宋体" w:hAnsi="宋体" w:eastAsia="宋体" w:cs="宋体"/>
                <w:bCs/>
                <w:color w:val="auto"/>
                <w:sz w:val="21"/>
                <w:szCs w:val="21"/>
                <w:highlight w:val="none"/>
              </w:rPr>
              <w:t>能按采购人各阶段的时限要求完成评审任务；</w:t>
            </w:r>
          </w:p>
          <w:p w14:paraId="74AC4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分）：满足</w:t>
            </w: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档的基础上，项目实施计划</w:t>
            </w:r>
            <w:r>
              <w:rPr>
                <w:rFonts w:hint="eastAsia" w:ascii="宋体" w:hAnsi="宋体" w:eastAsia="宋体" w:cs="宋体"/>
                <w:bCs/>
                <w:color w:val="auto"/>
                <w:sz w:val="21"/>
                <w:szCs w:val="21"/>
                <w:highlight w:val="none"/>
                <w:lang w:eastAsia="zh-CN"/>
              </w:rPr>
              <w:t>有针对性</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具有评审紧急项目的措施，进度监控与调整的措施。</w:t>
            </w:r>
            <w:r>
              <w:rPr>
                <w:rFonts w:hint="eastAsia" w:ascii="宋体" w:hAnsi="宋体" w:eastAsia="宋体" w:cs="宋体"/>
                <w:bCs/>
                <w:color w:val="auto"/>
                <w:sz w:val="21"/>
                <w:szCs w:val="21"/>
                <w:highlight w:val="none"/>
              </w:rPr>
              <w:t>在限时办结的基础上有能力、有措施保障加急项目提前保质完成</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w:t>
            </w:r>
          </w:p>
          <w:p w14:paraId="677C0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Cs/>
                <w:color w:val="auto"/>
                <w:sz w:val="21"/>
                <w:szCs w:val="21"/>
                <w:highlight w:val="none"/>
              </w:rPr>
              <w:t>不提供</w:t>
            </w:r>
            <w:r>
              <w:rPr>
                <w:rFonts w:hint="eastAsia" w:ascii="宋体" w:hAnsi="宋体" w:eastAsia="宋体" w:cs="宋体"/>
                <w:bCs/>
                <w:color w:val="auto"/>
                <w:sz w:val="21"/>
                <w:szCs w:val="21"/>
                <w:highlight w:val="none"/>
                <w:lang w:val="en-US" w:eastAsia="zh-CN"/>
              </w:rPr>
              <w:t>或者未达一档</w:t>
            </w:r>
            <w:r>
              <w:rPr>
                <w:rFonts w:hint="eastAsia" w:ascii="宋体" w:hAnsi="宋体" w:eastAsia="宋体" w:cs="宋体"/>
                <w:bCs/>
                <w:color w:val="auto"/>
                <w:sz w:val="21"/>
                <w:szCs w:val="21"/>
                <w:highlight w:val="none"/>
              </w:rPr>
              <w:t>的不得分。</w:t>
            </w:r>
          </w:p>
        </w:tc>
        <w:tc>
          <w:tcPr>
            <w:tcW w:w="762" w:type="pct"/>
            <w:vAlign w:val="center"/>
          </w:tcPr>
          <w:p w14:paraId="59D39B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w:t>
            </w:r>
          </w:p>
        </w:tc>
      </w:tr>
      <w:tr w14:paraId="1B8E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14:paraId="54959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w:t>
            </w:r>
          </w:p>
        </w:tc>
        <w:tc>
          <w:tcPr>
            <w:tcW w:w="703" w:type="pct"/>
            <w:vAlign w:val="center"/>
          </w:tcPr>
          <w:p w14:paraId="36E68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廉洁措施</w:t>
            </w:r>
          </w:p>
        </w:tc>
        <w:tc>
          <w:tcPr>
            <w:tcW w:w="3074" w:type="pct"/>
            <w:vAlign w:val="center"/>
          </w:tcPr>
          <w:p w14:paraId="40CE6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一档（</w:t>
            </w:r>
            <w:r>
              <w:rPr>
                <w:rFonts w:hint="eastAsia" w:ascii="宋体" w:hAnsi="宋体" w:eastAsia="宋体" w:cs="宋体"/>
                <w:bCs/>
                <w:color w:val="auto"/>
                <w:sz w:val="21"/>
                <w:szCs w:val="21"/>
                <w:highlight w:val="none"/>
                <w:lang w:val="en-US" w:eastAsia="zh-CN"/>
              </w:rPr>
              <w:t>4分</w:t>
            </w:r>
            <w:r>
              <w:rPr>
                <w:rFonts w:hint="eastAsia" w:ascii="宋体" w:hAnsi="宋体" w:eastAsia="宋体" w:cs="宋体"/>
                <w:bCs/>
                <w:color w:val="auto"/>
                <w:sz w:val="21"/>
                <w:szCs w:val="21"/>
                <w:highlight w:val="none"/>
                <w:lang w:eastAsia="zh-CN"/>
              </w:rPr>
              <w:t>）：提供了简单的廉洁措施，</w:t>
            </w:r>
            <w:r>
              <w:rPr>
                <w:rFonts w:hint="eastAsia" w:ascii="宋体" w:hAnsi="宋体" w:eastAsia="宋体" w:cs="宋体"/>
                <w:bCs/>
                <w:color w:val="auto"/>
                <w:sz w:val="21"/>
                <w:szCs w:val="21"/>
                <w:highlight w:val="none"/>
              </w:rPr>
              <w:t>有廉洁风险防范内控制度</w:t>
            </w:r>
            <w:r>
              <w:rPr>
                <w:rFonts w:hint="eastAsia" w:ascii="宋体" w:hAnsi="宋体" w:eastAsia="宋体" w:cs="宋体"/>
                <w:bCs/>
                <w:color w:val="auto"/>
                <w:sz w:val="21"/>
                <w:szCs w:val="21"/>
                <w:highlight w:val="none"/>
                <w:lang w:eastAsia="zh-CN"/>
              </w:rPr>
              <w:t>。</w:t>
            </w:r>
          </w:p>
          <w:p w14:paraId="3C7066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分）：满足一档的基础上，提供的廉洁措施，</w:t>
            </w:r>
            <w:r>
              <w:rPr>
                <w:rFonts w:hint="eastAsia"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rPr>
              <w:t>廉洁风险防范内控制度</w:t>
            </w:r>
            <w:r>
              <w:rPr>
                <w:rFonts w:hint="eastAsia" w:ascii="宋体" w:hAnsi="宋体" w:eastAsia="宋体" w:cs="宋体"/>
                <w:bCs/>
                <w:color w:val="auto"/>
                <w:sz w:val="21"/>
                <w:szCs w:val="21"/>
                <w:highlight w:val="none"/>
                <w:lang w:val="en-US" w:eastAsia="zh-CN"/>
              </w:rPr>
              <w:t>和</w:t>
            </w:r>
            <w:r>
              <w:rPr>
                <w:rFonts w:hint="eastAsia" w:ascii="宋体" w:hAnsi="宋体" w:eastAsia="宋体" w:cs="宋体"/>
                <w:color w:val="auto"/>
                <w:sz w:val="21"/>
                <w:szCs w:val="21"/>
                <w:highlight w:val="none"/>
              </w:rPr>
              <w:t>专职的廉洁监督员</w:t>
            </w:r>
            <w:r>
              <w:rPr>
                <w:rFonts w:hint="eastAsia" w:ascii="宋体" w:hAnsi="宋体" w:eastAsia="宋体" w:cs="宋体"/>
                <w:bCs/>
                <w:color w:val="auto"/>
                <w:sz w:val="21"/>
                <w:szCs w:val="21"/>
                <w:highlight w:val="none"/>
              </w:rPr>
              <w:t>，能基本满足项目需求。</w:t>
            </w:r>
          </w:p>
          <w:p w14:paraId="78E4A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三</w:t>
            </w:r>
            <w:r>
              <w:rPr>
                <w:rFonts w:hint="eastAsia" w:ascii="宋体" w:hAnsi="宋体" w:eastAsia="宋体" w:cs="宋体"/>
                <w:bCs/>
                <w:color w:val="auto"/>
                <w:sz w:val="21"/>
                <w:szCs w:val="21"/>
                <w:highlight w:val="none"/>
              </w:rPr>
              <w:t>档（</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分）：满足二档的基础上，</w:t>
            </w:r>
            <w:r>
              <w:rPr>
                <w:rFonts w:hint="eastAsia" w:ascii="宋体" w:hAnsi="宋体" w:eastAsia="宋体" w:cs="宋体"/>
                <w:color w:val="auto"/>
                <w:sz w:val="21"/>
                <w:szCs w:val="21"/>
                <w:highlight w:val="none"/>
              </w:rPr>
              <w:t>廉洁从业制度基本健全</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监管到位，有专职的廉洁监督员，风险防控措施能具体到所有岗位</w:t>
            </w:r>
            <w:r>
              <w:rPr>
                <w:rFonts w:hint="eastAsia" w:ascii="宋体" w:hAnsi="宋体" w:eastAsia="宋体" w:cs="宋体"/>
                <w:bCs/>
                <w:color w:val="auto"/>
                <w:sz w:val="21"/>
                <w:szCs w:val="21"/>
                <w:highlight w:val="none"/>
              </w:rPr>
              <w:t>。</w:t>
            </w:r>
          </w:p>
          <w:p w14:paraId="17506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档（10分）：满足</w:t>
            </w:r>
            <w:r>
              <w:rPr>
                <w:rFonts w:hint="eastAsia" w:ascii="宋体" w:hAnsi="宋体" w:eastAsia="宋体" w:cs="宋体"/>
                <w:bCs/>
                <w:color w:val="auto"/>
                <w:sz w:val="21"/>
                <w:szCs w:val="21"/>
                <w:highlight w:val="none"/>
                <w:lang w:eastAsia="zh-CN"/>
              </w:rPr>
              <w:t>四</w:t>
            </w:r>
            <w:r>
              <w:rPr>
                <w:rFonts w:hint="eastAsia" w:ascii="宋体" w:hAnsi="宋体" w:eastAsia="宋体" w:cs="宋体"/>
                <w:bCs/>
                <w:color w:val="auto"/>
                <w:sz w:val="21"/>
                <w:szCs w:val="21"/>
                <w:highlight w:val="none"/>
              </w:rPr>
              <w:t>档的基础上，有内部的廉洁自律规范准则、监督和处罚机制办法等，廉洁风险防范的内控制度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措施</w:t>
            </w:r>
            <w:r>
              <w:rPr>
                <w:rFonts w:hint="eastAsia" w:ascii="宋体" w:hAnsi="宋体" w:eastAsia="宋体" w:cs="宋体"/>
                <w:bCs/>
                <w:color w:val="auto"/>
                <w:sz w:val="21"/>
                <w:szCs w:val="21"/>
                <w:highlight w:val="none"/>
                <w:lang w:eastAsia="zh-CN"/>
              </w:rPr>
              <w:t>针对性</w:t>
            </w:r>
            <w:r>
              <w:rPr>
                <w:rFonts w:hint="eastAsia" w:ascii="宋体" w:hAnsi="宋体" w:eastAsia="宋体" w:cs="宋体"/>
                <w:bCs/>
                <w:color w:val="auto"/>
                <w:sz w:val="21"/>
                <w:szCs w:val="21"/>
                <w:highlight w:val="none"/>
              </w:rPr>
              <w:t>强；能很好规范和防范</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过程中的廉洁风险。</w:t>
            </w:r>
            <w:r>
              <w:rPr>
                <w:rFonts w:hint="eastAsia" w:ascii="宋体" w:hAnsi="宋体" w:eastAsia="宋体" w:cs="宋体"/>
                <w:color w:val="auto"/>
                <w:sz w:val="21"/>
                <w:szCs w:val="21"/>
                <w:highlight w:val="none"/>
              </w:rPr>
              <w:t>开展廉洁文化建设，有相应的廉洁从业教育与宣传；廉洁措施充分考虑项目评审实际情况和业务需求。</w:t>
            </w:r>
          </w:p>
          <w:p w14:paraId="5F4B2D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注：不提供</w:t>
            </w:r>
            <w:r>
              <w:rPr>
                <w:rFonts w:hint="eastAsia" w:ascii="宋体" w:hAnsi="宋体" w:eastAsia="宋体" w:cs="宋体"/>
                <w:bCs/>
                <w:color w:val="auto"/>
                <w:sz w:val="21"/>
                <w:szCs w:val="21"/>
                <w:highlight w:val="none"/>
                <w:lang w:val="en-US" w:eastAsia="zh-CN"/>
              </w:rPr>
              <w:t>或者未达一档</w:t>
            </w:r>
            <w:r>
              <w:rPr>
                <w:rFonts w:hint="eastAsia" w:ascii="宋体" w:hAnsi="宋体" w:eastAsia="宋体" w:cs="宋体"/>
                <w:bCs/>
                <w:color w:val="auto"/>
                <w:sz w:val="21"/>
                <w:szCs w:val="21"/>
                <w:highlight w:val="none"/>
              </w:rPr>
              <w:t>的不得分。</w:t>
            </w:r>
          </w:p>
        </w:tc>
        <w:tc>
          <w:tcPr>
            <w:tcW w:w="762" w:type="pct"/>
            <w:vAlign w:val="center"/>
          </w:tcPr>
          <w:p w14:paraId="3633A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14:paraId="7E04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9" w:type="pct"/>
            <w:vAlign w:val="center"/>
          </w:tcPr>
          <w:p w14:paraId="0F647F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703" w:type="pct"/>
            <w:vAlign w:val="center"/>
          </w:tcPr>
          <w:p w14:paraId="7FF1D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3074" w:type="pct"/>
            <w:vAlign w:val="center"/>
          </w:tcPr>
          <w:p w14:paraId="7FA48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p>
        </w:tc>
        <w:tc>
          <w:tcPr>
            <w:tcW w:w="762" w:type="pct"/>
            <w:vAlign w:val="center"/>
          </w:tcPr>
          <w:p w14:paraId="3C0A2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分</w:t>
            </w:r>
          </w:p>
        </w:tc>
      </w:tr>
      <w:tr w14:paraId="4F25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459" w:type="pct"/>
            <w:vAlign w:val="center"/>
          </w:tcPr>
          <w:p w14:paraId="67AC2D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p>
        </w:tc>
        <w:tc>
          <w:tcPr>
            <w:tcW w:w="703" w:type="pct"/>
            <w:vAlign w:val="center"/>
          </w:tcPr>
          <w:p w14:paraId="6579D2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人员配备</w:t>
            </w:r>
          </w:p>
        </w:tc>
        <w:tc>
          <w:tcPr>
            <w:tcW w:w="3074" w:type="pct"/>
            <w:vAlign w:val="center"/>
          </w:tcPr>
          <w:p w14:paraId="1CB86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采购需求中拟投入人员要求：</w:t>
            </w:r>
          </w:p>
          <w:p w14:paraId="317EC359">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宋体" w:hAnsi="宋体" w:eastAsia="宋体" w:cs="宋体"/>
                <w:b w:val="0"/>
                <w:bCs w:val="0"/>
                <w:color w:val="auto"/>
                <w:spacing w:val="0"/>
                <w:kern w:val="2"/>
                <w:sz w:val="21"/>
                <w:szCs w:val="21"/>
                <w:highlight w:val="none"/>
                <w:lang w:val="en-US" w:eastAsia="zh-CN" w:bidi="ar-SA"/>
              </w:rPr>
              <w:t>项目总负责人：</w:t>
            </w:r>
            <w:r>
              <w:rPr>
                <w:rFonts w:hint="eastAsia"/>
                <w:color w:val="auto"/>
                <w:highlight w:val="none"/>
                <w:vertAlign w:val="baseline"/>
                <w:lang w:val="en-US" w:eastAsia="zh-CN"/>
              </w:rPr>
              <w:t>1人，具有</w:t>
            </w:r>
            <w:r>
              <w:rPr>
                <w:rFonts w:hint="eastAsia" w:ascii="宋体" w:hAnsi="宋体" w:eastAsia="宋体" w:cs="宋体"/>
                <w:b w:val="0"/>
                <w:bCs w:val="0"/>
                <w:color w:val="auto"/>
                <w:spacing w:val="0"/>
                <w:kern w:val="2"/>
                <w:sz w:val="21"/>
                <w:szCs w:val="21"/>
                <w:highlight w:val="none"/>
                <w:lang w:val="en-US" w:eastAsia="zh-CN" w:bidi="ar-SA"/>
              </w:rPr>
              <w:t>注册会计师证书，从事会计、审计服务专业工作不少于五年。</w:t>
            </w:r>
            <w:r>
              <w:rPr>
                <w:rFonts w:hint="eastAsia" w:asciiTheme="minorEastAsia" w:hAnsiTheme="minorEastAsia" w:cstheme="minorEastAsia"/>
                <w:color w:val="auto"/>
                <w:szCs w:val="21"/>
                <w:highlight w:val="none"/>
                <w:lang w:val="zh-CN"/>
              </w:rPr>
              <w:t>注：从事会计或审计专业工作年限以</w:t>
            </w:r>
            <w:r>
              <w:rPr>
                <w:rFonts w:hint="eastAsia" w:asciiTheme="minorEastAsia" w:hAnsiTheme="minorEastAsia" w:cstheme="minorEastAsia"/>
                <w:b/>
                <w:bCs/>
                <w:color w:val="auto"/>
                <w:szCs w:val="21"/>
                <w:highlight w:val="none"/>
                <w:lang w:val="zh-CN"/>
              </w:rPr>
              <w:t>注册会计师证书上发证日期</w:t>
            </w:r>
            <w:r>
              <w:rPr>
                <w:rFonts w:hint="eastAsia" w:asciiTheme="minorEastAsia" w:hAnsiTheme="minorEastAsia" w:cstheme="minorEastAsia"/>
                <w:color w:val="auto"/>
                <w:szCs w:val="21"/>
                <w:highlight w:val="none"/>
                <w:lang w:val="zh-CN"/>
              </w:rPr>
              <w:t>为准，须提供注册会计师注册证书、执业印章等相关材料扫描件。</w:t>
            </w:r>
          </w:p>
          <w:p w14:paraId="4DD59F27">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其他人员</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不含项目总负责人）</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至少 6 人：其中注册会计师至少 2人，</w:t>
            </w:r>
            <w:r>
              <w:rPr>
                <w:rFonts w:hint="eastAsia" w:asciiTheme="minorEastAsia" w:hAnsiTheme="minorEastAsia" w:eastAsiaTheme="minorEastAsia" w:cstheme="minorEastAsia"/>
                <w:color w:val="auto"/>
                <w:sz w:val="21"/>
                <w:szCs w:val="21"/>
                <w:highlight w:val="none"/>
                <w:lang w:val="en-US" w:eastAsia="zh-CN"/>
              </w:rPr>
              <w:t>中级</w:t>
            </w:r>
            <w:r>
              <w:rPr>
                <w:rFonts w:hint="eastAsia" w:asciiTheme="minorEastAsia" w:hAnsiTheme="minorEastAsia" w:cstheme="minorEastAsia"/>
                <w:color w:val="auto"/>
                <w:sz w:val="21"/>
                <w:szCs w:val="21"/>
                <w:highlight w:val="none"/>
                <w:lang w:val="en-US" w:eastAsia="zh-CN"/>
              </w:rPr>
              <w:t>及以上</w:t>
            </w:r>
            <w:r>
              <w:rPr>
                <w:rFonts w:hint="eastAsia" w:asciiTheme="minorEastAsia" w:hAnsiTheme="minorEastAsia" w:eastAsiaTheme="minorEastAsia" w:cstheme="minorEastAsia"/>
                <w:color w:val="auto"/>
                <w:sz w:val="21"/>
                <w:szCs w:val="21"/>
                <w:highlight w:val="none"/>
              </w:rPr>
              <w:t>会计师</w:t>
            </w:r>
            <w:r>
              <w:rPr>
                <w:rFonts w:hint="eastAsia" w:asciiTheme="minorEastAsia" w:hAnsiTheme="minorEastAsia" w:cstheme="minorEastAsia"/>
                <w:color w:val="auto"/>
                <w:sz w:val="21"/>
                <w:szCs w:val="21"/>
                <w:highlight w:val="none"/>
                <w:lang w:val="en-US" w:eastAsia="zh-CN"/>
              </w:rPr>
              <w:t>职称</w:t>
            </w:r>
            <w:r>
              <w:rPr>
                <w:rFonts w:hint="eastAsia" w:asciiTheme="minorEastAsia" w:hAnsiTheme="minorEastAsia" w:eastAsiaTheme="minorEastAsia" w:cstheme="minorEastAsia"/>
                <w:color w:val="auto"/>
                <w:sz w:val="21"/>
                <w:szCs w:val="21"/>
                <w:highlight w:val="none"/>
              </w:rPr>
              <w:t>至少 2 人，</w:t>
            </w:r>
            <w:r>
              <w:rPr>
                <w:rFonts w:hint="eastAsia" w:asciiTheme="minorEastAsia" w:hAnsiTheme="minorEastAsia" w:eastAsiaTheme="minorEastAsia" w:cstheme="minorEastAsia"/>
                <w:color w:val="auto"/>
                <w:sz w:val="21"/>
                <w:szCs w:val="21"/>
                <w:highlight w:val="none"/>
                <w:lang w:val="en-US" w:eastAsia="zh-CN"/>
              </w:rPr>
              <w:t>初级</w:t>
            </w:r>
            <w:r>
              <w:rPr>
                <w:rFonts w:hint="eastAsia" w:asciiTheme="minorEastAsia" w:hAnsiTheme="minorEastAsia" w:eastAsiaTheme="minorEastAsia" w:cstheme="minorEastAsia"/>
                <w:color w:val="auto"/>
                <w:sz w:val="21"/>
                <w:szCs w:val="21"/>
                <w:highlight w:val="none"/>
              </w:rPr>
              <w:t>会计师</w:t>
            </w:r>
            <w:r>
              <w:rPr>
                <w:rFonts w:hint="eastAsia" w:asciiTheme="minorEastAsia" w:hAnsiTheme="minorEastAsia" w:cstheme="minorEastAsia"/>
                <w:color w:val="auto"/>
                <w:sz w:val="21"/>
                <w:szCs w:val="21"/>
                <w:highlight w:val="none"/>
                <w:lang w:val="en-US" w:eastAsia="zh-CN"/>
              </w:rPr>
              <w:t>职称</w:t>
            </w:r>
            <w:r>
              <w:rPr>
                <w:rFonts w:hint="eastAsia" w:asciiTheme="minorEastAsia" w:hAnsiTheme="minorEastAsia" w:eastAsiaTheme="minorEastAsia" w:cstheme="minorEastAsia"/>
                <w:color w:val="auto"/>
                <w:sz w:val="21"/>
                <w:szCs w:val="21"/>
                <w:highlight w:val="none"/>
              </w:rPr>
              <w:t>至少 2人。</w:t>
            </w:r>
            <w:r>
              <w:rPr>
                <w:rFonts w:hint="eastAsia" w:asciiTheme="minorEastAsia" w:hAnsiTheme="minorEastAsia" w:eastAsiaTheme="minorEastAsia" w:cstheme="minorEastAsia"/>
                <w:color w:val="auto"/>
                <w:sz w:val="21"/>
                <w:szCs w:val="21"/>
                <w:highlight w:val="none"/>
                <w:lang w:val="zh-CN"/>
              </w:rPr>
              <w:t>须提供注册会计师注册证书</w:t>
            </w:r>
            <w:r>
              <w:rPr>
                <w:rFonts w:hint="eastAsia" w:asciiTheme="minorEastAsia" w:hAnsiTheme="minorEastAsia" w:cstheme="minorEastAsia"/>
                <w:color w:val="auto"/>
                <w:sz w:val="21"/>
                <w:szCs w:val="21"/>
                <w:highlight w:val="none"/>
                <w:lang w:val="zh-CN"/>
              </w:rPr>
              <w:t>（</w:t>
            </w:r>
            <w:r>
              <w:rPr>
                <w:rFonts w:hint="eastAsia" w:asciiTheme="minorEastAsia" w:hAnsiTheme="minorEastAsia" w:cstheme="minorEastAsia"/>
                <w:color w:val="auto"/>
                <w:sz w:val="21"/>
                <w:szCs w:val="21"/>
                <w:highlight w:val="none"/>
                <w:lang w:val="en-US" w:eastAsia="zh-CN"/>
              </w:rPr>
              <w:t>或职称证书）</w:t>
            </w:r>
            <w:r>
              <w:rPr>
                <w:rFonts w:hint="eastAsia" w:asciiTheme="minorEastAsia" w:hAnsiTheme="minorEastAsia" w:eastAsiaTheme="minorEastAsia" w:cstheme="minorEastAsia"/>
                <w:color w:val="auto"/>
                <w:sz w:val="21"/>
                <w:szCs w:val="21"/>
                <w:highlight w:val="none"/>
                <w:lang w:val="zh-CN"/>
              </w:rPr>
              <w:t>等相关材料</w:t>
            </w:r>
            <w:r>
              <w:rPr>
                <w:rFonts w:hint="eastAsia" w:asciiTheme="minorEastAsia" w:hAnsiTheme="minorEastAsia" w:cstheme="minorEastAsia"/>
                <w:color w:val="auto"/>
                <w:sz w:val="21"/>
                <w:szCs w:val="21"/>
                <w:highlight w:val="none"/>
                <w:lang w:val="en-US" w:eastAsia="zh-CN"/>
              </w:rPr>
              <w:t>扫描</w:t>
            </w:r>
            <w:r>
              <w:rPr>
                <w:rFonts w:hint="eastAsia" w:asciiTheme="minorEastAsia" w:hAnsiTheme="minorEastAsia" w:eastAsiaTheme="minorEastAsia" w:cstheme="minorEastAsia"/>
                <w:color w:val="auto"/>
                <w:sz w:val="21"/>
                <w:szCs w:val="21"/>
                <w:highlight w:val="none"/>
                <w:lang w:val="zh-CN"/>
              </w:rPr>
              <w:t>件。</w:t>
            </w:r>
          </w:p>
          <w:p w14:paraId="275A3768">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color w:val="auto"/>
                <w:sz w:val="21"/>
                <w:szCs w:val="21"/>
                <w:highlight w:val="none"/>
                <w:lang w:val="zh-CN"/>
              </w:rPr>
            </w:pPr>
            <w:r>
              <w:rPr>
                <w:rFonts w:hint="eastAsia" w:ascii="宋体" w:hAnsi="宋体" w:eastAsia="宋体" w:cs="宋体"/>
                <w:b/>
                <w:bCs/>
                <w:color w:val="auto"/>
                <w:spacing w:val="0"/>
                <w:sz w:val="21"/>
                <w:szCs w:val="21"/>
                <w:highlight w:val="none"/>
              </w:rPr>
              <w:t>固定联系</w:t>
            </w:r>
            <w:r>
              <w:rPr>
                <w:rFonts w:hint="eastAsia" w:ascii="宋体" w:hAnsi="宋体" w:eastAsia="宋体" w:cs="宋体"/>
                <w:color w:val="auto"/>
                <w:spacing w:val="0"/>
                <w:sz w:val="21"/>
                <w:szCs w:val="21"/>
                <w:highlight w:val="none"/>
              </w:rPr>
              <w:t>人员：至少 1 人，年龄 60 周岁以下，能胜任审核工作，具有初级及以上会计师职称</w:t>
            </w:r>
            <w:r>
              <w:rPr>
                <w:rFonts w:hint="eastAsia" w:ascii="宋体" w:hAnsi="宋体" w:eastAsia="宋体" w:cs="宋体"/>
                <w:b/>
                <w:bCs/>
                <w:color w:val="auto"/>
                <w:spacing w:val="0"/>
                <w:sz w:val="21"/>
                <w:szCs w:val="21"/>
                <w:highlight w:val="none"/>
              </w:rPr>
              <w:t>，根据需审核的项目（采购人）的需求可以外派、驻地（如有需要）。</w:t>
            </w:r>
          </w:p>
          <w:p w14:paraId="63D45524">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评分标准：</w:t>
            </w:r>
          </w:p>
          <w:p w14:paraId="1AA8F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en-US" w:eastAsia="zh-CN"/>
              </w:rPr>
              <w:t>一、项目总负责人（满分7分）：满足以上</w:t>
            </w:r>
            <w:r>
              <w:rPr>
                <w:rFonts w:hint="eastAsia" w:asciiTheme="minorEastAsia" w:hAnsiTheme="minorEastAsia" w:eastAsiaTheme="minorEastAsia" w:cstheme="minorEastAsia"/>
                <w:color w:val="auto"/>
                <w:sz w:val="21"/>
                <w:szCs w:val="21"/>
                <w:highlight w:val="none"/>
                <w:lang w:val="en-US" w:eastAsia="zh-CN"/>
              </w:rPr>
              <w:t>要求之外，</w:t>
            </w: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项目</w:t>
            </w:r>
            <w:r>
              <w:rPr>
                <w:rFonts w:hint="eastAsia" w:asciiTheme="minorEastAsia" w:hAnsiTheme="minorEastAsia" w:eastAsiaTheme="minorEastAsia" w:cstheme="minorEastAsia"/>
                <w:color w:val="auto"/>
                <w:sz w:val="21"/>
                <w:szCs w:val="21"/>
                <w:highlight w:val="none"/>
                <w:lang w:val="zh-CN"/>
              </w:rPr>
              <w:t>总负责人</w:t>
            </w:r>
            <w:r>
              <w:rPr>
                <w:rFonts w:hint="eastAsia" w:ascii="宋体" w:hAnsi="宋体" w:eastAsia="宋体" w:cs="宋体"/>
                <w:b w:val="0"/>
                <w:bCs w:val="0"/>
                <w:color w:val="auto"/>
                <w:spacing w:val="0"/>
                <w:kern w:val="2"/>
                <w:sz w:val="21"/>
                <w:szCs w:val="21"/>
                <w:highlight w:val="none"/>
                <w:lang w:val="en-US" w:eastAsia="zh-CN" w:bidi="ar-SA"/>
              </w:rPr>
              <w:t>从事会计、审计服务专业工作</w:t>
            </w:r>
            <w:r>
              <w:rPr>
                <w:rFonts w:hint="eastAsia" w:asciiTheme="minorEastAsia" w:hAnsiTheme="minorEastAsia" w:cstheme="minorEastAsia"/>
                <w:color w:val="auto"/>
                <w:sz w:val="21"/>
                <w:szCs w:val="21"/>
                <w:highlight w:val="none"/>
                <w:lang w:val="en-US" w:eastAsia="zh-CN"/>
              </w:rPr>
              <w:t>年限每增加一年加1分，</w:t>
            </w:r>
            <w:r>
              <w:rPr>
                <w:rFonts w:hint="eastAsia" w:asciiTheme="minorEastAsia" w:hAnsiTheme="minorEastAsia" w:eastAsiaTheme="minorEastAsia" w:cstheme="minorEastAsia"/>
                <w:color w:val="auto"/>
                <w:sz w:val="21"/>
                <w:szCs w:val="21"/>
                <w:highlight w:val="none"/>
                <w:lang w:val="zh-CN"/>
              </w:rPr>
              <w:t>满分5分。</w:t>
            </w:r>
            <w:r>
              <w:rPr>
                <w:rFonts w:hint="eastAsia" w:asciiTheme="minorEastAsia" w:hAnsiTheme="minorEastAsia" w:cstheme="minorEastAsia"/>
                <w:color w:val="auto"/>
                <w:szCs w:val="21"/>
                <w:highlight w:val="none"/>
                <w:lang w:val="zh-CN"/>
              </w:rPr>
              <w:t>注：从事会计或审计专业工作年限以</w:t>
            </w:r>
            <w:r>
              <w:rPr>
                <w:rFonts w:hint="eastAsia" w:asciiTheme="minorEastAsia" w:hAnsiTheme="minorEastAsia" w:cstheme="minorEastAsia"/>
                <w:b/>
                <w:bCs/>
                <w:color w:val="auto"/>
                <w:szCs w:val="21"/>
                <w:highlight w:val="none"/>
                <w:lang w:val="zh-CN"/>
              </w:rPr>
              <w:t>注册会计师证书上发证日期</w:t>
            </w:r>
            <w:r>
              <w:rPr>
                <w:rFonts w:hint="eastAsia" w:asciiTheme="minorEastAsia" w:hAnsiTheme="minorEastAsia" w:cstheme="minorEastAsia"/>
                <w:color w:val="auto"/>
                <w:szCs w:val="21"/>
                <w:highlight w:val="none"/>
                <w:lang w:val="zh-CN"/>
              </w:rPr>
              <w:t>为准，须提供注册会计师注册证书、</w:t>
            </w:r>
            <w:r>
              <w:rPr>
                <w:rFonts w:hint="eastAsia" w:asciiTheme="minorEastAsia" w:hAnsiTheme="minorEastAsia" w:cstheme="minorEastAsia"/>
                <w:b/>
                <w:bCs/>
                <w:color w:val="auto"/>
                <w:szCs w:val="21"/>
                <w:highlight w:val="none"/>
                <w:lang w:val="zh-CN"/>
              </w:rPr>
              <w:t>执业印章等相关材料扫描件</w:t>
            </w:r>
            <w:r>
              <w:rPr>
                <w:rFonts w:hint="eastAsia" w:asciiTheme="minorEastAsia" w:hAnsiTheme="minorEastAsia" w:cstheme="minorEastAsia"/>
                <w:color w:val="auto"/>
                <w:szCs w:val="21"/>
                <w:highlight w:val="none"/>
                <w:lang w:val="zh-CN"/>
              </w:rPr>
              <w:t>。</w:t>
            </w:r>
          </w:p>
          <w:p w14:paraId="528748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本项目总负责人具有</w:t>
            </w:r>
            <w:r>
              <w:rPr>
                <w:rFonts w:hint="eastAsia" w:asciiTheme="minorEastAsia" w:hAnsiTheme="minorEastAsia" w:cstheme="minorEastAsia"/>
                <w:color w:val="auto"/>
                <w:sz w:val="21"/>
                <w:szCs w:val="21"/>
                <w:highlight w:val="none"/>
                <w:lang w:val="en-US" w:eastAsia="zh-CN"/>
              </w:rPr>
              <w:t>初级会计师职称的得0.5分</w:t>
            </w:r>
            <w:r>
              <w:rPr>
                <w:rFonts w:hint="eastAsia" w:asciiTheme="minorEastAsia" w:hAnsiTheme="minorEastAsia" w:cstheme="minorEastAsia"/>
                <w:color w:val="auto"/>
                <w:sz w:val="21"/>
                <w:szCs w:val="21"/>
                <w:highlight w:val="none"/>
                <w:lang w:val="zh-CN"/>
              </w:rPr>
              <w:t>，</w:t>
            </w:r>
            <w:r>
              <w:rPr>
                <w:rFonts w:hint="eastAsia" w:asciiTheme="minorEastAsia" w:hAnsiTheme="minorEastAsia" w:cstheme="minorEastAsia"/>
                <w:color w:val="auto"/>
                <w:sz w:val="21"/>
                <w:szCs w:val="21"/>
                <w:highlight w:val="none"/>
                <w:lang w:val="en-US" w:eastAsia="zh-CN"/>
              </w:rPr>
              <w:t>具有</w:t>
            </w:r>
            <w:r>
              <w:rPr>
                <w:rFonts w:hint="eastAsia" w:asciiTheme="minorEastAsia" w:hAnsiTheme="minorEastAsia" w:eastAsiaTheme="minorEastAsia" w:cstheme="minorEastAsia"/>
                <w:color w:val="auto"/>
                <w:sz w:val="21"/>
                <w:szCs w:val="21"/>
                <w:highlight w:val="none"/>
                <w:lang w:val="zh-CN"/>
              </w:rPr>
              <w:t>中级</w:t>
            </w:r>
            <w:r>
              <w:rPr>
                <w:rFonts w:hint="eastAsia" w:asciiTheme="minorEastAsia" w:hAnsiTheme="minorEastAsia" w:eastAsiaTheme="minorEastAsia" w:cstheme="minorEastAsia"/>
                <w:color w:val="auto"/>
                <w:sz w:val="21"/>
                <w:szCs w:val="21"/>
                <w:highlight w:val="none"/>
                <w:lang w:val="en-US" w:eastAsia="zh-CN"/>
              </w:rPr>
              <w:t>会计师</w:t>
            </w:r>
            <w:r>
              <w:rPr>
                <w:rFonts w:hint="eastAsia" w:asciiTheme="minorEastAsia" w:hAnsiTheme="minorEastAsia" w:eastAsiaTheme="minorEastAsia" w:cstheme="minorEastAsia"/>
                <w:color w:val="auto"/>
                <w:sz w:val="21"/>
                <w:szCs w:val="21"/>
                <w:highlight w:val="none"/>
                <w:lang w:val="zh-CN"/>
              </w:rPr>
              <w:t>职称的得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分，具有高</w:t>
            </w:r>
            <w:r>
              <w:rPr>
                <w:rFonts w:hint="eastAsia" w:asciiTheme="minorEastAsia" w:hAnsiTheme="minorEastAsia" w:eastAsiaTheme="minorEastAsia" w:cstheme="minorEastAsia"/>
                <w:color w:val="auto"/>
                <w:sz w:val="21"/>
                <w:szCs w:val="21"/>
                <w:highlight w:val="none"/>
                <w:lang w:val="zh-CN" w:eastAsia="zh-CN"/>
              </w:rPr>
              <w:t>级</w:t>
            </w:r>
            <w:r>
              <w:rPr>
                <w:rFonts w:hint="eastAsia" w:asciiTheme="minorEastAsia" w:hAnsiTheme="minorEastAsia" w:eastAsiaTheme="minorEastAsia" w:cstheme="minorEastAsia"/>
                <w:color w:val="auto"/>
                <w:sz w:val="21"/>
                <w:szCs w:val="21"/>
                <w:highlight w:val="none"/>
                <w:lang w:val="en-US" w:eastAsia="zh-CN"/>
              </w:rPr>
              <w:t>会计师</w:t>
            </w:r>
            <w:r>
              <w:rPr>
                <w:rFonts w:hint="eastAsia" w:asciiTheme="minorEastAsia" w:hAnsiTheme="minorEastAsia" w:eastAsiaTheme="minorEastAsia" w:cstheme="minorEastAsia"/>
                <w:color w:val="auto"/>
                <w:sz w:val="21"/>
                <w:szCs w:val="21"/>
                <w:highlight w:val="none"/>
                <w:lang w:val="zh-CN"/>
              </w:rPr>
              <w:t>职称的得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分，满分</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分。</w:t>
            </w:r>
          </w:p>
          <w:p w14:paraId="6DA6F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lang w:val="zh-CN"/>
              </w:rPr>
              <w:t>拟投入人员（</w:t>
            </w:r>
            <w:r>
              <w:rPr>
                <w:rFonts w:hint="eastAsia" w:asciiTheme="minorEastAsia" w:hAnsiTheme="minorEastAsia" w:eastAsiaTheme="minorEastAsia" w:cstheme="minorEastAsia"/>
                <w:color w:val="auto"/>
                <w:sz w:val="21"/>
                <w:szCs w:val="21"/>
                <w:highlight w:val="none"/>
                <w:lang w:val="en-US" w:eastAsia="zh-CN"/>
              </w:rPr>
              <w:t>不含项目总负责人）</w:t>
            </w:r>
            <w:r>
              <w:rPr>
                <w:rFonts w:hint="eastAsia" w:asciiTheme="minorEastAsia" w:hAnsiTheme="minorEastAsia" w:cstheme="minorEastAsia"/>
                <w:color w:val="auto"/>
                <w:sz w:val="21"/>
                <w:szCs w:val="21"/>
                <w:highlight w:val="none"/>
                <w:lang w:val="en-US" w:eastAsia="zh-CN"/>
              </w:rPr>
              <w:t>（满分12分）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满足以上要求之外，</w:t>
            </w:r>
          </w:p>
          <w:p w14:paraId="1F543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en-US" w:eastAsia="zh-CN"/>
              </w:rPr>
              <w:t>（1）每</w:t>
            </w:r>
            <w:r>
              <w:rPr>
                <w:rFonts w:hint="eastAsia" w:asciiTheme="minorEastAsia" w:hAnsiTheme="minorEastAsia" w:eastAsiaTheme="minorEastAsia" w:cstheme="minorEastAsia"/>
                <w:color w:val="auto"/>
                <w:sz w:val="21"/>
                <w:szCs w:val="21"/>
                <w:highlight w:val="none"/>
                <w:lang w:val="en-US" w:eastAsia="zh-CN"/>
              </w:rPr>
              <w:t>增加</w:t>
            </w:r>
            <w:r>
              <w:rPr>
                <w:rFonts w:hint="eastAsia" w:asciiTheme="minorEastAsia" w:hAnsiTheme="minorEastAsia" w:eastAsiaTheme="minorEastAsia" w:cstheme="minorEastAsia"/>
                <w:color w:val="auto"/>
                <w:sz w:val="21"/>
                <w:szCs w:val="21"/>
                <w:highlight w:val="none"/>
                <w:lang w:val="zh-CN"/>
              </w:rPr>
              <w:t>具有注册会计师资格人员的（在有效期内执业的注册会计师。须提供注册会计师注册证书、执业印章等相关材料复印件），每有1人得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zh-CN"/>
              </w:rPr>
              <w:t>分。（此项满分</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rPr>
              <w:t>分）</w:t>
            </w:r>
          </w:p>
          <w:p w14:paraId="5D86B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heme="minorEastAsia" w:hAnsiTheme="minorEastAsia" w:eastAsiaTheme="minorEastAsia" w:cstheme="minorEastAsia"/>
                <w:color w:val="auto"/>
                <w:sz w:val="21"/>
                <w:szCs w:val="21"/>
                <w:highlight w:val="none"/>
                <w:lang w:val="zh-CN"/>
              </w:rPr>
            </w:pPr>
            <w:r>
              <w:rPr>
                <w:rFonts w:hint="eastAsia" w:asciiTheme="minorEastAsia" w:hAnsiTheme="minorEastAsia" w:cstheme="minorEastAsia"/>
                <w:color w:val="auto"/>
                <w:sz w:val="21"/>
                <w:szCs w:val="21"/>
                <w:highlight w:val="none"/>
                <w:lang w:val="zh-CN"/>
              </w:rPr>
              <w:t>（</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每增加1名具有初级会计师职称的，得0.5分；每增加1名</w:t>
            </w:r>
            <w:r>
              <w:rPr>
                <w:rFonts w:hint="eastAsia" w:asciiTheme="minorEastAsia" w:hAnsiTheme="minorEastAsia" w:eastAsiaTheme="minorEastAsia" w:cstheme="minorEastAsia"/>
                <w:color w:val="auto"/>
                <w:sz w:val="21"/>
                <w:szCs w:val="21"/>
                <w:highlight w:val="none"/>
                <w:lang w:val="zh-CN"/>
              </w:rPr>
              <w:t>具有中级会计师职称的得1分</w:t>
            </w:r>
            <w:r>
              <w:rPr>
                <w:rFonts w:hint="eastAsia" w:asciiTheme="minorEastAsia" w:hAnsiTheme="minorEastAsia" w:eastAsiaTheme="minorEastAsia" w:cstheme="minorEastAsia"/>
                <w:color w:val="auto"/>
                <w:sz w:val="21"/>
                <w:szCs w:val="21"/>
                <w:highlight w:val="none"/>
                <w:lang w:val="en-US" w:eastAsia="zh-CN"/>
              </w:rPr>
              <w:t>；每增加1名</w:t>
            </w:r>
            <w:r>
              <w:rPr>
                <w:rFonts w:hint="eastAsia" w:asciiTheme="minorEastAsia" w:hAnsiTheme="minorEastAsia" w:eastAsiaTheme="minorEastAsia" w:cstheme="minorEastAsia"/>
                <w:color w:val="auto"/>
                <w:sz w:val="21"/>
                <w:szCs w:val="21"/>
                <w:highlight w:val="none"/>
                <w:lang w:val="zh-CN"/>
              </w:rPr>
              <w:t>具有高级会计师职称的得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分</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CN"/>
              </w:rPr>
              <w:t>（此项满分</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zh-CN"/>
              </w:rPr>
              <w:t>分）</w:t>
            </w:r>
          </w:p>
          <w:p w14:paraId="4DF1D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lang w:val="zh-CN"/>
              </w:rPr>
            </w:pPr>
            <w:r>
              <w:rPr>
                <w:rFonts w:hint="eastAsia" w:asciiTheme="minorEastAsia" w:hAnsiTheme="minorEastAsia" w:eastAsiaTheme="minorEastAsia" w:cstheme="minorEastAsia"/>
                <w:color w:val="auto"/>
                <w:spacing w:val="5"/>
                <w:sz w:val="21"/>
                <w:szCs w:val="21"/>
                <w:highlight w:val="none"/>
                <w:lang w:val="en-US" w:eastAsia="zh-CN"/>
              </w:rPr>
              <w:t>备注：</w:t>
            </w:r>
            <w:r>
              <w:rPr>
                <w:rFonts w:hint="eastAsia" w:asciiTheme="minorEastAsia" w:hAnsiTheme="minorEastAsia" w:eastAsiaTheme="minorEastAsia" w:cstheme="minorEastAsia"/>
                <w:color w:val="auto"/>
                <w:spacing w:val="5"/>
                <w:sz w:val="21"/>
                <w:szCs w:val="21"/>
                <w:highlight w:val="none"/>
              </w:rPr>
              <w:t>响应文件中须提供以上人员</w:t>
            </w:r>
            <w:r>
              <w:rPr>
                <w:rFonts w:hint="eastAsia" w:asciiTheme="minorEastAsia" w:hAnsiTheme="minorEastAsia" w:eastAsiaTheme="minorEastAsia" w:cstheme="minorEastAsia"/>
                <w:color w:val="auto"/>
                <w:spacing w:val="5"/>
                <w:sz w:val="21"/>
                <w:szCs w:val="21"/>
                <w:highlight w:val="none"/>
                <w:lang w:val="en-US" w:eastAsia="zh-CN"/>
              </w:rPr>
              <w:t>相关注册证或职称证复印件</w:t>
            </w:r>
            <w:r>
              <w:rPr>
                <w:rFonts w:hint="eastAsia" w:asciiTheme="minorEastAsia" w:hAnsiTheme="minorEastAsia" w:cstheme="minorEastAsia"/>
                <w:color w:val="auto"/>
                <w:spacing w:val="5"/>
                <w:sz w:val="21"/>
                <w:szCs w:val="21"/>
                <w:highlight w:val="none"/>
                <w:lang w:val="en-US" w:eastAsia="zh-CN"/>
              </w:rPr>
              <w:t>。</w:t>
            </w:r>
          </w:p>
        </w:tc>
        <w:tc>
          <w:tcPr>
            <w:tcW w:w="762" w:type="pct"/>
            <w:vAlign w:val="center"/>
          </w:tcPr>
          <w:p w14:paraId="086CB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w:t>
            </w:r>
          </w:p>
        </w:tc>
      </w:tr>
      <w:tr w14:paraId="27F8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459" w:type="pct"/>
            <w:vAlign w:val="center"/>
          </w:tcPr>
          <w:p w14:paraId="2C2AB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w:t>
            </w:r>
          </w:p>
        </w:tc>
        <w:tc>
          <w:tcPr>
            <w:tcW w:w="703" w:type="pct"/>
            <w:vAlign w:val="center"/>
          </w:tcPr>
          <w:p w14:paraId="737A1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w:t>
            </w:r>
          </w:p>
        </w:tc>
        <w:tc>
          <w:tcPr>
            <w:tcW w:w="3074" w:type="pct"/>
            <w:vAlign w:val="center"/>
          </w:tcPr>
          <w:p w14:paraId="6D0DAF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2022年1月1日至</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eastAsia="zh-CN"/>
              </w:rPr>
              <w:t>止</w:t>
            </w:r>
            <w:r>
              <w:rPr>
                <w:rFonts w:hint="eastAsia" w:ascii="宋体" w:hAnsi="宋体" w:eastAsia="宋体" w:cs="宋体"/>
                <w:color w:val="auto"/>
                <w:sz w:val="21"/>
                <w:szCs w:val="21"/>
                <w:highlight w:val="none"/>
              </w:rPr>
              <w:t>，供应商的类似</w:t>
            </w: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分（以提供合同复印件为准），满分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62" w:type="pct"/>
            <w:vAlign w:val="center"/>
          </w:tcPr>
          <w:p w14:paraId="1D8BC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r>
      <w:tr w14:paraId="2C78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vAlign w:val="center"/>
          </w:tcPr>
          <w:p w14:paraId="2E0D4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总分=1+2+3</w:t>
            </w:r>
          </w:p>
        </w:tc>
      </w:tr>
      <w:tr w14:paraId="169C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vAlign w:val="center"/>
          </w:tcPr>
          <w:p w14:paraId="2EE2E1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注：评分分值按四舍五入取至</w:t>
            </w:r>
            <w:r>
              <w:rPr>
                <w:rFonts w:hint="eastAsia" w:ascii="宋体" w:hAnsi="宋体" w:eastAsia="宋体" w:cs="宋体"/>
                <w:color w:val="auto"/>
                <w:sz w:val="21"/>
                <w:szCs w:val="21"/>
                <w:highlight w:val="none"/>
              </w:rPr>
              <w:t>小数点后四位</w:t>
            </w:r>
            <w:r>
              <w:rPr>
                <w:rFonts w:hint="eastAsia" w:ascii="宋体" w:hAnsi="宋体" w:eastAsia="宋体" w:cs="宋体"/>
                <w:bCs/>
                <w:color w:val="auto"/>
                <w:sz w:val="21"/>
                <w:szCs w:val="21"/>
                <w:highlight w:val="none"/>
              </w:rPr>
              <w:t>。</w:t>
            </w:r>
          </w:p>
        </w:tc>
      </w:tr>
    </w:tbl>
    <w:p w14:paraId="7D215737">
      <w:pPr>
        <w:spacing w:line="360" w:lineRule="auto"/>
        <w:ind w:firstLine="420"/>
        <w:rPr>
          <w:rFonts w:ascii="宋体" w:hAnsi="宋体" w:eastAsia="宋体" w:cs="宋体"/>
          <w:color w:val="auto"/>
          <w:szCs w:val="20"/>
          <w:highlight w:val="none"/>
        </w:rPr>
      </w:pPr>
      <w:r>
        <w:rPr>
          <w:rFonts w:hint="eastAsia" w:ascii="宋体" w:hAnsi="宋体" w:eastAsia="宋体" w:cs="宋体"/>
          <w:bCs/>
          <w:color w:val="auto"/>
          <w:szCs w:val="20"/>
          <w:highlight w:val="none"/>
        </w:rPr>
        <w:t xml:space="preserve"> </w:t>
      </w:r>
      <w:bookmarkEnd w:id="261"/>
      <w:r>
        <w:rPr>
          <w:rFonts w:hint="eastAsia" w:ascii="宋体" w:hAnsi="宋体" w:eastAsia="宋体" w:cs="宋体"/>
          <w:bCs/>
          <w:color w:val="auto"/>
          <w:szCs w:val="20"/>
          <w:highlight w:val="none"/>
        </w:rPr>
        <w:br w:type="page"/>
      </w:r>
    </w:p>
    <w:p w14:paraId="053F4120">
      <w:pPr>
        <w:keepNext/>
        <w:keepLines/>
        <w:pageBreakBefore w:val="0"/>
        <w:kinsoku/>
        <w:wordWrap/>
        <w:overflowPunct/>
        <w:topLinePunct w:val="0"/>
        <w:autoSpaceDE/>
        <w:autoSpaceDN/>
        <w:bidi w:val="0"/>
        <w:snapToGrid/>
        <w:spacing w:before="260" w:line="360" w:lineRule="auto"/>
        <w:ind w:left="0"/>
        <w:jc w:val="center"/>
        <w:textAlignment w:val="auto"/>
        <w:outlineLvl w:val="1"/>
        <w:rPr>
          <w:rFonts w:ascii="宋体" w:hAnsi="宋体" w:eastAsia="宋体" w:cs="宋体"/>
          <w:bCs/>
          <w:color w:val="auto"/>
          <w:sz w:val="30"/>
          <w:szCs w:val="30"/>
          <w:highlight w:val="none"/>
        </w:rPr>
      </w:pPr>
      <w:bookmarkStart w:id="262" w:name="_Toc12166"/>
      <w:bookmarkStart w:id="263" w:name="_Toc24402"/>
      <w:bookmarkStart w:id="264" w:name="_Toc80093007"/>
      <w:bookmarkStart w:id="265" w:name="_Toc24493"/>
      <w:bookmarkStart w:id="266" w:name="_Toc15770"/>
      <w:bookmarkStart w:id="267" w:name="_Toc10480"/>
      <w:bookmarkStart w:id="268" w:name="_Toc14110"/>
      <w:r>
        <w:rPr>
          <w:rFonts w:hint="eastAsia" w:ascii="宋体" w:hAnsi="宋体" w:eastAsia="宋体" w:cs="宋体"/>
          <w:bCs/>
          <w:color w:val="auto"/>
          <w:sz w:val="30"/>
          <w:szCs w:val="30"/>
          <w:highlight w:val="none"/>
        </w:rPr>
        <w:t>第四节 入围候选人推荐原则</w:t>
      </w:r>
      <w:bookmarkEnd w:id="262"/>
      <w:bookmarkEnd w:id="263"/>
      <w:bookmarkEnd w:id="264"/>
      <w:bookmarkEnd w:id="265"/>
      <w:bookmarkEnd w:id="266"/>
      <w:bookmarkEnd w:id="267"/>
      <w:bookmarkEnd w:id="268"/>
    </w:p>
    <w:p w14:paraId="2374D0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30" w:firstLineChars="200"/>
        <w:contextualSpacing/>
        <w:textAlignment w:val="auto"/>
        <w:rPr>
          <w:rFonts w:ascii="宋体" w:hAnsi="宋体" w:eastAsia="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rPr>
        <w:t>质量优先法</w:t>
      </w:r>
    </w:p>
    <w:p w14:paraId="63DF1F15">
      <w:pPr>
        <w:pageBreakBefore w:val="0"/>
        <w:kinsoku/>
        <w:wordWrap/>
        <w:overflowPunct/>
        <w:topLinePunct w:val="0"/>
        <w:autoSpaceDE/>
        <w:autoSpaceDN/>
        <w:bidi w:val="0"/>
        <w:snapToGrid/>
        <w:spacing w:line="360" w:lineRule="auto"/>
        <w:ind w:left="0" w:firstLine="470" w:firstLineChars="200"/>
        <w:textAlignment w:val="auto"/>
        <w:rPr>
          <w:rFonts w:ascii="宋体" w:hAnsi="宋体" w:eastAsia="宋体" w:cs="宋体"/>
          <w:b/>
          <w:color w:val="auto"/>
          <w:szCs w:val="21"/>
          <w:highlight w:val="none"/>
        </w:rPr>
      </w:pPr>
      <w:r>
        <w:rPr>
          <w:rFonts w:hint="eastAsia" w:ascii="宋体" w:hAnsi="宋体" w:eastAsia="宋体" w:cs="宋体"/>
          <w:color w:val="auto"/>
          <w:szCs w:val="24"/>
          <w:highlight w:val="none"/>
        </w:rPr>
        <w:t>入围标准：</w:t>
      </w:r>
      <w:r>
        <w:rPr>
          <w:rFonts w:hint="eastAsia" w:ascii="宋体" w:hAnsi="宋体" w:eastAsia="宋体" w:cs="宋体"/>
          <w:color w:val="auto"/>
          <w:szCs w:val="21"/>
          <w:highlight w:val="none"/>
        </w:rPr>
        <w:t>通过资格性审查和符合性审查的供应商数量多于或等于三家的，均须对通过符合性审查的供应商进行评分和排序。评委根据总得分从高分到低分进行排名，按排名先后顺序确定</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家入围供应商，如排名第</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名出现多家总得分相等时</w:t>
      </w:r>
      <w:r>
        <w:rPr>
          <w:rFonts w:hint="eastAsia" w:ascii="宋体" w:hAnsi="宋体" w:eastAsia="宋体" w:cs="宋体"/>
          <w:color w:val="auto"/>
          <w:szCs w:val="24"/>
          <w:highlight w:val="none"/>
        </w:rPr>
        <w:t>，</w:t>
      </w:r>
      <w:r>
        <w:rPr>
          <w:rFonts w:hint="eastAsia" w:ascii="宋体" w:hAnsi="宋体" w:eastAsia="宋体" w:cs="宋体"/>
          <w:color w:val="auto"/>
          <w:szCs w:val="21"/>
          <w:highlight w:val="none"/>
        </w:rPr>
        <w:t>则按技术分高优先，如技术分亦相同，按商务分高优先，直至得出结果。若所有分值完全一致则随机抽签选取入围供应商。</w:t>
      </w:r>
      <w:r>
        <w:rPr>
          <w:rFonts w:hint="eastAsia" w:ascii="宋体" w:hAnsi="宋体" w:eastAsia="宋体" w:cs="宋体"/>
          <w:color w:val="auto"/>
          <w:szCs w:val="24"/>
          <w:highlight w:val="none"/>
        </w:rPr>
        <w:t>当满足淘汰率不低于20%且至少淘汰1家供应商，淘汰后剩余的供应商数量超出征集文件约定的</w:t>
      </w:r>
      <w:r>
        <w:rPr>
          <w:rFonts w:hint="eastAsia" w:ascii="宋体" w:hAnsi="宋体" w:eastAsia="宋体" w:cs="宋体"/>
          <w:color w:val="auto"/>
          <w:szCs w:val="21"/>
          <w:highlight w:val="none"/>
        </w:rPr>
        <w:t>供应商入围数量上限</w:t>
      </w:r>
      <w:r>
        <w:rPr>
          <w:rFonts w:hint="eastAsia" w:ascii="宋体" w:hAnsi="宋体" w:eastAsia="宋体" w:cs="宋体"/>
          <w:color w:val="auto"/>
          <w:szCs w:val="24"/>
          <w:highlight w:val="none"/>
        </w:rPr>
        <w:t>时，</w:t>
      </w:r>
      <w:r>
        <w:rPr>
          <w:rFonts w:hint="eastAsia" w:ascii="宋体" w:hAnsi="宋体" w:eastAsia="宋体" w:cs="宋体"/>
          <w:color w:val="auto"/>
          <w:szCs w:val="21"/>
          <w:highlight w:val="none"/>
        </w:rPr>
        <w:t>排名前</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名为该标段入围供应商</w:t>
      </w:r>
      <w:r>
        <w:rPr>
          <w:rFonts w:hint="eastAsia" w:ascii="宋体" w:hAnsi="宋体" w:eastAsia="宋体" w:cs="宋体"/>
          <w:b/>
          <w:color w:val="auto"/>
          <w:szCs w:val="21"/>
          <w:highlight w:val="none"/>
        </w:rPr>
        <w:t>；</w:t>
      </w:r>
      <w:r>
        <w:rPr>
          <w:rFonts w:hint="eastAsia" w:ascii="宋体" w:hAnsi="宋体" w:eastAsia="宋体" w:cs="宋体"/>
          <w:color w:val="auto"/>
          <w:szCs w:val="24"/>
          <w:highlight w:val="none"/>
        </w:rPr>
        <w:t>当满足淘汰率不低于20%且至少淘汰1家供应商，淘汰后剩余的供应商数量少于征集文件约定的</w:t>
      </w:r>
      <w:r>
        <w:rPr>
          <w:rFonts w:hint="eastAsia" w:ascii="宋体" w:hAnsi="宋体" w:eastAsia="宋体" w:cs="宋体"/>
          <w:color w:val="auto"/>
          <w:szCs w:val="21"/>
          <w:highlight w:val="none"/>
        </w:rPr>
        <w:t>供应商入围数量上限</w:t>
      </w:r>
      <w:r>
        <w:rPr>
          <w:rFonts w:hint="eastAsia" w:ascii="宋体" w:hAnsi="宋体" w:eastAsia="宋体" w:cs="宋体"/>
          <w:color w:val="auto"/>
          <w:szCs w:val="24"/>
          <w:highlight w:val="none"/>
        </w:rPr>
        <w:t>时，淘汰后剩余的供应商即为该项目入围供应商</w:t>
      </w:r>
      <w:r>
        <w:rPr>
          <w:rFonts w:hint="eastAsia" w:ascii="宋体" w:hAnsi="宋体" w:eastAsia="宋体" w:cs="宋体"/>
          <w:b/>
          <w:color w:val="auto"/>
          <w:szCs w:val="21"/>
          <w:highlight w:val="none"/>
        </w:rPr>
        <w:t>。</w:t>
      </w:r>
    </w:p>
    <w:p w14:paraId="3E5CD5B4">
      <w:pPr>
        <w:pageBreakBefore w:val="0"/>
        <w:kinsoku/>
        <w:wordWrap/>
        <w:overflowPunct/>
        <w:topLinePunct w:val="0"/>
        <w:autoSpaceDE/>
        <w:autoSpaceDN/>
        <w:bidi w:val="0"/>
        <w:snapToGrid/>
        <w:spacing w:line="360" w:lineRule="auto"/>
        <w:ind w:left="0" w:firstLine="470" w:firstLineChars="200"/>
        <w:textAlignment w:val="auto"/>
        <w:rPr>
          <w:rFonts w:ascii="宋体" w:hAnsi="宋体" w:eastAsia="宋体" w:cs="宋体"/>
          <w:color w:val="auto"/>
          <w:szCs w:val="24"/>
          <w:highlight w:val="none"/>
        </w:rPr>
      </w:pPr>
    </w:p>
    <w:p w14:paraId="348E4946">
      <w:pPr>
        <w:keepNext/>
        <w:keepLines/>
        <w:pageBreakBefore w:val="0"/>
        <w:kinsoku/>
        <w:wordWrap/>
        <w:overflowPunct/>
        <w:topLinePunct w:val="0"/>
        <w:autoSpaceDE/>
        <w:autoSpaceDN/>
        <w:bidi w:val="0"/>
        <w:snapToGrid/>
        <w:spacing w:line="360" w:lineRule="auto"/>
        <w:ind w:left="0" w:firstLine="650" w:firstLineChars="200"/>
        <w:jc w:val="center"/>
        <w:textAlignment w:val="auto"/>
        <w:outlineLvl w:val="1"/>
        <w:rPr>
          <w:rFonts w:ascii="宋体" w:hAnsi="宋体" w:eastAsia="宋体" w:cs="宋体"/>
          <w:bCs/>
          <w:color w:val="auto"/>
          <w:sz w:val="30"/>
          <w:szCs w:val="30"/>
          <w:highlight w:val="none"/>
        </w:rPr>
      </w:pPr>
      <w:bookmarkStart w:id="269" w:name="_Toc32440"/>
      <w:bookmarkStart w:id="270" w:name="_Toc9060"/>
      <w:bookmarkStart w:id="271" w:name="_Toc2835"/>
      <w:bookmarkStart w:id="272" w:name="_Toc1027"/>
      <w:bookmarkStart w:id="273" w:name="_Toc80093008"/>
      <w:bookmarkStart w:id="274" w:name="_Toc4457"/>
      <w:bookmarkStart w:id="275" w:name="_Toc25710"/>
      <w:r>
        <w:rPr>
          <w:rFonts w:hint="eastAsia" w:ascii="宋体" w:hAnsi="宋体" w:eastAsia="宋体" w:cs="宋体"/>
          <w:bCs/>
          <w:color w:val="auto"/>
          <w:sz w:val="30"/>
          <w:szCs w:val="30"/>
          <w:highlight w:val="none"/>
        </w:rPr>
        <w:t>第五节 评审报告</w:t>
      </w:r>
      <w:bookmarkEnd w:id="269"/>
      <w:bookmarkEnd w:id="270"/>
      <w:bookmarkEnd w:id="271"/>
      <w:bookmarkEnd w:id="272"/>
      <w:bookmarkEnd w:id="273"/>
      <w:bookmarkEnd w:id="274"/>
      <w:bookmarkEnd w:id="275"/>
    </w:p>
    <w:p w14:paraId="73081432">
      <w:pPr>
        <w:pageBreakBefore w:val="0"/>
        <w:kinsoku/>
        <w:wordWrap/>
        <w:overflowPunct/>
        <w:topLinePunct w:val="0"/>
        <w:autoSpaceDE/>
        <w:autoSpaceDN/>
        <w:bidi w:val="0"/>
        <w:adjustRightInd w:val="0"/>
        <w:snapToGrid/>
        <w:spacing w:line="360" w:lineRule="auto"/>
        <w:ind w:left="0" w:firstLine="530" w:firstLineChars="200"/>
        <w:textAlignment w:val="auto"/>
        <w:outlineLvl w:val="2"/>
        <w:rPr>
          <w:rFonts w:ascii="宋体" w:hAnsi="宋体" w:eastAsia="宋体" w:cs="宋体"/>
          <w:b/>
          <w:bCs/>
          <w:color w:val="auto"/>
          <w:sz w:val="24"/>
          <w:szCs w:val="24"/>
          <w:highlight w:val="none"/>
        </w:rPr>
      </w:pPr>
      <w:bookmarkStart w:id="276" w:name="_Toc22797"/>
      <w:bookmarkStart w:id="277" w:name="_Toc32399"/>
      <w:bookmarkStart w:id="278" w:name="_Toc15495"/>
      <w:bookmarkStart w:id="279" w:name="_Toc31090"/>
      <w:bookmarkStart w:id="280" w:name="_Toc24342"/>
      <w:r>
        <w:rPr>
          <w:rFonts w:hint="eastAsia" w:ascii="宋体" w:hAnsi="宋体" w:eastAsia="宋体" w:cs="宋体"/>
          <w:b/>
          <w:bCs/>
          <w:color w:val="auto"/>
          <w:sz w:val="24"/>
          <w:szCs w:val="24"/>
          <w:highlight w:val="none"/>
        </w:rPr>
        <w:t>（一）评审报告与推荐入围候选人</w:t>
      </w:r>
      <w:bookmarkEnd w:id="276"/>
      <w:bookmarkEnd w:id="277"/>
      <w:bookmarkEnd w:id="278"/>
      <w:bookmarkEnd w:id="279"/>
      <w:bookmarkEnd w:id="280"/>
    </w:p>
    <w:p w14:paraId="444BACD0">
      <w:pPr>
        <w:pageBreakBefore w:val="0"/>
        <w:tabs>
          <w:tab w:val="left" w:pos="2472"/>
        </w:tabs>
        <w:kinsoku/>
        <w:wordWrap/>
        <w:overflowPunct/>
        <w:topLinePunct w:val="0"/>
        <w:autoSpaceDE/>
        <w:autoSpaceDN/>
        <w:bidi w:val="0"/>
        <w:snapToGrid/>
        <w:spacing w:line="360" w:lineRule="auto"/>
        <w:ind w:left="0" w:firstLine="470" w:firstLineChars="200"/>
        <w:textAlignment w:val="auto"/>
        <w:rPr>
          <w:rFonts w:ascii="宋体" w:hAnsi="宋体" w:eastAsia="宋体" w:cs="宋体"/>
          <w:color w:val="auto"/>
          <w:szCs w:val="20"/>
          <w:highlight w:val="none"/>
        </w:rPr>
      </w:pPr>
      <w:r>
        <w:rPr>
          <w:rFonts w:hint="eastAsia" w:ascii="宋体" w:hAnsi="宋体" w:eastAsia="宋体" w:cs="宋体"/>
          <w:color w:val="auto"/>
          <w:szCs w:val="20"/>
          <w:highlight w:val="none"/>
        </w:rPr>
        <w:t>评审委员会根据原始评审记录和评审结果编写评审报告，并通过电子交易平台向征集人、采购代理机构提交。</w:t>
      </w:r>
    </w:p>
    <w:p w14:paraId="537341F0">
      <w:pPr>
        <w:pageBreakBefore w:val="0"/>
        <w:widowControl/>
        <w:kinsoku/>
        <w:wordWrap/>
        <w:overflowPunct/>
        <w:topLinePunct w:val="0"/>
        <w:autoSpaceDE/>
        <w:autoSpaceDN/>
        <w:bidi w:val="0"/>
        <w:snapToGrid/>
        <w:spacing w:line="360" w:lineRule="auto"/>
        <w:ind w:left="0" w:firstLine="530" w:firstLineChars="200"/>
        <w:jc w:val="left"/>
        <w:textAlignment w:val="auto"/>
        <w:outlineLvl w:val="2"/>
        <w:rPr>
          <w:rFonts w:ascii="宋体" w:hAnsi="宋体" w:eastAsia="宋体" w:cs="宋体"/>
          <w:b/>
          <w:bCs/>
          <w:color w:val="auto"/>
          <w:sz w:val="24"/>
          <w:szCs w:val="24"/>
          <w:highlight w:val="none"/>
        </w:rPr>
      </w:pPr>
      <w:bookmarkStart w:id="281" w:name="_Toc6818"/>
      <w:bookmarkStart w:id="282" w:name="_Toc17363"/>
      <w:bookmarkStart w:id="283" w:name="_Toc12981"/>
      <w:bookmarkStart w:id="284" w:name="_Toc14830"/>
      <w:bookmarkStart w:id="285" w:name="_Toc26306"/>
      <w:r>
        <w:rPr>
          <w:rFonts w:hint="eastAsia" w:ascii="宋体" w:hAnsi="宋体" w:eastAsia="宋体" w:cs="宋体"/>
          <w:b/>
          <w:bCs/>
          <w:color w:val="auto"/>
          <w:sz w:val="24"/>
          <w:szCs w:val="24"/>
          <w:highlight w:val="none"/>
        </w:rPr>
        <w:t>（二）评审争议事项处理</w:t>
      </w:r>
      <w:bookmarkEnd w:id="281"/>
      <w:bookmarkEnd w:id="282"/>
      <w:bookmarkEnd w:id="283"/>
      <w:bookmarkEnd w:id="284"/>
      <w:bookmarkEnd w:id="285"/>
    </w:p>
    <w:p w14:paraId="64C46F71">
      <w:pPr>
        <w:pageBreakBefore w:val="0"/>
        <w:tabs>
          <w:tab w:val="left" w:pos="2472"/>
        </w:tabs>
        <w:kinsoku/>
        <w:wordWrap/>
        <w:overflowPunct/>
        <w:topLinePunct w:val="0"/>
        <w:autoSpaceDE/>
        <w:autoSpaceDN/>
        <w:bidi w:val="0"/>
        <w:snapToGrid/>
        <w:spacing w:line="360" w:lineRule="auto"/>
        <w:ind w:left="0" w:firstLine="470" w:firstLineChars="200"/>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0DE81DA6">
      <w:pPr>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195AF317">
      <w:pPr>
        <w:tabs>
          <w:tab w:val="left" w:pos="2472"/>
        </w:tabs>
        <w:spacing w:line="460" w:lineRule="exact"/>
        <w:jc w:val="center"/>
        <w:rPr>
          <w:rFonts w:hint="eastAsia" w:ascii="宋体" w:hAnsi="宋体" w:eastAsia="宋体" w:cs="宋体"/>
          <w:b/>
          <w:color w:val="auto"/>
          <w:sz w:val="36"/>
          <w:szCs w:val="20"/>
          <w:highlight w:val="none"/>
        </w:rPr>
      </w:pPr>
    </w:p>
    <w:p w14:paraId="5294AF02">
      <w:pPr>
        <w:tabs>
          <w:tab w:val="left" w:pos="2472"/>
        </w:tabs>
        <w:spacing w:line="460" w:lineRule="exact"/>
        <w:jc w:val="center"/>
        <w:rPr>
          <w:rFonts w:ascii="宋体" w:hAnsi="宋体" w:eastAsia="宋体" w:cs="宋体"/>
          <w:b/>
          <w:color w:val="auto"/>
          <w:sz w:val="36"/>
          <w:szCs w:val="20"/>
          <w:highlight w:val="none"/>
        </w:rPr>
      </w:pPr>
    </w:p>
    <w:p w14:paraId="6062FA40">
      <w:pPr>
        <w:tabs>
          <w:tab w:val="left" w:pos="2472"/>
        </w:tabs>
        <w:spacing w:line="460" w:lineRule="exact"/>
        <w:jc w:val="center"/>
        <w:rPr>
          <w:rFonts w:ascii="宋体" w:hAnsi="宋体" w:eastAsia="宋体" w:cs="宋体"/>
          <w:b/>
          <w:color w:val="auto"/>
          <w:sz w:val="36"/>
          <w:szCs w:val="20"/>
          <w:highlight w:val="none"/>
        </w:rPr>
      </w:pPr>
    </w:p>
    <w:p w14:paraId="7851556A">
      <w:pPr>
        <w:tabs>
          <w:tab w:val="left" w:pos="2472"/>
        </w:tabs>
        <w:spacing w:line="460" w:lineRule="exact"/>
        <w:jc w:val="center"/>
        <w:rPr>
          <w:rFonts w:ascii="宋体" w:hAnsi="宋体" w:eastAsia="宋体" w:cs="宋体"/>
          <w:b/>
          <w:color w:val="auto"/>
          <w:sz w:val="36"/>
          <w:szCs w:val="20"/>
          <w:highlight w:val="none"/>
        </w:rPr>
      </w:pPr>
    </w:p>
    <w:p w14:paraId="478E4A1B">
      <w:pPr>
        <w:tabs>
          <w:tab w:val="left" w:pos="2472"/>
        </w:tabs>
        <w:spacing w:line="460" w:lineRule="exact"/>
        <w:jc w:val="center"/>
        <w:rPr>
          <w:rFonts w:ascii="宋体" w:hAnsi="宋体" w:eastAsia="宋体" w:cs="宋体"/>
          <w:b/>
          <w:color w:val="auto"/>
          <w:sz w:val="36"/>
          <w:szCs w:val="20"/>
          <w:highlight w:val="none"/>
        </w:rPr>
      </w:pPr>
    </w:p>
    <w:p w14:paraId="1F8472FB">
      <w:pPr>
        <w:tabs>
          <w:tab w:val="left" w:pos="2472"/>
        </w:tabs>
        <w:spacing w:line="460" w:lineRule="exact"/>
        <w:jc w:val="center"/>
        <w:rPr>
          <w:rFonts w:ascii="宋体" w:hAnsi="宋体" w:eastAsia="宋体" w:cs="宋体"/>
          <w:b/>
          <w:color w:val="auto"/>
          <w:sz w:val="36"/>
          <w:szCs w:val="20"/>
          <w:highlight w:val="none"/>
        </w:rPr>
      </w:pPr>
    </w:p>
    <w:p w14:paraId="431AB2C4">
      <w:pPr>
        <w:tabs>
          <w:tab w:val="left" w:pos="2472"/>
        </w:tabs>
        <w:spacing w:line="460" w:lineRule="exact"/>
        <w:jc w:val="center"/>
        <w:rPr>
          <w:rFonts w:ascii="宋体" w:hAnsi="宋体" w:eastAsia="宋体" w:cs="宋体"/>
          <w:b/>
          <w:color w:val="auto"/>
          <w:sz w:val="36"/>
          <w:szCs w:val="20"/>
          <w:highlight w:val="none"/>
        </w:rPr>
      </w:pPr>
    </w:p>
    <w:p w14:paraId="7B944182">
      <w:pPr>
        <w:tabs>
          <w:tab w:val="left" w:pos="2472"/>
        </w:tabs>
        <w:spacing w:line="460" w:lineRule="exact"/>
        <w:jc w:val="center"/>
        <w:rPr>
          <w:rFonts w:ascii="宋体" w:hAnsi="宋体" w:eastAsia="宋体" w:cs="宋体"/>
          <w:b/>
          <w:color w:val="auto"/>
          <w:sz w:val="36"/>
          <w:szCs w:val="20"/>
          <w:highlight w:val="none"/>
        </w:rPr>
      </w:pPr>
    </w:p>
    <w:p w14:paraId="281B3C72">
      <w:pPr>
        <w:tabs>
          <w:tab w:val="left" w:pos="2472"/>
        </w:tabs>
        <w:spacing w:line="460" w:lineRule="exact"/>
        <w:jc w:val="center"/>
        <w:rPr>
          <w:rFonts w:ascii="宋体" w:hAnsi="宋体" w:eastAsia="宋体" w:cs="宋体"/>
          <w:b/>
          <w:color w:val="auto"/>
          <w:sz w:val="36"/>
          <w:szCs w:val="20"/>
          <w:highlight w:val="none"/>
        </w:rPr>
      </w:pPr>
    </w:p>
    <w:p w14:paraId="29FDACAC">
      <w:pPr>
        <w:tabs>
          <w:tab w:val="left" w:pos="2472"/>
        </w:tabs>
        <w:spacing w:line="460" w:lineRule="exact"/>
        <w:jc w:val="center"/>
        <w:rPr>
          <w:rFonts w:ascii="宋体" w:hAnsi="宋体" w:eastAsia="宋体" w:cs="宋体"/>
          <w:b/>
          <w:color w:val="auto"/>
          <w:sz w:val="36"/>
          <w:szCs w:val="20"/>
          <w:highlight w:val="none"/>
        </w:rPr>
      </w:pPr>
    </w:p>
    <w:p w14:paraId="088761F7">
      <w:pPr>
        <w:tabs>
          <w:tab w:val="left" w:pos="2472"/>
        </w:tabs>
        <w:spacing w:line="460" w:lineRule="exact"/>
        <w:jc w:val="center"/>
        <w:outlineLvl w:val="0"/>
        <w:rPr>
          <w:rFonts w:ascii="宋体" w:hAnsi="宋体" w:eastAsia="宋体" w:cs="宋体"/>
          <w:b/>
          <w:color w:val="auto"/>
          <w:sz w:val="36"/>
          <w:szCs w:val="20"/>
          <w:highlight w:val="none"/>
        </w:rPr>
      </w:pPr>
      <w:bookmarkStart w:id="286" w:name="_Toc20520"/>
      <w:bookmarkStart w:id="287" w:name="_Toc10053"/>
      <w:bookmarkStart w:id="288" w:name="_Toc28"/>
      <w:bookmarkStart w:id="289" w:name="_Toc80093009"/>
      <w:bookmarkStart w:id="290" w:name="_Toc15997"/>
      <w:bookmarkStart w:id="291" w:name="_Toc14303"/>
      <w:bookmarkStart w:id="292" w:name="_Toc10882"/>
      <w:r>
        <w:rPr>
          <w:rFonts w:hint="eastAsia" w:ascii="宋体" w:hAnsi="宋体" w:eastAsia="宋体" w:cs="宋体"/>
          <w:b/>
          <w:color w:val="auto"/>
          <w:sz w:val="36"/>
          <w:szCs w:val="20"/>
          <w:highlight w:val="none"/>
        </w:rPr>
        <w:t>第五章 拟签订的框架协议和采购合同文本</w:t>
      </w:r>
      <w:bookmarkEnd w:id="286"/>
      <w:bookmarkEnd w:id="287"/>
      <w:bookmarkEnd w:id="288"/>
      <w:bookmarkEnd w:id="289"/>
      <w:bookmarkEnd w:id="290"/>
      <w:bookmarkEnd w:id="291"/>
      <w:bookmarkEnd w:id="292"/>
    </w:p>
    <w:p w14:paraId="49A8F385">
      <w:pPr>
        <w:tabs>
          <w:tab w:val="left" w:pos="2472"/>
        </w:tabs>
        <w:spacing w:line="460" w:lineRule="exact"/>
        <w:jc w:val="center"/>
        <w:rPr>
          <w:rFonts w:ascii="宋体" w:hAnsi="宋体" w:eastAsia="宋体" w:cs="宋体"/>
          <w:b/>
          <w:bCs/>
          <w:color w:val="auto"/>
          <w:sz w:val="44"/>
          <w:szCs w:val="20"/>
          <w:highlight w:val="none"/>
        </w:rPr>
      </w:pPr>
      <w:r>
        <w:rPr>
          <w:rFonts w:hint="eastAsia" w:ascii="宋体" w:hAnsi="宋体" w:eastAsia="宋体" w:cs="宋体"/>
          <w:color w:val="auto"/>
          <w:szCs w:val="20"/>
          <w:highlight w:val="none"/>
        </w:rPr>
        <w:br w:type="page"/>
      </w:r>
    </w:p>
    <w:p w14:paraId="5D20E6FF">
      <w:pPr>
        <w:tabs>
          <w:tab w:val="left" w:pos="2472"/>
        </w:tabs>
        <w:spacing w:line="460" w:lineRule="exact"/>
        <w:jc w:val="center"/>
        <w:rPr>
          <w:rFonts w:hint="eastAsia" w:ascii="宋体" w:hAnsi="宋体" w:eastAsia="宋体" w:cs="宋体"/>
          <w:b/>
          <w:color w:val="auto"/>
          <w:sz w:val="36"/>
          <w:szCs w:val="20"/>
          <w:highlight w:val="none"/>
        </w:rPr>
      </w:pPr>
      <w:bookmarkStart w:id="293" w:name="_Toc27105"/>
      <w:bookmarkStart w:id="294" w:name="_Toc29580"/>
    </w:p>
    <w:p w14:paraId="3169836E">
      <w:pPr>
        <w:tabs>
          <w:tab w:val="left" w:pos="2472"/>
        </w:tabs>
        <w:spacing w:line="460" w:lineRule="exact"/>
        <w:jc w:val="center"/>
        <w:rPr>
          <w:rFonts w:ascii="宋体" w:hAnsi="宋体" w:eastAsia="宋体" w:cs="宋体"/>
          <w:b/>
          <w:color w:val="auto"/>
          <w:sz w:val="36"/>
          <w:szCs w:val="20"/>
          <w:highlight w:val="none"/>
        </w:rPr>
      </w:pPr>
    </w:p>
    <w:p w14:paraId="76CC6F5E">
      <w:pPr>
        <w:tabs>
          <w:tab w:val="left" w:pos="2472"/>
        </w:tabs>
        <w:spacing w:line="460" w:lineRule="exact"/>
        <w:jc w:val="center"/>
        <w:rPr>
          <w:rFonts w:ascii="宋体" w:hAnsi="宋体" w:eastAsia="宋体" w:cs="宋体"/>
          <w:b/>
          <w:color w:val="auto"/>
          <w:sz w:val="36"/>
          <w:szCs w:val="20"/>
          <w:highlight w:val="none"/>
        </w:rPr>
      </w:pPr>
    </w:p>
    <w:p w14:paraId="1ED2A89C">
      <w:pPr>
        <w:tabs>
          <w:tab w:val="left" w:pos="2472"/>
        </w:tabs>
        <w:spacing w:line="460" w:lineRule="exact"/>
        <w:jc w:val="center"/>
        <w:rPr>
          <w:rFonts w:ascii="宋体" w:hAnsi="宋体" w:eastAsia="宋体" w:cs="宋体"/>
          <w:b/>
          <w:color w:val="auto"/>
          <w:sz w:val="36"/>
          <w:szCs w:val="20"/>
          <w:highlight w:val="none"/>
        </w:rPr>
      </w:pPr>
    </w:p>
    <w:p w14:paraId="7ADF66C9">
      <w:pPr>
        <w:tabs>
          <w:tab w:val="left" w:pos="2472"/>
        </w:tabs>
        <w:spacing w:line="460" w:lineRule="exact"/>
        <w:jc w:val="center"/>
        <w:rPr>
          <w:rFonts w:ascii="宋体" w:hAnsi="宋体" w:eastAsia="宋体" w:cs="宋体"/>
          <w:b/>
          <w:color w:val="auto"/>
          <w:sz w:val="36"/>
          <w:szCs w:val="20"/>
          <w:highlight w:val="none"/>
        </w:rPr>
      </w:pPr>
    </w:p>
    <w:p w14:paraId="7BEAD19A">
      <w:pPr>
        <w:tabs>
          <w:tab w:val="left" w:pos="2472"/>
        </w:tabs>
        <w:spacing w:line="460" w:lineRule="exact"/>
        <w:jc w:val="center"/>
        <w:rPr>
          <w:rFonts w:ascii="宋体" w:hAnsi="宋体" w:eastAsia="宋体" w:cs="宋体"/>
          <w:b/>
          <w:color w:val="auto"/>
          <w:sz w:val="36"/>
          <w:szCs w:val="20"/>
          <w:highlight w:val="none"/>
        </w:rPr>
      </w:pPr>
    </w:p>
    <w:p w14:paraId="127F88A7">
      <w:pPr>
        <w:tabs>
          <w:tab w:val="left" w:pos="2472"/>
        </w:tabs>
        <w:spacing w:line="460" w:lineRule="exact"/>
        <w:jc w:val="center"/>
        <w:rPr>
          <w:rFonts w:ascii="宋体" w:hAnsi="宋体" w:eastAsia="宋体" w:cs="宋体"/>
          <w:b/>
          <w:color w:val="auto"/>
          <w:sz w:val="36"/>
          <w:szCs w:val="20"/>
          <w:highlight w:val="none"/>
        </w:rPr>
      </w:pPr>
    </w:p>
    <w:p w14:paraId="5AE587FE">
      <w:pPr>
        <w:tabs>
          <w:tab w:val="left" w:pos="2472"/>
        </w:tabs>
        <w:spacing w:line="460" w:lineRule="exact"/>
        <w:jc w:val="center"/>
        <w:rPr>
          <w:rFonts w:ascii="宋体" w:hAnsi="宋体" w:eastAsia="宋体" w:cs="宋体"/>
          <w:b/>
          <w:color w:val="auto"/>
          <w:sz w:val="36"/>
          <w:szCs w:val="20"/>
          <w:highlight w:val="none"/>
        </w:rPr>
      </w:pPr>
    </w:p>
    <w:p w14:paraId="03B5AB28">
      <w:pPr>
        <w:tabs>
          <w:tab w:val="left" w:pos="2472"/>
        </w:tabs>
        <w:spacing w:line="460" w:lineRule="exact"/>
        <w:jc w:val="center"/>
        <w:rPr>
          <w:rFonts w:ascii="宋体" w:hAnsi="宋体" w:eastAsia="宋体" w:cs="宋体"/>
          <w:b/>
          <w:color w:val="auto"/>
          <w:sz w:val="36"/>
          <w:szCs w:val="20"/>
          <w:highlight w:val="none"/>
        </w:rPr>
      </w:pPr>
    </w:p>
    <w:p w14:paraId="0CBFFAC7">
      <w:pPr>
        <w:tabs>
          <w:tab w:val="left" w:pos="2472"/>
        </w:tabs>
        <w:spacing w:line="460" w:lineRule="exact"/>
        <w:jc w:val="center"/>
        <w:rPr>
          <w:rFonts w:ascii="宋体" w:hAnsi="宋体" w:eastAsia="宋体" w:cs="宋体"/>
          <w:b/>
          <w:color w:val="auto"/>
          <w:sz w:val="36"/>
          <w:szCs w:val="20"/>
          <w:highlight w:val="none"/>
        </w:rPr>
      </w:pPr>
    </w:p>
    <w:p w14:paraId="628B6C6D">
      <w:pPr>
        <w:spacing w:line="240" w:lineRule="auto"/>
        <w:jc w:val="center"/>
        <w:outlineLvl w:val="9"/>
        <w:rPr>
          <w:rFonts w:hint="eastAsia"/>
          <w:sz w:val="44"/>
          <w:szCs w:val="44"/>
        </w:rPr>
      </w:pPr>
      <w:bookmarkStart w:id="295" w:name="_Toc27142"/>
      <w:bookmarkStart w:id="296" w:name="_Toc20835"/>
      <w:bookmarkStart w:id="297" w:name="_Toc17482"/>
      <w:r>
        <w:rPr>
          <w:rFonts w:hint="eastAsia"/>
          <w:sz w:val="44"/>
          <w:szCs w:val="44"/>
        </w:rPr>
        <w:t>第一节 框架协议文本</w:t>
      </w:r>
      <w:bookmarkEnd w:id="293"/>
      <w:bookmarkEnd w:id="294"/>
      <w:bookmarkEnd w:id="295"/>
      <w:bookmarkEnd w:id="296"/>
      <w:bookmarkEnd w:id="297"/>
    </w:p>
    <w:p w14:paraId="0E4EC08F">
      <w:pPr>
        <w:rPr>
          <w:rFonts w:hint="eastAsia" w:ascii="宋体" w:hAnsi="宋体" w:eastAsia="宋体" w:cs="宋体"/>
          <w:b/>
          <w:bCs/>
          <w:color w:val="auto"/>
          <w:sz w:val="44"/>
          <w:szCs w:val="20"/>
          <w:highlight w:val="none"/>
        </w:rPr>
      </w:pPr>
      <w:r>
        <w:rPr>
          <w:rFonts w:hint="eastAsia" w:ascii="宋体" w:hAnsi="宋体" w:eastAsia="宋体" w:cs="宋体"/>
          <w:b/>
          <w:bCs/>
          <w:color w:val="auto"/>
          <w:sz w:val="44"/>
          <w:szCs w:val="20"/>
          <w:highlight w:val="none"/>
        </w:rPr>
        <w:br w:type="page"/>
      </w:r>
    </w:p>
    <w:p w14:paraId="36C65F3F">
      <w:pPr>
        <w:tabs>
          <w:tab w:val="left" w:pos="2472"/>
        </w:tabs>
        <w:spacing w:line="460" w:lineRule="exact"/>
        <w:jc w:val="center"/>
        <w:rPr>
          <w:rFonts w:hint="eastAsia" w:ascii="宋体" w:hAnsi="宋体" w:eastAsia="宋体" w:cs="宋体"/>
          <w:b/>
          <w:color w:val="auto"/>
          <w:sz w:val="36"/>
          <w:szCs w:val="20"/>
          <w:highlight w:val="none"/>
        </w:rPr>
      </w:pPr>
    </w:p>
    <w:p w14:paraId="2C78DC36">
      <w:pPr>
        <w:tabs>
          <w:tab w:val="left" w:pos="2472"/>
        </w:tabs>
        <w:spacing w:line="460" w:lineRule="exact"/>
        <w:jc w:val="center"/>
        <w:rPr>
          <w:rFonts w:ascii="宋体" w:hAnsi="宋体" w:eastAsia="宋体" w:cs="宋体"/>
          <w:b/>
          <w:color w:val="auto"/>
          <w:sz w:val="36"/>
          <w:szCs w:val="20"/>
          <w:highlight w:val="none"/>
        </w:rPr>
      </w:pPr>
    </w:p>
    <w:p w14:paraId="76951C47">
      <w:pPr>
        <w:tabs>
          <w:tab w:val="left" w:pos="2472"/>
        </w:tabs>
        <w:spacing w:line="460" w:lineRule="exact"/>
        <w:jc w:val="center"/>
        <w:rPr>
          <w:rFonts w:ascii="宋体" w:hAnsi="宋体" w:eastAsia="宋体" w:cs="宋体"/>
          <w:b/>
          <w:color w:val="auto"/>
          <w:sz w:val="36"/>
          <w:szCs w:val="20"/>
          <w:highlight w:val="none"/>
        </w:rPr>
      </w:pPr>
    </w:p>
    <w:p w14:paraId="5EF1973E">
      <w:pPr>
        <w:spacing w:line="360" w:lineRule="auto"/>
        <w:jc w:val="center"/>
        <w:rPr>
          <w:rFonts w:hint="eastAsia" w:ascii="宋体" w:hAnsi="宋体" w:cs="宋体"/>
          <w:b/>
          <w:bCs/>
          <w:color w:val="auto"/>
          <w:sz w:val="44"/>
          <w:highlight w:val="none"/>
        </w:rPr>
      </w:pPr>
      <w:bookmarkStart w:id="298" w:name="_Toc80093010"/>
      <w:bookmarkStart w:id="299" w:name="_Toc25244"/>
      <w:r>
        <w:rPr>
          <w:rFonts w:hint="eastAsia" w:ascii="宋体" w:hAnsi="宋体" w:cs="宋体"/>
          <w:b/>
          <w:bCs/>
          <w:color w:val="auto"/>
          <w:sz w:val="44"/>
          <w:highlight w:val="none"/>
          <w:lang w:val="en-US" w:eastAsia="zh-CN"/>
        </w:rPr>
        <w:t>2025—2027年度中马钦州产业园区财政投资建设项目竣工财务决算协审服务框架协议采购框架协议</w:t>
      </w:r>
    </w:p>
    <w:p w14:paraId="5B6D06CE">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14:paraId="12174C2A">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14:paraId="4BBA7A32">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14:paraId="6E6E2FBE">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14:paraId="39224062">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14:paraId="1FF5618B">
      <w:pPr>
        <w:keepNext w:val="0"/>
        <w:keepLines w:val="0"/>
        <w:pageBreakBefore w:val="0"/>
        <w:widowControl w:val="0"/>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14:paraId="681B574D">
      <w:pPr>
        <w:keepNext w:val="0"/>
        <w:keepLines w:val="0"/>
        <w:pageBreakBefore w:val="0"/>
        <w:widowControl w:val="0"/>
        <w:tabs>
          <w:tab w:val="left" w:pos="7200"/>
        </w:tabs>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征集人：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rPr>
        <w:t xml:space="preserve">    </w:t>
      </w:r>
    </w:p>
    <w:p w14:paraId="5277168D">
      <w:pPr>
        <w:keepNext w:val="0"/>
        <w:keepLines w:val="0"/>
        <w:pageBreakBefore w:val="0"/>
        <w:widowControl w:val="0"/>
        <w:tabs>
          <w:tab w:val="left" w:pos="7380"/>
        </w:tabs>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入围供应商：</w:t>
      </w:r>
      <w:r>
        <w:rPr>
          <w:rFonts w:hint="eastAsia" w:ascii="宋体" w:hAnsi="宋体" w:cs="宋体"/>
          <w:b/>
          <w:color w:val="auto"/>
          <w:sz w:val="36"/>
          <w:szCs w:val="36"/>
          <w:highlight w:val="none"/>
          <w:u w:val="single"/>
        </w:rPr>
        <w:t xml:space="preserve">              </w:t>
      </w:r>
    </w:p>
    <w:p w14:paraId="0F8A3055">
      <w:pPr>
        <w:keepNext w:val="0"/>
        <w:keepLines w:val="0"/>
        <w:pageBreakBefore w:val="0"/>
        <w:widowControl w:val="0"/>
        <w:tabs>
          <w:tab w:val="left" w:pos="7380"/>
        </w:tabs>
        <w:kinsoku/>
        <w:wordWrap/>
        <w:overflowPunct/>
        <w:topLinePunct w:val="0"/>
        <w:autoSpaceDE/>
        <w:autoSpaceDN/>
        <w:bidi w:val="0"/>
        <w:adjustRightInd/>
        <w:snapToGrid/>
        <w:spacing w:line="360" w:lineRule="auto"/>
        <w:ind w:firstLine="2125" w:firstLineChars="552"/>
        <w:textAlignment w:val="auto"/>
        <w:rPr>
          <w:rFonts w:hint="eastAsia" w:ascii="宋体" w:hAnsi="宋体" w:cs="宋体"/>
          <w:b/>
          <w:color w:val="auto"/>
          <w:sz w:val="36"/>
          <w:szCs w:val="36"/>
          <w:highlight w:val="none"/>
          <w:u w:val="single"/>
        </w:rPr>
      </w:pPr>
    </w:p>
    <w:p w14:paraId="70DA4FC8">
      <w:pPr>
        <w:tabs>
          <w:tab w:val="left" w:pos="7380"/>
        </w:tabs>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rPr>
        <w:br w:type="page"/>
      </w:r>
    </w:p>
    <w:p w14:paraId="60006989">
      <w:pPr>
        <w:tabs>
          <w:tab w:val="left" w:pos="7380"/>
        </w:tabs>
        <w:spacing w:line="360" w:lineRule="auto"/>
        <w:jc w:val="center"/>
        <w:rPr>
          <w:rFonts w:hint="eastAsia" w:ascii="宋体" w:hAnsi="宋体" w:cs="宋体"/>
          <w:b/>
          <w:bCs/>
          <w:color w:val="auto"/>
          <w:sz w:val="44"/>
          <w:highlight w:val="none"/>
        </w:rPr>
      </w:pPr>
      <w:r>
        <w:rPr>
          <w:rFonts w:hint="eastAsia" w:ascii="宋体" w:hAnsi="宋体" w:cs="宋体"/>
          <w:b/>
          <w:color w:val="auto"/>
          <w:sz w:val="36"/>
          <w:szCs w:val="36"/>
          <w:highlight w:val="none"/>
        </w:rPr>
        <w:t>目  录</w:t>
      </w:r>
    </w:p>
    <w:p w14:paraId="3E8D7887">
      <w:pPr>
        <w:tabs>
          <w:tab w:val="left" w:pos="1170"/>
        </w:tabs>
        <w:spacing w:line="360" w:lineRule="auto"/>
        <w:ind w:left="401" w:leftChars="171" w:firstLine="215" w:firstLineChars="71"/>
        <w:rPr>
          <w:rFonts w:hint="eastAsia" w:ascii="宋体" w:hAnsi="宋体" w:cs="宋体"/>
          <w:color w:val="auto"/>
          <w:sz w:val="28"/>
          <w:highlight w:val="none"/>
        </w:rPr>
      </w:pPr>
    </w:p>
    <w:p w14:paraId="2245E7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一、框架协议合同文本</w:t>
      </w:r>
    </w:p>
    <w:p w14:paraId="426A07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二、合同附件</w:t>
      </w:r>
    </w:p>
    <w:p w14:paraId="45418B97">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1.中标通知书</w:t>
      </w:r>
    </w:p>
    <w:p w14:paraId="0213291B">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2.征集文件服务需求一览表</w:t>
      </w:r>
    </w:p>
    <w:p w14:paraId="297DBB29">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3.征集文件的</w:t>
      </w:r>
      <w:r>
        <w:rPr>
          <w:rFonts w:hint="eastAsia" w:hAnsi="宋体" w:cs="宋体"/>
          <w:color w:val="auto"/>
          <w:sz w:val="28"/>
          <w:highlight w:val="none"/>
        </w:rPr>
        <w:t>更改通知（如有）</w:t>
      </w:r>
    </w:p>
    <w:p w14:paraId="279D4E23">
      <w:pPr>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4.响应函</w:t>
      </w:r>
    </w:p>
    <w:p w14:paraId="76EFADFD">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5.开标一览表</w:t>
      </w:r>
    </w:p>
    <w:p w14:paraId="177B2359">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6.响应服务技术需求偏离表</w:t>
      </w:r>
    </w:p>
    <w:p w14:paraId="759F2E88">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7.商务条款偏离表</w:t>
      </w:r>
    </w:p>
    <w:p w14:paraId="3B0DBEC6">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8.中标供应商澄清函（如有请提</w:t>
      </w:r>
      <w:r>
        <w:rPr>
          <w:rFonts w:hint="eastAsia" w:hAnsi="宋体" w:cs="宋体"/>
          <w:color w:val="auto"/>
          <w:sz w:val="30"/>
          <w:szCs w:val="30"/>
          <w:highlight w:val="none"/>
        </w:rPr>
        <w:t>供</w:t>
      </w:r>
      <w:r>
        <w:rPr>
          <w:rFonts w:hint="eastAsia" w:hAnsi="宋体" w:cs="宋体"/>
          <w:color w:val="auto"/>
          <w:sz w:val="28"/>
          <w:szCs w:val="28"/>
          <w:highlight w:val="none"/>
        </w:rPr>
        <w:t>）</w:t>
      </w:r>
    </w:p>
    <w:p w14:paraId="2BD065B9">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9.人员配备一览表</w:t>
      </w:r>
    </w:p>
    <w:p w14:paraId="5521DEEC">
      <w:pPr>
        <w:pStyle w:val="18"/>
        <w:keepNext w:val="0"/>
        <w:keepLines w:val="0"/>
        <w:pageBreakBefore w:val="0"/>
        <w:widowControl w:val="0"/>
        <w:kinsoku/>
        <w:wordWrap/>
        <w:overflowPunct/>
        <w:topLinePunct w:val="0"/>
        <w:autoSpaceDE/>
        <w:autoSpaceDN/>
        <w:bidi w:val="0"/>
        <w:adjustRightInd/>
        <w:snapToGrid/>
        <w:spacing w:line="360" w:lineRule="auto"/>
        <w:ind w:firstLine="610" w:firstLineChars="200"/>
        <w:textAlignment w:val="auto"/>
        <w:rPr>
          <w:rFonts w:hint="eastAsia" w:hAnsi="宋体" w:cs="宋体"/>
          <w:color w:val="auto"/>
          <w:sz w:val="28"/>
          <w:szCs w:val="28"/>
          <w:highlight w:val="none"/>
        </w:rPr>
      </w:pPr>
      <w:r>
        <w:rPr>
          <w:rFonts w:hint="eastAsia" w:hAnsi="宋体" w:cs="宋体"/>
          <w:color w:val="auto"/>
          <w:sz w:val="28"/>
          <w:szCs w:val="28"/>
          <w:highlight w:val="none"/>
        </w:rPr>
        <w:t>10.其他与本合同相关的资料（如有请提</w:t>
      </w:r>
      <w:r>
        <w:rPr>
          <w:rFonts w:hint="eastAsia" w:hAnsi="宋体" w:cs="宋体"/>
          <w:color w:val="auto"/>
          <w:sz w:val="30"/>
          <w:szCs w:val="30"/>
          <w:highlight w:val="none"/>
        </w:rPr>
        <w:t>供</w:t>
      </w:r>
      <w:r>
        <w:rPr>
          <w:rFonts w:hint="eastAsia" w:hAnsi="宋体" w:cs="宋体"/>
          <w:color w:val="auto"/>
          <w:sz w:val="28"/>
          <w:szCs w:val="28"/>
          <w:highlight w:val="none"/>
        </w:rPr>
        <w:t>）</w:t>
      </w:r>
    </w:p>
    <w:p w14:paraId="56680015">
      <w:pPr>
        <w:rPr>
          <w:rFonts w:hint="eastAsia" w:hAnsi="宋体" w:cs="宋体"/>
          <w:color w:val="auto"/>
          <w:sz w:val="28"/>
          <w:szCs w:val="28"/>
          <w:highlight w:val="none"/>
        </w:rPr>
      </w:pPr>
      <w:r>
        <w:rPr>
          <w:rFonts w:hint="eastAsia" w:hAnsi="宋体" w:cs="宋体"/>
          <w:color w:val="auto"/>
          <w:sz w:val="28"/>
          <w:szCs w:val="28"/>
          <w:highlight w:val="none"/>
        </w:rPr>
        <w:br w:type="page"/>
      </w:r>
    </w:p>
    <w:p w14:paraId="1AB32F6D">
      <w:pPr>
        <w:snapToGrid w:val="0"/>
        <w:spacing w:line="560" w:lineRule="exact"/>
        <w:ind w:firstLine="690" w:firstLineChars="200"/>
        <w:jc w:val="center"/>
        <w:rPr>
          <w:rFonts w:hint="eastAsia" w:ascii="宋体" w:hAnsi="宋体"/>
          <w:b/>
          <w:color w:val="auto"/>
          <w:szCs w:val="21"/>
          <w:highlight w:val="none"/>
        </w:rPr>
      </w:pPr>
      <w:r>
        <w:rPr>
          <w:rFonts w:hint="eastAsia" w:ascii="方正小标宋简体" w:hAnsi="宋体" w:eastAsia="方正小标宋简体"/>
          <w:color w:val="auto"/>
          <w:sz w:val="32"/>
          <w:szCs w:val="32"/>
          <w:highlight w:val="none"/>
          <w:lang w:val="en-US" w:eastAsia="zh-CN"/>
        </w:rPr>
        <w:t>2025—2027年度中马钦州产业园区财政投资建设项目竣工财务决算协审服务框架协议采购框架协议</w:t>
      </w:r>
    </w:p>
    <w:p w14:paraId="1DFA65B1">
      <w:pPr>
        <w:keepNext w:val="0"/>
        <w:keepLines w:val="0"/>
        <w:pageBreakBefore w:val="0"/>
        <w:kinsoku/>
        <w:overflowPunct/>
        <w:topLinePunct w:val="0"/>
        <w:autoSpaceDE/>
        <w:autoSpaceDN/>
        <w:bidi w:val="0"/>
        <w:adjustRightInd/>
        <w:snapToGrid w:val="0"/>
        <w:spacing w:line="360" w:lineRule="auto"/>
        <w:textAlignment w:val="auto"/>
        <w:rPr>
          <w:rFonts w:hint="eastAsia" w:ascii="宋体" w:hAnsi="宋体" w:eastAsiaTheme="minorEastAsia"/>
          <w:color w:val="auto"/>
          <w:szCs w:val="21"/>
          <w:highlight w:val="none"/>
          <w:u w:val="single"/>
          <w:lang w:eastAsia="zh-CN"/>
        </w:rPr>
      </w:pPr>
      <w:r>
        <w:rPr>
          <w:rFonts w:hint="eastAsia" w:ascii="宋体" w:hAnsi="宋体"/>
          <w:b/>
          <w:color w:val="auto"/>
          <w:szCs w:val="21"/>
          <w:highlight w:val="none"/>
        </w:rPr>
        <w:t>征集人（</w:t>
      </w:r>
      <w:r>
        <w:rPr>
          <w:rFonts w:ascii="宋体" w:hAnsi="宋体"/>
          <w:b/>
          <w:color w:val="auto"/>
          <w:szCs w:val="21"/>
          <w:highlight w:val="none"/>
        </w:rPr>
        <w:t>甲方</w:t>
      </w:r>
      <w:r>
        <w:rPr>
          <w:rFonts w:hint="eastAsia" w:ascii="宋体" w:hAnsi="宋体"/>
          <w:b/>
          <w:color w:val="auto"/>
          <w:szCs w:val="21"/>
          <w:highlight w:val="none"/>
        </w:rPr>
        <w:t>）</w:t>
      </w:r>
      <w:r>
        <w:rPr>
          <w:rFonts w:ascii="宋体" w:hAnsi="宋体"/>
          <w:b/>
          <w:color w:val="auto"/>
          <w:szCs w:val="21"/>
          <w:highlight w:val="none"/>
        </w:rPr>
        <w:t>：</w:t>
      </w:r>
      <w:r>
        <w:rPr>
          <w:rFonts w:hint="eastAsia" w:ascii="宋体" w:hAnsi="宋体"/>
          <w:b/>
          <w:color w:val="auto"/>
          <w:szCs w:val="21"/>
          <w:highlight w:val="none"/>
          <w:lang w:val="en-US" w:eastAsia="zh-CN"/>
        </w:rPr>
        <w:t xml:space="preserve"> </w:t>
      </w:r>
    </w:p>
    <w:p w14:paraId="0E2AEB30">
      <w:pPr>
        <w:keepNext w:val="0"/>
        <w:keepLines w:val="0"/>
        <w:pageBreakBefore w:val="0"/>
        <w:kinsoku/>
        <w:overflowPunct/>
        <w:topLinePunct w:val="0"/>
        <w:autoSpaceDE/>
        <w:autoSpaceDN/>
        <w:bidi w:val="0"/>
        <w:adjustRightInd/>
        <w:snapToGrid w:val="0"/>
        <w:spacing w:line="360" w:lineRule="auto"/>
        <w:textAlignment w:val="auto"/>
        <w:rPr>
          <w:rFonts w:ascii="宋体" w:hAnsi="宋体"/>
          <w:b/>
          <w:bCs/>
          <w:color w:val="auto"/>
          <w:szCs w:val="21"/>
          <w:highlight w:val="none"/>
        </w:rPr>
      </w:pPr>
      <w:r>
        <w:rPr>
          <w:rFonts w:hint="eastAsia" w:ascii="宋体" w:hAnsi="宋体"/>
          <w:b/>
          <w:bCs/>
          <w:color w:val="auto"/>
          <w:szCs w:val="21"/>
          <w:highlight w:val="none"/>
        </w:rPr>
        <w:t>入围供应商（</w:t>
      </w:r>
      <w:r>
        <w:rPr>
          <w:rFonts w:ascii="宋体" w:hAnsi="宋体"/>
          <w:b/>
          <w:bCs/>
          <w:color w:val="auto"/>
          <w:szCs w:val="21"/>
          <w:highlight w:val="none"/>
        </w:rPr>
        <w:t>乙方</w:t>
      </w:r>
      <w:r>
        <w:rPr>
          <w:rFonts w:hint="eastAsia" w:ascii="宋体" w:hAnsi="宋体"/>
          <w:b/>
          <w:bCs/>
          <w:color w:val="auto"/>
          <w:szCs w:val="21"/>
          <w:highlight w:val="none"/>
        </w:rPr>
        <w:t>）：</w:t>
      </w:r>
      <w:r>
        <w:rPr>
          <w:rFonts w:ascii="宋体" w:hAnsi="宋体"/>
          <w:b/>
          <w:bCs/>
          <w:color w:val="auto"/>
          <w:szCs w:val="21"/>
          <w:highlight w:val="none"/>
        </w:rPr>
        <w:t xml:space="preserve"> </w:t>
      </w:r>
    </w:p>
    <w:p w14:paraId="6845359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ascii="宋体" w:hAnsi="宋体" w:cs="宋体"/>
          <w:b/>
          <w:color w:val="auto"/>
          <w:szCs w:val="20"/>
          <w:highlight w:val="none"/>
        </w:rPr>
      </w:pPr>
      <w:r>
        <w:rPr>
          <w:rFonts w:hint="eastAsia" w:ascii="宋体" w:hAnsi="宋体" w:cs="宋体"/>
          <w:color w:val="auto"/>
          <w:szCs w:val="20"/>
          <w:highlight w:val="none"/>
        </w:rPr>
        <w:t xml:space="preserve">    根据</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年</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月</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日</w:t>
      </w:r>
      <w:r>
        <w:rPr>
          <w:rFonts w:hint="eastAsia" w:ascii="宋体" w:hAnsi="宋体" w:cs="宋体"/>
          <w:color w:val="auto"/>
          <w:szCs w:val="20"/>
          <w:highlight w:val="none"/>
          <w:lang w:val="en-US" w:eastAsia="zh-CN"/>
        </w:rPr>
        <w:t>2025—2027年度中马钦州产业园区财政投资建设项目竣工财务决算协审服务框架协议采购框架协议</w:t>
      </w:r>
      <w:r>
        <w:rPr>
          <w:rFonts w:hint="eastAsia" w:ascii="宋体" w:hAnsi="宋体" w:cs="宋体"/>
          <w:color w:val="auto"/>
          <w:szCs w:val="20"/>
          <w:highlight w:val="none"/>
        </w:rPr>
        <w:t>，甲方接受乙方对本项目的响应，甲、乙双方同意签署本框架协议（以下简称框架协议）。</w:t>
      </w:r>
    </w:p>
    <w:p w14:paraId="6B7B4D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0" w:firstLineChars="200"/>
        <w:jc w:val="both"/>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一、框架协议内容</w:t>
      </w:r>
    </w:p>
    <w:p w14:paraId="6A8405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87" w:firstLineChars="250"/>
        <w:jc w:val="both"/>
        <w:textAlignment w:val="auto"/>
        <w:outlineLvl w:val="9"/>
        <w:rPr>
          <w:rFonts w:ascii="宋体" w:hAnsi="宋体" w:cs="宋体"/>
          <w:color w:val="auto"/>
          <w:szCs w:val="21"/>
          <w:highlight w:val="none"/>
        </w:rPr>
      </w:pPr>
      <w:r>
        <w:rPr>
          <w:rFonts w:hint="eastAsia" w:ascii="宋体" w:hAnsi="宋体" w:cs="宋体"/>
          <w:color w:val="auto"/>
          <w:szCs w:val="21"/>
          <w:highlight w:val="none"/>
        </w:rPr>
        <w:t>经框架协议采购，乙方</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lang w:eastAsia="zh-CN"/>
        </w:rPr>
        <w:t>2025—2027年度中马钦州产业园区财政投资建设项目竣工财务决算协审服务框架协议采购</w:t>
      </w:r>
      <w:r>
        <w:rPr>
          <w:rFonts w:hint="eastAsia" w:ascii="宋体" w:hAnsi="宋体" w:cs="宋体"/>
          <w:color w:val="auto"/>
          <w:szCs w:val="21"/>
          <w:highlight w:val="none"/>
        </w:rPr>
        <w:t>框架协议</w:t>
      </w:r>
      <w:r>
        <w:rPr>
          <w:rFonts w:hint="eastAsia" w:ascii="宋体" w:hAnsi="宋体" w:cs="宋体"/>
          <w:color w:val="auto"/>
          <w:szCs w:val="20"/>
          <w:highlight w:val="none"/>
        </w:rPr>
        <w:t>入围供应商</w:t>
      </w:r>
      <w:r>
        <w:rPr>
          <w:rFonts w:hint="eastAsia" w:ascii="宋体" w:hAnsi="宋体" w:cs="宋体"/>
          <w:color w:val="auto"/>
          <w:szCs w:val="21"/>
          <w:highlight w:val="none"/>
        </w:rPr>
        <w:t>。</w:t>
      </w:r>
      <w:r>
        <w:rPr>
          <w:rFonts w:hint="eastAsia" w:ascii="宋体" w:hAnsi="宋体" w:cs="宋体"/>
          <w:color w:val="auto"/>
          <w:highlight w:val="none"/>
        </w:rPr>
        <w:t>乙方必须服从甲方的管理和监督，在</w:t>
      </w:r>
      <w:r>
        <w:rPr>
          <w:rFonts w:hint="eastAsia" w:ascii="宋体" w:hAnsi="宋体" w:cs="宋体"/>
          <w:color w:val="auto"/>
          <w:szCs w:val="21"/>
          <w:highlight w:val="none"/>
          <w:lang w:val="en-US" w:eastAsia="zh-CN"/>
        </w:rPr>
        <w:t>园</w:t>
      </w:r>
      <w:r>
        <w:rPr>
          <w:rFonts w:hint="eastAsia" w:ascii="宋体" w:hAnsi="宋体" w:cs="宋体"/>
          <w:color w:val="auto"/>
          <w:szCs w:val="21"/>
          <w:highlight w:val="none"/>
        </w:rPr>
        <w:t>区各单位（即采购人）要求其开展</w:t>
      </w:r>
      <w:r>
        <w:rPr>
          <w:rFonts w:hint="eastAsia" w:ascii="宋体" w:hAnsi="宋体" w:cs="宋体"/>
          <w:color w:val="auto"/>
          <w:szCs w:val="21"/>
          <w:highlight w:val="none"/>
          <w:lang w:val="en-US" w:eastAsia="zh-CN"/>
        </w:rPr>
        <w:t>财政投资建设项目竣工财务决算协审服务</w:t>
      </w:r>
      <w:r>
        <w:rPr>
          <w:rFonts w:hint="eastAsia" w:ascii="宋体" w:hAnsi="宋体" w:cs="宋体"/>
          <w:color w:val="auto"/>
          <w:szCs w:val="21"/>
          <w:highlight w:val="none"/>
        </w:rPr>
        <w:t>时，</w:t>
      </w:r>
      <w:r>
        <w:rPr>
          <w:rFonts w:hint="eastAsia" w:ascii="宋体" w:hAnsi="宋体" w:cs="宋体"/>
          <w:color w:val="auto"/>
          <w:highlight w:val="none"/>
          <w:u w:val="none"/>
        </w:rPr>
        <w:t>与采购人签订</w:t>
      </w:r>
      <w:r>
        <w:rPr>
          <w:rFonts w:hint="eastAsia" w:ascii="宋体" w:hAnsi="宋体" w:cs="宋体"/>
          <w:bCs/>
          <w:color w:val="auto"/>
          <w:highlight w:val="none"/>
          <w:u w:val="none"/>
        </w:rPr>
        <w:t>采购</w:t>
      </w:r>
      <w:r>
        <w:rPr>
          <w:rFonts w:hint="eastAsia" w:ascii="宋体" w:hAnsi="宋体" w:cs="宋体"/>
          <w:color w:val="auto"/>
          <w:highlight w:val="none"/>
          <w:u w:val="none"/>
        </w:rPr>
        <w:t>合同，并</w:t>
      </w:r>
      <w:r>
        <w:rPr>
          <w:rFonts w:hint="eastAsia" w:ascii="宋体" w:hAnsi="宋体" w:cs="宋体"/>
          <w:color w:val="auto"/>
          <w:highlight w:val="none"/>
        </w:rPr>
        <w:t>服从采购人的安排，按时、保质、保量地完成</w:t>
      </w:r>
      <w:r>
        <w:rPr>
          <w:rFonts w:hint="eastAsia" w:ascii="宋体" w:hAnsi="宋体" w:cs="宋体"/>
          <w:bCs/>
          <w:color w:val="auto"/>
          <w:highlight w:val="none"/>
          <w:lang w:eastAsia="zh-CN"/>
        </w:rPr>
        <w:t>评审</w:t>
      </w:r>
      <w:r>
        <w:rPr>
          <w:rFonts w:hint="eastAsia" w:ascii="宋体" w:hAnsi="宋体" w:cs="宋体"/>
          <w:bCs/>
          <w:color w:val="auto"/>
          <w:highlight w:val="none"/>
        </w:rPr>
        <w:t>服务</w:t>
      </w:r>
      <w:r>
        <w:rPr>
          <w:rFonts w:hint="eastAsia" w:ascii="宋体" w:hAnsi="宋体" w:cs="宋体"/>
          <w:color w:val="auto"/>
          <w:highlight w:val="none"/>
        </w:rPr>
        <w:t>工作。</w:t>
      </w:r>
    </w:p>
    <w:p w14:paraId="2CE381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0" w:firstLineChars="200"/>
        <w:jc w:val="both"/>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二、框架协议有效期：</w:t>
      </w:r>
    </w:p>
    <w:p w14:paraId="4811AB3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0" w:firstLineChars="200"/>
        <w:jc w:val="both"/>
        <w:textAlignment w:val="auto"/>
        <w:outlineLvl w:val="9"/>
        <w:rPr>
          <w:rFonts w:ascii="宋体" w:hAnsi="宋体" w:cs="宋体"/>
          <w:color w:val="auto"/>
          <w:szCs w:val="21"/>
          <w:highlight w:val="none"/>
        </w:rPr>
      </w:pPr>
      <w:r>
        <w:rPr>
          <w:rFonts w:hint="eastAsia" w:ascii="宋体" w:hAnsi="宋体" w:cs="宋体"/>
          <w:color w:val="auto"/>
          <w:szCs w:val="21"/>
          <w:highlight w:val="none"/>
        </w:rPr>
        <w:t>本框架协议期限为二年，从</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日起至</w:t>
      </w:r>
      <w:r>
        <w:rPr>
          <w:rFonts w:hint="eastAsia" w:ascii="宋体" w:hAnsi="宋体" w:cs="宋体"/>
          <w:color w:val="auto"/>
          <w:szCs w:val="21"/>
          <w:highlight w:val="none"/>
          <w:u w:val="single"/>
          <w:lang w:val="en-US" w:eastAsia="zh-CN"/>
        </w:rPr>
        <w:t>2027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日止。</w:t>
      </w:r>
    </w:p>
    <w:p w14:paraId="2C5D10E9">
      <w:pPr>
        <w:keepNext w:val="0"/>
        <w:keepLines w:val="0"/>
        <w:pageBreakBefore w:val="0"/>
        <w:kinsoku/>
        <w:overflowPunct/>
        <w:topLinePunct w:val="0"/>
        <w:autoSpaceDE/>
        <w:autoSpaceDN/>
        <w:bidi w:val="0"/>
        <w:adjustRightInd/>
        <w:snapToGrid w:val="0"/>
        <w:spacing w:line="360" w:lineRule="auto"/>
        <w:ind w:left="0" w:leftChars="0" w:firstLine="470" w:firstLineChars="200"/>
        <w:textAlignment w:val="auto"/>
        <w:rPr>
          <w:rFonts w:ascii="宋体" w:hAnsi="宋体"/>
          <w:b/>
          <w:color w:val="auto"/>
          <w:szCs w:val="21"/>
          <w:highlight w:val="none"/>
        </w:rPr>
      </w:pPr>
      <w:r>
        <w:rPr>
          <w:rFonts w:ascii="宋体" w:hAnsi="宋体"/>
          <w:b/>
          <w:color w:val="auto"/>
          <w:szCs w:val="21"/>
          <w:highlight w:val="none"/>
        </w:rPr>
        <w:t>三、</w:t>
      </w:r>
      <w:r>
        <w:rPr>
          <w:rFonts w:hint="eastAsia" w:ascii="宋体" w:hAnsi="宋体"/>
          <w:b/>
          <w:color w:val="auto"/>
          <w:szCs w:val="21"/>
          <w:highlight w:val="none"/>
        </w:rPr>
        <w:t>竣工财务决算</w:t>
      </w:r>
      <w:r>
        <w:rPr>
          <w:rFonts w:hint="eastAsia" w:ascii="宋体" w:hAnsi="宋体"/>
          <w:b/>
          <w:color w:val="auto"/>
          <w:szCs w:val="21"/>
          <w:highlight w:val="none"/>
          <w:lang w:val="en-US" w:eastAsia="zh-CN"/>
        </w:rPr>
        <w:t>评审</w:t>
      </w:r>
      <w:r>
        <w:rPr>
          <w:rFonts w:hint="eastAsia" w:ascii="宋体" w:hAnsi="宋体"/>
          <w:b/>
          <w:color w:val="auto"/>
          <w:szCs w:val="21"/>
          <w:highlight w:val="none"/>
        </w:rPr>
        <w:t>服务费</w:t>
      </w:r>
    </w:p>
    <w:p w14:paraId="2A5CC662">
      <w:pPr>
        <w:pStyle w:val="18"/>
        <w:spacing w:line="360" w:lineRule="auto"/>
        <w:ind w:firstLine="410" w:firstLineChars="175"/>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甲方确定乙方为</w:t>
      </w:r>
      <w:r>
        <w:rPr>
          <w:rFonts w:hint="eastAsia" w:hAnsi="宋体" w:cs="宋体" w:eastAsiaTheme="minorEastAsia"/>
          <w:color w:val="auto"/>
          <w:kern w:val="2"/>
          <w:sz w:val="21"/>
          <w:szCs w:val="21"/>
          <w:highlight w:val="none"/>
          <w:u w:val="single"/>
          <w:lang w:val="en-US" w:eastAsia="zh-CN" w:bidi="ar-SA"/>
        </w:rPr>
        <w:t xml:space="preserve">                                </w:t>
      </w:r>
      <w:r>
        <w:rPr>
          <w:rFonts w:hint="eastAsia" w:ascii="宋体" w:hAnsi="宋体" w:cs="宋体" w:eastAsiaTheme="minorEastAsia"/>
          <w:color w:val="auto"/>
          <w:kern w:val="2"/>
          <w:sz w:val="21"/>
          <w:szCs w:val="21"/>
          <w:highlight w:val="none"/>
          <w:lang w:val="en-US" w:eastAsia="zh-CN" w:bidi="ar-SA"/>
        </w:rPr>
        <w:t>供应商。乙方须按照不</w:t>
      </w:r>
      <w:r>
        <w:rPr>
          <w:rFonts w:hint="eastAsia" w:hAnsi="宋体" w:cs="宋体" w:eastAsiaTheme="minorEastAsia"/>
          <w:color w:val="auto"/>
          <w:kern w:val="2"/>
          <w:sz w:val="21"/>
          <w:szCs w:val="21"/>
          <w:highlight w:val="none"/>
          <w:lang w:val="en-US" w:eastAsia="zh-CN" w:bidi="ar-SA"/>
        </w:rPr>
        <w:t>高</w:t>
      </w:r>
      <w:r>
        <w:rPr>
          <w:rFonts w:hint="eastAsia" w:ascii="宋体" w:hAnsi="宋体" w:cs="宋体" w:eastAsiaTheme="minorEastAsia"/>
          <w:color w:val="auto"/>
          <w:kern w:val="2"/>
          <w:sz w:val="21"/>
          <w:szCs w:val="21"/>
          <w:highlight w:val="none"/>
          <w:lang w:val="en-US" w:eastAsia="zh-CN" w:bidi="ar-SA"/>
        </w:rPr>
        <w:t>于《</w:t>
      </w:r>
      <w:r>
        <w:rPr>
          <w:rFonts w:hint="eastAsia" w:hAnsi="宋体" w:cs="宋体" w:eastAsiaTheme="minorEastAsia"/>
          <w:color w:val="auto"/>
          <w:kern w:val="2"/>
          <w:sz w:val="21"/>
          <w:szCs w:val="21"/>
          <w:highlight w:val="none"/>
          <w:lang w:val="en-US" w:eastAsia="zh-CN" w:bidi="ar-SA"/>
        </w:rPr>
        <w:t>成交</w:t>
      </w:r>
      <w:r>
        <w:rPr>
          <w:rFonts w:hint="eastAsia" w:ascii="宋体" w:hAnsi="宋体" w:cs="宋体" w:eastAsiaTheme="minorEastAsia"/>
          <w:color w:val="auto"/>
          <w:kern w:val="2"/>
          <w:sz w:val="21"/>
          <w:szCs w:val="21"/>
          <w:highlight w:val="none"/>
          <w:lang w:val="en-US" w:eastAsia="zh-CN" w:bidi="ar-SA"/>
        </w:rPr>
        <w:t>通知书》规定的费率和其他要求与甲方签定和履行本协议。</w:t>
      </w:r>
    </w:p>
    <w:p w14:paraId="68992930">
      <w:pPr>
        <w:pStyle w:val="18"/>
        <w:ind w:firstLine="420"/>
        <w:rPr>
          <w:rFonts w:hint="default" w:hAnsi="宋体" w:cs="宋体"/>
          <w:color w:val="auto"/>
          <w:highlight w:val="none"/>
        </w:rPr>
      </w:pPr>
      <w:r>
        <w:rPr>
          <w:rFonts w:hint="eastAsia" w:ascii="宋体" w:hAnsi="宋体" w:cs="宋体" w:eastAsiaTheme="minorEastAsia"/>
          <w:color w:val="auto"/>
          <w:kern w:val="2"/>
          <w:sz w:val="21"/>
          <w:szCs w:val="21"/>
          <w:highlight w:val="none"/>
          <w:lang w:val="en-US" w:eastAsia="zh-CN" w:bidi="ar-SA"/>
        </w:rPr>
        <w:t>《</w:t>
      </w:r>
      <w:r>
        <w:rPr>
          <w:rFonts w:hint="eastAsia" w:hAnsi="宋体" w:cs="宋体" w:eastAsiaTheme="minorEastAsia"/>
          <w:color w:val="auto"/>
          <w:kern w:val="2"/>
          <w:sz w:val="21"/>
          <w:szCs w:val="21"/>
          <w:highlight w:val="none"/>
          <w:lang w:val="en-US" w:eastAsia="zh-CN" w:bidi="ar-SA"/>
        </w:rPr>
        <w:t>成交</w:t>
      </w:r>
      <w:r>
        <w:rPr>
          <w:rFonts w:hint="eastAsia" w:ascii="宋体" w:hAnsi="宋体" w:cs="宋体" w:eastAsiaTheme="minorEastAsia"/>
          <w:color w:val="auto"/>
          <w:kern w:val="2"/>
          <w:sz w:val="21"/>
          <w:szCs w:val="21"/>
          <w:highlight w:val="none"/>
          <w:lang w:val="en-US" w:eastAsia="zh-CN" w:bidi="ar-SA"/>
        </w:rPr>
        <w:t>通知书》的费率为：</w:t>
      </w:r>
      <w:r>
        <w:rPr>
          <w:rFonts w:hint="eastAsia" w:hAnsi="宋体" w:cs="宋体"/>
          <w:color w:val="auto"/>
          <w:highlight w:val="none"/>
        </w:rPr>
        <w:t>竣工财务决算协审服务费计费标准如下表：</w:t>
      </w:r>
    </w:p>
    <w:tbl>
      <w:tblPr>
        <w:tblStyle w:val="33"/>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78"/>
        <w:gridCol w:w="2332"/>
        <w:gridCol w:w="2768"/>
      </w:tblGrid>
      <w:tr w14:paraId="46A5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9" w:hRule="atLeast"/>
        </w:trPr>
        <w:tc>
          <w:tcPr>
            <w:tcW w:w="4578" w:type="dxa"/>
            <w:noWrap w:val="0"/>
            <w:vAlign w:val="center"/>
          </w:tcPr>
          <w:p w14:paraId="39A9B807">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szCs w:val="21"/>
                <w:highlight w:val="none"/>
              </w:rPr>
              <w:t>项目送审投资总额M（万元）</w:t>
            </w:r>
          </w:p>
        </w:tc>
        <w:tc>
          <w:tcPr>
            <w:tcW w:w="2332" w:type="dxa"/>
            <w:noWrap w:val="0"/>
            <w:vAlign w:val="center"/>
          </w:tcPr>
          <w:p w14:paraId="2F464C8D">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计费标准（费率）‰</w:t>
            </w:r>
          </w:p>
        </w:tc>
        <w:tc>
          <w:tcPr>
            <w:tcW w:w="2768" w:type="dxa"/>
            <w:noWrap w:val="0"/>
            <w:vAlign w:val="center"/>
          </w:tcPr>
          <w:p w14:paraId="06542D11">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备注</w:t>
            </w:r>
          </w:p>
        </w:tc>
      </w:tr>
      <w:tr w14:paraId="023C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4578" w:type="dxa"/>
            <w:noWrap w:val="0"/>
            <w:vAlign w:val="center"/>
          </w:tcPr>
          <w:p w14:paraId="44FAA176">
            <w:pPr>
              <w:pStyle w:val="18"/>
              <w:keepNext w:val="0"/>
              <w:keepLines w:val="0"/>
              <w:suppressLineNumbers w:val="0"/>
              <w:spacing w:before="0" w:beforeAutospacing="0" w:after="0" w:afterAutospacing="0" w:line="360" w:lineRule="auto"/>
              <w:ind w:left="145" w:leftChars="62" w:right="0" w:firstLine="117" w:firstLineChars="50"/>
              <w:rPr>
                <w:rFonts w:hint="eastAsia" w:hAnsi="宋体" w:cs="宋体"/>
                <w:color w:val="auto"/>
                <w:highlight w:val="none"/>
              </w:rPr>
            </w:pPr>
            <w:r>
              <w:rPr>
                <w:rFonts w:hint="eastAsia" w:hAnsi="宋体" w:cs="宋体"/>
                <w:color w:val="auto"/>
                <w:highlight w:val="none"/>
              </w:rPr>
              <w:t>M≤5000</w:t>
            </w:r>
          </w:p>
        </w:tc>
        <w:tc>
          <w:tcPr>
            <w:tcW w:w="2332" w:type="dxa"/>
            <w:noWrap w:val="0"/>
            <w:vAlign w:val="center"/>
          </w:tcPr>
          <w:p w14:paraId="0DA021FD">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44</w:t>
            </w:r>
          </w:p>
        </w:tc>
        <w:tc>
          <w:tcPr>
            <w:tcW w:w="2768" w:type="dxa"/>
            <w:vMerge w:val="continue"/>
            <w:noWrap w:val="0"/>
            <w:vAlign w:val="top"/>
          </w:tcPr>
          <w:p w14:paraId="3BB82691">
            <w:pPr>
              <w:pStyle w:val="18"/>
              <w:keepNext w:val="0"/>
              <w:keepLines w:val="0"/>
              <w:suppressLineNumbers w:val="0"/>
              <w:spacing w:before="0" w:beforeAutospacing="0" w:after="0" w:afterAutospacing="0" w:line="360" w:lineRule="auto"/>
              <w:ind w:left="145" w:leftChars="62" w:right="0"/>
              <w:rPr>
                <w:rFonts w:hint="eastAsia" w:hAnsi="宋体" w:cs="宋体"/>
                <w:color w:val="auto"/>
                <w:highlight w:val="none"/>
              </w:rPr>
            </w:pPr>
          </w:p>
        </w:tc>
      </w:tr>
      <w:tr w14:paraId="2621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4578" w:type="dxa"/>
            <w:noWrap w:val="0"/>
            <w:vAlign w:val="center"/>
          </w:tcPr>
          <w:p w14:paraId="73F579F8">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5000&lt;M≤10000</w:t>
            </w:r>
          </w:p>
        </w:tc>
        <w:tc>
          <w:tcPr>
            <w:tcW w:w="2332" w:type="dxa"/>
            <w:noWrap w:val="0"/>
            <w:vAlign w:val="center"/>
          </w:tcPr>
          <w:p w14:paraId="70DF0B34">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264</w:t>
            </w:r>
          </w:p>
        </w:tc>
        <w:tc>
          <w:tcPr>
            <w:tcW w:w="2768" w:type="dxa"/>
            <w:vMerge w:val="continue"/>
            <w:noWrap w:val="0"/>
            <w:vAlign w:val="top"/>
          </w:tcPr>
          <w:p w14:paraId="6C8134D3">
            <w:pPr>
              <w:pStyle w:val="18"/>
              <w:keepNext w:val="0"/>
              <w:keepLines w:val="0"/>
              <w:suppressLineNumbers w:val="0"/>
              <w:spacing w:before="0" w:beforeAutospacing="0" w:after="0" w:afterAutospacing="0" w:line="360" w:lineRule="auto"/>
              <w:ind w:left="145" w:leftChars="62" w:right="0" w:firstLine="172" w:firstLineChars="50"/>
              <w:rPr>
                <w:rFonts w:hint="default" w:hAnsi="宋体" w:cs="宋体"/>
                <w:b/>
                <w:bCs/>
                <w:color w:val="auto"/>
                <w:sz w:val="32"/>
                <w:highlight w:val="none"/>
              </w:rPr>
            </w:pPr>
          </w:p>
        </w:tc>
      </w:tr>
      <w:tr w14:paraId="1C6A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4578" w:type="dxa"/>
            <w:noWrap w:val="0"/>
            <w:vAlign w:val="center"/>
          </w:tcPr>
          <w:p w14:paraId="7DA85563">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10000&lt;M≤50000</w:t>
            </w:r>
          </w:p>
        </w:tc>
        <w:tc>
          <w:tcPr>
            <w:tcW w:w="2332" w:type="dxa"/>
            <w:noWrap w:val="0"/>
            <w:vAlign w:val="center"/>
          </w:tcPr>
          <w:p w14:paraId="36028EDA">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w:t>
            </w:r>
            <w:r>
              <w:rPr>
                <w:rFonts w:hint="eastAsia" w:hAnsi="宋体" w:cs="宋体"/>
                <w:color w:val="auto"/>
                <w:highlight w:val="none"/>
                <w:lang w:val="en-US" w:eastAsia="zh-CN"/>
              </w:rPr>
              <w:t>0664</w:t>
            </w:r>
          </w:p>
        </w:tc>
        <w:tc>
          <w:tcPr>
            <w:tcW w:w="2768" w:type="dxa"/>
            <w:vMerge w:val="continue"/>
            <w:noWrap w:val="0"/>
            <w:vAlign w:val="top"/>
          </w:tcPr>
          <w:p w14:paraId="7EF7766A">
            <w:pPr>
              <w:pStyle w:val="18"/>
              <w:keepNext w:val="0"/>
              <w:keepLines w:val="0"/>
              <w:suppressLineNumbers w:val="0"/>
              <w:spacing w:before="0" w:beforeAutospacing="0" w:after="0" w:afterAutospacing="0" w:line="360" w:lineRule="auto"/>
              <w:ind w:left="145" w:leftChars="62" w:right="0" w:firstLine="172" w:firstLineChars="50"/>
              <w:rPr>
                <w:rFonts w:hint="default" w:hAnsi="宋体" w:cs="宋体"/>
                <w:b/>
                <w:bCs/>
                <w:color w:val="auto"/>
                <w:sz w:val="32"/>
                <w:highlight w:val="none"/>
              </w:rPr>
            </w:pPr>
          </w:p>
        </w:tc>
      </w:tr>
      <w:tr w14:paraId="4512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4578" w:type="dxa"/>
            <w:noWrap w:val="0"/>
            <w:vAlign w:val="center"/>
          </w:tcPr>
          <w:p w14:paraId="38116344">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50000&lt;M≤200000</w:t>
            </w:r>
          </w:p>
        </w:tc>
        <w:tc>
          <w:tcPr>
            <w:tcW w:w="2332" w:type="dxa"/>
            <w:noWrap w:val="0"/>
            <w:vAlign w:val="center"/>
          </w:tcPr>
          <w:p w14:paraId="606DC605">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0.0</w:t>
            </w:r>
            <w:r>
              <w:rPr>
                <w:rFonts w:hint="eastAsia" w:hAnsi="宋体" w:cs="宋体"/>
                <w:color w:val="auto"/>
                <w:highlight w:val="none"/>
                <w:lang w:val="en-US" w:eastAsia="zh-CN"/>
              </w:rPr>
              <w:t>336</w:t>
            </w:r>
          </w:p>
        </w:tc>
        <w:tc>
          <w:tcPr>
            <w:tcW w:w="2768" w:type="dxa"/>
            <w:vMerge w:val="continue"/>
            <w:noWrap w:val="0"/>
            <w:vAlign w:val="top"/>
          </w:tcPr>
          <w:p w14:paraId="4C230982">
            <w:pPr>
              <w:pStyle w:val="18"/>
              <w:keepNext w:val="0"/>
              <w:keepLines w:val="0"/>
              <w:suppressLineNumbers w:val="0"/>
              <w:spacing w:before="0" w:beforeAutospacing="0" w:after="0" w:afterAutospacing="0" w:line="360" w:lineRule="auto"/>
              <w:ind w:left="145" w:leftChars="62" w:right="0" w:firstLine="172" w:firstLineChars="50"/>
              <w:rPr>
                <w:rFonts w:hint="default" w:hAnsi="宋体" w:cs="宋体"/>
                <w:b/>
                <w:bCs/>
                <w:color w:val="auto"/>
                <w:sz w:val="32"/>
                <w:highlight w:val="none"/>
              </w:rPr>
            </w:pPr>
          </w:p>
        </w:tc>
      </w:tr>
      <w:tr w14:paraId="470E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2" w:hRule="atLeast"/>
        </w:trPr>
        <w:tc>
          <w:tcPr>
            <w:tcW w:w="4578" w:type="dxa"/>
            <w:noWrap w:val="0"/>
            <w:vAlign w:val="center"/>
          </w:tcPr>
          <w:p w14:paraId="717678A3">
            <w:pPr>
              <w:pStyle w:val="18"/>
              <w:keepNext w:val="0"/>
              <w:keepLines w:val="0"/>
              <w:suppressLineNumbers w:val="0"/>
              <w:spacing w:before="0" w:beforeAutospacing="0" w:after="0" w:afterAutospacing="0" w:line="360" w:lineRule="auto"/>
              <w:ind w:left="145" w:leftChars="62" w:right="0" w:firstLine="117" w:firstLineChars="50"/>
              <w:rPr>
                <w:rFonts w:hint="default" w:hAnsi="宋体" w:cs="宋体"/>
                <w:color w:val="auto"/>
                <w:highlight w:val="none"/>
              </w:rPr>
            </w:pPr>
            <w:r>
              <w:rPr>
                <w:rFonts w:hint="eastAsia" w:hAnsi="宋体" w:cs="宋体"/>
                <w:color w:val="auto"/>
                <w:highlight w:val="none"/>
              </w:rPr>
              <w:t>M&gt;200000</w:t>
            </w:r>
          </w:p>
        </w:tc>
        <w:tc>
          <w:tcPr>
            <w:tcW w:w="2332" w:type="dxa"/>
            <w:noWrap w:val="0"/>
            <w:vAlign w:val="center"/>
          </w:tcPr>
          <w:p w14:paraId="460B6AAD">
            <w:pPr>
              <w:pStyle w:val="18"/>
              <w:keepNext w:val="0"/>
              <w:keepLines w:val="0"/>
              <w:suppressLineNumbers w:val="0"/>
              <w:spacing w:before="0" w:beforeAutospacing="0" w:after="0" w:afterAutospacing="0" w:line="360" w:lineRule="auto"/>
              <w:ind w:left="145" w:leftChars="62" w:right="0" w:firstLine="117" w:firstLineChars="50"/>
              <w:rPr>
                <w:rFonts w:hint="default" w:hAnsi="宋体" w:eastAsia="宋体" w:cs="宋体"/>
                <w:color w:val="auto"/>
                <w:highlight w:val="none"/>
                <w:lang w:val="en-US" w:eastAsia="zh-CN"/>
              </w:rPr>
            </w:pPr>
            <w:r>
              <w:rPr>
                <w:rFonts w:hint="eastAsia" w:hAnsi="宋体" w:cs="宋体"/>
                <w:color w:val="auto"/>
                <w:highlight w:val="none"/>
              </w:rPr>
              <w:t>0.02</w:t>
            </w:r>
            <w:r>
              <w:rPr>
                <w:rFonts w:hint="eastAsia" w:hAnsi="宋体" w:cs="宋体"/>
                <w:color w:val="auto"/>
                <w:highlight w:val="none"/>
                <w:lang w:val="en-US" w:eastAsia="zh-CN"/>
              </w:rPr>
              <w:t>24</w:t>
            </w:r>
          </w:p>
        </w:tc>
        <w:tc>
          <w:tcPr>
            <w:tcW w:w="2768" w:type="dxa"/>
            <w:vMerge w:val="continue"/>
            <w:noWrap w:val="0"/>
            <w:vAlign w:val="top"/>
          </w:tcPr>
          <w:p w14:paraId="275D5495">
            <w:pPr>
              <w:pStyle w:val="18"/>
              <w:keepNext w:val="0"/>
              <w:keepLines w:val="0"/>
              <w:suppressLineNumbers w:val="0"/>
              <w:spacing w:before="0" w:beforeAutospacing="0" w:after="0" w:afterAutospacing="0" w:line="360" w:lineRule="auto"/>
              <w:ind w:left="145" w:leftChars="62" w:right="0" w:firstLine="172" w:firstLineChars="50"/>
              <w:rPr>
                <w:rFonts w:hint="default" w:hAnsi="宋体" w:cs="宋体"/>
                <w:b/>
                <w:bCs/>
                <w:color w:val="auto"/>
                <w:sz w:val="32"/>
                <w:highlight w:val="none"/>
              </w:rPr>
            </w:pPr>
          </w:p>
        </w:tc>
      </w:tr>
    </w:tbl>
    <w:p w14:paraId="565FE89F">
      <w:pPr>
        <w:pStyle w:val="132"/>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备注：</w:t>
      </w:r>
    </w:p>
    <w:p w14:paraId="1311C063">
      <w:pPr>
        <w:pStyle w:val="132"/>
        <w:spacing w:line="360" w:lineRule="auto"/>
        <w:rPr>
          <w:rFonts w:hint="eastAsia"/>
          <w:color w:val="auto"/>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竣工财务决算协审服务费实行上限封顶，协审服务费超过</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万元的，按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万元计。如按上述规定计算得出的协审服务费少于2000元的，按2000元计</w:t>
      </w:r>
      <w:r>
        <w:rPr>
          <w:rFonts w:hint="eastAsia" w:ascii="宋体" w:hAnsi="宋体" w:cs="宋体"/>
          <w:color w:val="auto"/>
          <w:highlight w:val="none"/>
        </w:rPr>
        <w:t>。</w:t>
      </w:r>
    </w:p>
    <w:p w14:paraId="248AF53B">
      <w:pPr>
        <w:spacing w:before="0" w:line="360" w:lineRule="auto"/>
        <w:ind w:left="0" w:right="0" w:firstLine="470" w:firstLineChars="200"/>
        <w:outlineLvl w:val="9"/>
        <w:rPr>
          <w:rFonts w:hint="eastAsia" w:ascii="宋体" w:hAnsi="宋体" w:cs="宋体" w:eastAsiaTheme="minorEastAsia"/>
          <w:color w:val="auto"/>
          <w:sz w:val="21"/>
          <w:szCs w:val="21"/>
          <w:highlight w:val="none"/>
        </w:rPr>
      </w:pPr>
      <w:r>
        <w:rPr>
          <w:rFonts w:hint="eastAsia" w:ascii="宋体" w:hAnsi="宋体" w:cs="宋体" w:eastAsiaTheme="minorEastAsia"/>
          <w:color w:val="auto"/>
          <w:spacing w:val="0"/>
          <w:sz w:val="21"/>
          <w:szCs w:val="21"/>
          <w:highlight w:val="none"/>
        </w:rPr>
        <w:t>（</w:t>
      </w:r>
      <w:r>
        <w:rPr>
          <w:rFonts w:hint="eastAsia" w:ascii="宋体" w:hAnsi="宋体" w:cs="宋体" w:eastAsiaTheme="minorEastAsia"/>
          <w:color w:val="auto"/>
          <w:spacing w:val="0"/>
          <w:sz w:val="21"/>
          <w:szCs w:val="21"/>
          <w:highlight w:val="none"/>
          <w:lang w:val="en-US" w:eastAsia="zh-CN"/>
        </w:rPr>
        <w:t>2</w:t>
      </w:r>
      <w:r>
        <w:rPr>
          <w:rFonts w:hint="eastAsia" w:ascii="宋体" w:hAnsi="宋体" w:cs="宋体" w:eastAsiaTheme="minorEastAsia"/>
          <w:color w:val="auto"/>
          <w:spacing w:val="0"/>
          <w:sz w:val="21"/>
          <w:szCs w:val="21"/>
          <w:highlight w:val="none"/>
        </w:rPr>
        <w:t>）因供应商自身原因中途将委托项目退回给征集人的，征集人不支付任何评审费用,且征</w:t>
      </w:r>
      <w:r>
        <w:rPr>
          <w:rFonts w:hint="eastAsia" w:ascii="宋体" w:hAnsi="宋体" w:cs="宋体" w:eastAsiaTheme="minorEastAsia"/>
          <w:color w:val="auto"/>
          <w:sz w:val="21"/>
          <w:szCs w:val="21"/>
          <w:highlight w:val="none"/>
        </w:rPr>
        <w:t xml:space="preserve"> </w:t>
      </w:r>
      <w:r>
        <w:rPr>
          <w:rFonts w:hint="eastAsia" w:ascii="宋体" w:hAnsi="宋体" w:cs="宋体" w:eastAsiaTheme="minorEastAsia"/>
          <w:color w:val="auto"/>
          <w:spacing w:val="0"/>
          <w:sz w:val="21"/>
          <w:szCs w:val="21"/>
          <w:highlight w:val="none"/>
        </w:rPr>
        <w:t>集人有权不再委托项目或依法终止该项目合同。</w:t>
      </w:r>
    </w:p>
    <w:p w14:paraId="4EA75EBF">
      <w:pPr>
        <w:keepNext w:val="0"/>
        <w:keepLines w:val="0"/>
        <w:pageBreakBefore w:val="0"/>
        <w:kinsoku/>
        <w:overflowPunct/>
        <w:topLinePunct w:val="0"/>
        <w:autoSpaceDE/>
        <w:autoSpaceDN/>
        <w:bidi w:val="0"/>
        <w:adjustRightInd/>
        <w:snapToGrid/>
        <w:spacing w:before="0" w:line="360" w:lineRule="auto"/>
        <w:ind w:left="0" w:right="0" w:firstLine="470" w:firstLineChars="200"/>
        <w:textAlignment w:val="auto"/>
        <w:outlineLvl w:val="9"/>
        <w:rPr>
          <w:rFonts w:hint="eastAsia" w:ascii="宋体" w:hAnsi="宋体" w:cs="宋体" w:eastAsiaTheme="minorEastAsia"/>
          <w:b w:val="0"/>
          <w:bCs w:val="0"/>
          <w:color w:val="auto"/>
          <w:sz w:val="21"/>
          <w:szCs w:val="21"/>
          <w:highlight w:val="none"/>
          <w:lang w:eastAsia="zh-CN"/>
        </w:rPr>
      </w:pPr>
      <w:r>
        <w:rPr>
          <w:rFonts w:hint="eastAsia" w:ascii="宋体" w:hAnsi="宋体" w:cs="宋体" w:eastAsiaTheme="minorEastAsia"/>
          <w:color w:val="auto"/>
          <w:spacing w:val="0"/>
          <w:sz w:val="21"/>
          <w:szCs w:val="21"/>
          <w:highlight w:val="none"/>
        </w:rPr>
        <w:t>（</w:t>
      </w:r>
      <w:r>
        <w:rPr>
          <w:rFonts w:hint="eastAsia" w:ascii="宋体" w:hAnsi="宋体" w:cs="宋体" w:eastAsiaTheme="minorEastAsia"/>
          <w:color w:val="auto"/>
          <w:spacing w:val="0"/>
          <w:sz w:val="21"/>
          <w:szCs w:val="21"/>
          <w:highlight w:val="none"/>
          <w:lang w:val="en-US" w:eastAsia="zh-CN"/>
        </w:rPr>
        <w:t>3</w:t>
      </w:r>
      <w:r>
        <w:rPr>
          <w:rFonts w:hint="eastAsia" w:ascii="宋体" w:hAnsi="宋体" w:cs="宋体" w:eastAsiaTheme="minorEastAsia"/>
          <w:color w:val="auto"/>
          <w:spacing w:val="0"/>
          <w:sz w:val="21"/>
          <w:szCs w:val="21"/>
          <w:highlight w:val="none"/>
        </w:rPr>
        <w:t>）因供应商自身原因未按时完成评审的，审核时间延迟7天以内的，征集人按每逾期一</w:t>
      </w:r>
      <w:r>
        <w:rPr>
          <w:rFonts w:hint="eastAsia" w:ascii="宋体" w:hAnsi="宋体" w:cs="宋体" w:eastAsiaTheme="minorEastAsia"/>
          <w:color w:val="auto"/>
          <w:sz w:val="21"/>
          <w:szCs w:val="21"/>
          <w:highlight w:val="none"/>
        </w:rPr>
        <w:t xml:space="preserve"> </w:t>
      </w:r>
      <w:r>
        <w:rPr>
          <w:rFonts w:hint="eastAsia" w:ascii="宋体" w:hAnsi="宋体" w:cs="宋体" w:eastAsiaTheme="minorEastAsia"/>
          <w:color w:val="auto"/>
          <w:spacing w:val="0"/>
          <w:sz w:val="21"/>
          <w:szCs w:val="21"/>
          <w:highlight w:val="none"/>
        </w:rPr>
        <w:t>天扣减该项目评审服务费的 10%计算；审核时间延迟7天以上的视为受托方无法完成该项目评审工作，征集人有权收回工程资料并不支付该项目的评审服务费，当年累计出现两次，征集人有权不再委托项目或依法终止该项目合同。</w:t>
      </w:r>
    </w:p>
    <w:p w14:paraId="5D02E389">
      <w:pPr>
        <w:spacing w:line="360" w:lineRule="auto"/>
        <w:ind w:firstLine="470" w:firstLineChars="200"/>
        <w:outlineLvl w:val="9"/>
        <w:rPr>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乙方的响应报价已包括</w:t>
      </w:r>
      <w:r>
        <w:rPr>
          <w:rFonts w:hint="eastAsia" w:ascii="宋体" w:hAnsi="宋体" w:cs="宋体"/>
          <w:color w:val="auto"/>
          <w:szCs w:val="21"/>
          <w:highlight w:val="none"/>
          <w:lang w:eastAsia="zh-CN"/>
        </w:rPr>
        <w:t>但不限于</w:t>
      </w:r>
      <w:r>
        <w:rPr>
          <w:rFonts w:hint="eastAsia" w:ascii="宋体" w:hAnsi="宋体" w:cs="宋体"/>
          <w:color w:val="auto"/>
          <w:szCs w:val="21"/>
          <w:highlight w:val="none"/>
        </w:rPr>
        <w:t>实施和完成</w:t>
      </w:r>
      <w:r>
        <w:rPr>
          <w:rFonts w:hint="eastAsia" w:ascii="宋体" w:hAnsi="宋体" w:cs="宋体"/>
          <w:color w:val="auto"/>
          <w:szCs w:val="21"/>
          <w:highlight w:val="none"/>
          <w:lang w:eastAsia="zh-CN"/>
        </w:rPr>
        <w:t>编制评审</w:t>
      </w:r>
      <w:r>
        <w:rPr>
          <w:rFonts w:hint="eastAsia" w:ascii="宋体" w:hAnsi="宋体" w:cs="宋体"/>
          <w:color w:val="auto"/>
          <w:szCs w:val="21"/>
          <w:highlight w:val="none"/>
        </w:rPr>
        <w:t>工作所需的劳务费、技术服务费、交通、通讯、办公场地、管理费、税费和利润</w:t>
      </w:r>
      <w:r>
        <w:rPr>
          <w:rFonts w:hint="eastAsia" w:ascii="宋体" w:hAnsi="宋体" w:cs="宋体"/>
          <w:color w:val="auto"/>
          <w:szCs w:val="21"/>
          <w:highlight w:val="none"/>
          <w:lang w:eastAsia="zh-CN"/>
        </w:rPr>
        <w:t>及</w:t>
      </w:r>
      <w:r>
        <w:rPr>
          <w:rFonts w:hint="eastAsia" w:ascii="宋体" w:hAnsi="宋体" w:cs="宋体"/>
          <w:color w:val="auto"/>
          <w:szCs w:val="21"/>
          <w:highlight w:val="none"/>
        </w:rPr>
        <w:t>政策性文件规定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合同包含的所有风险、责任等各项费用，除非上述费用在合同中另有说明，合同期内，费率不再调整</w:t>
      </w:r>
      <w:r>
        <w:rPr>
          <w:rFonts w:hint="eastAsia" w:ascii="宋体" w:hAnsi="宋体" w:cs="宋体"/>
          <w:color w:val="auto"/>
          <w:szCs w:val="21"/>
          <w:highlight w:val="none"/>
          <w:lang w:eastAsia="zh-CN"/>
        </w:rPr>
        <w:t>。</w:t>
      </w:r>
    </w:p>
    <w:p w14:paraId="45277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82"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（5）确定第二阶段成交供应商方式为</w:t>
      </w:r>
      <w:r>
        <w:rPr>
          <w:rFonts w:hint="eastAsia" w:ascii="宋体" w:hAnsi="宋体" w:eastAsia="宋体" w:cs="宋体"/>
          <w:color w:val="auto"/>
          <w:sz w:val="21"/>
          <w:szCs w:val="21"/>
          <w:highlight w:val="none"/>
        </w:rPr>
        <w:t>采购人可按</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于</w:t>
      </w:r>
      <w:r>
        <w:rPr>
          <w:rFonts w:hint="eastAsia" w:ascii="宋体" w:hAnsi="宋体" w:cs="宋体"/>
          <w:b/>
          <w:bCs/>
          <w:color w:val="auto"/>
          <w:sz w:val="21"/>
          <w:szCs w:val="21"/>
          <w:highlight w:val="none"/>
          <w:lang w:val="en-US" w:eastAsia="zh-CN"/>
        </w:rPr>
        <w:t>上述费率</w:t>
      </w:r>
      <w:r>
        <w:rPr>
          <w:rFonts w:hint="eastAsia" w:ascii="宋体" w:hAnsi="宋体" w:eastAsia="宋体" w:cs="宋体"/>
          <w:b/>
          <w:bCs/>
          <w:color w:val="auto"/>
          <w:sz w:val="21"/>
          <w:szCs w:val="21"/>
          <w:highlight w:val="none"/>
        </w:rPr>
        <w:t>直接</w:t>
      </w:r>
      <w:r>
        <w:rPr>
          <w:rFonts w:hint="eastAsia" w:ascii="宋体" w:hAnsi="宋体" w:eastAsia="宋体" w:cs="宋体"/>
          <w:b/>
          <w:bCs/>
          <w:color w:val="auto"/>
          <w:sz w:val="21"/>
          <w:szCs w:val="21"/>
          <w:highlight w:val="none"/>
          <w:lang w:val="en-US" w:eastAsia="zh-CN"/>
        </w:rPr>
        <w:t>在第一阶段入围</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合同期内，费率不再调整。采购人不再向成交供应商支付其响应报价之外的任何费用。供应商的报价已包括了实施和完成</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工作所需的劳务费、技术服务费、交通、通讯、办公场地、管理费、税费和利润等费用和政策性文件规定及合同包含的所有风险、责任等各项应有的费用。</w:t>
      </w:r>
    </w:p>
    <w:p w14:paraId="7E6D4239">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lang w:eastAsia="ar-SA"/>
        </w:rPr>
      </w:pPr>
      <w:r>
        <w:rPr>
          <w:rFonts w:hint="eastAsia" w:ascii="宋体" w:hAnsi="宋体" w:cs="宋体"/>
          <w:b/>
          <w:color w:val="auto"/>
          <w:szCs w:val="21"/>
          <w:highlight w:val="none"/>
        </w:rPr>
        <w:t>四、履约保证金</w:t>
      </w:r>
    </w:p>
    <w:p w14:paraId="41A13246">
      <w:pPr>
        <w:keepNext w:val="0"/>
        <w:keepLines w:val="0"/>
        <w:pageBreakBefore w:val="0"/>
        <w:widowControl w:val="0"/>
        <w:kinsoku/>
        <w:overflowPunct/>
        <w:topLinePunct w:val="0"/>
        <w:autoSpaceDE/>
        <w:autoSpaceDN/>
        <w:bidi w:val="0"/>
        <w:adjustRightInd/>
        <w:snapToGrid w:val="0"/>
        <w:spacing w:line="360" w:lineRule="auto"/>
        <w:ind w:left="0" w:leftChars="0" w:right="0" w:rightChars="0" w:firstLine="470" w:firstLineChars="200"/>
        <w:textAlignment w:val="auto"/>
        <w:outlineLvl w:val="9"/>
        <w:rPr>
          <w:rFonts w:hint="eastAsia" w:ascii="宋体" w:hAnsi="宋体" w:cs="宋体"/>
          <w:color w:val="auto"/>
          <w:szCs w:val="21"/>
          <w:highlight w:val="none"/>
          <w:lang w:eastAsia="zh-CN"/>
        </w:rPr>
      </w:pPr>
      <w:r>
        <w:rPr>
          <w:rFonts w:hint="eastAsia" w:ascii="宋体" w:hAnsi="宋体" w:cs="宋体"/>
          <w:color w:val="auto"/>
          <w:szCs w:val="21"/>
          <w:highlight w:val="none"/>
        </w:rPr>
        <w:t>本项目无履约保证金</w:t>
      </w:r>
      <w:r>
        <w:rPr>
          <w:rFonts w:hint="eastAsia" w:ascii="宋体" w:hAnsi="宋体" w:cs="宋体"/>
          <w:color w:val="auto"/>
          <w:szCs w:val="21"/>
          <w:highlight w:val="none"/>
          <w:lang w:eastAsia="zh-CN"/>
        </w:rPr>
        <w:t>。</w:t>
      </w:r>
    </w:p>
    <w:p w14:paraId="67D78350">
      <w:pPr>
        <w:keepNext w:val="0"/>
        <w:keepLines w:val="0"/>
        <w:pageBreakBefore w:val="0"/>
        <w:widowControl w:val="0"/>
        <w:kinsoku/>
        <w:overflowPunct/>
        <w:topLinePunct w:val="0"/>
        <w:autoSpaceDE/>
        <w:autoSpaceDN/>
        <w:bidi w:val="0"/>
        <w:adjustRightInd/>
        <w:snapToGrid w:val="0"/>
        <w:spacing w:line="360" w:lineRule="auto"/>
        <w:ind w:left="0" w:leftChars="0" w:right="0" w:rightChars="0" w:firstLine="470" w:firstLineChars="200"/>
        <w:textAlignment w:val="auto"/>
        <w:outlineLvl w:val="9"/>
        <w:rPr>
          <w:rFonts w:ascii="宋体" w:hAnsi="宋体"/>
          <w:b/>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、服务费的支付</w:t>
      </w:r>
    </w:p>
    <w:p w14:paraId="33F10EC5">
      <w:pPr>
        <w:keepNext w:val="0"/>
        <w:keepLines w:val="0"/>
        <w:pageBreakBefore w:val="0"/>
        <w:widowControl w:val="0"/>
        <w:kinsoku/>
        <w:overflowPunct/>
        <w:topLinePunct w:val="0"/>
        <w:autoSpaceDE/>
        <w:autoSpaceDN/>
        <w:bidi w:val="0"/>
        <w:adjustRightInd/>
        <w:snapToGrid w:val="0"/>
        <w:spacing w:line="360" w:lineRule="auto"/>
        <w:ind w:left="0" w:leftChars="0" w:right="0" w:rightChars="0" w:firstLine="470" w:firstLineChars="200"/>
        <w:textAlignment w:val="auto"/>
        <w:outlineLvl w:val="9"/>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服务费由乙方向采购人提交正式结算审核成果文件且经审核通过确认并提供请款函、等额增值税发票，由采购人按实支付</w:t>
      </w:r>
      <w:r>
        <w:rPr>
          <w:rFonts w:hint="eastAsia" w:ascii="宋体" w:hAnsi="宋体" w:cs="宋体"/>
          <w:color w:val="auto"/>
          <w:szCs w:val="21"/>
          <w:highlight w:val="none"/>
          <w:lang w:eastAsia="zh-CN"/>
        </w:rPr>
        <w:t>。</w:t>
      </w:r>
    </w:p>
    <w:p w14:paraId="02C829A9">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.因甲方原因中途中止</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服务工作的，由</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与乙方协商，按实际完成的比例计取并支付</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服务费，并提供相关说明报</w:t>
      </w:r>
      <w:r>
        <w:rPr>
          <w:rFonts w:hint="eastAsia" w:ascii="宋体" w:hAnsi="宋体" w:cs="宋体"/>
          <w:color w:val="auto"/>
          <w:szCs w:val="21"/>
          <w:highlight w:val="none"/>
          <w:lang w:val="en-US" w:eastAsia="zh-CN"/>
        </w:rPr>
        <w:t>中国—马来西亚钦州产业园区财政金融局</w:t>
      </w:r>
      <w:r>
        <w:rPr>
          <w:rFonts w:hint="eastAsia" w:ascii="宋体" w:hAnsi="宋体" w:cs="宋体"/>
          <w:color w:val="auto"/>
          <w:szCs w:val="21"/>
          <w:highlight w:val="none"/>
        </w:rPr>
        <w:t>备案；因乙方原因导致</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服务工作中止的，不计取</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w:t>
      </w:r>
    </w:p>
    <w:p w14:paraId="16E47102">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.合同履行期间，如乙方存在违法行为，在政府采购监督管理部门调查或被行政处罚期间，甲方可视情况中止合同</w:t>
      </w:r>
      <w:r>
        <w:rPr>
          <w:rFonts w:hint="eastAsia" w:ascii="宋体" w:hAnsi="宋体" w:eastAsia="宋体" w:cs="宋体"/>
          <w:color w:val="auto"/>
          <w:szCs w:val="21"/>
          <w:highlight w:val="none"/>
          <w:lang w:val="en-US" w:eastAsia="zh-CN"/>
        </w:rPr>
        <w:t>或者解除合同</w:t>
      </w:r>
      <w:r>
        <w:rPr>
          <w:rFonts w:hint="eastAsia" w:ascii="宋体" w:hAnsi="宋体" w:cs="宋体"/>
          <w:color w:val="auto"/>
          <w:szCs w:val="21"/>
          <w:highlight w:val="none"/>
        </w:rPr>
        <w:t>，并通知</w:t>
      </w:r>
      <w:r>
        <w:rPr>
          <w:rFonts w:hint="eastAsia" w:ascii="宋体" w:hAnsi="宋体" w:cs="宋体"/>
          <w:color w:val="auto"/>
          <w:szCs w:val="21"/>
          <w:highlight w:val="none"/>
          <w:lang w:val="en-US" w:eastAsia="zh-CN"/>
        </w:rPr>
        <w:t>中国—马来西亚钦州产业园区财政金融局</w:t>
      </w:r>
      <w:r>
        <w:rPr>
          <w:rFonts w:hint="eastAsia" w:ascii="宋体" w:hAnsi="宋体" w:cs="宋体"/>
          <w:color w:val="auto"/>
          <w:szCs w:val="21"/>
          <w:highlight w:val="none"/>
        </w:rPr>
        <w:t>延期支付服务费。</w:t>
      </w:r>
    </w:p>
    <w:p w14:paraId="5BD5BAD1">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六、适用框架协议的采购人</w:t>
      </w:r>
    </w:p>
    <w:p w14:paraId="313D7F6F">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开展</w:t>
      </w:r>
      <w:r>
        <w:rPr>
          <w:rFonts w:hint="eastAsia" w:ascii="宋体" w:hAnsi="宋体" w:cs="宋体"/>
          <w:color w:val="auto"/>
          <w:szCs w:val="21"/>
          <w:highlight w:val="none"/>
          <w:lang w:val="en-US" w:eastAsia="zh-CN"/>
        </w:rPr>
        <w:t>中国—马来西亚钦州产业园区</w:t>
      </w:r>
      <w:r>
        <w:rPr>
          <w:rFonts w:hint="eastAsia" w:ascii="宋体" w:hAnsi="宋体" w:cs="宋体"/>
          <w:color w:val="auto"/>
          <w:kern w:val="0"/>
          <w:szCs w:val="21"/>
          <w:highlight w:val="none"/>
          <w:lang w:val="zh-CN" w:eastAsia="zh-CN"/>
        </w:rPr>
        <w:t>政府投资建设项目竣工财务决算评审</w:t>
      </w:r>
      <w:r>
        <w:rPr>
          <w:rFonts w:hint="eastAsia" w:ascii="宋体" w:hAnsi="宋体" w:cs="宋体"/>
          <w:color w:val="auto"/>
          <w:kern w:val="0"/>
          <w:szCs w:val="21"/>
          <w:highlight w:val="none"/>
          <w:lang w:val="zh-CN"/>
        </w:rPr>
        <w:t>委托服务的单位可以使用本框架协议。</w:t>
      </w:r>
    </w:p>
    <w:p w14:paraId="06DD7EF0">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七、确定第二阶段成交供应商的方式</w:t>
      </w:r>
    </w:p>
    <w:p w14:paraId="79BBB099">
      <w:pPr>
        <w:kinsoku/>
        <w:topLinePunct/>
        <w:autoSpaceDE/>
        <w:autoSpaceDN/>
        <w:spacing w:line="360" w:lineRule="auto"/>
        <w:ind w:firstLine="470" w:firstLineChars="200"/>
        <w:rPr>
          <w:rFonts w:ascii="宋体" w:cs="宋体"/>
          <w:color w:val="auto"/>
          <w:highlight w:val="none"/>
        </w:rPr>
      </w:pPr>
      <w:r>
        <w:rPr>
          <w:rFonts w:hint="eastAsia" w:ascii="宋体" w:hAnsi="宋体" w:cs="宋体"/>
          <w:color w:val="auto"/>
          <w:kern w:val="0"/>
          <w:szCs w:val="21"/>
          <w:highlight w:val="none"/>
          <w:lang w:val="zh-CN"/>
        </w:rPr>
        <w:t>确定第二阶段成交供应商的主要方式为直接选定。</w:t>
      </w:r>
    </w:p>
    <w:p w14:paraId="345EA2D2">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zh-CN"/>
        </w:rPr>
        <w:t>由采购人依据项目实际情况、供应商服务质量、价格及服务便利性、用户评价等因素，从第一阶段入围供应商中直接选定。</w:t>
      </w:r>
      <w:r>
        <w:rPr>
          <w:rFonts w:hint="eastAsia" w:ascii="宋体" w:hAnsi="宋体" w:cs="宋体"/>
          <w:color w:val="auto"/>
          <w:kern w:val="0"/>
          <w:szCs w:val="21"/>
          <w:highlight w:val="none"/>
          <w:lang w:val="en-US" w:eastAsia="zh-CN"/>
        </w:rPr>
        <w:t>服务费</w:t>
      </w:r>
      <w:r>
        <w:rPr>
          <w:rFonts w:hint="eastAsia" w:ascii="宋体" w:hAnsi="宋体" w:cs="宋体" w:eastAsiaTheme="minorEastAsia"/>
          <w:color w:val="auto"/>
          <w:kern w:val="2"/>
          <w:sz w:val="21"/>
          <w:szCs w:val="21"/>
          <w:highlight w:val="none"/>
          <w:lang w:val="en-US" w:eastAsia="zh-CN" w:bidi="ar-SA"/>
        </w:rPr>
        <w:t>价格</w:t>
      </w:r>
      <w:r>
        <w:rPr>
          <w:rFonts w:hint="eastAsia" w:ascii="宋体" w:hAnsi="宋体" w:cs="宋体"/>
          <w:color w:val="auto"/>
          <w:kern w:val="2"/>
          <w:sz w:val="21"/>
          <w:szCs w:val="21"/>
          <w:highlight w:val="none"/>
          <w:lang w:val="en-US" w:eastAsia="zh-CN" w:bidi="ar-SA"/>
        </w:rPr>
        <w:t>(</w:t>
      </w:r>
      <w:r>
        <w:rPr>
          <w:rFonts w:hint="eastAsia" w:ascii="宋体" w:hAnsi="宋体" w:cs="宋体" w:eastAsiaTheme="minorEastAsia"/>
          <w:color w:val="auto"/>
          <w:kern w:val="2"/>
          <w:sz w:val="21"/>
          <w:szCs w:val="21"/>
          <w:highlight w:val="none"/>
          <w:lang w:val="en-US" w:eastAsia="zh-CN" w:bidi="ar-SA"/>
        </w:rPr>
        <w:t>费</w:t>
      </w:r>
      <w:r>
        <w:rPr>
          <w:rFonts w:hint="eastAsia" w:ascii="宋体" w:hAnsi="宋体" w:cs="宋体"/>
          <w:color w:val="auto"/>
          <w:kern w:val="2"/>
          <w:sz w:val="21"/>
          <w:szCs w:val="21"/>
          <w:highlight w:val="none"/>
          <w:lang w:val="en-US" w:eastAsia="zh-CN" w:bidi="ar-SA"/>
        </w:rPr>
        <w:t>率)不高于中标费率。</w:t>
      </w:r>
    </w:p>
    <w:p w14:paraId="39EE1D24">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八、采购合同文本</w:t>
      </w:r>
    </w:p>
    <w:p w14:paraId="0E82FF74">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详见附件。</w:t>
      </w:r>
    </w:p>
    <w:p w14:paraId="2DDF1D3A">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九、权利和义务</w:t>
      </w:r>
    </w:p>
    <w:p w14:paraId="133035A8">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1.甲方的权利和义务</w:t>
      </w:r>
    </w:p>
    <w:p w14:paraId="04FF0897">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（1）甲方有权对乙方进行管理和监督。</w:t>
      </w:r>
    </w:p>
    <w:p w14:paraId="45730DD5">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（2）甲方有权建立用户反馈和评价机制，接受采购人对乙方履行框架协议和采购合同情况的反馈与评价，作为第二阶段直接选定成交供应商的参考。</w:t>
      </w:r>
    </w:p>
    <w:p w14:paraId="70B5CCF6">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（3）甲方有权对符合框架协议第十二条约定的入围供应商进行清退，终止合同。</w:t>
      </w:r>
    </w:p>
    <w:p w14:paraId="29D7E068">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（4）甲方有权对乙方拟投入人员实行登记备案管理，并有权随时了解合作过程中乙方单位工作人员及拟投入人员的变动情况。</w:t>
      </w:r>
    </w:p>
    <w:p w14:paraId="44DB3D91">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（5）有权派出监督人员对乙方的业务开展情况和工作质量、廉政纪律执行情况等进行监督。</w:t>
      </w:r>
    </w:p>
    <w:p w14:paraId="3C8BDB67">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（6）甲方对乙方违反廉洁纪律实行“一票否决”，发现乙方有违规违纪问题可单方面解除合同并予以通报。</w:t>
      </w:r>
    </w:p>
    <w:p w14:paraId="796DF92E">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（7）甲方有义务为第二阶段合同授予提供工作便利。</w:t>
      </w:r>
    </w:p>
    <w:p w14:paraId="7EFD58FD">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2.乙方的权利和义务</w:t>
      </w:r>
    </w:p>
    <w:p w14:paraId="2E32F39D">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（1）享有本协议约定收取</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服务费用的权利。</w:t>
      </w:r>
    </w:p>
    <w:p w14:paraId="1E89397C">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（2）无正当理由，不得主动放弃入围资格或者退出框架协议。</w:t>
      </w:r>
    </w:p>
    <w:p w14:paraId="3A6910AF">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（3）乙方及其派出人员在工作中有义务接受甲方的管理指导、质量监督和考核。</w:t>
      </w:r>
    </w:p>
    <w:p w14:paraId="0021C340">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（4）有义务保守执业过程中悉知的甲方、采购人和项目业主的商业秘密。</w:t>
      </w:r>
    </w:p>
    <w:p w14:paraId="4931EFFF">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有义务将本单位员工花名册（包括姓名、年龄、性别、职务、岗位、联系方式）及拟投入人员名单（含管理与技术负责人及各专业技术人员，名单须与响应文件的拟投入人员名单完全相同，并附上通讯方式及个人详细资料，包括身份证、学历、资格证明文件的复印件）通过书面和电子文档形式报甲方登记备案，并向甲方及时上报合作过程中本单位</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员的变动情况。</w:t>
      </w:r>
    </w:p>
    <w:p w14:paraId="3A0A8E10">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color w:val="auto"/>
          <w:szCs w:val="21"/>
          <w:highlight w:val="none"/>
        </w:rPr>
        <w:t>（6）甲方对乙方的办公场所及人员进行检查时，乙方有义务积极配合。</w:t>
      </w:r>
    </w:p>
    <w:p w14:paraId="470437EB">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十、双方约定</w:t>
      </w:r>
    </w:p>
    <w:p w14:paraId="56F5C867">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1.乙方不得将采购人委托的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工作转交第三方完成。</w:t>
      </w:r>
    </w:p>
    <w:p w14:paraId="709C01A2">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2.乙方应当在服务期为甲方提供技术援助和咨询服务，解答甲方、采购人在项目评审遇到的问题，及时为甲方提出解决问题的建议。</w:t>
      </w:r>
    </w:p>
    <w:p w14:paraId="3E6C296E">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3.乙方应严格规范标准实施，不定期接受有关部门的监督检查相关计价标准等实施</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事项，遵守职业道德。对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工作中的重要事项以及</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人员的专业判断进行记录，依照相关法律法规发表专业意见，出具成果文件，并对提交的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成果的真实性、完整性、准确性负责。</w:t>
      </w:r>
    </w:p>
    <w:p w14:paraId="2DAC8741">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4.合同有效期内，甲方认为乙方实际投入的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人员不足以满足</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任务需要或认为</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人员不称职时，可向乙方发出要求增加或更换（必要时可指定）</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人员的通知，乙方在收到通知后的5天内应增加或更换相应的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人员，并报甲方登记备案，由此产生的费用由乙方自行承担。</w:t>
      </w:r>
    </w:p>
    <w:p w14:paraId="3826AF09">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u w:val="none"/>
        </w:rPr>
      </w:pPr>
      <w:r>
        <w:rPr>
          <w:rFonts w:hint="eastAsia" w:ascii="宋体" w:hAnsi="宋体" w:cs="宋体"/>
          <w:color w:val="auto"/>
          <w:szCs w:val="21"/>
          <w:highlight w:val="none"/>
          <w:u w:val="none"/>
        </w:rPr>
        <w:t>5.乙方已接受采购人委托</w:t>
      </w:r>
      <w:r>
        <w:rPr>
          <w:rFonts w:hint="eastAsia" w:ascii="宋体" w:hAnsi="宋体" w:cs="宋体"/>
          <w:color w:val="auto"/>
          <w:szCs w:val="21"/>
          <w:highlight w:val="none"/>
          <w:u w:val="none"/>
          <w:lang w:eastAsia="zh-CN"/>
        </w:rPr>
        <w:t>评审</w:t>
      </w:r>
      <w:r>
        <w:rPr>
          <w:rFonts w:hint="eastAsia" w:ascii="宋体" w:hAnsi="宋体" w:cs="宋体"/>
          <w:color w:val="auto"/>
          <w:szCs w:val="21"/>
          <w:highlight w:val="none"/>
          <w:u w:val="none"/>
        </w:rPr>
        <w:t>某工程项目</w:t>
      </w:r>
      <w:r>
        <w:rPr>
          <w:rFonts w:hint="eastAsia" w:ascii="宋体" w:hAnsi="宋体" w:cs="宋体"/>
          <w:color w:val="auto"/>
          <w:szCs w:val="21"/>
          <w:highlight w:val="none"/>
          <w:u w:val="none"/>
          <w:lang w:val="en-US" w:eastAsia="zh-CN"/>
        </w:rPr>
        <w:t>竣工财务决算</w:t>
      </w:r>
      <w:r>
        <w:rPr>
          <w:rFonts w:hint="eastAsia" w:ascii="宋体" w:hAnsi="宋体" w:cs="宋体"/>
          <w:color w:val="auto"/>
          <w:szCs w:val="21"/>
          <w:highlight w:val="none"/>
          <w:u w:val="none"/>
        </w:rPr>
        <w:t>，不能再为与该工程项目有关的供应商、项目业主或施工方提供与该工程项目结算有关的服务；如发现乙方有违规情况并经查实的，甲方有权终止合同并追究乙方违约责任。</w:t>
      </w:r>
    </w:p>
    <w:p w14:paraId="766B986C">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6.乙方可根据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任务需要，经甲方同意后增加专业技术辅助人员，并将新增专业技术辅助人员报甲方登记备案。</w:t>
      </w:r>
    </w:p>
    <w:p w14:paraId="4CBD26CC">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.甲方认为有必要时，可以约谈、询问乙方的法人代表及相关负责人，乙方不得拒绝。</w:t>
      </w:r>
    </w:p>
    <w:p w14:paraId="64D2F42C">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十一、履约验收</w:t>
      </w:r>
    </w:p>
    <w:p w14:paraId="22875C3F">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1.乙方提供不符合征集文件、响应文件和本合同规定的服务的，甲方有权拒绝接受。</w:t>
      </w:r>
    </w:p>
    <w:p w14:paraId="5A9745A1">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甲方委托第三方组织的验收项目，其验收时间以该项目验收方案确定的验收时间为准，验收结果以该项目验收报告结论为准。在验收过程中发现乙方验收不合格，可暂缓资金结算，待问题解决后，方可办理资金结算事宜。</w:t>
      </w:r>
    </w:p>
    <w:p w14:paraId="19047EEB">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3.其他未尽事宜应严格按照《关于印发广西壮族自治区政府采购项目履约验收管理办法的通知》[桂财采〔2015〕22 号]以及《财政部关于进一步加强政府采购需求和履约验收管理的指导意见》[财库〔2016〕205 号]规定执行。</w:t>
      </w:r>
    </w:p>
    <w:p w14:paraId="3F676D0D">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4.履约验收方案详见附件。</w:t>
      </w:r>
    </w:p>
    <w:p w14:paraId="5AB8678E">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、用户反馈和评价机制</w:t>
      </w:r>
    </w:p>
    <w:p w14:paraId="3ABBC46F">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b/>
          <w:color w:val="auto"/>
          <w:szCs w:val="21"/>
          <w:highlight w:val="none"/>
        </w:rPr>
      </w:pPr>
      <w:r>
        <w:rPr>
          <w:rFonts w:hint="eastAsia" w:ascii="宋体" w:hAnsi="宋体" w:cs="宋体"/>
          <w:color w:val="auto"/>
          <w:szCs w:val="21"/>
          <w:highlight w:val="none"/>
        </w:rPr>
        <w:t>框架协议将建立用户反馈和评价机制,每个竣工财务决算项目完成后采购人需按时填写中马钦州产业园区财政投资建设项目竣工财务决算评审服务单位诚信综合评价表(详见附件 3)，如诚信综合评价考核等级累计三次及以上为不合格等级，由征集人复核后报送中马钦州产业园区管委会审批，清退出本次框架协议管理范围。</w:t>
      </w:r>
    </w:p>
    <w:p w14:paraId="25763783">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、入围供应商的清退和补充规则</w:t>
      </w:r>
    </w:p>
    <w:p w14:paraId="0B9D1914">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1.乙方有下列情形之一，尚未签订框架协议的，取消其入围资格；已经签订框架协议的，解除与其签订的框架协议： </w:t>
      </w:r>
    </w:p>
    <w:p w14:paraId="5169DF8E">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（1）恶意串通谋取入围或者合同成交的； </w:t>
      </w:r>
    </w:p>
    <w:p w14:paraId="46B33B56">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（2）提供虚假材料谋取入围或者合同成交的； </w:t>
      </w:r>
    </w:p>
    <w:p w14:paraId="3BC7CA72">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（3）无正当理由拒不接受合同授予的； </w:t>
      </w:r>
    </w:p>
    <w:p w14:paraId="304AF722">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（4）不履行合同义务或者履行合同义务不符合约定，经采购人请求履行后仍不履行或者仍未按约定履行的； </w:t>
      </w:r>
    </w:p>
    <w:p w14:paraId="2C246487">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（5）框架协议有效期内，因违法行为被禁止或限制参加政府采购活动的； </w:t>
      </w:r>
    </w:p>
    <w:p w14:paraId="7CF7DC38">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（6）供应商违反职业道德，有违规违纪问题的；</w:t>
      </w:r>
    </w:p>
    <w:p w14:paraId="36AA2E4D">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（7）框架协议约定的其他情形。 </w:t>
      </w:r>
    </w:p>
    <w:p w14:paraId="7D3D4BEF">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2.补充规则：框架协议有效期内，不再补充征集供应商。</w:t>
      </w:r>
    </w:p>
    <w:p w14:paraId="18876352">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、违约责任</w:t>
      </w:r>
    </w:p>
    <w:p w14:paraId="1480C7CE">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1.甲方违约，造成乙方损失的，应按《中华人民共和国民法典》有关规定承担责任。</w:t>
      </w:r>
    </w:p>
    <w:p w14:paraId="224342FF">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2.因乙方违约造成甲方损失的，应按《中华人民共和国民法典》等相关法律法规赔偿因违约给甲方造成的损失。</w:t>
      </w:r>
    </w:p>
    <w:p w14:paraId="3D3B3179">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乙方在履约期间违反有关规定，情节严重造成不良影响的，按照有关法律法规进行处罚。并取消今后三年内参与甲方组织的同类业务投标，并给予乙方作通报处理，将乙方不良记录报送至市造价管理机构等信用体系管理机构。</w:t>
      </w:r>
    </w:p>
    <w:p w14:paraId="4348A7E8">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4.甲方将不定期的对乙方拟投入的专职</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员在岗情况进行检查，如发现乙方委派的管理及技术负责人和专业技术人员与响应文件承诺的人员不一致（增加其他专业技术辅助人员不限，但不增加服务报酬），且乙方变更人员比例超过30%的，视为乙方违约，给予乙方作通报处理，累计达3次的，清退出框架协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服务范围。</w:t>
      </w:r>
    </w:p>
    <w:p w14:paraId="37BC9B46">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5.乙方拒绝甲方约谈、询问的，甲方有权通知采购人暂停委托乙方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任务，直至乙方相关人员接受甲方约谈、询问为止。</w:t>
      </w:r>
    </w:p>
    <w:p w14:paraId="6AAB041B">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存在转委托第三方承接行为的，一经发现并复核确认即清退出本次</w:t>
      </w:r>
      <w:r>
        <w:rPr>
          <w:rFonts w:hint="eastAsia" w:ascii="宋体" w:hAnsi="宋体" w:eastAsia="宋体" w:cs="宋体"/>
          <w:color w:val="auto"/>
          <w:szCs w:val="21"/>
          <w:highlight w:val="none"/>
          <w:lang w:eastAsia="zh-CN"/>
        </w:rPr>
        <w:t>框架协议</w:t>
      </w:r>
      <w:r>
        <w:rPr>
          <w:rFonts w:hint="eastAsia" w:ascii="宋体" w:hAnsi="宋体" w:eastAsia="宋体" w:cs="宋体"/>
          <w:color w:val="auto"/>
          <w:szCs w:val="21"/>
          <w:highlight w:val="none"/>
        </w:rPr>
        <w:t>管理范围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造成甲方损失的，乙方需承担责任</w:t>
      </w:r>
      <w:r>
        <w:rPr>
          <w:rFonts w:hint="eastAsia" w:ascii="宋体" w:hAnsi="宋体" w:eastAsia="宋体" w:cs="宋体"/>
          <w:color w:val="auto"/>
          <w:szCs w:val="21"/>
          <w:highlight w:val="none"/>
        </w:rPr>
        <w:t>。</w:t>
      </w:r>
    </w:p>
    <w:p w14:paraId="4F42F256">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.对于乙方的违约行为，甲方认为有必要的，除可将其不良记录报送至市造价管理机构等信用体系管理机构外，还可以在全城区通报，也可以上报市财政局、自治区财政厅。</w:t>
      </w:r>
    </w:p>
    <w:p w14:paraId="552D4736">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、不可抗力事件处理</w:t>
      </w:r>
    </w:p>
    <w:p w14:paraId="30458797">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1.不可抗力事件发生后，应立即通知对方，并附送有关权威机构出具的证明。</w:t>
      </w:r>
    </w:p>
    <w:p w14:paraId="3771FEEE">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2.不可抗力事件延续120天以上，双方应通过友好协商，确定是否继续履行框架协议。</w:t>
      </w:r>
    </w:p>
    <w:p w14:paraId="7FF2BDDD">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、诉讼</w:t>
      </w:r>
    </w:p>
    <w:p w14:paraId="53782DD1">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双方在执行框架协议中所发生的一切争议，应通过协商解决。如协商不成，双方可就争议共同提请自治区或</w:t>
      </w:r>
      <w:r>
        <w:rPr>
          <w:rFonts w:hint="eastAsia" w:ascii="宋体" w:hAnsi="宋体" w:cs="宋体"/>
          <w:color w:val="auto"/>
          <w:szCs w:val="21"/>
          <w:highlight w:val="none"/>
          <w:lang w:val="en-US" w:eastAsia="zh-CN"/>
        </w:rPr>
        <w:t>钦州</w:t>
      </w:r>
      <w:r>
        <w:rPr>
          <w:rFonts w:hint="eastAsia" w:ascii="宋体" w:hAnsi="宋体" w:cs="宋体"/>
          <w:color w:val="auto"/>
          <w:szCs w:val="21"/>
          <w:highlight w:val="none"/>
        </w:rPr>
        <w:t>市工程造价管理机构进行裁定，也可向框架协议签订地法院起诉，框架协议签订地在此约定为</w:t>
      </w:r>
      <w:r>
        <w:rPr>
          <w:rFonts w:hint="eastAsia" w:ascii="宋体" w:hAnsi="宋体" w:cs="宋体"/>
          <w:color w:val="auto"/>
          <w:szCs w:val="21"/>
          <w:highlight w:val="none"/>
          <w:lang w:val="en-US" w:eastAsia="zh-CN"/>
        </w:rPr>
        <w:t>中国—马来西亚钦州产业园区</w:t>
      </w:r>
      <w:r>
        <w:rPr>
          <w:rFonts w:hint="eastAsia" w:ascii="宋体" w:hAnsi="宋体" w:cs="宋体"/>
          <w:color w:val="auto"/>
          <w:szCs w:val="21"/>
          <w:highlight w:val="none"/>
        </w:rPr>
        <w:t>。</w:t>
      </w:r>
    </w:p>
    <w:p w14:paraId="7E6D17B5">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、框架协议生效及其它</w:t>
      </w:r>
    </w:p>
    <w:p w14:paraId="6F5C9DFB">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1.框架协议经双方法定代表人或授权委托代理人签字并加盖单位公章后生效。</w:t>
      </w:r>
    </w:p>
    <w:p w14:paraId="41E83CE6">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2.框架协议执行中，如需修改或补充框架协议内容，由双方协商另签署书面修改或补充协议作为主框架协议不可分割的一部分。</w:t>
      </w:r>
    </w:p>
    <w:p w14:paraId="0EBB2F8D">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3.当事人一方要求变更或解除框架协议时，应当在变更或解除框架协议前5个工作日通知对方，因变更或解除框架协议使一方遭受损失的，除依法可以免除的责任外，应由责任方负责赔偿。变更或解除框架协议的通知或协议必须采取书面形式，协议未达成之前，原框架协议仍然有效。</w:t>
      </w:r>
    </w:p>
    <w:p w14:paraId="0EC5BA07">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4.下述框架协议附件为本框架协议不可分割的部分并与本框架协议具有同等效力：</w:t>
      </w:r>
    </w:p>
    <w:p w14:paraId="0012E1FD">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（1）成交通知书</w:t>
      </w:r>
    </w:p>
    <w:p w14:paraId="4C770C71">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（2）征集文件服务需求一览表</w:t>
      </w:r>
    </w:p>
    <w:p w14:paraId="4B726359">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（3）征集文件的澄清和修改（如有请提供）</w:t>
      </w:r>
    </w:p>
    <w:p w14:paraId="699F2D64">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（4）响应函</w:t>
      </w:r>
    </w:p>
    <w:p w14:paraId="58550524">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（5）开标一览表</w:t>
      </w:r>
    </w:p>
    <w:p w14:paraId="3E196CC3">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（6）响应服务技术偏离表</w:t>
      </w:r>
    </w:p>
    <w:p w14:paraId="0E0DB4B9">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（7）商务条款偏离表</w:t>
      </w:r>
    </w:p>
    <w:p w14:paraId="6F1AE209">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（8）响应文件</w:t>
      </w:r>
    </w:p>
    <w:p w14:paraId="2E3C6176">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（9）成交供应商澄清函（如有请提供）</w:t>
      </w:r>
    </w:p>
    <w:p w14:paraId="129127B1">
      <w:pPr>
        <w:keepNext w:val="0"/>
        <w:keepLines w:val="0"/>
        <w:pageBreakBefore w:val="0"/>
        <w:widowControl w:val="0"/>
        <w:kinsoku/>
        <w:overflowPunct/>
        <w:topLinePunct w:val="0"/>
        <w:autoSpaceDE/>
        <w:autoSpaceDN/>
        <w:bidi w:val="0"/>
        <w:adjustRightInd/>
        <w:spacing w:line="360" w:lineRule="auto"/>
        <w:ind w:left="0" w:leftChars="0" w:right="0" w:rightChars="0" w:firstLine="357"/>
        <w:textAlignment w:val="auto"/>
        <w:outlineLvl w:val="9"/>
        <w:rPr>
          <w:rFonts w:ascii="宋体" w:hAnsi="宋体" w:cs="宋体"/>
          <w:color w:val="auto"/>
          <w:szCs w:val="20"/>
          <w:highlight w:val="none"/>
        </w:rPr>
      </w:pPr>
      <w:r>
        <w:rPr>
          <w:rFonts w:hint="eastAsia" w:ascii="宋体" w:hAnsi="宋体" w:cs="宋体"/>
          <w:color w:val="auto"/>
          <w:szCs w:val="20"/>
          <w:highlight w:val="none"/>
        </w:rPr>
        <w:t>（12）其他与本框架协议相关的资料（如有请提供）</w:t>
      </w:r>
    </w:p>
    <w:p w14:paraId="618A5D4F">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5.本框架协议未尽事宜，遵照《中华人民共和国民法典》有关条文执行。</w:t>
      </w:r>
    </w:p>
    <w:p w14:paraId="1D414E84">
      <w:pPr>
        <w:keepNext w:val="0"/>
        <w:keepLines w:val="0"/>
        <w:pageBreakBefore w:val="0"/>
        <w:widowControl w:val="0"/>
        <w:kinsoku/>
        <w:overflowPunct/>
        <w:topLinePunct w:val="0"/>
        <w:autoSpaceDE/>
        <w:autoSpaceDN/>
        <w:bidi w:val="0"/>
        <w:adjustRightInd/>
        <w:spacing w:line="360" w:lineRule="auto"/>
        <w:ind w:left="0" w:leftChars="0" w:right="0" w:rightChars="0" w:firstLine="357" w:firstLineChars="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6.</w:t>
      </w:r>
      <w:r>
        <w:rPr>
          <w:rFonts w:hint="eastAsia" w:ascii="宋体" w:hAnsi="宋体" w:cs="宋体"/>
          <w:color w:val="auto"/>
          <w:szCs w:val="20"/>
          <w:highlight w:val="none"/>
        </w:rPr>
        <w:t>本合同正本一式两份，具有同等法律效力，甲乙双方各执一份；副本两份，采购代理机构存副本一份，并报</w:t>
      </w:r>
      <w:r>
        <w:rPr>
          <w:rFonts w:hint="eastAsia" w:ascii="宋体" w:hAnsi="宋体" w:cs="宋体"/>
          <w:color w:val="auto"/>
          <w:szCs w:val="20"/>
          <w:highlight w:val="none"/>
          <w:lang w:val="en-US" w:eastAsia="zh-CN"/>
        </w:rPr>
        <w:t>中国—马来西亚钦州产业园区财政金融局</w:t>
      </w:r>
      <w:r>
        <w:rPr>
          <w:rFonts w:hint="eastAsia" w:ascii="宋体" w:hAnsi="宋体" w:cs="宋体"/>
          <w:color w:val="auto"/>
          <w:szCs w:val="20"/>
          <w:highlight w:val="none"/>
        </w:rPr>
        <w:t>采购监督管理部门备案副本一份。</w:t>
      </w:r>
    </w:p>
    <w:p w14:paraId="12F01B73">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ascii="宋体" w:hAnsi="宋体" w:cs="宋体"/>
          <w:color w:val="auto"/>
          <w:szCs w:val="21"/>
          <w:highlight w:val="none"/>
        </w:rPr>
      </w:pPr>
    </w:p>
    <w:p w14:paraId="0401F157">
      <w:pPr>
        <w:keepNext w:val="0"/>
        <w:keepLines w:val="0"/>
        <w:pageBreakBefore w:val="0"/>
        <w:widowControl w:val="0"/>
        <w:kinsoku/>
        <w:overflowPunct/>
        <w:topLinePunct w:val="0"/>
        <w:autoSpaceDE/>
        <w:autoSpaceDN/>
        <w:bidi w:val="0"/>
        <w:adjustRightInd/>
        <w:spacing w:line="360" w:lineRule="auto"/>
        <w:ind w:left="5405" w:leftChars="0" w:right="0" w:rightChars="0" w:hanging="5405" w:hangingChars="2300"/>
        <w:textAlignment w:val="auto"/>
        <w:outlineLvl w:val="9"/>
        <w:rPr>
          <w:rFonts w:hint="default" w:ascii="宋体" w:hAnsi="宋体" w:cs="宋体" w:eastAsiaTheme="minorEastAsia"/>
          <w:color w:val="auto"/>
          <w:szCs w:val="20"/>
          <w:highlight w:val="none"/>
          <w:u w:val="single"/>
          <w:lang w:val="en-US" w:eastAsia="zh-CN"/>
        </w:rPr>
      </w:pPr>
      <w:r>
        <w:rPr>
          <w:rFonts w:hint="eastAsia" w:ascii="宋体" w:hAnsi="宋体" w:cs="宋体"/>
          <w:color w:val="auto"/>
          <w:szCs w:val="20"/>
          <w:highlight w:val="none"/>
        </w:rPr>
        <w:t>甲方：</w:t>
      </w:r>
      <w:r>
        <w:rPr>
          <w:rFonts w:hint="eastAsia" w:ascii="宋体" w:hAnsi="宋体" w:cs="宋体"/>
          <w:color w:val="auto"/>
          <w:szCs w:val="20"/>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w:t>
      </w: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乙方：</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14:paraId="06A9674C">
      <w:pPr>
        <w:keepNext w:val="0"/>
        <w:keepLines w:val="0"/>
        <w:pageBreakBefore w:val="0"/>
        <w:widowControl w:val="0"/>
        <w:kinsoku/>
        <w:overflowPunct/>
        <w:topLinePunct w:val="0"/>
        <w:autoSpaceDE/>
        <w:autoSpaceDN/>
        <w:bidi w:val="0"/>
        <w:adjustRightInd/>
        <w:spacing w:line="360" w:lineRule="auto"/>
        <w:ind w:left="0" w:leftChars="0" w:right="0" w:rightChars="0"/>
        <w:jc w:val="left"/>
        <w:textAlignment w:val="auto"/>
        <w:outlineLvl w:val="9"/>
        <w:rPr>
          <w:rFonts w:ascii="宋体" w:hAnsi="宋体" w:cs="宋体"/>
          <w:color w:val="auto"/>
          <w:szCs w:val="20"/>
          <w:highlight w:val="none"/>
        </w:rPr>
      </w:pPr>
      <w:r>
        <w:rPr>
          <w:rFonts w:hint="eastAsia" w:ascii="宋体" w:hAnsi="宋体" w:cs="宋体"/>
          <w:color w:val="auto"/>
          <w:szCs w:val="20"/>
          <w:highlight w:val="none"/>
        </w:rPr>
        <w:t>地址：</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u w:val="none"/>
          <w:lang w:val="en-US" w:eastAsia="zh-CN"/>
        </w:rPr>
        <w:t xml:space="preserve">   地址：</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14:paraId="3AEEED3D">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lang w:val="en-US" w:eastAsia="zh-CN"/>
        </w:rPr>
      </w:pPr>
      <w:r>
        <w:rPr>
          <w:rFonts w:hint="eastAsia" w:ascii="宋体" w:hAnsi="宋体" w:cs="宋体"/>
          <w:color w:val="auto"/>
          <w:szCs w:val="20"/>
          <w:highlight w:val="none"/>
        </w:rPr>
        <w:t>法定代表人：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法定代表人：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14:paraId="66568123">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lang w:val="en-US" w:eastAsia="zh-CN"/>
        </w:rPr>
      </w:pPr>
      <w:r>
        <w:rPr>
          <w:rFonts w:hint="eastAsia" w:ascii="宋体" w:hAnsi="宋体" w:cs="宋体"/>
          <w:color w:val="auto"/>
          <w:szCs w:val="20"/>
          <w:highlight w:val="none"/>
        </w:rPr>
        <w:t>委托代理人：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委托代理人：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14:paraId="60C4C32B">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lang w:val="en-US" w:eastAsia="zh-CN"/>
        </w:rPr>
      </w:pPr>
      <w:r>
        <w:rPr>
          <w:rFonts w:hint="eastAsia" w:ascii="宋体" w:hAnsi="宋体" w:cs="宋体"/>
          <w:color w:val="auto"/>
          <w:szCs w:val="20"/>
          <w:highlight w:val="none"/>
        </w:rPr>
        <w:t>电话：</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电话：</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14:paraId="4D268791">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lang w:val="en-US" w:eastAsia="zh-CN"/>
        </w:rPr>
      </w:pPr>
      <w:r>
        <w:rPr>
          <w:rFonts w:hint="eastAsia" w:ascii="宋体" w:hAnsi="宋体" w:cs="宋体"/>
          <w:color w:val="auto"/>
          <w:szCs w:val="20"/>
          <w:highlight w:val="none"/>
        </w:rPr>
        <w:t>传真：</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传真：</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14:paraId="3523C556">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eastAsiaTheme="minorEastAsia"/>
          <w:color w:val="auto"/>
          <w:szCs w:val="20"/>
          <w:highlight w:val="none"/>
          <w:u w:val="single"/>
          <w:lang w:val="en-US" w:eastAsia="zh-CN"/>
        </w:rPr>
      </w:pPr>
      <w:r>
        <w:rPr>
          <w:rFonts w:hint="eastAsia" w:ascii="宋体" w:hAnsi="宋体" w:cs="宋体"/>
          <w:color w:val="auto"/>
          <w:szCs w:val="20"/>
          <w:highlight w:val="none"/>
        </w:rPr>
        <w:t>邮政编码：</w:t>
      </w:r>
      <w:r>
        <w:rPr>
          <w:rFonts w:hint="eastAsia" w:ascii="宋体" w:hAnsi="宋体" w:cs="宋体"/>
          <w:color w:val="auto"/>
          <w:szCs w:val="20"/>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0"/>
          <w:highlight w:val="none"/>
          <w:u w:val="single"/>
        </w:rPr>
        <w:t xml:space="preserve">              </w:t>
      </w:r>
      <w:r>
        <w:rPr>
          <w:rFonts w:ascii="宋体" w:hAnsi="宋体" w:cs="宋体"/>
          <w:color w:val="auto"/>
          <w:szCs w:val="20"/>
          <w:highlight w:val="none"/>
          <w:u w:val="single"/>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 xml:space="preserve">   邮政编码：</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u w:val="single"/>
          <w:lang w:val="en-US" w:eastAsia="zh-CN"/>
        </w:rPr>
        <w:t xml:space="preserve"> </w:t>
      </w:r>
    </w:p>
    <w:p w14:paraId="5FAB892B">
      <w:pPr>
        <w:keepNext w:val="0"/>
        <w:keepLines w:val="0"/>
        <w:pageBreakBefore w:val="0"/>
        <w:widowControl w:val="0"/>
        <w:kinsoku/>
        <w:overflowPunct/>
        <w:topLinePunct w:val="0"/>
        <w:autoSpaceDE/>
        <w:autoSpaceDN/>
        <w:bidi w:val="0"/>
        <w:adjustRightInd/>
        <w:spacing w:line="360" w:lineRule="auto"/>
        <w:ind w:right="0" w:rightChars="0" w:firstLine="5405" w:firstLineChars="2300"/>
        <w:textAlignment w:val="auto"/>
        <w:outlineLvl w:val="9"/>
        <w:rPr>
          <w:rFonts w:hint="default" w:ascii="宋体" w:hAnsi="宋体" w:cs="宋体"/>
          <w:color w:val="auto"/>
          <w:szCs w:val="20"/>
          <w:highlight w:val="none"/>
          <w:lang w:val="en-US"/>
        </w:rPr>
      </w:pPr>
      <w:r>
        <w:rPr>
          <w:rFonts w:hint="eastAsia" w:ascii="宋体" w:hAnsi="宋体" w:cs="宋体"/>
          <w:color w:val="auto"/>
          <w:szCs w:val="20"/>
          <w:highlight w:val="none"/>
          <w:u w:val="none"/>
        </w:rPr>
        <w:t>开户银行：</w:t>
      </w:r>
      <w:r>
        <w:rPr>
          <w:rFonts w:hint="eastAsia" w:ascii="宋体" w:hAnsi="宋体" w:cs="宋体"/>
          <w:color w:val="auto"/>
          <w:szCs w:val="20"/>
          <w:highlight w:val="none"/>
          <w:u w:val="single"/>
          <w:lang w:val="en-US" w:eastAsia="zh-CN"/>
        </w:rPr>
        <w:t xml:space="preserve">                                </w:t>
      </w:r>
    </w:p>
    <w:p w14:paraId="345EED9E">
      <w:pPr>
        <w:keepNext w:val="0"/>
        <w:keepLines w:val="0"/>
        <w:pageBreakBefore w:val="0"/>
        <w:widowControl w:val="0"/>
        <w:kinsoku/>
        <w:overflowPunct/>
        <w:topLinePunct w:val="0"/>
        <w:autoSpaceDE/>
        <w:autoSpaceDN/>
        <w:bidi w:val="0"/>
        <w:adjustRightInd/>
        <w:spacing w:line="360" w:lineRule="auto"/>
        <w:ind w:left="0" w:leftChars="0" w:right="0" w:rightChars="0" w:firstLine="5405" w:firstLineChars="2300"/>
        <w:jc w:val="both"/>
        <w:textAlignment w:val="auto"/>
        <w:outlineLvl w:val="9"/>
        <w:rPr>
          <w:rFonts w:hint="default" w:ascii="宋体" w:hAnsi="宋体" w:cs="宋体"/>
          <w:color w:val="auto"/>
          <w:szCs w:val="20"/>
          <w:highlight w:val="none"/>
          <w:lang w:val="en-US"/>
        </w:rPr>
      </w:pPr>
      <w:r>
        <w:rPr>
          <w:rFonts w:hint="eastAsia" w:ascii="宋体" w:hAnsi="宋体" w:cs="宋体"/>
          <w:color w:val="auto"/>
          <w:szCs w:val="20"/>
          <w:highlight w:val="none"/>
          <w:u w:val="none"/>
        </w:rPr>
        <w:t>开户名称：</w:t>
      </w:r>
      <w:r>
        <w:rPr>
          <w:rFonts w:hint="eastAsia" w:ascii="宋体" w:hAnsi="宋体" w:cs="宋体"/>
          <w:color w:val="auto"/>
          <w:szCs w:val="20"/>
          <w:highlight w:val="none"/>
          <w:u w:val="single"/>
          <w:lang w:val="en-US" w:eastAsia="zh-CN"/>
        </w:rPr>
        <w:t xml:space="preserve">                                </w:t>
      </w:r>
    </w:p>
    <w:p w14:paraId="2AC77158">
      <w:pPr>
        <w:keepNext w:val="0"/>
        <w:keepLines w:val="0"/>
        <w:pageBreakBefore w:val="0"/>
        <w:widowControl w:val="0"/>
        <w:kinsoku/>
        <w:overflowPunct/>
        <w:topLinePunct w:val="0"/>
        <w:autoSpaceDE/>
        <w:autoSpaceDN/>
        <w:bidi w:val="0"/>
        <w:adjustRightInd/>
        <w:spacing w:line="360" w:lineRule="auto"/>
        <w:ind w:left="0" w:leftChars="0" w:right="0" w:rightChars="0" w:firstLine="5405" w:firstLineChars="2300"/>
        <w:jc w:val="both"/>
        <w:textAlignment w:val="auto"/>
        <w:outlineLvl w:val="9"/>
        <w:rPr>
          <w:rFonts w:hint="default" w:ascii="宋体" w:hAnsi="宋体" w:cs="宋体"/>
          <w:color w:val="auto"/>
          <w:szCs w:val="20"/>
          <w:highlight w:val="none"/>
          <w:u w:val="single"/>
          <w:lang w:val="en-US"/>
        </w:rPr>
      </w:pPr>
      <w:r>
        <w:rPr>
          <w:rFonts w:hint="eastAsia" w:ascii="宋体" w:hAnsi="宋体" w:cs="宋体"/>
          <w:color w:val="auto"/>
          <w:szCs w:val="20"/>
          <w:highlight w:val="none"/>
          <w:u w:val="none"/>
        </w:rPr>
        <w:t>银行账号：</w:t>
      </w:r>
      <w:r>
        <w:rPr>
          <w:rFonts w:hint="eastAsia" w:ascii="宋体" w:hAnsi="宋体" w:cs="宋体"/>
          <w:color w:val="auto"/>
          <w:szCs w:val="20"/>
          <w:highlight w:val="none"/>
          <w:u w:val="single"/>
          <w:lang w:val="en-US" w:eastAsia="zh-CN"/>
        </w:rPr>
        <w:t xml:space="preserve">                                </w:t>
      </w:r>
    </w:p>
    <w:p w14:paraId="0459812F">
      <w:pPr>
        <w:keepNext w:val="0"/>
        <w:keepLines w:val="0"/>
        <w:pageBreakBefore w:val="0"/>
        <w:widowControl w:val="0"/>
        <w:kinsoku/>
        <w:overflowPunct/>
        <w:topLinePunct w:val="0"/>
        <w:autoSpaceDE/>
        <w:autoSpaceDN/>
        <w:bidi w:val="0"/>
        <w:adjustRightInd/>
        <w:spacing w:line="360" w:lineRule="auto"/>
        <w:ind w:left="0" w:leftChars="0" w:right="0" w:rightChars="0"/>
        <w:textAlignment w:val="auto"/>
        <w:outlineLvl w:val="9"/>
        <w:rPr>
          <w:rFonts w:hint="eastAsia" w:ascii="宋体" w:hAnsi="宋体" w:cs="宋体"/>
          <w:color w:val="auto"/>
          <w:highlight w:val="none"/>
        </w:rPr>
      </w:pPr>
      <w:r>
        <w:rPr>
          <w:rFonts w:hint="eastAsia" w:ascii="宋体" w:hAnsi="宋体" w:cs="宋体"/>
          <w:color w:val="auto"/>
          <w:highlight w:val="none"/>
        </w:rPr>
        <w:t>合同签订日期：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             合同签订日期：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77358FB9">
      <w:pPr>
        <w:keepNext w:val="0"/>
        <w:keepLines w:val="0"/>
        <w:pageBreakBefore w:val="0"/>
        <w:widowControl w:val="0"/>
        <w:kinsoku/>
        <w:overflowPunct/>
        <w:topLinePunct w:val="0"/>
        <w:autoSpaceDE/>
        <w:autoSpaceDN/>
        <w:bidi w:val="0"/>
        <w:adjustRightInd/>
        <w:spacing w:line="360" w:lineRule="auto"/>
        <w:ind w:left="0" w:leftChars="0" w:right="0" w:rightChars="0"/>
        <w:jc w:val="both"/>
        <w:textAlignment w:val="auto"/>
        <w:outlineLvl w:val="9"/>
        <w:rPr>
          <w:rFonts w:hint="eastAsia" w:ascii="宋体" w:hAnsi="宋体" w:cs="宋体"/>
          <w:color w:val="auto"/>
          <w:highlight w:val="none"/>
        </w:rPr>
      </w:pPr>
      <w:r>
        <w:rPr>
          <w:rFonts w:hint="eastAsia" w:ascii="宋体" w:hAnsi="宋体" w:cs="宋体"/>
          <w:color w:val="auto"/>
          <w:highlight w:val="none"/>
        </w:rPr>
        <w:t>合同签订地点：</w:t>
      </w:r>
    </w:p>
    <w:p w14:paraId="49AF3587">
      <w:pPr>
        <w:rPr>
          <w:rFonts w:hint="eastAsia" w:ascii="宋体" w:hAnsi="宋体" w:cs="宋体"/>
          <w:color w:val="auto"/>
          <w:highlight w:val="none"/>
        </w:rPr>
      </w:pPr>
      <w:r>
        <w:rPr>
          <w:rFonts w:hint="eastAsia" w:ascii="宋体" w:hAnsi="宋体" w:cs="宋体"/>
          <w:color w:val="auto"/>
          <w:highlight w:val="none"/>
        </w:rPr>
        <w:br w:type="page"/>
      </w:r>
    </w:p>
    <w:p w14:paraId="0FDF0612">
      <w:pPr>
        <w:tabs>
          <w:tab w:val="left" w:pos="2472"/>
        </w:tabs>
        <w:spacing w:line="460" w:lineRule="exact"/>
        <w:jc w:val="center"/>
        <w:rPr>
          <w:rFonts w:hint="eastAsia" w:ascii="宋体" w:hAnsi="宋体" w:eastAsia="宋体" w:cs="宋体"/>
          <w:b/>
          <w:color w:val="auto"/>
          <w:sz w:val="36"/>
          <w:szCs w:val="20"/>
          <w:highlight w:val="none"/>
        </w:rPr>
      </w:pPr>
    </w:p>
    <w:p w14:paraId="58CA5C1F">
      <w:pPr>
        <w:keepNext w:val="0"/>
        <w:keepLines w:val="0"/>
        <w:widowControl/>
        <w:suppressLineNumbers w:val="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lang w:val="en-US" w:eastAsia="zh-CN"/>
        </w:rPr>
        <w:t>附件</w:t>
      </w:r>
      <w:r>
        <w:rPr>
          <w:rFonts w:hint="eastAsia" w:ascii="宋体" w:hAnsi="宋体" w:eastAsia="宋体" w:cs="宋体"/>
          <w:b/>
          <w:bCs w:val="0"/>
          <w:color w:val="auto"/>
          <w:kern w:val="2"/>
          <w:sz w:val="36"/>
          <w:szCs w:val="20"/>
          <w:highlight w:val="none"/>
          <w:lang w:val="en-US" w:eastAsia="zh-CN" w:bidi="ar"/>
        </w:rPr>
        <w:t>履约验收方案</w:t>
      </w:r>
    </w:p>
    <w:p w14:paraId="036BEB83">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28831B63">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1.履约验收工作参加人员 </w:t>
      </w:r>
    </w:p>
    <w:p w14:paraId="615C95FC">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1.1 履约验收主体单位： </w:t>
      </w:r>
    </w:p>
    <w:p w14:paraId="03ABCC22">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采购人或采购人委托的机构 </w:t>
      </w:r>
    </w:p>
    <w:p w14:paraId="6791E3EB">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1.2 履约验收参加人员 ：</w:t>
      </w:r>
    </w:p>
    <w:p w14:paraId="532D1C5C">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采购人代表、委托机构代表、成交供应商代表及采购人邀请的其他人员 </w:t>
      </w:r>
    </w:p>
    <w:p w14:paraId="0E1BABAE">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2.履约验收时间：</w:t>
      </w:r>
      <w:r>
        <w:rPr>
          <w:rFonts w:hint="eastAsia" w:ascii="宋体" w:hAnsi="宋体" w:eastAsia="宋体" w:cs="宋体"/>
          <w:color w:val="auto"/>
          <w:kern w:val="0"/>
          <w:sz w:val="24"/>
          <w:szCs w:val="24"/>
          <w:highlight w:val="none"/>
          <w:lang w:val="en-US" w:eastAsia="zh-CN" w:bidi="ar"/>
        </w:rPr>
        <w:t xml:space="preserve">   年 </w:t>
      </w:r>
      <w:r>
        <w:rPr>
          <w:rFonts w:hint="eastAsia" w:eastAsia="宋体"/>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bidi="ar"/>
        </w:rPr>
        <w:t xml:space="preserve">月 </w:t>
      </w:r>
      <w:r>
        <w:rPr>
          <w:rFonts w:hint="eastAsia" w:eastAsia="宋体"/>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bidi="ar"/>
        </w:rPr>
        <w:t xml:space="preserve">日 </w:t>
      </w:r>
    </w:p>
    <w:p w14:paraId="3A25BF9E">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3.履约验收地点： </w:t>
      </w:r>
    </w:p>
    <w:p w14:paraId="4C7ECAB0">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4.履约验收方式：</w:t>
      </w:r>
      <w:r>
        <w:rPr>
          <w:rFonts w:hint="eastAsia" w:ascii="宋体" w:hAnsi="宋体" w:eastAsia="宋体" w:cs="宋体"/>
          <w:color w:val="auto"/>
          <w:kern w:val="0"/>
          <w:sz w:val="24"/>
          <w:szCs w:val="24"/>
          <w:highlight w:val="none"/>
          <w:lang w:val="en-US" w:eastAsia="zh-CN" w:bidi="ar"/>
        </w:rPr>
        <w:t xml:space="preserve">采购人自行验收 </w:t>
      </w:r>
    </w:p>
    <w:p w14:paraId="37D0AC34">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5.履约验收程序 </w:t>
      </w:r>
    </w:p>
    <w:p w14:paraId="7C7FDC4E">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5.1 成立验收小组 </w:t>
      </w:r>
    </w:p>
    <w:p w14:paraId="1FADD02F">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5.2 量化验收标准 </w:t>
      </w:r>
    </w:p>
    <w:p w14:paraId="1A3761BB">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5.3 组织验收 </w:t>
      </w:r>
    </w:p>
    <w:p w14:paraId="5A5A79B0">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5.4 出具验收报告 </w:t>
      </w:r>
    </w:p>
    <w:p w14:paraId="4B7CA63F">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5.5 验收结果公告 </w:t>
      </w:r>
    </w:p>
    <w:p w14:paraId="1EBF07EB">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5.6 验收资料归档 </w:t>
      </w:r>
    </w:p>
    <w:p w14:paraId="1D7BEB67">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采购合同项目完成验收后，采购人整理好验收原始记录等资料后妥善保管，不得变造、隐匿或者销毁，验收资料保存期为采购结束之日起至少保存15年。 </w:t>
      </w:r>
    </w:p>
    <w:p w14:paraId="72788971">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6.履约验收内容 </w:t>
      </w:r>
    </w:p>
    <w:p w14:paraId="4602E03C">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对采购服务的人员选派及工作合法合规性、服务成果质量、完成时限、服务态度、人员配备情况等进行验收，按《2025—2027年度中马钦州产业园区财政投资建设项目竣工财务决算协审服务框架协议采购单位诚信综合评价表》执行。 </w:t>
      </w:r>
    </w:p>
    <w:p w14:paraId="5C18B128">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7.履约验收标准 </w:t>
      </w:r>
    </w:p>
    <w:p w14:paraId="2EF1C2C4">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验收标准： </w:t>
      </w:r>
    </w:p>
    <w:p w14:paraId="6DD7A190">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（1）成交供应商应提供完备的技术或服务资料等。</w:t>
      </w:r>
    </w:p>
    <w:p w14:paraId="2F4B1BE6">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验收合格条件如下：</w:t>
      </w:r>
    </w:p>
    <w:p w14:paraId="4C854044">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服务技术参数与响应文件中响应表或证明材料一致，性能或指标达到规定的标准。</w:t>
      </w:r>
    </w:p>
    <w:p w14:paraId="4D8AA3A8">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否则，以实际服务技术参数与响应文件响应表参数或证明材料比较，按如下情况处理：</w:t>
      </w:r>
    </w:p>
    <w:p w14:paraId="457F9DFD">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①供应商响应文件响应表或证明材料中满足或优于的技术参数，在验收时实际不满足技术参数要求的，视为供货商违约，采购人有权终止合同，并追究供应商责任，同时报财政部门备案。</w:t>
      </w:r>
    </w:p>
    <w:p w14:paraId="40C4594D">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②供应商响应文件响应表或证明材料中优于的技术参数，在验收时实际仅满足并未优于技术参数要求的，视为供货商违约，采购人有权终止合同，并追究供应商责任，同时报财政部门备案。</w:t>
      </w:r>
    </w:p>
    <w:p w14:paraId="0663C035">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③供应商响应文件响应表或证明材料中满足的技术参数，在验收时实际优于技术参数的要求，以满足技术参数的要求验收。</w:t>
      </w:r>
    </w:p>
    <w:p w14:paraId="128E1546">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④供应商响应文件响应表或证明材料中优于的技术参数，在验收时实际也优于技术参数的要求，但没有达到响应表或证明材料中优于的程度，由采购人与供应商协商按是否满足要求验收。</w:t>
      </w:r>
    </w:p>
    <w:p w14:paraId="7BC677CF">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⑤实际投入人员与响应拟投入人员不一致的，验收时不论实际是优于还是满足技术参数的要求，采购人均有权终止合同。如影响服务的使用、质量、档次及采购人需求的，</w:t>
      </w:r>
    </w:p>
    <w:p w14:paraId="27FB39AF">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还可视为供货商违约，追究供应商责任，同时报财政部门备案。</w:t>
      </w:r>
    </w:p>
    <w:p w14:paraId="66F11093">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（2）技术资料、评审报告等资料齐全。 </w:t>
      </w:r>
    </w:p>
    <w:p w14:paraId="1519369D">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（3）在服务期间所出现的问题得到解决，并工作正常。 </w:t>
      </w:r>
    </w:p>
    <w:p w14:paraId="6DE2A163">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（4）在规定时间内完成服务及验收，并经采购人确认。 </w:t>
      </w:r>
    </w:p>
    <w:p w14:paraId="14FFD234">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（5）服务在符合采购人要求后，才作为最终验收。 </w:t>
      </w:r>
    </w:p>
    <w:p w14:paraId="33A53BEE">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（6）成交供应商提供的服务未达到征集文件规定要求，且对采购人造成损失的， 由成交供应商承担一切责任，并赔偿所造成的损失。 </w:t>
      </w:r>
    </w:p>
    <w:p w14:paraId="654B2EE3">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（7）采购人需要其他有关单位对成交供应商交付的产品或服务进行确认的，相关配合事项由成交供应商与其他有关单位协调。 </w:t>
      </w:r>
    </w:p>
    <w:p w14:paraId="610BC6A6">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（8）政府采购合同约定的其他要求及响应文件响应的其他标准。 </w:t>
      </w:r>
    </w:p>
    <w:p w14:paraId="4BE450B6">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8.履约验收其他</w:t>
      </w:r>
    </w:p>
    <w:p w14:paraId="685D8545">
      <w:pPr>
        <w:keepNext w:val="0"/>
        <w:keepLines w:val="0"/>
        <w:pageBreakBefore w:val="0"/>
        <w:widowControl/>
        <w:suppressLineNumbers w:val="0"/>
        <w:kinsoku/>
        <w:wordWrap/>
        <w:overflowPunct/>
        <w:topLinePunct w:val="0"/>
        <w:autoSpaceDE/>
        <w:autoSpaceDN/>
        <w:bidi w:val="0"/>
        <w:adjustRightInd/>
        <w:snapToGrid/>
        <w:spacing w:line="360" w:lineRule="auto"/>
        <w:ind w:firstLine="530" w:firstLineChars="200"/>
        <w:jc w:val="left"/>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无</w:t>
      </w:r>
    </w:p>
    <w:p w14:paraId="2346D03C">
      <w:pPr>
        <w:tabs>
          <w:tab w:val="left" w:pos="2472"/>
        </w:tabs>
        <w:spacing w:line="460" w:lineRule="exact"/>
        <w:jc w:val="center"/>
        <w:rPr>
          <w:rFonts w:hint="eastAsia" w:ascii="宋体" w:hAnsi="宋体" w:eastAsia="宋体" w:cs="宋体"/>
          <w:b/>
          <w:color w:val="auto"/>
          <w:sz w:val="36"/>
          <w:szCs w:val="20"/>
          <w:highlight w:val="none"/>
          <w:lang w:val="en-US" w:eastAsia="zh-CN"/>
        </w:rPr>
      </w:pPr>
    </w:p>
    <w:p w14:paraId="44B9009F">
      <w:pPr>
        <w:tabs>
          <w:tab w:val="left" w:pos="2472"/>
        </w:tabs>
        <w:spacing w:line="460" w:lineRule="exact"/>
        <w:jc w:val="center"/>
        <w:rPr>
          <w:rFonts w:ascii="宋体" w:hAnsi="宋体" w:eastAsia="宋体" w:cs="宋体"/>
          <w:b/>
          <w:color w:val="auto"/>
          <w:sz w:val="36"/>
          <w:szCs w:val="20"/>
          <w:highlight w:val="none"/>
        </w:rPr>
      </w:pPr>
    </w:p>
    <w:p w14:paraId="59D69963">
      <w:pPr>
        <w:tabs>
          <w:tab w:val="left" w:pos="2472"/>
        </w:tabs>
        <w:spacing w:line="460" w:lineRule="exact"/>
        <w:jc w:val="center"/>
        <w:rPr>
          <w:rFonts w:ascii="宋体" w:hAnsi="宋体" w:eastAsia="宋体" w:cs="宋体"/>
          <w:b/>
          <w:color w:val="auto"/>
          <w:sz w:val="36"/>
          <w:szCs w:val="20"/>
          <w:highlight w:val="none"/>
        </w:rPr>
      </w:pPr>
    </w:p>
    <w:p w14:paraId="172FF1C8">
      <w:pPr>
        <w:tabs>
          <w:tab w:val="left" w:pos="2472"/>
        </w:tabs>
        <w:spacing w:line="460" w:lineRule="exact"/>
        <w:jc w:val="center"/>
        <w:rPr>
          <w:rFonts w:ascii="宋体" w:hAnsi="宋体" w:eastAsia="宋体" w:cs="宋体"/>
          <w:b/>
          <w:color w:val="auto"/>
          <w:sz w:val="36"/>
          <w:szCs w:val="20"/>
          <w:highlight w:val="none"/>
        </w:rPr>
      </w:pPr>
    </w:p>
    <w:p w14:paraId="45E72C71">
      <w:pPr>
        <w:tabs>
          <w:tab w:val="left" w:pos="2472"/>
        </w:tabs>
        <w:spacing w:line="460" w:lineRule="exact"/>
        <w:jc w:val="center"/>
        <w:rPr>
          <w:rFonts w:ascii="宋体" w:hAnsi="宋体" w:eastAsia="宋体" w:cs="宋体"/>
          <w:b/>
          <w:color w:val="auto"/>
          <w:sz w:val="36"/>
          <w:szCs w:val="20"/>
          <w:highlight w:val="none"/>
        </w:rPr>
      </w:pPr>
    </w:p>
    <w:p w14:paraId="7148FF1E">
      <w:pPr>
        <w:tabs>
          <w:tab w:val="left" w:pos="2472"/>
        </w:tabs>
        <w:spacing w:line="460" w:lineRule="exact"/>
        <w:jc w:val="center"/>
        <w:rPr>
          <w:rFonts w:ascii="宋体" w:hAnsi="宋体" w:eastAsia="宋体" w:cs="宋体"/>
          <w:b/>
          <w:color w:val="auto"/>
          <w:sz w:val="36"/>
          <w:szCs w:val="20"/>
          <w:highlight w:val="none"/>
        </w:rPr>
      </w:pPr>
    </w:p>
    <w:p w14:paraId="62EE32FF">
      <w:pPr>
        <w:tabs>
          <w:tab w:val="left" w:pos="2472"/>
        </w:tabs>
        <w:spacing w:line="460" w:lineRule="exact"/>
        <w:jc w:val="center"/>
        <w:rPr>
          <w:rFonts w:ascii="宋体" w:hAnsi="宋体" w:eastAsia="宋体" w:cs="宋体"/>
          <w:b/>
          <w:color w:val="auto"/>
          <w:sz w:val="36"/>
          <w:szCs w:val="20"/>
          <w:highlight w:val="none"/>
        </w:rPr>
      </w:pPr>
    </w:p>
    <w:p w14:paraId="3D0DA9CB">
      <w:pPr>
        <w:tabs>
          <w:tab w:val="left" w:pos="2472"/>
        </w:tabs>
        <w:spacing w:line="460" w:lineRule="exact"/>
        <w:jc w:val="center"/>
        <w:rPr>
          <w:rFonts w:ascii="宋体" w:hAnsi="宋体" w:eastAsia="宋体" w:cs="宋体"/>
          <w:b/>
          <w:color w:val="auto"/>
          <w:sz w:val="36"/>
          <w:szCs w:val="20"/>
          <w:highlight w:val="none"/>
        </w:rPr>
      </w:pPr>
    </w:p>
    <w:p w14:paraId="77F77026">
      <w:pPr>
        <w:tabs>
          <w:tab w:val="left" w:pos="2472"/>
        </w:tabs>
        <w:spacing w:line="460" w:lineRule="exact"/>
        <w:jc w:val="center"/>
        <w:rPr>
          <w:rFonts w:ascii="宋体" w:hAnsi="宋体" w:eastAsia="宋体" w:cs="宋体"/>
          <w:b/>
          <w:color w:val="auto"/>
          <w:sz w:val="36"/>
          <w:szCs w:val="20"/>
          <w:highlight w:val="none"/>
        </w:rPr>
      </w:pPr>
    </w:p>
    <w:p w14:paraId="46474440">
      <w:pPr>
        <w:autoSpaceDE w:val="0"/>
        <w:autoSpaceDN w:val="0"/>
        <w:adjustRightInd w:val="0"/>
        <w:jc w:val="center"/>
        <w:rPr>
          <w:rFonts w:hint="eastAsia" w:ascii="宋体" w:hAnsi="宋体" w:cs="宋体"/>
          <w:color w:val="auto"/>
          <w:kern w:val="0"/>
          <w:sz w:val="28"/>
          <w:szCs w:val="28"/>
          <w:highlight w:val="none"/>
        </w:rPr>
      </w:pPr>
      <w:r>
        <w:rPr>
          <w:rFonts w:hint="eastAsia" w:ascii="宋体" w:hAnsi="宋体" w:cs="宋体"/>
          <w:b/>
          <w:bCs/>
          <w:color w:val="auto"/>
          <w:sz w:val="52"/>
          <w:highlight w:val="none"/>
        </w:rPr>
        <w:t>第二节   采购合同文本</w:t>
      </w:r>
      <w:r>
        <w:rPr>
          <w:rFonts w:hint="eastAsia" w:ascii="宋体" w:hAnsi="宋体" w:cs="宋体"/>
          <w:b/>
          <w:bCs/>
          <w:color w:val="auto"/>
          <w:sz w:val="52"/>
          <w:highlight w:val="none"/>
        </w:rPr>
        <w:br w:type="page"/>
      </w:r>
      <w:r>
        <w:rPr>
          <w:rFonts w:hint="eastAsia" w:ascii="宋体" w:hAnsi="宋体" w:cs="宋体"/>
          <w:b/>
          <w:bCs/>
          <w:color w:val="auto"/>
          <w:sz w:val="52"/>
          <w:highlight w:val="none"/>
        </w:rPr>
        <w:t xml:space="preserve">           </w:t>
      </w:r>
      <w:r>
        <w:rPr>
          <w:rFonts w:hint="eastAsia" w:ascii="宋体" w:hAnsi="宋体" w:cs="宋体"/>
          <w:color w:val="auto"/>
          <w:kern w:val="0"/>
          <w:sz w:val="28"/>
          <w:szCs w:val="28"/>
          <w:highlight w:val="none"/>
        </w:rPr>
        <w:t>合同编号：</w:t>
      </w:r>
    </w:p>
    <w:p w14:paraId="7FA2A36D">
      <w:pPr>
        <w:autoSpaceDE w:val="0"/>
        <w:autoSpaceDN w:val="0"/>
        <w:adjustRightInd w:val="0"/>
        <w:jc w:val="left"/>
        <w:rPr>
          <w:rFonts w:hint="eastAsia" w:ascii="宋体" w:hAnsi="宋体" w:cs="宋体"/>
          <w:color w:val="auto"/>
          <w:kern w:val="0"/>
          <w:sz w:val="44"/>
          <w:szCs w:val="44"/>
          <w:highlight w:val="none"/>
        </w:rPr>
      </w:pPr>
    </w:p>
    <w:p w14:paraId="1BDE9E18">
      <w:pPr>
        <w:overflowPunct w:val="0"/>
        <w:adjustRightInd w:val="0"/>
        <w:snapToGrid w:val="0"/>
        <w:spacing w:line="540" w:lineRule="exact"/>
        <w:jc w:val="center"/>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u w:val="single"/>
          <w:lang w:val="en-US" w:eastAsia="zh-CN"/>
        </w:rPr>
        <w:t xml:space="preserve">          </w:t>
      </w:r>
      <w:r>
        <w:rPr>
          <w:rFonts w:hint="eastAsia" w:ascii="方正小标宋简体" w:hAnsi="宋体" w:eastAsia="方正小标宋简体"/>
          <w:color w:val="auto"/>
          <w:sz w:val="36"/>
          <w:szCs w:val="36"/>
          <w:highlight w:val="none"/>
          <w:lang w:val="en-US" w:eastAsia="zh-CN"/>
        </w:rPr>
        <w:t>建设项目竣工财务决算协审服务</w:t>
      </w:r>
      <w:r>
        <w:rPr>
          <w:rFonts w:hint="eastAsia" w:ascii="方正小标宋简体" w:hAnsi="宋体" w:eastAsia="方正小标宋简体"/>
          <w:color w:val="auto"/>
          <w:sz w:val="36"/>
          <w:szCs w:val="36"/>
          <w:highlight w:val="none"/>
        </w:rPr>
        <w:t>单位采购合同</w:t>
      </w:r>
    </w:p>
    <w:p w14:paraId="6571C66D">
      <w:pPr>
        <w:autoSpaceDE w:val="0"/>
        <w:autoSpaceDN w:val="0"/>
        <w:adjustRightInd w:val="0"/>
        <w:spacing w:line="540" w:lineRule="exact"/>
        <w:jc w:val="left"/>
        <w:rPr>
          <w:rFonts w:ascii="宋体" w:hAnsi="宋体" w:cs="宋体"/>
          <w:color w:val="auto"/>
          <w:kern w:val="0"/>
          <w:sz w:val="28"/>
          <w:szCs w:val="28"/>
          <w:highlight w:val="none"/>
        </w:rPr>
      </w:pPr>
    </w:p>
    <w:p w14:paraId="52C0B6B9">
      <w:pPr>
        <w:pageBreakBefore w:val="0"/>
        <w:widowControl w:val="0"/>
        <w:kinsoku/>
        <w:wordWrap/>
        <w:topLinePunct w:val="0"/>
        <w:autoSpaceDE/>
        <w:autoSpaceDN/>
        <w:bidi w:val="0"/>
        <w:spacing w:line="360" w:lineRule="auto"/>
        <w:ind w:left="0" w:leftChars="0" w:right="0" w:rightChars="0"/>
        <w:textAlignment w:val="auto"/>
        <w:rPr>
          <w:rFonts w:ascii="宋体" w:hAnsi="宋体" w:cs="宋体"/>
          <w:color w:val="auto"/>
          <w:szCs w:val="21"/>
          <w:highlight w:val="non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p>
    <w:p w14:paraId="66A0114A">
      <w:pPr>
        <w:pageBreakBefore w:val="0"/>
        <w:widowControl w:val="0"/>
        <w:kinsoku/>
        <w:wordWrap/>
        <w:topLinePunct w:val="0"/>
        <w:autoSpaceDE/>
        <w:autoSpaceDN/>
        <w:bidi w:val="0"/>
        <w:spacing w:line="360" w:lineRule="auto"/>
        <w:ind w:left="0" w:leftChars="0" w:right="0" w:rightChars="0"/>
        <w:textAlignment w:val="auto"/>
        <w:rPr>
          <w:rFonts w:ascii="宋体" w:hAnsi="宋体" w:cs="宋体"/>
          <w:color w:val="auto"/>
          <w:szCs w:val="21"/>
          <w:highlight w:val="none"/>
        </w:rPr>
      </w:pPr>
      <w:r>
        <w:rPr>
          <w:rFonts w:hint="eastAsia" w:ascii="宋体" w:hAnsi="宋体" w:cs="宋体"/>
          <w:color w:val="auto"/>
          <w:szCs w:val="21"/>
          <w:highlight w:val="none"/>
        </w:rPr>
        <w:t>成交供应商（乙方）：</w:t>
      </w:r>
      <w:r>
        <w:rPr>
          <w:rFonts w:hint="eastAsia" w:ascii="宋体" w:hAnsi="宋体" w:cs="宋体"/>
          <w:color w:val="auto"/>
          <w:szCs w:val="21"/>
          <w:highlight w:val="none"/>
          <w:u w:val="single"/>
        </w:rPr>
        <w:t xml:space="preserve">                            </w:t>
      </w:r>
    </w:p>
    <w:p w14:paraId="37C4D16D">
      <w:pPr>
        <w:pageBreakBefore w:val="0"/>
        <w:widowControl w:val="0"/>
        <w:kinsoku/>
        <w:wordWrap/>
        <w:overflowPunct w:val="0"/>
        <w:topLinePunct w:val="0"/>
        <w:autoSpaceDE/>
        <w:autoSpaceDN/>
        <w:bidi w:val="0"/>
        <w:adjustRightInd w:val="0"/>
        <w:snapToGrid w:val="0"/>
        <w:spacing w:line="360" w:lineRule="auto"/>
        <w:ind w:left="0" w:leftChars="0" w:right="0" w:rightChars="0" w:firstLine="47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根据《中华人民共和国民法典》、《中华人民共和国政府采购法》、《政府采购框架协议采购方式管理暂行办法》、《</w:t>
      </w:r>
      <w:r>
        <w:rPr>
          <w:rFonts w:hint="eastAsia" w:ascii="宋体" w:hAnsi="宋体" w:cs="宋体"/>
          <w:color w:val="auto"/>
          <w:szCs w:val="21"/>
          <w:highlight w:val="none"/>
          <w:lang w:val="en-US" w:eastAsia="zh-CN"/>
        </w:rPr>
        <w:t>2025—2027年度中马钦州产业园区财政投资建设项目竣工财务决算协审服务框架协议采购框架协议</w:t>
      </w:r>
      <w:r>
        <w:rPr>
          <w:rFonts w:hint="eastAsia" w:ascii="宋体" w:hAnsi="宋体" w:cs="宋体"/>
          <w:color w:val="auto"/>
          <w:szCs w:val="21"/>
          <w:highlight w:val="none"/>
        </w:rPr>
        <w:t>》及其他有关法律、法规和规章的规定，遵循平等、自愿、公平和诚实信用原则，双方协商一致，订立本合同。</w:t>
      </w:r>
    </w:p>
    <w:p w14:paraId="10F1A30A">
      <w:pPr>
        <w:pageBreakBefore w:val="0"/>
        <w:widowControl w:val="0"/>
        <w:kinsoku/>
        <w:wordWrap/>
        <w:topLinePunct w:val="0"/>
        <w:autoSpaceDE/>
        <w:autoSpaceDN/>
        <w:bidi w:val="0"/>
        <w:spacing w:line="360" w:lineRule="auto"/>
        <w:ind w:left="0" w:leftChars="0" w:right="0" w:righ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一、合同内容</w:t>
      </w:r>
    </w:p>
    <w:p w14:paraId="7111889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甲方委托乙方进行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竣工财务决算</w:t>
      </w:r>
      <w:r>
        <w:rPr>
          <w:rFonts w:hint="eastAsia" w:ascii="宋体" w:hAnsi="宋体" w:cs="宋体"/>
          <w:color w:val="auto"/>
          <w:szCs w:val="21"/>
          <w:highlight w:val="none"/>
        </w:rPr>
        <w:t>服务工作</w:t>
      </w:r>
      <w:r>
        <w:rPr>
          <w:rFonts w:hint="eastAsia" w:ascii="宋体" w:hAnsi="宋体" w:cs="宋体"/>
          <w:color w:val="auto"/>
          <w:szCs w:val="21"/>
          <w:highlight w:val="none"/>
          <w:lang w:eastAsia="zh-CN"/>
        </w:rPr>
        <w:t>，送审金额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元，项目编号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1D7FE744">
      <w:pPr>
        <w:pageBreakBefore w:val="0"/>
        <w:widowControl w:val="0"/>
        <w:kinsoku/>
        <w:wordWrap/>
        <w:topLinePunct w:val="0"/>
        <w:autoSpaceDE/>
        <w:autoSpaceDN/>
        <w:bidi w:val="0"/>
        <w:spacing w:line="360" w:lineRule="auto"/>
        <w:ind w:left="0" w:leftChars="0" w:right="0" w:righ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二、合同时间：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p>
    <w:p w14:paraId="0235512E">
      <w:pPr>
        <w:pageBreakBefore w:val="0"/>
        <w:widowControl w:val="0"/>
        <w:kinsoku/>
        <w:wordWrap/>
        <w:topLinePunct w:val="0"/>
        <w:autoSpaceDE/>
        <w:autoSpaceDN/>
        <w:bidi w:val="0"/>
        <w:spacing w:line="360" w:lineRule="auto"/>
        <w:ind w:left="0" w:leftChars="0" w:right="0" w:rightChars="0" w:firstLine="470" w:firstLineChars="200"/>
        <w:textAlignment w:val="auto"/>
        <w:rPr>
          <w:rFonts w:hint="eastAsia" w:ascii="宋体" w:hAnsi="宋体" w:cs="宋体"/>
          <w:color w:val="auto"/>
          <w:szCs w:val="21"/>
          <w:highlight w:val="none"/>
        </w:rPr>
      </w:pPr>
      <w:bookmarkStart w:id="300" w:name="_Toc6122"/>
      <w:r>
        <w:rPr>
          <w:rFonts w:hint="eastAsia" w:ascii="宋体" w:hAnsi="宋体" w:cs="宋体"/>
          <w:color w:val="auto"/>
          <w:szCs w:val="21"/>
          <w:highlight w:val="none"/>
        </w:rPr>
        <w:t>原则上应在以下规定时限内(不含核对时间和建设单位反馈意见的时间)完成评审工作，出具评审报告。送审竣工结算价1500万元（不含）以下，15个工作日；送审竣工结算价1500（含）-3000万元以下，20个工作日；送审竣工结算价3000万元（含）以上，25个工作日。</w:t>
      </w:r>
      <w:bookmarkEnd w:id="300"/>
    </w:p>
    <w:p w14:paraId="03433952">
      <w:pPr>
        <w:pageBreakBefore w:val="0"/>
        <w:widowControl w:val="0"/>
        <w:kinsoku/>
        <w:wordWrap/>
        <w:topLinePunct w:val="0"/>
        <w:autoSpaceDE/>
        <w:autoSpaceDN/>
        <w:bidi w:val="0"/>
        <w:spacing w:line="360" w:lineRule="auto"/>
        <w:ind w:left="0" w:leftChars="0" w:right="0" w:righ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如遇到非乙方原因影响</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工作进度的，乙方应及时向甲方报告，经核实后，评审时间相应顺延。</w:t>
      </w:r>
    </w:p>
    <w:p w14:paraId="4E1EA0F9">
      <w:pPr>
        <w:pageBreakBefore w:val="0"/>
        <w:widowControl w:val="0"/>
        <w:kinsoku/>
        <w:wordWrap/>
        <w:topLinePunct w:val="0"/>
        <w:autoSpaceDE/>
        <w:autoSpaceDN/>
        <w:bidi w:val="0"/>
        <w:spacing w:line="360" w:lineRule="auto"/>
        <w:ind w:left="0" w:leftChars="0" w:right="0" w:righ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三、质量要求：符合国家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行业、</w:t>
      </w:r>
      <w:r>
        <w:rPr>
          <w:rFonts w:hint="eastAsia" w:ascii="宋体" w:hAnsi="宋体" w:cs="宋体"/>
          <w:color w:val="auto"/>
          <w:szCs w:val="21"/>
          <w:highlight w:val="none"/>
        </w:rPr>
        <w:t>规定的造价</w:t>
      </w:r>
      <w:r>
        <w:rPr>
          <w:rFonts w:hint="eastAsia" w:ascii="宋体" w:hAnsi="宋体" w:cs="宋体"/>
          <w:color w:val="auto"/>
          <w:szCs w:val="21"/>
          <w:highlight w:val="none"/>
          <w:lang w:eastAsia="zh-CN"/>
        </w:rPr>
        <w:t>，《基本建设财务规则》及相关会计制度情况，</w:t>
      </w:r>
      <w:r>
        <w:rPr>
          <w:rFonts w:hint="eastAsia" w:ascii="宋体" w:hAnsi="宋体" w:cs="宋体"/>
          <w:color w:val="auto"/>
          <w:szCs w:val="21"/>
          <w:highlight w:val="none"/>
        </w:rPr>
        <w:t>咨询服务标准和现行技术规范、规程要求。</w:t>
      </w:r>
    </w:p>
    <w:p w14:paraId="662E8F5B">
      <w:pPr>
        <w:pageBreakBefore w:val="0"/>
        <w:widowControl w:val="0"/>
        <w:kinsoku/>
        <w:wordWrap/>
        <w:topLinePunct w:val="0"/>
        <w:autoSpaceDE/>
        <w:autoSpaceDN/>
        <w:bidi w:val="0"/>
        <w:spacing w:line="360" w:lineRule="auto"/>
        <w:ind w:left="0" w:leftChars="0" w:right="0" w:righ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服务费</w:t>
      </w:r>
    </w:p>
    <w:p w14:paraId="2B2B7B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7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1.确定第二阶段成交供应商方式为</w:t>
      </w:r>
      <w:r>
        <w:rPr>
          <w:rFonts w:hint="eastAsia" w:ascii="宋体" w:hAnsi="宋体" w:eastAsia="宋体" w:cs="宋体"/>
          <w:color w:val="auto"/>
          <w:sz w:val="21"/>
          <w:szCs w:val="21"/>
          <w:highlight w:val="none"/>
        </w:rPr>
        <w:t>采购人可按</w:t>
      </w:r>
      <w:r>
        <w:rPr>
          <w:rFonts w:hint="eastAsia" w:ascii="宋体" w:hAnsi="宋体" w:eastAsia="宋体" w:cs="宋体"/>
          <w:b/>
          <w:bCs/>
          <w:color w:val="auto"/>
          <w:sz w:val="21"/>
          <w:szCs w:val="21"/>
          <w:highlight w:val="none"/>
        </w:rPr>
        <w:t>不</w:t>
      </w: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于</w:t>
      </w:r>
      <w:r>
        <w:rPr>
          <w:rFonts w:hint="eastAsia" w:ascii="宋体" w:hAnsi="宋体" w:eastAsia="宋体" w:cs="宋体"/>
          <w:b/>
          <w:bCs/>
          <w:color w:val="auto"/>
          <w:sz w:val="21"/>
          <w:szCs w:val="21"/>
          <w:highlight w:val="none"/>
          <w:lang w:val="en-US" w:eastAsia="zh-CN"/>
        </w:rPr>
        <w:t>框架协议</w:t>
      </w:r>
      <w:r>
        <w:rPr>
          <w:rFonts w:hint="eastAsia" w:ascii="宋体" w:hAnsi="宋体" w:cs="宋体"/>
          <w:b/>
          <w:bCs/>
          <w:color w:val="auto"/>
          <w:sz w:val="21"/>
          <w:szCs w:val="21"/>
          <w:highlight w:val="none"/>
          <w:lang w:val="en-US" w:eastAsia="zh-CN"/>
        </w:rPr>
        <w:t>第一阶段</w:t>
      </w:r>
      <w:r>
        <w:rPr>
          <w:rFonts w:hint="eastAsia" w:ascii="宋体" w:hAnsi="宋体" w:cs="宋体" w:eastAsiaTheme="minorEastAsia"/>
          <w:b/>
          <w:bCs/>
          <w:color w:val="auto"/>
          <w:kern w:val="2"/>
          <w:sz w:val="21"/>
          <w:szCs w:val="21"/>
          <w:highlight w:val="none"/>
          <w:lang w:val="en-US" w:eastAsia="zh-CN" w:bidi="ar-SA"/>
        </w:rPr>
        <w:t>《成交通知书》的费率</w:t>
      </w:r>
      <w:r>
        <w:rPr>
          <w:rFonts w:hint="eastAsia" w:ascii="宋体" w:hAnsi="宋体" w:eastAsia="宋体" w:cs="宋体"/>
          <w:b/>
          <w:bCs/>
          <w:color w:val="auto"/>
          <w:sz w:val="21"/>
          <w:szCs w:val="21"/>
          <w:highlight w:val="none"/>
        </w:rPr>
        <w:t>直接</w:t>
      </w:r>
      <w:r>
        <w:rPr>
          <w:rFonts w:hint="eastAsia" w:ascii="宋体" w:hAnsi="宋体" w:eastAsia="宋体" w:cs="宋体"/>
          <w:b/>
          <w:bCs/>
          <w:color w:val="auto"/>
          <w:sz w:val="21"/>
          <w:szCs w:val="21"/>
          <w:highlight w:val="none"/>
          <w:lang w:val="en-US" w:eastAsia="zh-CN"/>
        </w:rPr>
        <w:t>在第一阶段入围</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中</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color w:val="auto"/>
          <w:sz w:val="21"/>
          <w:szCs w:val="21"/>
          <w:highlight w:val="none"/>
        </w:rPr>
        <w:t>合同期内，费率不再调整。采购人不再向成交供应商支付其响应报价之外的任何费用。</w:t>
      </w:r>
    </w:p>
    <w:p w14:paraId="6094FC3F">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eastAsia"/>
          <w:b/>
          <w:bCs/>
          <w:color w:val="auto"/>
          <w:highlight w:val="none"/>
          <w:lang w:val="en-US" w:eastAsia="zh-CN"/>
        </w:rPr>
      </w:pPr>
      <w:r>
        <w:rPr>
          <w:rFonts w:hint="eastAsia"/>
          <w:color w:val="auto"/>
          <w:highlight w:val="none"/>
          <w:lang w:val="en-US" w:eastAsia="zh-CN"/>
        </w:rPr>
        <w:t>2..服务费：</w:t>
      </w:r>
      <w:r>
        <w:rPr>
          <w:rFonts w:hint="eastAsia"/>
          <w:b/>
          <w:bCs/>
          <w:color w:val="auto"/>
          <w:highlight w:val="none"/>
          <w:lang w:val="en-US" w:eastAsia="zh-CN"/>
        </w:rPr>
        <w:t>根据项目送审投资总额，按以下费率结算（按差额累进法计算）：</w:t>
      </w:r>
    </w:p>
    <w:p w14:paraId="11E96D94">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eastAsia"/>
          <w:b/>
          <w:bCs/>
          <w:color w:val="auto"/>
          <w:highlight w:val="none"/>
          <w:lang w:val="en-US" w:eastAsia="zh-CN"/>
        </w:rPr>
      </w:pPr>
      <w:r>
        <w:rPr>
          <w:rFonts w:hint="eastAsia"/>
          <w:b/>
          <w:bCs/>
          <w:color w:val="auto"/>
          <w:highlight w:val="none"/>
          <w:lang w:val="en-US" w:eastAsia="zh-CN"/>
        </w:rPr>
        <w:t>5000万元（含5000万元）以下</w:t>
      </w:r>
      <w:r>
        <w:rPr>
          <w:rFonts w:hint="eastAsia"/>
          <w:b/>
          <w:bCs/>
          <w:color w:val="auto"/>
          <w:highlight w:val="none"/>
          <w:u w:val="single"/>
          <w:lang w:val="en-US" w:eastAsia="zh-CN"/>
        </w:rPr>
        <w:t xml:space="preserve">    </w:t>
      </w:r>
      <w:r>
        <w:rPr>
          <w:rFonts w:hint="eastAsia"/>
          <w:b/>
          <w:bCs/>
          <w:color w:val="auto"/>
          <w:highlight w:val="none"/>
          <w:lang w:val="en-US" w:eastAsia="zh-CN"/>
        </w:rPr>
        <w:t>‰;</w:t>
      </w:r>
    </w:p>
    <w:p w14:paraId="75233885">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eastAsia"/>
          <w:b/>
          <w:bCs/>
          <w:color w:val="auto"/>
          <w:highlight w:val="none"/>
          <w:lang w:val="en-US" w:eastAsia="zh-CN"/>
        </w:rPr>
      </w:pPr>
      <w:r>
        <w:rPr>
          <w:rFonts w:hint="eastAsia"/>
          <w:b/>
          <w:bCs/>
          <w:color w:val="auto"/>
          <w:highlight w:val="none"/>
          <w:lang w:val="en-US" w:eastAsia="zh-CN"/>
        </w:rPr>
        <w:t>5000万元以上—10000万元（含10000万元）</w:t>
      </w:r>
      <w:r>
        <w:rPr>
          <w:rFonts w:hint="eastAsia"/>
          <w:b/>
          <w:bCs/>
          <w:color w:val="auto"/>
          <w:highlight w:val="none"/>
          <w:u w:val="single"/>
          <w:lang w:val="en-US" w:eastAsia="zh-CN"/>
        </w:rPr>
        <w:t xml:space="preserve">    </w:t>
      </w:r>
      <w:r>
        <w:rPr>
          <w:rFonts w:hint="eastAsia"/>
          <w:b/>
          <w:bCs/>
          <w:color w:val="auto"/>
          <w:highlight w:val="none"/>
          <w:lang w:val="en-US" w:eastAsia="zh-CN"/>
        </w:rPr>
        <w:t>‰;</w:t>
      </w:r>
    </w:p>
    <w:p w14:paraId="3E42F430">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eastAsia"/>
          <w:b/>
          <w:bCs/>
          <w:color w:val="auto"/>
          <w:highlight w:val="none"/>
          <w:lang w:val="en-US" w:eastAsia="zh-CN"/>
        </w:rPr>
      </w:pPr>
      <w:r>
        <w:rPr>
          <w:rFonts w:hint="eastAsia"/>
          <w:b/>
          <w:bCs/>
          <w:color w:val="auto"/>
          <w:highlight w:val="none"/>
          <w:lang w:val="en-US" w:eastAsia="zh-CN"/>
        </w:rPr>
        <w:t>10000万元以上—50000万元（含50000万元）</w:t>
      </w:r>
      <w:r>
        <w:rPr>
          <w:rFonts w:hint="eastAsia"/>
          <w:b/>
          <w:bCs/>
          <w:color w:val="auto"/>
          <w:highlight w:val="none"/>
          <w:u w:val="single"/>
          <w:lang w:val="en-US" w:eastAsia="zh-CN"/>
        </w:rPr>
        <w:t xml:space="preserve">    </w:t>
      </w:r>
      <w:r>
        <w:rPr>
          <w:rFonts w:hint="eastAsia"/>
          <w:b/>
          <w:bCs/>
          <w:color w:val="auto"/>
          <w:highlight w:val="none"/>
          <w:lang w:val="en-US" w:eastAsia="zh-CN"/>
        </w:rPr>
        <w:t>‰;</w:t>
      </w:r>
    </w:p>
    <w:p w14:paraId="6A17464C">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eastAsia"/>
          <w:b/>
          <w:bCs/>
          <w:color w:val="auto"/>
          <w:highlight w:val="none"/>
          <w:lang w:val="en-US" w:eastAsia="zh-CN"/>
        </w:rPr>
      </w:pPr>
      <w:r>
        <w:rPr>
          <w:rFonts w:hint="eastAsia"/>
          <w:b/>
          <w:bCs/>
          <w:color w:val="auto"/>
          <w:highlight w:val="none"/>
          <w:lang w:val="en-US" w:eastAsia="zh-CN"/>
        </w:rPr>
        <w:t>50000万元以上—200000万元（含200000万元）</w:t>
      </w:r>
      <w:r>
        <w:rPr>
          <w:rFonts w:hint="eastAsia"/>
          <w:b/>
          <w:bCs/>
          <w:color w:val="auto"/>
          <w:highlight w:val="none"/>
          <w:u w:val="single"/>
          <w:lang w:val="en-US" w:eastAsia="zh-CN"/>
        </w:rPr>
        <w:t xml:space="preserve">    </w:t>
      </w:r>
      <w:r>
        <w:rPr>
          <w:rFonts w:hint="eastAsia"/>
          <w:b/>
          <w:bCs/>
          <w:color w:val="auto"/>
          <w:highlight w:val="none"/>
          <w:lang w:val="en-US" w:eastAsia="zh-CN"/>
        </w:rPr>
        <w:t>‰;</w:t>
      </w:r>
    </w:p>
    <w:p w14:paraId="7F8268D7">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eastAsia"/>
          <w:b/>
          <w:bCs/>
          <w:color w:val="auto"/>
          <w:highlight w:val="none"/>
          <w:lang w:val="en-US" w:eastAsia="zh-CN"/>
        </w:rPr>
      </w:pPr>
      <w:r>
        <w:rPr>
          <w:rFonts w:hint="eastAsia"/>
          <w:b/>
          <w:bCs/>
          <w:color w:val="auto"/>
          <w:highlight w:val="none"/>
          <w:lang w:val="en-US" w:eastAsia="zh-CN"/>
        </w:rPr>
        <w:t>200000万元以上</w:t>
      </w:r>
      <w:r>
        <w:rPr>
          <w:rFonts w:hint="eastAsia"/>
          <w:b/>
          <w:bCs/>
          <w:color w:val="auto"/>
          <w:highlight w:val="none"/>
          <w:u w:val="single"/>
          <w:lang w:val="en-US" w:eastAsia="zh-CN"/>
        </w:rPr>
        <w:t xml:space="preserve">    </w:t>
      </w:r>
      <w:r>
        <w:rPr>
          <w:rFonts w:hint="eastAsia"/>
          <w:b/>
          <w:bCs/>
          <w:color w:val="auto"/>
          <w:highlight w:val="none"/>
          <w:lang w:val="en-US" w:eastAsia="zh-CN"/>
        </w:rPr>
        <w:t>‰。</w:t>
      </w:r>
    </w:p>
    <w:p w14:paraId="34357FCC">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eastAsia"/>
          <w:b/>
          <w:bCs/>
          <w:color w:val="auto"/>
          <w:highlight w:val="none"/>
          <w:lang w:val="en-US" w:eastAsia="zh-CN"/>
        </w:rPr>
      </w:pPr>
      <w:r>
        <w:rPr>
          <w:rFonts w:hint="eastAsia"/>
          <w:b/>
          <w:bCs/>
          <w:color w:val="auto"/>
          <w:highlight w:val="none"/>
          <w:lang w:val="en-US" w:eastAsia="zh-CN"/>
        </w:rPr>
        <w:t>备注：竣工财务决算协审服务费实行上限封顶，协审服务费超过10万元的，按10万元计。如按上述规定计算得出的协审服务费少于2000元的，按2000元计。</w:t>
      </w:r>
    </w:p>
    <w:p w14:paraId="582FBB29">
      <w:pPr>
        <w:pageBreakBefore w:val="0"/>
        <w:widowControl w:val="0"/>
        <w:kinsoku/>
        <w:wordWrap/>
        <w:topLinePunct w:val="0"/>
        <w:autoSpaceDE/>
        <w:autoSpaceDN/>
        <w:bidi w:val="0"/>
        <w:snapToGrid w:val="0"/>
        <w:spacing w:line="360" w:lineRule="auto"/>
        <w:ind w:left="0" w:leftChars="0" w:right="0" w:rightChars="0" w:firstLine="470" w:firstLineChars="200"/>
        <w:jc w:val="left"/>
        <w:textAlignment w:val="auto"/>
        <w:rPr>
          <w:rFonts w:hint="eastAsia" w:ascii="宋体" w:hAnsi="宋体"/>
          <w:color w:val="auto"/>
          <w:szCs w:val="21"/>
          <w:highlight w:val="none"/>
        </w:rPr>
      </w:pPr>
      <w:r>
        <w:rPr>
          <w:rFonts w:hint="eastAsia"/>
          <w:color w:val="auto"/>
          <w:highlight w:val="none"/>
          <w:lang w:val="en-US" w:eastAsia="zh-CN"/>
        </w:rPr>
        <w:t>3..</w:t>
      </w:r>
      <w:r>
        <w:rPr>
          <w:rFonts w:hint="eastAsia"/>
          <w:color w:val="auto"/>
          <w:highlight w:val="none"/>
        </w:rPr>
        <w:t>乙方的响应报价已包括</w:t>
      </w:r>
      <w:r>
        <w:rPr>
          <w:rFonts w:hint="eastAsia"/>
          <w:color w:val="auto"/>
          <w:highlight w:val="none"/>
          <w:lang w:eastAsia="zh-CN"/>
        </w:rPr>
        <w:t>但不限于</w:t>
      </w:r>
      <w:r>
        <w:rPr>
          <w:rFonts w:hint="eastAsia"/>
          <w:color w:val="auto"/>
          <w:highlight w:val="none"/>
        </w:rPr>
        <w:t>实施和完成</w:t>
      </w:r>
      <w:r>
        <w:rPr>
          <w:rFonts w:hint="eastAsia"/>
          <w:color w:val="auto"/>
          <w:highlight w:val="none"/>
          <w:lang w:eastAsia="zh-CN"/>
        </w:rPr>
        <w:t>编制评审</w:t>
      </w:r>
      <w:r>
        <w:rPr>
          <w:rFonts w:hint="eastAsia"/>
          <w:color w:val="auto"/>
          <w:highlight w:val="none"/>
        </w:rPr>
        <w:t>工作所需的劳务费、技术服务费、交通、通讯、办公场地、管理费、税费和利润</w:t>
      </w:r>
      <w:r>
        <w:rPr>
          <w:rFonts w:hint="eastAsia"/>
          <w:color w:val="auto"/>
          <w:highlight w:val="none"/>
          <w:lang w:eastAsia="zh-CN"/>
        </w:rPr>
        <w:t>及</w:t>
      </w:r>
      <w:r>
        <w:rPr>
          <w:rFonts w:hint="eastAsia"/>
          <w:color w:val="auto"/>
          <w:highlight w:val="none"/>
        </w:rPr>
        <w:t>政策性文件规定</w:t>
      </w:r>
      <w:r>
        <w:rPr>
          <w:rFonts w:hint="eastAsia"/>
          <w:color w:val="auto"/>
          <w:highlight w:val="none"/>
          <w:lang w:eastAsia="zh-CN"/>
        </w:rPr>
        <w:t>、</w:t>
      </w:r>
      <w:r>
        <w:rPr>
          <w:rFonts w:hint="eastAsia"/>
          <w:color w:val="auto"/>
          <w:highlight w:val="none"/>
        </w:rPr>
        <w:t>合同包含的所有风险、责任等各项费用，除非上述费用在合同中另有说明，合同期内，费率不再调整</w:t>
      </w:r>
      <w:r>
        <w:rPr>
          <w:rFonts w:hint="eastAsia"/>
          <w:color w:val="auto"/>
          <w:highlight w:val="none"/>
          <w:lang w:eastAsia="zh-CN"/>
        </w:rPr>
        <w:t>。</w:t>
      </w:r>
    </w:p>
    <w:p w14:paraId="78553BE1">
      <w:pPr>
        <w:pStyle w:val="29"/>
        <w:rPr>
          <w:color w:val="auto"/>
          <w:highlight w:val="none"/>
        </w:rPr>
      </w:pPr>
    </w:p>
    <w:p w14:paraId="4AE5F2CD">
      <w:pPr>
        <w:pageBreakBefore w:val="0"/>
        <w:kinsoku/>
        <w:wordWrap/>
        <w:topLinePunct w:val="0"/>
        <w:autoSpaceDE/>
        <w:autoSpaceDN/>
        <w:bidi w:val="0"/>
        <w:spacing w:line="360" w:lineRule="auto"/>
        <w:ind w:left="0" w:leftChars="0"/>
        <w:textAlignment w:val="auto"/>
        <w:rPr>
          <w:rFonts w:ascii="宋体" w:hAnsi="宋体" w:cs="宋体"/>
          <w:color w:val="auto"/>
          <w:szCs w:val="21"/>
          <w:highlight w:val="none"/>
        </w:rPr>
      </w:pPr>
      <w:r>
        <w:rPr>
          <w:rFonts w:hint="eastAsia" w:ascii="宋体" w:hAnsi="宋体" w:cs="宋体"/>
          <w:color w:val="auto"/>
          <w:szCs w:val="21"/>
          <w:highlight w:val="none"/>
        </w:rPr>
        <w:t xml:space="preserve">    五、服务费的结算与支付方式</w:t>
      </w:r>
    </w:p>
    <w:p w14:paraId="4225B239">
      <w:pPr>
        <w:pageBreakBefore w:val="0"/>
        <w:kinsoku/>
        <w:wordWrap/>
        <w:topLinePunct w:val="0"/>
        <w:autoSpaceDE/>
        <w:autoSpaceDN/>
        <w:bidi w:val="0"/>
        <w:snapToGrid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服务费由</w:t>
      </w:r>
      <w:r>
        <w:rPr>
          <w:rFonts w:hint="eastAsia" w:ascii="宋体" w:hAnsi="宋体" w:cs="宋体"/>
          <w:color w:val="auto"/>
          <w:szCs w:val="21"/>
          <w:highlight w:val="none"/>
          <w:lang w:val="en-US" w:eastAsia="zh-CN"/>
        </w:rPr>
        <w:t>乙方向甲方提交正式结算审核成果文件且经审核通过确认并提供请款函、等额增值税发票，由甲方按实支付</w:t>
      </w:r>
      <w:r>
        <w:rPr>
          <w:rFonts w:hint="eastAsia" w:ascii="宋体" w:hAnsi="宋体" w:cs="宋体"/>
          <w:color w:val="auto"/>
          <w:szCs w:val="21"/>
          <w:highlight w:val="none"/>
        </w:rPr>
        <w:t>。</w:t>
      </w:r>
    </w:p>
    <w:p w14:paraId="71B52843">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.因甲方原因中途中止</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服务工作的，由</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与乙方协商，按实际完成的比例计取并支付</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服务费，并提供相关说明报</w:t>
      </w:r>
      <w:r>
        <w:rPr>
          <w:rFonts w:hint="eastAsia" w:ascii="宋体" w:hAnsi="宋体" w:cs="宋体"/>
          <w:color w:val="auto"/>
          <w:szCs w:val="21"/>
          <w:highlight w:val="none"/>
          <w:lang w:val="en-US" w:eastAsia="zh-CN"/>
        </w:rPr>
        <w:t>中马钦州产业园区</w:t>
      </w:r>
      <w:r>
        <w:rPr>
          <w:rFonts w:hint="eastAsia" w:ascii="宋体" w:hAnsi="宋体" w:cs="宋体"/>
          <w:color w:val="auto"/>
          <w:szCs w:val="21"/>
          <w:highlight w:val="none"/>
        </w:rPr>
        <w:t>财政局备案；因乙方原因导致</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服务工作中止的，不计取</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w:t>
      </w:r>
    </w:p>
    <w:p w14:paraId="417ED6DD">
      <w:pPr>
        <w:spacing w:before="0" w:line="360" w:lineRule="auto"/>
        <w:ind w:left="0" w:right="0" w:firstLine="470" w:firstLineChars="200"/>
        <w:rPr>
          <w:rFonts w:hint="eastAsia" w:ascii="宋体" w:hAnsi="宋体" w:cs="宋体"/>
          <w:color w:val="auto"/>
          <w:szCs w:val="21"/>
          <w:highlight w:val="none"/>
        </w:rPr>
      </w:pPr>
      <w:r>
        <w:rPr>
          <w:rFonts w:hint="eastAsia" w:ascii="宋体" w:hAnsi="宋体" w:cs="宋体"/>
          <w:color w:val="auto"/>
          <w:szCs w:val="21"/>
          <w:highlight w:val="none"/>
        </w:rPr>
        <w:t>4.合同履行期间，如乙方存在违法行为，在政府采购监督管理部门调查或被行政处罚期间，甲方可视情况中止合同</w:t>
      </w:r>
      <w:r>
        <w:rPr>
          <w:rFonts w:hint="eastAsia" w:ascii="宋体" w:hAnsi="宋体" w:cs="宋体" w:eastAsiaTheme="minorEastAsia"/>
          <w:color w:val="auto"/>
          <w:szCs w:val="21"/>
          <w:highlight w:val="none"/>
          <w:lang w:val="en-US" w:eastAsia="zh-CN"/>
        </w:rPr>
        <w:t>或者解除合同</w:t>
      </w:r>
      <w:r>
        <w:rPr>
          <w:rFonts w:hint="eastAsia" w:ascii="宋体" w:hAnsi="宋体" w:cs="宋体"/>
          <w:color w:val="auto"/>
          <w:szCs w:val="21"/>
          <w:highlight w:val="none"/>
        </w:rPr>
        <w:t>。</w:t>
      </w:r>
    </w:p>
    <w:p w14:paraId="30CBF768">
      <w:pPr>
        <w:spacing w:before="0" w:line="360" w:lineRule="auto"/>
        <w:ind w:left="0" w:right="0" w:firstLine="470" w:firstLineChars="200"/>
        <w:rPr>
          <w:rFonts w:hint="eastAsia" w:ascii="宋体" w:hAnsi="宋体" w:cs="宋体" w:eastAsiaTheme="minorEastAsia"/>
          <w:color w:val="auto"/>
          <w:sz w:val="21"/>
          <w:szCs w:val="21"/>
          <w:highlight w:val="none"/>
        </w:rPr>
      </w:pPr>
      <w:r>
        <w:rPr>
          <w:rFonts w:hint="eastAsia" w:ascii="宋体" w:hAnsi="宋体" w:cs="宋体" w:eastAsiaTheme="minorEastAsia"/>
          <w:color w:val="auto"/>
          <w:spacing w:val="0"/>
          <w:sz w:val="21"/>
          <w:szCs w:val="21"/>
          <w:highlight w:val="none"/>
          <w:lang w:val="en-US" w:eastAsia="zh-CN"/>
        </w:rPr>
        <w:t>5.</w:t>
      </w:r>
      <w:r>
        <w:rPr>
          <w:rFonts w:hint="eastAsia" w:ascii="宋体" w:hAnsi="宋体" w:cs="宋体" w:eastAsiaTheme="minorEastAsia"/>
          <w:color w:val="auto"/>
          <w:spacing w:val="0"/>
          <w:sz w:val="21"/>
          <w:szCs w:val="21"/>
          <w:highlight w:val="none"/>
        </w:rPr>
        <w:t>因供应商自身原因中途将委托项目退回给征集人的，征集人不支付任何评审费用,且征</w:t>
      </w:r>
      <w:r>
        <w:rPr>
          <w:rFonts w:hint="eastAsia" w:ascii="宋体" w:hAnsi="宋体" w:cs="宋体" w:eastAsiaTheme="minorEastAsia"/>
          <w:color w:val="auto"/>
          <w:sz w:val="21"/>
          <w:szCs w:val="21"/>
          <w:highlight w:val="none"/>
        </w:rPr>
        <w:t xml:space="preserve"> </w:t>
      </w:r>
      <w:r>
        <w:rPr>
          <w:rFonts w:hint="eastAsia" w:ascii="宋体" w:hAnsi="宋体" w:cs="宋体" w:eastAsiaTheme="minorEastAsia"/>
          <w:color w:val="auto"/>
          <w:spacing w:val="0"/>
          <w:sz w:val="21"/>
          <w:szCs w:val="21"/>
          <w:highlight w:val="none"/>
        </w:rPr>
        <w:t>集人有权不再委托项目或依法终止该项目合同。</w:t>
      </w:r>
    </w:p>
    <w:p w14:paraId="1AE4E6A0">
      <w:pPr>
        <w:pageBreakBefore w:val="0"/>
        <w:kinsoku/>
        <w:wordWrap/>
        <w:topLinePunct w:val="0"/>
        <w:autoSpaceDE/>
        <w:autoSpaceDN/>
        <w:bidi w:val="0"/>
        <w:spacing w:before="0" w:line="360" w:lineRule="auto"/>
        <w:ind w:left="0" w:leftChars="0" w:right="0" w:firstLine="470" w:firstLineChars="200"/>
        <w:textAlignment w:val="auto"/>
        <w:rPr>
          <w:rFonts w:hint="eastAsia" w:ascii="宋体" w:hAnsi="宋体" w:cs="宋体"/>
          <w:color w:val="auto"/>
          <w:szCs w:val="21"/>
          <w:highlight w:val="none"/>
        </w:rPr>
      </w:pPr>
      <w:r>
        <w:rPr>
          <w:rFonts w:hint="eastAsia" w:ascii="宋体" w:hAnsi="宋体" w:cs="宋体" w:eastAsiaTheme="minorEastAsia"/>
          <w:color w:val="auto"/>
          <w:spacing w:val="0"/>
          <w:sz w:val="21"/>
          <w:szCs w:val="21"/>
          <w:highlight w:val="none"/>
          <w:lang w:val="en-US" w:eastAsia="zh-CN"/>
        </w:rPr>
        <w:t>6.</w:t>
      </w:r>
      <w:r>
        <w:rPr>
          <w:rFonts w:hint="eastAsia" w:ascii="宋体" w:hAnsi="宋体" w:cs="宋体" w:eastAsiaTheme="minorEastAsia"/>
          <w:color w:val="auto"/>
          <w:spacing w:val="0"/>
          <w:sz w:val="21"/>
          <w:szCs w:val="21"/>
          <w:highlight w:val="none"/>
        </w:rPr>
        <w:t>因供应商自身原因未按时完成评审的，审核时间延迟 7 天以内的，征集人按每逾期一</w:t>
      </w:r>
      <w:r>
        <w:rPr>
          <w:rFonts w:hint="eastAsia" w:ascii="宋体" w:hAnsi="宋体" w:cs="宋体" w:eastAsiaTheme="minorEastAsia"/>
          <w:color w:val="auto"/>
          <w:sz w:val="21"/>
          <w:szCs w:val="21"/>
          <w:highlight w:val="none"/>
        </w:rPr>
        <w:t xml:space="preserve"> </w:t>
      </w:r>
      <w:r>
        <w:rPr>
          <w:rFonts w:hint="eastAsia" w:ascii="宋体" w:hAnsi="宋体" w:cs="宋体" w:eastAsiaTheme="minorEastAsia"/>
          <w:color w:val="auto"/>
          <w:spacing w:val="0"/>
          <w:sz w:val="21"/>
          <w:szCs w:val="21"/>
          <w:highlight w:val="none"/>
        </w:rPr>
        <w:t>天扣减该项目评审服务费的 10%计算；审核时间延迟 7 天以上的视为受托方无法完成该项目评审工作，征集人有权收回工程资料并不支付该项目的评审服务费，当年累计出现两次，征集人有权不再委托项目或依法终止该项目合同。</w:t>
      </w:r>
    </w:p>
    <w:p w14:paraId="0C2C0D08">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六、权利和义务</w:t>
      </w:r>
    </w:p>
    <w:p w14:paraId="27182434">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1.甲方的权利、义务</w:t>
      </w:r>
    </w:p>
    <w:p w14:paraId="59792F12">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（1）甲方有权要求乙方提供响应文件中拟投入人员名单，并确保乙方投入的人员与响应文件一致。</w:t>
      </w:r>
    </w:p>
    <w:p w14:paraId="429940CF">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（2）有权派出监督人员对乙方的业务开展情况和工作质量、廉政纪律执行情况等进行全程监督。</w:t>
      </w:r>
    </w:p>
    <w:p w14:paraId="7735C409">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（3）有权随时了解乙方的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工作方案和进度并可提出意见和建议。</w:t>
      </w:r>
    </w:p>
    <w:p w14:paraId="1CF65585">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（4）有权要求乙方提供或查阅乙方工作底稿（含电子文档）。</w:t>
      </w:r>
    </w:p>
    <w:p w14:paraId="098C62D5">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（5）有权合法、正确地使用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报告。</w:t>
      </w:r>
    </w:p>
    <w:p w14:paraId="6A463DA0">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（6）发现乙方有违规违纪问题可单方面解除合同并反馈征集人。</w:t>
      </w:r>
    </w:p>
    <w:p w14:paraId="73ACA866">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（7）如乙方与项目业主或施工单位有意串通增大工程量或弄虚作假增加结算额的，经查实甲方有权要求其赔偿相应的损失，终止合同，并反馈征集人。</w:t>
      </w:r>
    </w:p>
    <w:p w14:paraId="3FF0193D">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（8）在特殊情况下有权指定乙方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人员从事特定项目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w:t>
      </w:r>
    </w:p>
    <w:p w14:paraId="44E64CBA">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（9）乙方送审的工作底稿未经三级批复核或不符合要求的,有权退回。</w:t>
      </w:r>
    </w:p>
    <w:p w14:paraId="3C428661">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（10）有义务向乙方提供或协调乙方取得工程编制、</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所需的材料，协调相关部门和单位配合</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工作，并将乙方在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过程中遇到的问题及时协调解决。</w:t>
      </w:r>
    </w:p>
    <w:p w14:paraId="6CDAC50A">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（11）有义务按规定及时配合乙方申请</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费。</w:t>
      </w:r>
    </w:p>
    <w:p w14:paraId="477C0AB3">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2.乙方的权利、义务</w:t>
      </w:r>
    </w:p>
    <w:p w14:paraId="62381B95">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（1）有权要求甲方提供项目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的全部资料。</w:t>
      </w:r>
    </w:p>
    <w:p w14:paraId="4A59209A">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（2）有权要求甲方帮助协调各有关部门的工作，要求甲方尽可能地支持、配合乙方实施</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w:t>
      </w:r>
    </w:p>
    <w:p w14:paraId="3210B6F6">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工作按要求完成后，有权如期取得本合同约定的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w:t>
      </w:r>
    </w:p>
    <w:p w14:paraId="05273A1B">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（4）有义务根据提供的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资料实事求是依法</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，并出具合法的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报告。</w:t>
      </w:r>
    </w:p>
    <w:p w14:paraId="3B822706">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（5）有义务保守执业过程中悉知的甲方和项目业主的商业秘密。</w:t>
      </w:r>
    </w:p>
    <w:p w14:paraId="57E2DDFC">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（6）有义务按采购合同规定的时间内出具</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报告。</w:t>
      </w:r>
    </w:p>
    <w:p w14:paraId="39B93152">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（7）乙方不得将甲方委托的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工作转交第三方完成。</w:t>
      </w:r>
    </w:p>
    <w:p w14:paraId="29BF8A03">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（8）有义务妥善保管甲方提供的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资料，并在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工作完成后，完整交回甲方。</w:t>
      </w:r>
    </w:p>
    <w:p w14:paraId="53D1D101">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（9）甲方对乙方的办公场所及人员进行检查时，乙方有义务必须积极配合。</w:t>
      </w:r>
    </w:p>
    <w:p w14:paraId="13B70541">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七、双方约定</w:t>
      </w:r>
    </w:p>
    <w:p w14:paraId="4DD9E450">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lang w:val="zh-CN"/>
        </w:rPr>
        <w:t>1.</w:t>
      </w:r>
      <w:r>
        <w:rPr>
          <w:rFonts w:hint="eastAsia" w:ascii="宋体" w:hAnsi="宋体" w:cs="宋体"/>
          <w:color w:val="auto"/>
          <w:szCs w:val="21"/>
          <w:highlight w:val="none"/>
        </w:rPr>
        <w:t xml:space="preserve"> 乙方应严格按照《基本建设项目竣工财务决算管理暂行办法》</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《工程造价咨询企业管理办法》、《建筑工程施工发包与承包计价管理办法》、《广西壮族自治区建设工程造价管理办法》</w:t>
      </w:r>
      <w:r>
        <w:rPr>
          <w:rFonts w:hint="eastAsia" w:ascii="宋体" w:hAnsi="宋体" w:cs="宋体"/>
          <w:color w:val="auto"/>
          <w:szCs w:val="21"/>
          <w:highlight w:val="none"/>
          <w:lang w:eastAsia="zh-CN"/>
        </w:rPr>
        <w:t>、《基本建设财务规则》及相关会计制度情况</w:t>
      </w:r>
      <w:r>
        <w:rPr>
          <w:rFonts w:hint="eastAsia" w:ascii="宋体" w:hAnsi="宋体" w:cs="宋体"/>
          <w:color w:val="auto"/>
          <w:szCs w:val="21"/>
          <w:highlight w:val="none"/>
        </w:rPr>
        <w:t>等文件要求及工程项目相关合同、相关计价标准等实施</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事项，遵守职业道德。对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工作中的重要事项以及专业技术人员的专业判断进行记录，依照相关法律法规发表专业意见，出具工程造价成果文件，并对提交的结算</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成果的真实性、完整性、准确性负责。</w:t>
      </w:r>
    </w:p>
    <w:p w14:paraId="121D86CB">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2.乙方应在采购合同规定的时间前完成</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工作，并向甲方提交成果及工程量计算底稿。向甲方提交资料的时间原则上按如下规定：（1）按采购合同要求的时间完成（除甲方提供主要资料滞后外），乙方应按甲方要求向甲方提供经甲方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通过的结算成果纸质版及电子文档，纸质文档一式四份须加盖乙方公章及执业印章。（2）对于未执行《</w:t>
      </w:r>
      <w:r>
        <w:rPr>
          <w:rFonts w:hint="eastAsia" w:ascii="宋体" w:hAnsi="宋体" w:cs="宋体"/>
          <w:color w:val="auto"/>
          <w:szCs w:val="21"/>
          <w:highlight w:val="none"/>
          <w:lang w:eastAsia="zh-CN"/>
        </w:rPr>
        <w:t>钦州</w:t>
      </w:r>
      <w:r>
        <w:rPr>
          <w:rFonts w:hint="eastAsia" w:ascii="宋体" w:hAnsi="宋体" w:cs="宋体"/>
          <w:color w:val="auto"/>
          <w:szCs w:val="21"/>
          <w:highlight w:val="none"/>
        </w:rPr>
        <w:t>建设工程造价信息》的信息价或信息价缺项的材料、设备，应附上相应的询价、报价及定价资料并加盖乙方公章。</w:t>
      </w:r>
    </w:p>
    <w:p w14:paraId="773EA0B5">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3.如工程项目供应商、项目业主等提出与</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工作有关的疑问，乙方必须在规定的时间内提出书面答复意见，并送甲方审定后由甲方答复供应商、项目业主等。</w:t>
      </w:r>
    </w:p>
    <w:p w14:paraId="65D1715B">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4.乙方在签订采购合同后应积极主动地与甲方联系，落实具体事宜，安排充足的人员在规定的时间内完成</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工作，并将安排的该委托任务的负责人及相关</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人员姓名与联系电话书面反馈给甲方。</w:t>
      </w:r>
    </w:p>
    <w:p w14:paraId="0812C59A">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5.如工程项目在结算</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过程中需要调整的，甲方立即通知乙方；如乙方在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过程中发现问题的，应立即通知甲方。</w:t>
      </w:r>
    </w:p>
    <w:p w14:paraId="04F7AA3C">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6.乙方不得将甲方委托的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工作内容透露给除甲方以外的任何人。如发现乙方有违规情况并经查实的，甲方有权终止合同并追究乙方违约责任，并报送征集人。</w:t>
      </w:r>
    </w:p>
    <w:p w14:paraId="2480F9DC">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7.合同有效期内，甲方认为乙方实际投入的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人员不足以满足</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任务需要或认为</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人员不称职时，可向乙方发出要求增加或更换（必要时可指定）</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人员的通知，乙方在收到通知后的5天内应增加或更换相应的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人员，由此产生的费用由乙方自行承担。</w:t>
      </w:r>
    </w:p>
    <w:p w14:paraId="03F460F2">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8.乙方可根据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任务需要，经甲方同意后增加专业技术辅助人员，并将新增专业技术辅助人员报甲方登记备案。</w:t>
      </w:r>
    </w:p>
    <w:p w14:paraId="443D838C">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9.乙方已接受甲方委托</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某工程项目结算的，不能再为与该工程项目有关的供应商、项目业主或施工方提供与该工程项目有关的造价咨询服务；如发现乙方有违规情况并经查实的，甲方有权终止合同并追究乙方违约责任，并报送征集人。</w:t>
      </w:r>
    </w:p>
    <w:p w14:paraId="49AF3181">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10.乙方应向甲方提交的成果及工程量计算底稿时必须已完成内部三级</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程序，并提供各级</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人的书面</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意见。根据项目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情况，甲方认为有需要时，将对乙方内部三级</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各级</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员进行考评，并对是否宜继续参与政府投资建设项目</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工作作出认定。如甲方认为乙方的编制和复核人员不宜再参与政府投资建设项目结算</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工作的，乙方不得再安排其参与政府投资建设项目结算</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工作，甲方认为须经乙方对其进行严格业务培训后方可再安排相应工作的，乙方必须严格执行。</w:t>
      </w:r>
    </w:p>
    <w:p w14:paraId="0F4748A6">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11.甲方认为有必要时，可以约谈、询问乙方的法人代表及相关负责人，乙方不得拒绝。</w:t>
      </w:r>
    </w:p>
    <w:p w14:paraId="35F0CFF8">
      <w:pPr>
        <w:pageBreakBefore w:val="0"/>
        <w:kinsoku/>
        <w:wordWrap/>
        <w:topLinePunct w:val="0"/>
        <w:autoSpaceDE/>
        <w:autoSpaceDN/>
        <w:bidi w:val="0"/>
        <w:spacing w:line="360" w:lineRule="auto"/>
        <w:ind w:left="0" w:leftChars="0" w:firstLine="47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12.其它约定：</w:t>
      </w:r>
      <w:r>
        <w:rPr>
          <w:rFonts w:hint="eastAsia" w:ascii="宋体" w:hAnsi="宋体" w:cs="宋体"/>
          <w:color w:val="auto"/>
          <w:szCs w:val="21"/>
          <w:highlight w:val="none"/>
          <w:u w:val="single"/>
        </w:rPr>
        <w:t xml:space="preserve">（由甲方根据项目具体情况约定）     </w:t>
      </w:r>
    </w:p>
    <w:p w14:paraId="5756E229">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八、履约验收</w:t>
      </w:r>
    </w:p>
    <w:p w14:paraId="451E1E03">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1.乙方提供不符合征集文件、响应文件和本合同规定的服务的，甲方有权拒绝接受。</w:t>
      </w:r>
    </w:p>
    <w:p w14:paraId="373546F8">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甲方委托第三方组织的验收项目，其验收时间以该项目验收方案确定的验收时间为准，验收结果以该项目验收报告结论为准。在验收过程中发现乙方验收不合格，可暂缓资金结算，待问题解决后，方可办理资金结算事宜。</w:t>
      </w:r>
    </w:p>
    <w:p w14:paraId="7F929FED">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3.其他未尽事宜应严格按照《关于印发广西壮族自治区政府采购项目履约验收管理办法的通知》[桂财采〔2015〕22 号]以及《财政部关于进一步加强政府采购需求和履约验收管理的指导意见》[财库〔2016〕205 号]规定执行。</w:t>
      </w:r>
    </w:p>
    <w:p w14:paraId="0F8043C1">
      <w:pPr>
        <w:keepNext w:val="0"/>
        <w:keepLines w:val="0"/>
        <w:pageBreakBefore w:val="0"/>
        <w:widowControl w:val="0"/>
        <w:kinsoku/>
        <w:overflowPunct/>
        <w:topLinePunct w:val="0"/>
        <w:autoSpaceDE/>
        <w:autoSpaceDN/>
        <w:bidi w:val="0"/>
        <w:adjustRightInd/>
        <w:spacing w:line="360" w:lineRule="auto"/>
        <w:ind w:left="0" w:leftChars="0" w:right="0" w:rightChars="0" w:firstLine="470" w:firstLineChars="20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4.履约验收方案详见附件。</w:t>
      </w:r>
    </w:p>
    <w:p w14:paraId="7F08DB6C">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、服务评价</w:t>
      </w:r>
    </w:p>
    <w:p w14:paraId="3A43A9CC">
      <w:pPr>
        <w:pageBreakBefore w:val="0"/>
        <w:kinsoku/>
        <w:wordWrap/>
        <w:topLinePunct w:val="0"/>
        <w:autoSpaceDE/>
        <w:autoSpaceDN/>
        <w:bidi w:val="0"/>
        <w:spacing w:line="360" w:lineRule="auto"/>
        <w:ind w:left="0" w:lef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框架协议将建立用户反馈和评价机制,每个竣工财务决算项目完成后采购人需按时填写中马钦州产业园区财政投资建设项目竣工财务决算评审服务单位诚信综合评价表(详见附件 3)，如诚信综合评价考核等级累计三次及以上为不合格等级，由征集人复核后报送中马钦州产业园区管委会审批，清退出本次框架协议管理范围。</w:t>
      </w:r>
    </w:p>
    <w:p w14:paraId="4A2C33A3">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、违约责任</w:t>
      </w:r>
    </w:p>
    <w:p w14:paraId="50963C3C">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 1.甲方违约，造成乙方损失的，应按《中华人民共和国民法典》有关规定承担责任。</w:t>
      </w:r>
    </w:p>
    <w:p w14:paraId="36B2BA1E">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2.因乙方违约造成甲方损失的，应按《中华人民共和国民法典》等相关法律法规赔偿因违约给甲方造成的损失。</w:t>
      </w:r>
    </w:p>
    <w:p w14:paraId="5CFD7354">
      <w:pPr>
        <w:pageBreakBefore w:val="0"/>
        <w:kinsoku/>
        <w:wordWrap/>
        <w:topLinePunct w:val="0"/>
        <w:autoSpaceDE/>
        <w:autoSpaceDN/>
        <w:bidi w:val="0"/>
        <w:spacing w:line="360" w:lineRule="auto"/>
        <w:ind w:left="0" w:leftChars="0" w:firstLine="47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3.乙方须按采购合同规定的时间完成各项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工作，若乙方出现未能按规定时间完成</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工作的，甲方有权停止委托</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任务，终止合同。甲方提供主要资料滞后的，乙方完成编制</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工作时限相应顺延，责任根据具体情况而定。</w:t>
      </w:r>
    </w:p>
    <w:p w14:paraId="579CCBA0">
      <w:pPr>
        <w:pageBreakBefore w:val="0"/>
        <w:kinsoku/>
        <w:wordWrap/>
        <w:topLinePunct w:val="0"/>
        <w:autoSpaceDE/>
        <w:autoSpaceDN/>
        <w:bidi w:val="0"/>
        <w:spacing w:line="360" w:lineRule="auto"/>
        <w:ind w:left="0" w:leftChars="0" w:firstLine="47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4.若乙方完成的竣工财务决算评审成果经审计部门等相关部门审查，审查结果综合误差率超过±3%，甲方有权不支付或要求乙方退回已支付该项目全部的评审服务费用，累计达到3个项目的，</w:t>
      </w:r>
      <w:r>
        <w:rPr>
          <w:rFonts w:hint="eastAsia" w:ascii="宋体" w:hAnsi="宋体" w:eastAsia="宋体" w:cs="宋体"/>
          <w:color w:val="auto"/>
          <w:szCs w:val="21"/>
          <w:highlight w:val="none"/>
        </w:rPr>
        <w:t>甲方有权停止委托</w:t>
      </w:r>
      <w:r>
        <w:rPr>
          <w:rFonts w:hint="eastAsia" w:ascii="宋体" w:hAnsi="宋体" w:eastAsia="宋体" w:cs="宋体"/>
          <w:color w:val="auto"/>
          <w:szCs w:val="21"/>
          <w:highlight w:val="none"/>
          <w:lang w:eastAsia="zh-CN"/>
        </w:rPr>
        <w:t>评审</w:t>
      </w:r>
      <w:r>
        <w:rPr>
          <w:rFonts w:hint="eastAsia" w:ascii="宋体" w:hAnsi="宋体" w:eastAsia="宋体" w:cs="宋体"/>
          <w:color w:val="auto"/>
          <w:szCs w:val="21"/>
          <w:highlight w:val="none"/>
        </w:rPr>
        <w:t>任务，终止合同。</w:t>
      </w:r>
    </w:p>
    <w:p w14:paraId="70F79A0B">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.若乙方不接受甲方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业务委托的，应在收到通知后5个工作日内向甲方做出合理充分的书面理由，否则甲方有权将有关情况报告征集人，列入供应商黑名单。</w:t>
      </w:r>
    </w:p>
    <w:p w14:paraId="0F0B797A">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.乙方违反以下任何一项廉洁从业规定时，甲方将实行一票否决权，终止合同并追究乙方相关责任，并将乙方不良记录报送至征集人及市造价管理机构等信用体系管理机构。</w:t>
      </w:r>
    </w:p>
    <w:p w14:paraId="24277E2B">
      <w:pPr>
        <w:pageBreakBefore w:val="0"/>
        <w:kinsoku/>
        <w:wordWrap/>
        <w:topLinePunct w:val="0"/>
        <w:autoSpaceDE/>
        <w:autoSpaceDN/>
        <w:bidi w:val="0"/>
        <w:spacing w:line="360" w:lineRule="auto"/>
        <w:ind w:left="0" w:leftChars="0" w:firstLine="470" w:firstLineChars="200"/>
        <w:textAlignment w:val="auto"/>
        <w:outlineLvl w:val="9"/>
        <w:rPr>
          <w:rFonts w:ascii="宋体" w:hAnsi="宋体" w:cs="宋体"/>
          <w:color w:val="auto"/>
          <w:szCs w:val="21"/>
          <w:highlight w:val="none"/>
        </w:rPr>
      </w:pPr>
      <w:bookmarkStart w:id="301" w:name="_Toc20502"/>
      <w:bookmarkStart w:id="302" w:name="_Toc30288"/>
      <w:bookmarkStart w:id="303" w:name="_Toc22053"/>
      <w:bookmarkStart w:id="304" w:name="_Toc22119"/>
      <w:bookmarkStart w:id="305" w:name="_Toc2084"/>
      <w:bookmarkStart w:id="306" w:name="_Toc32515"/>
      <w:r>
        <w:rPr>
          <w:rFonts w:hint="eastAsia" w:ascii="宋体" w:hAnsi="宋体" w:cs="宋体"/>
          <w:color w:val="auto"/>
          <w:szCs w:val="21"/>
          <w:highlight w:val="none"/>
        </w:rPr>
        <w:t>（1）采用行贿、欺骗、弄虚作假等不正当手段承接工程</w:t>
      </w:r>
      <w:r>
        <w:rPr>
          <w:rFonts w:hint="eastAsia" w:ascii="宋体" w:hAnsi="宋体" w:cs="宋体"/>
          <w:color w:val="auto"/>
          <w:szCs w:val="21"/>
          <w:highlight w:val="none"/>
          <w:lang w:eastAsia="zh-CN"/>
        </w:rPr>
        <w:t>结算评审</w:t>
      </w:r>
      <w:r>
        <w:rPr>
          <w:rFonts w:hint="eastAsia" w:ascii="宋体" w:hAnsi="宋体" w:cs="宋体"/>
          <w:color w:val="auto"/>
          <w:szCs w:val="21"/>
          <w:highlight w:val="none"/>
        </w:rPr>
        <w:t>业务；</w:t>
      </w:r>
      <w:bookmarkEnd w:id="301"/>
      <w:bookmarkEnd w:id="302"/>
      <w:bookmarkEnd w:id="303"/>
      <w:bookmarkEnd w:id="304"/>
      <w:bookmarkEnd w:id="305"/>
      <w:bookmarkEnd w:id="306"/>
    </w:p>
    <w:p w14:paraId="312BCA2F">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（2）与</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人或供应商串通，泄露招标控制价编制定价信息；</w:t>
      </w:r>
    </w:p>
    <w:p w14:paraId="687F18AE">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（3）与项目业主或施工单位串通，有意增大或减少工程量、弄虚作假增加评审额、有意使工程量清单漏项，影响项目评审的客观、公正性；</w:t>
      </w:r>
    </w:p>
    <w:p w14:paraId="1467AFAB">
      <w:pPr>
        <w:pageBreakBefore w:val="0"/>
        <w:kinsoku/>
        <w:wordWrap/>
        <w:topLinePunct w:val="0"/>
        <w:autoSpaceDE/>
        <w:autoSpaceDN/>
        <w:bidi w:val="0"/>
        <w:spacing w:line="360" w:lineRule="auto"/>
        <w:ind w:left="0" w:leftChars="0" w:firstLine="470" w:firstLineChars="200"/>
        <w:textAlignment w:val="auto"/>
        <w:outlineLvl w:val="9"/>
        <w:rPr>
          <w:rFonts w:ascii="宋体" w:hAnsi="宋体" w:cs="宋体"/>
          <w:color w:val="auto"/>
          <w:szCs w:val="21"/>
          <w:highlight w:val="none"/>
        </w:rPr>
      </w:pPr>
      <w:bookmarkStart w:id="307" w:name="_Toc19401"/>
      <w:bookmarkStart w:id="308" w:name="_Toc26535"/>
      <w:bookmarkStart w:id="309" w:name="_Toc8947"/>
      <w:bookmarkStart w:id="310" w:name="_Toc9198"/>
      <w:bookmarkStart w:id="311" w:name="_Toc1507"/>
      <w:bookmarkStart w:id="312" w:name="_Toc32626"/>
      <w:r>
        <w:rPr>
          <w:rFonts w:hint="eastAsia" w:ascii="宋体" w:hAnsi="宋体" w:cs="宋体"/>
          <w:color w:val="auto"/>
          <w:szCs w:val="21"/>
          <w:highlight w:val="none"/>
        </w:rPr>
        <w:t>（4）向甲方工作人员请客、送礼及组织其它有可能影响客观公正评审的活动；</w:t>
      </w:r>
      <w:bookmarkEnd w:id="307"/>
      <w:bookmarkEnd w:id="308"/>
      <w:bookmarkEnd w:id="309"/>
      <w:bookmarkEnd w:id="310"/>
      <w:bookmarkEnd w:id="311"/>
      <w:bookmarkEnd w:id="312"/>
    </w:p>
    <w:p w14:paraId="0C9B5B08">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（5）向外界泄露评审工作机密；</w:t>
      </w:r>
    </w:p>
    <w:p w14:paraId="1BF4B92B">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（6）向项目业主或施工单位等相关单位、人员索要或接受回扣、礼金、有价证券、贵重物品等；</w:t>
      </w:r>
    </w:p>
    <w:p w14:paraId="77738FB4">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（7）接受相关单位组织的有可能影响项目评审公平、公正的宴请及各类娱乐活动。</w:t>
      </w:r>
    </w:p>
    <w:p w14:paraId="728C1108">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甲方将不定期的对乙方的办公情况及人员情况进行检查，乙方须根据框架协议约定投入专业技术人员必须符合响应文件承诺的拟投入人员（增加其他专业技术辅助人员不限，但不增加服务报酬），如确需变更的，乙方应提前书面报甲方（须提供拟接替该岗位人员的相关资料，接替人员所具有的职称等级、各类资格证书不得低于该岗位原工作人员），经甲方确认并同意后，方可变更相应的工作人员。乙方不满足上述条件的，视为乙方违约，甲方有权终止合同。</w:t>
      </w:r>
    </w:p>
    <w:p w14:paraId="04CBF541">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.乙方出现丢失或损坏甲方提供的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资料的，出现第1次，甲方扣减20％的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服务费；出现2次，甲方有权扣减50%的</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服务费，并终止合同。</w:t>
      </w:r>
    </w:p>
    <w:p w14:paraId="63B177A3">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.若乙方在未出具任何</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结论的情况下，因自身原因中途将</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项目退回给甲方的，原则上，甲方不支付乙方任何</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费用。</w:t>
      </w:r>
    </w:p>
    <w:p w14:paraId="43073C4D">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.乙方拒绝甲方约谈、询问的，甲方有权暂停委托乙方</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任务，直至乙方相关人员接受甲方约谈、询问为止。</w:t>
      </w:r>
    </w:p>
    <w:p w14:paraId="65BDB3A2">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.对于乙方的违约行为，甲方认为有必要的，除可将其不良记录报送至征集人、市造价管理机构等信用体系管理机构外，还可以在全市财政系统通报，也可以上报市政府、自治区财政厅。</w:t>
      </w:r>
    </w:p>
    <w:p w14:paraId="76736B00">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、不可抗力事件处理</w:t>
      </w:r>
    </w:p>
    <w:p w14:paraId="2CC6CB3E">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1.不可抗力事件发生后，应立即通知对方，并附送有关权威机构出具的证明。</w:t>
      </w:r>
    </w:p>
    <w:p w14:paraId="764C6A6C">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2.不可抗力事件延续120天以上，双方应通过友好协商，确定是否继续履行合同。</w:t>
      </w:r>
    </w:p>
    <w:p w14:paraId="18F5718C">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、诉讼</w:t>
      </w:r>
    </w:p>
    <w:p w14:paraId="378E3E9F">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双方在执行合同中所发生的一切争议，应通过协商解决。如协商不成，双方可就争议共同提请自治区或</w:t>
      </w:r>
      <w:r>
        <w:rPr>
          <w:rFonts w:hint="eastAsia" w:ascii="宋体" w:hAnsi="宋体" w:cs="宋体"/>
          <w:color w:val="auto"/>
          <w:szCs w:val="21"/>
          <w:highlight w:val="none"/>
          <w:lang w:val="en-US" w:eastAsia="zh-CN"/>
        </w:rPr>
        <w:t>钦州</w:t>
      </w:r>
      <w:r>
        <w:rPr>
          <w:rFonts w:hint="eastAsia" w:ascii="宋体" w:hAnsi="宋体" w:cs="宋体"/>
          <w:color w:val="auto"/>
          <w:szCs w:val="21"/>
          <w:highlight w:val="none"/>
        </w:rPr>
        <w:t>市工程造价管理机构进行裁定，也可向合同签订地法院起诉，合同签订地在此约定为</w:t>
      </w:r>
      <w:r>
        <w:rPr>
          <w:rFonts w:hint="eastAsia" w:ascii="宋体" w:hAnsi="宋体" w:cs="宋体"/>
          <w:color w:val="auto"/>
          <w:szCs w:val="21"/>
          <w:highlight w:val="none"/>
          <w:lang w:val="en-US" w:eastAsia="zh-CN"/>
        </w:rPr>
        <w:t>钦州中国—马来西亚钦州产业园区</w:t>
      </w:r>
      <w:r>
        <w:rPr>
          <w:rFonts w:hint="eastAsia" w:ascii="宋体" w:hAnsi="宋体" w:cs="宋体"/>
          <w:color w:val="auto"/>
          <w:szCs w:val="21"/>
          <w:highlight w:val="none"/>
        </w:rPr>
        <w:t>。</w:t>
      </w:r>
    </w:p>
    <w:p w14:paraId="50027787">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、合同生效及其它</w:t>
      </w:r>
    </w:p>
    <w:p w14:paraId="0D6596F4">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1.合同经双方法定代表人或授权委托代理人签字并加盖单位公章后生效。</w:t>
      </w:r>
    </w:p>
    <w:p w14:paraId="42C03314">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2.合同执行中，如需修改或补充合同内容，由双方协商另签署书面修改或补充协议作为主合同不可分割的一部分。</w:t>
      </w:r>
    </w:p>
    <w:p w14:paraId="17F9181F">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14:paraId="1D48E241">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4.本合同未尽事宜，遵照《中华人民共和国民法典》有关条文执行。</w:t>
      </w:r>
    </w:p>
    <w:p w14:paraId="0499D02B">
      <w:pPr>
        <w:pageBreakBefore w:val="0"/>
        <w:kinsoku/>
        <w:wordWrap/>
        <w:topLinePunct w:val="0"/>
        <w:autoSpaceDE/>
        <w:autoSpaceDN/>
        <w:bidi w:val="0"/>
        <w:spacing w:line="360" w:lineRule="auto"/>
        <w:ind w:left="0" w:leftChars="0" w:firstLine="470" w:firstLineChars="200"/>
        <w:textAlignment w:val="auto"/>
        <w:rPr>
          <w:rFonts w:ascii="宋体" w:hAnsi="宋体" w:cs="宋体"/>
          <w:color w:val="auto"/>
          <w:szCs w:val="21"/>
          <w:highlight w:val="none"/>
        </w:rPr>
      </w:pPr>
      <w:r>
        <w:rPr>
          <w:rFonts w:hint="eastAsia" w:ascii="宋体" w:hAnsi="宋体" w:cs="宋体"/>
          <w:color w:val="auto"/>
          <w:szCs w:val="21"/>
          <w:highlight w:val="none"/>
        </w:rPr>
        <w:t>5.本合同一式肆份，具有同等法律效力，甲乙双方各执贰份。</w:t>
      </w:r>
    </w:p>
    <w:p w14:paraId="3A61B2A6">
      <w:pPr>
        <w:pageBreakBefore w:val="0"/>
        <w:kinsoku/>
        <w:wordWrap/>
        <w:topLinePunct w:val="0"/>
        <w:autoSpaceDE/>
        <w:autoSpaceDN/>
        <w:bidi w:val="0"/>
        <w:spacing w:line="360" w:lineRule="auto"/>
        <w:ind w:left="0" w:leftChars="0"/>
        <w:textAlignment w:val="auto"/>
        <w:rPr>
          <w:rFonts w:ascii="宋体" w:hAnsi="宋体" w:cs="宋体"/>
          <w:color w:val="auto"/>
          <w:szCs w:val="21"/>
          <w:highlight w:val="none"/>
        </w:rPr>
      </w:pPr>
    </w:p>
    <w:p w14:paraId="13C907B1">
      <w:pPr>
        <w:pageBreakBefore w:val="0"/>
        <w:kinsoku/>
        <w:wordWrap/>
        <w:topLinePunct w:val="0"/>
        <w:autoSpaceDE/>
        <w:autoSpaceDN/>
        <w:bidi w:val="0"/>
        <w:spacing w:line="360" w:lineRule="auto"/>
        <w:ind w:left="0" w:leftChars="0"/>
        <w:textAlignment w:val="auto"/>
        <w:rPr>
          <w:rFonts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none"/>
          <w:lang w:eastAsia="zh-CN"/>
        </w:rPr>
        <w:t>（盖章）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乙方</w:t>
      </w:r>
      <w:r>
        <w:rPr>
          <w:rFonts w:hint="eastAsia" w:ascii="宋体" w:hAnsi="宋体" w:cs="宋体"/>
          <w:color w:val="auto"/>
          <w:szCs w:val="21"/>
          <w:highlight w:val="none"/>
          <w:u w:val="none"/>
          <w:lang w:eastAsia="zh-CN"/>
        </w:rPr>
        <w:t>（盖章）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1341ACE7">
      <w:pPr>
        <w:pageBreakBefore w:val="0"/>
        <w:kinsoku/>
        <w:wordWrap/>
        <w:topLinePunct w:val="0"/>
        <w:autoSpaceDE/>
        <w:autoSpaceDN/>
        <w:bidi w:val="0"/>
        <w:spacing w:line="360" w:lineRule="auto"/>
        <w:ind w:left="0" w:leftChars="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7AEBB1B3">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4F48EDB0">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0B996AA4">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350E7D05">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151F2822">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6E6E9C6A">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lang w:eastAsia="zh-CN"/>
        </w:rPr>
        <w:t>采购单位经办人</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2A6AC90C">
      <w:pPr>
        <w:pageBreakBefore w:val="0"/>
        <w:kinsoku/>
        <w:wordWrap/>
        <w:topLinePunct w:val="0"/>
        <w:autoSpaceDE/>
        <w:autoSpaceDN/>
        <w:bidi w:val="0"/>
        <w:spacing w:line="360" w:lineRule="auto"/>
        <w:ind w:left="0" w:leftChars="0"/>
        <w:textAlignment w:val="auto"/>
        <w:rPr>
          <w:rFonts w:hint="eastAsia"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lang w:eastAsia="zh-CN"/>
        </w:rPr>
        <w:t>经办人联系电话</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1F12C79F">
      <w:pPr>
        <w:pageBreakBefore w:val="0"/>
        <w:kinsoku/>
        <w:wordWrap/>
        <w:topLinePunct w:val="0"/>
        <w:autoSpaceDE/>
        <w:autoSpaceDN/>
        <w:bidi w:val="0"/>
        <w:spacing w:line="360" w:lineRule="auto"/>
        <w:ind w:left="0" w:leftChars="0"/>
        <w:textAlignment w:val="auto"/>
        <w:rPr>
          <w:rFonts w:hint="eastAsia" w:ascii="宋体" w:hAnsi="宋体" w:cs="宋体"/>
          <w:color w:val="auto"/>
          <w:szCs w:val="21"/>
          <w:highlight w:val="none"/>
        </w:rPr>
      </w:pPr>
      <w:r>
        <w:rPr>
          <w:rFonts w:hint="eastAsia" w:ascii="宋体" w:hAnsi="宋体" w:cs="宋体"/>
          <w:color w:val="auto"/>
          <w:szCs w:val="21"/>
          <w:highlight w:val="none"/>
        </w:rPr>
        <w:t>合同签订日期：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   合同签订日期：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A78DB98">
      <w:pPr>
        <w:pageBreakBefore w:val="0"/>
        <w:kinsoku/>
        <w:wordWrap/>
        <w:topLinePunct w:val="0"/>
        <w:autoSpaceDE/>
        <w:autoSpaceDN/>
        <w:bidi w:val="0"/>
        <w:spacing w:line="360" w:lineRule="auto"/>
        <w:ind w:left="0" w:leftChars="0"/>
        <w:textAlignment w:val="auto"/>
        <w:rPr>
          <w:rFonts w:ascii="宋体" w:hAnsi="宋体" w:cs="宋体"/>
          <w:color w:val="auto"/>
          <w:sz w:val="28"/>
          <w:szCs w:val="28"/>
          <w:highlight w:val="none"/>
        </w:rPr>
      </w:pPr>
      <w:r>
        <w:rPr>
          <w:rFonts w:hint="eastAsia" w:ascii="宋体" w:hAnsi="宋体" w:cs="宋体"/>
          <w:color w:val="auto"/>
          <w:szCs w:val="21"/>
          <w:highlight w:val="none"/>
        </w:rPr>
        <w:t>合同签订地点：</w:t>
      </w:r>
    </w:p>
    <w:p w14:paraId="1F3C29A8">
      <w:pPr>
        <w:pStyle w:val="18"/>
        <w:pageBreakBefore w:val="0"/>
        <w:tabs>
          <w:tab w:val="left" w:pos="2472"/>
        </w:tabs>
        <w:kinsoku/>
        <w:wordWrap/>
        <w:topLinePunct w:val="0"/>
        <w:autoSpaceDE/>
        <w:autoSpaceDN/>
        <w:bidi w:val="0"/>
        <w:spacing w:line="360" w:lineRule="auto"/>
        <w:ind w:left="0" w:leftChars="0"/>
        <w:jc w:val="both"/>
        <w:textAlignment w:val="auto"/>
        <w:outlineLvl w:val="0"/>
        <w:rPr>
          <w:rFonts w:hAnsi="宋体" w:cs="宋体"/>
          <w:b/>
          <w:color w:val="auto"/>
          <w:sz w:val="36"/>
          <w:highlight w:val="none"/>
        </w:rPr>
        <w:sectPr>
          <w:footerReference r:id="rId8" w:type="default"/>
          <w:pgSz w:w="11906" w:h="16838"/>
          <w:pgMar w:top="1134" w:right="1134" w:bottom="1134" w:left="1134" w:header="720" w:footer="720" w:gutter="0"/>
          <w:pgBorders>
            <w:top w:val="none" w:sz="0" w:space="0"/>
            <w:left w:val="none" w:sz="0" w:space="0"/>
            <w:bottom w:val="none" w:sz="0" w:space="0"/>
            <w:right w:val="none" w:sz="0" w:space="0"/>
          </w:pgBorders>
          <w:pgNumType w:fmt="decimal"/>
          <w:cols w:space="0" w:num="1"/>
          <w:rtlGutter w:val="0"/>
          <w:docGrid w:type="linesAndChars" w:linePitch="316" w:charSpace="5134"/>
        </w:sectPr>
      </w:pPr>
    </w:p>
    <w:p w14:paraId="2A40F0FB">
      <w:pPr>
        <w:bidi w:val="0"/>
        <w:rPr>
          <w:sz w:val="32"/>
          <w:szCs w:val="32"/>
        </w:rPr>
      </w:pPr>
      <w:bookmarkStart w:id="313" w:name="_Toc23738"/>
      <w:bookmarkStart w:id="314" w:name="_Toc14714"/>
      <w:bookmarkStart w:id="315" w:name="_Toc8182"/>
      <w:bookmarkStart w:id="316" w:name="_Toc144971858"/>
      <w:bookmarkStart w:id="317" w:name="_Toc512"/>
      <w:r>
        <w:rPr>
          <w:rFonts w:hint="eastAsia"/>
          <w:sz w:val="32"/>
          <w:szCs w:val="32"/>
        </w:rPr>
        <w:t>附件1：</w:t>
      </w:r>
      <w:bookmarkEnd w:id="313"/>
    </w:p>
    <w:p w14:paraId="23D31405">
      <w:pPr>
        <w:adjustRightInd w:val="0"/>
        <w:snapToGrid w:val="0"/>
        <w:spacing w:line="400" w:lineRule="exact"/>
        <w:jc w:val="center"/>
        <w:rPr>
          <w:rFonts w:hint="eastAsia" w:ascii="方正小标宋简体" w:hAnsi="宋体" w:eastAsia="方正小标宋简体" w:cs="Times New Roman"/>
          <w:color w:val="auto"/>
          <w:kern w:val="0"/>
          <w:sz w:val="36"/>
          <w:szCs w:val="36"/>
          <w:highlight w:val="none"/>
          <w:lang w:val="en-US" w:eastAsia="zh-CN"/>
        </w:rPr>
      </w:pPr>
      <w:r>
        <w:rPr>
          <w:rFonts w:hint="eastAsia" w:ascii="方正小标宋简体" w:hAnsi="宋体" w:eastAsia="方正小标宋简体" w:cs="Times New Roman"/>
          <w:color w:val="auto"/>
          <w:kern w:val="0"/>
          <w:sz w:val="36"/>
          <w:szCs w:val="36"/>
          <w:highlight w:val="none"/>
          <w:lang w:val="en-US" w:eastAsia="zh-CN"/>
        </w:rPr>
        <w:t>2025—2027年度中马钦州产业园区财政投资建设项目竣工财务决算协审服务框架协议采购单位</w:t>
      </w:r>
    </w:p>
    <w:p w14:paraId="6FD7135C">
      <w:pPr>
        <w:adjustRightInd w:val="0"/>
        <w:snapToGrid w:val="0"/>
        <w:spacing w:line="400" w:lineRule="exact"/>
        <w:jc w:val="center"/>
        <w:rPr>
          <w:rFonts w:ascii="方正小标宋简体" w:hAnsi="宋体" w:eastAsia="方正小标宋简体" w:cs="Times New Roman"/>
          <w:color w:val="auto"/>
          <w:kern w:val="0"/>
          <w:sz w:val="36"/>
          <w:szCs w:val="36"/>
          <w:highlight w:val="none"/>
        </w:rPr>
      </w:pPr>
      <w:r>
        <w:rPr>
          <w:rFonts w:hint="eastAsia" w:ascii="方正小标宋简体" w:hAnsi="宋体" w:eastAsia="方正小标宋简体" w:cs="Times New Roman"/>
          <w:color w:val="auto"/>
          <w:kern w:val="0"/>
          <w:sz w:val="36"/>
          <w:szCs w:val="36"/>
          <w:highlight w:val="none"/>
        </w:rPr>
        <w:t>诚信综合评价表</w:t>
      </w:r>
    </w:p>
    <w:p w14:paraId="5BEF0118">
      <w:pPr>
        <w:spacing w:line="320" w:lineRule="exac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 xml:space="preserve">项目名称：                                                                     </w:t>
      </w:r>
      <w:r>
        <w:rPr>
          <w:rFonts w:hint="eastAsia" w:ascii="宋体" w:hAnsi="宋体" w:eastAsia="宋体" w:cs="宋体"/>
          <w:b/>
          <w:color w:val="auto"/>
          <w:szCs w:val="21"/>
          <w:highlight w:val="none"/>
        </w:rPr>
        <w:t>成交供应商</w:t>
      </w:r>
      <w:r>
        <w:rPr>
          <w:rFonts w:hint="eastAsia" w:ascii="宋体" w:hAnsi="宋体" w:eastAsia="宋体" w:cs="Times New Roman"/>
          <w:b/>
          <w:color w:val="auto"/>
          <w:kern w:val="0"/>
          <w:szCs w:val="21"/>
          <w:highlight w:val="none"/>
        </w:rPr>
        <w:t xml:space="preserve">：                                                                                         </w:t>
      </w:r>
    </w:p>
    <w:p w14:paraId="23BD60BD">
      <w:pPr>
        <w:spacing w:line="320" w:lineRule="exact"/>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填报时间：     年     月      日</w:t>
      </w:r>
    </w:p>
    <w:tbl>
      <w:tblPr>
        <w:tblStyle w:val="3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562"/>
        <w:gridCol w:w="3932"/>
        <w:gridCol w:w="888"/>
        <w:gridCol w:w="863"/>
        <w:gridCol w:w="1250"/>
      </w:tblGrid>
      <w:tr w14:paraId="6DFE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83" w:type="pct"/>
            <w:noWrap w:val="0"/>
            <w:vAlign w:val="top"/>
          </w:tcPr>
          <w:p w14:paraId="7C0541F4">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评价标准</w:t>
            </w:r>
          </w:p>
        </w:tc>
        <w:tc>
          <w:tcPr>
            <w:tcW w:w="793" w:type="pct"/>
            <w:noWrap w:val="0"/>
            <w:vAlign w:val="top"/>
          </w:tcPr>
          <w:p w14:paraId="621F1310">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考核内容</w:t>
            </w:r>
          </w:p>
        </w:tc>
        <w:tc>
          <w:tcPr>
            <w:tcW w:w="1997" w:type="pct"/>
            <w:noWrap w:val="0"/>
            <w:vAlign w:val="top"/>
          </w:tcPr>
          <w:p w14:paraId="5E514296">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评分标准</w:t>
            </w:r>
          </w:p>
        </w:tc>
        <w:tc>
          <w:tcPr>
            <w:tcW w:w="451" w:type="pct"/>
            <w:noWrap w:val="0"/>
            <w:vAlign w:val="top"/>
          </w:tcPr>
          <w:p w14:paraId="02878D8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扣分项</w:t>
            </w:r>
          </w:p>
        </w:tc>
        <w:tc>
          <w:tcPr>
            <w:tcW w:w="438" w:type="pct"/>
            <w:noWrap w:val="0"/>
            <w:vAlign w:val="top"/>
          </w:tcPr>
          <w:p w14:paraId="3BFE396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实际得分</w:t>
            </w:r>
          </w:p>
        </w:tc>
        <w:tc>
          <w:tcPr>
            <w:tcW w:w="635" w:type="pct"/>
            <w:noWrap w:val="0"/>
            <w:vAlign w:val="top"/>
          </w:tcPr>
          <w:p w14:paraId="69CBB9C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备注</w:t>
            </w:r>
          </w:p>
        </w:tc>
      </w:tr>
      <w:tr w14:paraId="1578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restart"/>
            <w:noWrap w:val="0"/>
            <w:vAlign w:val="center"/>
          </w:tcPr>
          <w:p w14:paraId="2060CF1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r>
              <w:rPr>
                <w:rFonts w:hint="default" w:ascii="宋体" w:hAnsi="宋体" w:cs="宋体"/>
                <w:b w:val="0"/>
                <w:bCs w:val="0"/>
                <w:color w:val="auto"/>
                <w:sz w:val="21"/>
                <w:szCs w:val="21"/>
                <w:highlight w:val="none"/>
                <w:lang w:val="en-US" w:eastAsia="zh-CN"/>
              </w:rPr>
              <w:t>投入人员及工作配合情况（满分30分）</w:t>
            </w:r>
          </w:p>
          <w:p w14:paraId="25C2EFF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restart"/>
            <w:noWrap w:val="0"/>
            <w:vAlign w:val="center"/>
          </w:tcPr>
          <w:p w14:paraId="26120149">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left"/>
              <w:textAlignment w:val="auto"/>
              <w:rPr>
                <w:rFonts w:hint="eastAsia" w:ascii="宋体" w:hAnsi="宋体" w:cs="宋体"/>
                <w:b w:val="0"/>
                <w:bCs w:val="0"/>
                <w:color w:val="auto"/>
                <w:sz w:val="21"/>
                <w:szCs w:val="21"/>
                <w:highlight w:val="none"/>
                <w:lang w:val="en-US" w:eastAsia="zh-CN"/>
              </w:rPr>
            </w:pPr>
          </w:p>
          <w:p w14:paraId="680BACC4">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1.协审</w:t>
            </w:r>
            <w:r>
              <w:rPr>
                <w:rFonts w:hint="default" w:ascii="宋体" w:hAnsi="宋体" w:cs="宋体"/>
                <w:b w:val="0"/>
                <w:bCs w:val="0"/>
                <w:color w:val="auto"/>
                <w:sz w:val="21"/>
                <w:szCs w:val="21"/>
                <w:highlight w:val="none"/>
                <w:lang w:val="en-US" w:eastAsia="zh-CN"/>
              </w:rPr>
              <w:t>人员</w:t>
            </w:r>
            <w:r>
              <w:rPr>
                <w:rFonts w:hint="eastAsia" w:ascii="宋体" w:hAnsi="宋体" w:cs="宋体"/>
                <w:b w:val="0"/>
                <w:bCs w:val="0"/>
                <w:color w:val="auto"/>
                <w:sz w:val="21"/>
                <w:szCs w:val="21"/>
                <w:highlight w:val="none"/>
                <w:lang w:val="en-US" w:eastAsia="zh-CN"/>
              </w:rPr>
              <w:t>安排情况。</w:t>
            </w:r>
          </w:p>
          <w:p w14:paraId="72DAB234">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left"/>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积极配合开协审</w:t>
            </w:r>
            <w:r>
              <w:rPr>
                <w:rFonts w:hint="default" w:ascii="宋体" w:hAnsi="宋体" w:cs="宋体"/>
                <w:b w:val="0"/>
                <w:bCs w:val="0"/>
                <w:color w:val="auto"/>
                <w:sz w:val="21"/>
                <w:szCs w:val="21"/>
                <w:highlight w:val="none"/>
                <w:lang w:val="en-US" w:eastAsia="zh-CN"/>
              </w:rPr>
              <w:t>工作</w:t>
            </w:r>
            <w:r>
              <w:rPr>
                <w:rFonts w:hint="eastAsia" w:ascii="宋体" w:hAnsi="宋体" w:cs="宋体"/>
                <w:b w:val="0"/>
                <w:bCs w:val="0"/>
                <w:color w:val="auto"/>
                <w:sz w:val="21"/>
                <w:szCs w:val="21"/>
                <w:highlight w:val="none"/>
                <w:lang w:val="en-US" w:eastAsia="zh-CN"/>
              </w:rPr>
              <w:t>情况，如</w:t>
            </w:r>
            <w:r>
              <w:rPr>
                <w:rFonts w:hint="default" w:ascii="宋体" w:hAnsi="宋体" w:cs="宋体"/>
                <w:b w:val="0"/>
                <w:bCs w:val="0"/>
                <w:color w:val="auto"/>
                <w:sz w:val="21"/>
                <w:szCs w:val="21"/>
                <w:highlight w:val="none"/>
                <w:lang w:val="en-US" w:eastAsia="zh-CN"/>
              </w:rPr>
              <w:t>积极主动、服从</w:t>
            </w:r>
            <w:r>
              <w:rPr>
                <w:rFonts w:hint="eastAsia" w:ascii="宋体" w:hAnsi="宋体" w:cs="宋体"/>
                <w:b w:val="0"/>
                <w:bCs w:val="0"/>
                <w:color w:val="auto"/>
                <w:sz w:val="21"/>
                <w:szCs w:val="21"/>
                <w:highlight w:val="none"/>
                <w:lang w:val="en-US" w:eastAsia="zh-CN"/>
              </w:rPr>
              <w:t>采购人工作</w:t>
            </w:r>
            <w:r>
              <w:rPr>
                <w:rFonts w:hint="default" w:ascii="宋体" w:hAnsi="宋体" w:cs="宋体"/>
                <w:b w:val="0"/>
                <w:bCs w:val="0"/>
                <w:color w:val="auto"/>
                <w:sz w:val="21"/>
                <w:szCs w:val="21"/>
                <w:highlight w:val="none"/>
                <w:lang w:val="en-US" w:eastAsia="zh-CN"/>
              </w:rPr>
              <w:t>安排等</w:t>
            </w:r>
            <w:r>
              <w:rPr>
                <w:rFonts w:hint="eastAsia" w:ascii="宋体" w:hAnsi="宋体" w:cs="宋体"/>
                <w:b w:val="0"/>
                <w:bCs w:val="0"/>
                <w:color w:val="auto"/>
                <w:sz w:val="21"/>
                <w:szCs w:val="21"/>
                <w:highlight w:val="none"/>
                <w:lang w:val="en-US" w:eastAsia="zh-CN"/>
              </w:rPr>
              <w:t>。</w:t>
            </w:r>
          </w:p>
        </w:tc>
        <w:tc>
          <w:tcPr>
            <w:tcW w:w="1997" w:type="pct"/>
            <w:noWrap w:val="0"/>
            <w:vAlign w:val="center"/>
          </w:tcPr>
          <w:p w14:paraId="1209536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a.</w:t>
            </w:r>
            <w:r>
              <w:rPr>
                <w:rFonts w:hint="eastAsia" w:ascii="宋体" w:hAnsi="宋体" w:cs="宋体"/>
                <w:b w:val="0"/>
                <w:bCs w:val="0"/>
                <w:color w:val="auto"/>
                <w:sz w:val="21"/>
                <w:szCs w:val="21"/>
                <w:highlight w:val="none"/>
                <w:lang w:val="en-US" w:eastAsia="zh-CN"/>
              </w:rPr>
              <w:t>按照</w:t>
            </w:r>
            <w:r>
              <w:rPr>
                <w:rFonts w:hint="default" w:ascii="宋体" w:hAnsi="宋体" w:cs="宋体"/>
                <w:b w:val="0"/>
                <w:bCs w:val="0"/>
                <w:color w:val="auto"/>
                <w:sz w:val="21"/>
                <w:szCs w:val="21"/>
                <w:highlight w:val="none"/>
                <w:lang w:val="en-US" w:eastAsia="zh-CN"/>
              </w:rPr>
              <w:t>合同约</w:t>
            </w:r>
            <w:r>
              <w:rPr>
                <w:rFonts w:hint="eastAsia" w:ascii="宋体" w:hAnsi="宋体" w:cs="宋体"/>
                <w:b w:val="0"/>
                <w:bCs w:val="0"/>
                <w:color w:val="auto"/>
                <w:sz w:val="21"/>
                <w:szCs w:val="21"/>
                <w:highlight w:val="none"/>
                <w:lang w:val="en-US" w:eastAsia="zh-CN"/>
              </w:rPr>
              <w:t>配备协审人员，满分20分，每少1</w:t>
            </w:r>
            <w:r>
              <w:rPr>
                <w:rFonts w:hint="default" w:ascii="宋体" w:hAnsi="宋体" w:cs="宋体"/>
                <w:b w:val="0"/>
                <w:bCs w:val="0"/>
                <w:color w:val="auto"/>
                <w:sz w:val="21"/>
                <w:szCs w:val="21"/>
                <w:highlight w:val="none"/>
                <w:lang w:val="en-US" w:eastAsia="zh-CN"/>
              </w:rPr>
              <w:t>人扣</w:t>
            </w:r>
            <w:r>
              <w:rPr>
                <w:rFonts w:hint="eastAsia" w:ascii="宋体" w:hAnsi="宋体" w:cs="宋体"/>
                <w:b w:val="0"/>
                <w:bCs w:val="0"/>
                <w:color w:val="auto"/>
                <w:sz w:val="21"/>
                <w:szCs w:val="21"/>
                <w:highlight w:val="none"/>
                <w:lang w:val="en-US" w:eastAsia="zh-CN"/>
              </w:rPr>
              <w:t>10</w:t>
            </w:r>
            <w:r>
              <w:rPr>
                <w:rFonts w:hint="default" w:ascii="宋体" w:hAnsi="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，扣完为止。</w:t>
            </w:r>
          </w:p>
        </w:tc>
        <w:tc>
          <w:tcPr>
            <w:tcW w:w="451" w:type="pct"/>
            <w:noWrap w:val="0"/>
            <w:vAlign w:val="center"/>
          </w:tcPr>
          <w:p w14:paraId="2EB6EC0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72CBA88B">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3D10996D">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29E2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78AA530E">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30DDB30D">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5A494A7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b.</w:t>
            </w:r>
            <w:r>
              <w:rPr>
                <w:rFonts w:hint="eastAsia" w:ascii="宋体" w:hAnsi="宋体" w:cs="宋体"/>
                <w:b w:val="0"/>
                <w:bCs w:val="0"/>
                <w:color w:val="auto"/>
                <w:sz w:val="21"/>
                <w:szCs w:val="21"/>
                <w:highlight w:val="none"/>
                <w:lang w:val="en-US" w:eastAsia="zh-CN"/>
              </w:rPr>
              <w:t>在开展协审工作过程中，协审人员保持通讯通畅，满分5分。如</w:t>
            </w:r>
            <w:r>
              <w:rPr>
                <w:rFonts w:hint="default" w:ascii="宋体" w:hAnsi="宋体" w:cs="宋体"/>
                <w:b w:val="0"/>
                <w:bCs w:val="0"/>
                <w:color w:val="auto"/>
                <w:sz w:val="21"/>
                <w:szCs w:val="21"/>
                <w:highlight w:val="none"/>
                <w:lang w:val="en-US" w:eastAsia="zh-CN"/>
              </w:rPr>
              <w:t>连续</w:t>
            </w:r>
            <w:r>
              <w:rPr>
                <w:rFonts w:hint="eastAsia" w:ascii="宋体" w:hAnsi="宋体" w:cs="宋体"/>
                <w:b w:val="0"/>
                <w:bCs w:val="0"/>
                <w:color w:val="auto"/>
                <w:sz w:val="21"/>
                <w:szCs w:val="21"/>
                <w:highlight w:val="none"/>
                <w:lang w:val="en-US" w:eastAsia="zh-CN"/>
              </w:rPr>
              <w:t>2</w:t>
            </w:r>
            <w:r>
              <w:rPr>
                <w:rFonts w:hint="default" w:ascii="宋体" w:hAnsi="宋体" w:cs="宋体"/>
                <w:b w:val="0"/>
                <w:bCs w:val="0"/>
                <w:color w:val="auto"/>
                <w:sz w:val="21"/>
                <w:szCs w:val="21"/>
                <w:highlight w:val="none"/>
                <w:lang w:val="en-US" w:eastAsia="zh-CN"/>
              </w:rPr>
              <w:t>个</w:t>
            </w:r>
            <w:r>
              <w:rPr>
                <w:rFonts w:hint="eastAsia" w:ascii="宋体" w:hAnsi="宋体" w:cs="宋体"/>
                <w:b w:val="0"/>
                <w:bCs w:val="0"/>
                <w:color w:val="auto"/>
                <w:sz w:val="21"/>
                <w:szCs w:val="21"/>
                <w:highlight w:val="none"/>
                <w:lang w:val="en-US" w:eastAsia="zh-CN"/>
              </w:rPr>
              <w:t>以上</w:t>
            </w:r>
            <w:r>
              <w:rPr>
                <w:rFonts w:hint="default" w:ascii="宋体" w:hAnsi="宋体" w:cs="宋体"/>
                <w:b w:val="0"/>
                <w:bCs w:val="0"/>
                <w:color w:val="auto"/>
                <w:sz w:val="21"/>
                <w:szCs w:val="21"/>
                <w:highlight w:val="none"/>
                <w:lang w:val="en-US" w:eastAsia="zh-CN"/>
              </w:rPr>
              <w:t>工作日</w:t>
            </w:r>
            <w:r>
              <w:rPr>
                <w:rFonts w:hint="eastAsia" w:ascii="宋体" w:hAnsi="宋体" w:cs="宋体"/>
                <w:b w:val="0"/>
                <w:bCs w:val="0"/>
                <w:color w:val="auto"/>
                <w:sz w:val="21"/>
                <w:szCs w:val="21"/>
                <w:highlight w:val="none"/>
                <w:lang w:val="en-US" w:eastAsia="zh-CN"/>
              </w:rPr>
              <w:t>（从当日起计算）</w:t>
            </w:r>
            <w:r>
              <w:rPr>
                <w:rFonts w:hint="default" w:ascii="宋体" w:hAnsi="宋体" w:cs="宋体"/>
                <w:b w:val="0"/>
                <w:bCs w:val="0"/>
                <w:color w:val="auto"/>
                <w:sz w:val="21"/>
                <w:szCs w:val="21"/>
                <w:highlight w:val="none"/>
                <w:lang w:val="en-US" w:eastAsia="zh-CN"/>
              </w:rPr>
              <w:t>联系不到</w:t>
            </w:r>
            <w:r>
              <w:rPr>
                <w:rFonts w:hint="eastAsia" w:ascii="宋体" w:hAnsi="宋体" w:cs="宋体"/>
                <w:b w:val="0"/>
                <w:bCs w:val="0"/>
                <w:color w:val="auto"/>
                <w:sz w:val="21"/>
                <w:szCs w:val="21"/>
                <w:highlight w:val="none"/>
                <w:lang w:val="en-US" w:eastAsia="zh-CN"/>
              </w:rPr>
              <w:t>协审</w:t>
            </w:r>
            <w:r>
              <w:rPr>
                <w:rFonts w:hint="default" w:ascii="宋体" w:hAnsi="宋体" w:cs="宋体"/>
                <w:b w:val="0"/>
                <w:bCs w:val="0"/>
                <w:color w:val="auto"/>
                <w:sz w:val="21"/>
                <w:szCs w:val="21"/>
                <w:highlight w:val="none"/>
                <w:lang w:val="en-US" w:eastAsia="zh-CN"/>
              </w:rPr>
              <w:t>人员</w:t>
            </w:r>
            <w:r>
              <w:rPr>
                <w:rFonts w:hint="eastAsia" w:ascii="宋体" w:hAnsi="宋体" w:cs="宋体"/>
                <w:b w:val="0"/>
                <w:bCs w:val="0"/>
                <w:color w:val="auto"/>
                <w:sz w:val="21"/>
                <w:szCs w:val="21"/>
                <w:highlight w:val="none"/>
                <w:lang w:val="en-US" w:eastAsia="zh-CN"/>
              </w:rPr>
              <w:t>，每延迟1日</w:t>
            </w:r>
            <w:r>
              <w:rPr>
                <w:rFonts w:hint="default" w:ascii="宋体" w:hAnsi="宋体" w:cs="宋体"/>
                <w:b w:val="0"/>
                <w:bCs w:val="0"/>
                <w:color w:val="auto"/>
                <w:sz w:val="21"/>
                <w:szCs w:val="21"/>
                <w:highlight w:val="none"/>
                <w:lang w:val="en-US" w:eastAsia="zh-CN"/>
              </w:rPr>
              <w:t>扣</w:t>
            </w:r>
            <w:r>
              <w:rPr>
                <w:rFonts w:hint="eastAsia" w:ascii="宋体" w:hAnsi="宋体" w:cs="宋体"/>
                <w:b w:val="0"/>
                <w:bCs w:val="0"/>
                <w:color w:val="auto"/>
                <w:sz w:val="21"/>
                <w:szCs w:val="21"/>
                <w:highlight w:val="none"/>
                <w:lang w:val="en-US" w:eastAsia="zh-CN"/>
              </w:rPr>
              <w:t>2</w:t>
            </w:r>
            <w:r>
              <w:rPr>
                <w:rFonts w:hint="default" w:ascii="宋体" w:hAnsi="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，扣完为止。</w:t>
            </w:r>
          </w:p>
        </w:tc>
        <w:tc>
          <w:tcPr>
            <w:tcW w:w="451" w:type="pct"/>
            <w:noWrap w:val="0"/>
            <w:vAlign w:val="center"/>
          </w:tcPr>
          <w:p w14:paraId="54DE9E69">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610EEAB9">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617826CD">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1ABA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01273EAB">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69664857">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0F7E145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c.协审人员主动积极配合开展协审工作且提出合法合规性建议意见的，得5分；协审人员积极配合协审工作的，得3分；协审人员消极配合协审工作的，得0分。</w:t>
            </w:r>
          </w:p>
        </w:tc>
        <w:tc>
          <w:tcPr>
            <w:tcW w:w="451" w:type="pct"/>
            <w:noWrap w:val="0"/>
            <w:vAlign w:val="center"/>
          </w:tcPr>
          <w:p w14:paraId="5C9BF3F6">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100044B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7ECDEBCC">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3EFF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restart"/>
            <w:noWrap w:val="0"/>
            <w:vAlign w:val="center"/>
          </w:tcPr>
          <w:p w14:paraId="4859174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工作效率（满分</w:t>
            </w:r>
            <w:r>
              <w:rPr>
                <w:rFonts w:hint="eastAsia" w:ascii="宋体" w:hAnsi="宋体" w:eastAsia="宋体" w:cs="Times New Roman"/>
                <w:color w:val="auto"/>
                <w:kern w:val="0"/>
                <w:szCs w:val="21"/>
                <w:highlight w:val="none"/>
                <w:lang w:val="en-US" w:eastAsia="zh-CN"/>
              </w:rPr>
              <w:t>3</w:t>
            </w:r>
            <w:r>
              <w:rPr>
                <w:rFonts w:hint="default" w:ascii="宋体" w:hAnsi="宋体" w:eastAsia="宋体" w:cs="Times New Roman"/>
                <w:color w:val="auto"/>
                <w:kern w:val="0"/>
                <w:szCs w:val="21"/>
                <w:highlight w:val="none"/>
              </w:rPr>
              <w:t>0分）</w:t>
            </w:r>
          </w:p>
        </w:tc>
        <w:tc>
          <w:tcPr>
            <w:tcW w:w="793" w:type="pct"/>
            <w:vMerge w:val="restart"/>
            <w:noWrap w:val="0"/>
            <w:vAlign w:val="center"/>
          </w:tcPr>
          <w:p w14:paraId="326B6A0D">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p w14:paraId="6F1250DC">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r>
              <w:rPr>
                <w:rFonts w:hint="default" w:ascii="宋体" w:hAnsi="宋体" w:cs="宋体"/>
                <w:b w:val="0"/>
                <w:bCs w:val="0"/>
                <w:color w:val="auto"/>
                <w:sz w:val="21"/>
                <w:szCs w:val="21"/>
                <w:highlight w:val="none"/>
                <w:lang w:val="en-US" w:eastAsia="zh-CN"/>
              </w:rPr>
              <w:t>工作按</w:t>
            </w:r>
            <w:r>
              <w:rPr>
                <w:rFonts w:hint="eastAsia" w:ascii="宋体" w:hAnsi="宋体" w:cs="宋体"/>
                <w:b w:val="0"/>
                <w:bCs w:val="0"/>
                <w:color w:val="auto"/>
                <w:sz w:val="21"/>
                <w:szCs w:val="21"/>
                <w:highlight w:val="none"/>
                <w:lang w:val="en-US" w:eastAsia="zh-CN"/>
              </w:rPr>
              <w:t>采购人</w:t>
            </w:r>
            <w:r>
              <w:rPr>
                <w:rFonts w:hint="default" w:ascii="宋体" w:hAnsi="宋体" w:cs="宋体"/>
                <w:b w:val="0"/>
                <w:bCs w:val="0"/>
                <w:color w:val="auto"/>
                <w:sz w:val="21"/>
                <w:szCs w:val="21"/>
                <w:highlight w:val="none"/>
                <w:lang w:val="en-US" w:eastAsia="zh-CN"/>
              </w:rPr>
              <w:t>的要求进行，修改意见及时，实现预定的程序及目标，按规定的时限完成任务。</w:t>
            </w:r>
          </w:p>
          <w:p w14:paraId="50E10CAD">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245336D8">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left"/>
              <w:textAlignment w:val="auto"/>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a.乙方应确保审核质量，按</w:t>
            </w:r>
            <w:r>
              <w:rPr>
                <w:rFonts w:hint="eastAsia" w:ascii="宋体" w:hAnsi="宋体" w:eastAsia="宋体" w:cs="Times New Roman"/>
                <w:color w:val="auto"/>
                <w:kern w:val="0"/>
                <w:szCs w:val="21"/>
                <w:highlight w:val="none"/>
                <w:lang w:val="en-US" w:eastAsia="zh-CN"/>
              </w:rPr>
              <w:t>合同</w:t>
            </w:r>
            <w:r>
              <w:rPr>
                <w:rFonts w:hint="eastAsia" w:ascii="宋体" w:hAnsi="宋体" w:cs="Times New Roman"/>
                <w:color w:val="auto"/>
                <w:kern w:val="0"/>
                <w:szCs w:val="21"/>
                <w:highlight w:val="none"/>
                <w:lang w:val="en-US" w:eastAsia="zh-CN"/>
              </w:rPr>
              <w:t>约定</w:t>
            </w:r>
            <w:r>
              <w:rPr>
                <w:rFonts w:hint="default" w:ascii="宋体" w:hAnsi="宋体" w:eastAsia="宋体" w:cs="Times New Roman"/>
                <w:color w:val="auto"/>
                <w:kern w:val="0"/>
                <w:szCs w:val="21"/>
                <w:highlight w:val="none"/>
              </w:rPr>
              <w:t>开展工作，无故超</w:t>
            </w:r>
            <w:r>
              <w:rPr>
                <w:rFonts w:hint="eastAsia" w:ascii="宋体" w:hAnsi="宋体" w:cs="Times New Roman"/>
                <w:color w:val="auto"/>
                <w:kern w:val="0"/>
                <w:szCs w:val="21"/>
                <w:highlight w:val="none"/>
                <w:lang w:val="en-US" w:eastAsia="zh-CN"/>
              </w:rPr>
              <w:t>合同约定</w:t>
            </w:r>
            <w:r>
              <w:rPr>
                <w:rFonts w:hint="default" w:ascii="宋体" w:hAnsi="宋体" w:eastAsia="宋体" w:cs="Times New Roman"/>
                <w:color w:val="auto"/>
                <w:kern w:val="0"/>
                <w:szCs w:val="21"/>
                <w:highlight w:val="none"/>
              </w:rPr>
              <w:t>时限的</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除另行约定延期外的）</w:t>
            </w:r>
            <w:r>
              <w:rPr>
                <w:rFonts w:hint="default" w:ascii="宋体" w:hAnsi="宋体" w:eastAsia="宋体" w:cs="Times New Roman"/>
                <w:color w:val="auto"/>
                <w:kern w:val="0"/>
                <w:szCs w:val="21"/>
                <w:highlight w:val="none"/>
              </w:rPr>
              <w:t>，每延误</w:t>
            </w:r>
            <w:r>
              <w:rPr>
                <w:rFonts w:hint="eastAsia" w:ascii="宋体" w:hAnsi="宋体" w:cs="Times New Roman"/>
                <w:color w:val="auto"/>
                <w:kern w:val="0"/>
                <w:szCs w:val="21"/>
                <w:highlight w:val="none"/>
                <w:lang w:val="en-US" w:eastAsia="zh-CN"/>
              </w:rPr>
              <w:t>1日</w:t>
            </w:r>
            <w:r>
              <w:rPr>
                <w:rFonts w:hint="default" w:ascii="宋体" w:hAnsi="宋体" w:eastAsia="宋体" w:cs="Times New Roman"/>
                <w:color w:val="auto"/>
                <w:kern w:val="0"/>
                <w:szCs w:val="21"/>
                <w:highlight w:val="none"/>
              </w:rPr>
              <w:t>扣</w:t>
            </w:r>
            <w:r>
              <w:rPr>
                <w:rFonts w:hint="eastAsia" w:ascii="宋体" w:hAnsi="宋体" w:cs="Times New Roman"/>
                <w:color w:val="auto"/>
                <w:kern w:val="0"/>
                <w:szCs w:val="21"/>
                <w:highlight w:val="none"/>
                <w:lang w:val="en-US" w:eastAsia="zh-CN"/>
              </w:rPr>
              <w:t>3</w:t>
            </w:r>
            <w:r>
              <w:rPr>
                <w:rFonts w:hint="default" w:ascii="宋体" w:hAnsi="宋体" w:eastAsia="宋体" w:cs="Times New Roman"/>
                <w:color w:val="auto"/>
                <w:kern w:val="0"/>
                <w:szCs w:val="21"/>
                <w:highlight w:val="none"/>
              </w:rPr>
              <w:t>分</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满分15分，扣完为止</w:t>
            </w:r>
            <w:r>
              <w:rPr>
                <w:rFonts w:hint="default" w:ascii="宋体" w:hAnsi="宋体" w:eastAsia="宋体" w:cs="Times New Roman"/>
                <w:color w:val="auto"/>
                <w:kern w:val="0"/>
                <w:szCs w:val="21"/>
                <w:highlight w:val="none"/>
              </w:rPr>
              <w:t>。</w:t>
            </w:r>
            <w:r>
              <w:rPr>
                <w:rFonts w:hint="eastAsia" w:ascii="宋体" w:hAnsi="宋体" w:cs="Times New Roman"/>
                <w:color w:val="auto"/>
                <w:kern w:val="0"/>
                <w:szCs w:val="21"/>
                <w:highlight w:val="none"/>
                <w:lang w:val="en-US" w:eastAsia="zh-CN"/>
              </w:rPr>
              <w:t>如有修改报告情况的，原则上2个工作日</w:t>
            </w:r>
            <w:r>
              <w:rPr>
                <w:rFonts w:hint="eastAsia" w:ascii="宋体" w:hAnsi="宋体" w:cs="宋体"/>
                <w:b w:val="0"/>
                <w:bCs w:val="0"/>
                <w:color w:val="auto"/>
                <w:sz w:val="21"/>
                <w:szCs w:val="21"/>
                <w:highlight w:val="none"/>
                <w:lang w:val="en-US" w:eastAsia="zh-CN"/>
              </w:rPr>
              <w:t>（从当日起计算）</w:t>
            </w:r>
            <w:r>
              <w:rPr>
                <w:rFonts w:hint="eastAsia" w:ascii="宋体" w:hAnsi="宋体" w:cs="Times New Roman"/>
                <w:color w:val="auto"/>
                <w:kern w:val="0"/>
                <w:szCs w:val="21"/>
                <w:highlight w:val="none"/>
                <w:lang w:val="en-US" w:eastAsia="zh-CN"/>
              </w:rPr>
              <w:t>内按</w:t>
            </w:r>
            <w:r>
              <w:rPr>
                <w:rFonts w:hint="default" w:ascii="宋体" w:hAnsi="宋体" w:eastAsia="宋体" w:cs="Times New Roman"/>
                <w:color w:val="auto"/>
                <w:kern w:val="0"/>
                <w:szCs w:val="21"/>
                <w:highlight w:val="none"/>
              </w:rPr>
              <w:t>甲方审核意见及时进行修改</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未按</w:t>
            </w:r>
            <w:r>
              <w:rPr>
                <w:rFonts w:hint="default" w:ascii="宋体" w:hAnsi="宋体" w:eastAsia="宋体" w:cs="Times New Roman"/>
                <w:color w:val="auto"/>
                <w:kern w:val="0"/>
                <w:szCs w:val="21"/>
                <w:highlight w:val="none"/>
              </w:rPr>
              <w:t>时</w:t>
            </w:r>
            <w:r>
              <w:rPr>
                <w:rFonts w:hint="eastAsia" w:ascii="宋体" w:hAnsi="宋体" w:cs="Times New Roman"/>
                <w:color w:val="auto"/>
                <w:kern w:val="0"/>
                <w:szCs w:val="21"/>
                <w:highlight w:val="none"/>
                <w:lang w:val="en-US" w:eastAsia="zh-CN"/>
              </w:rPr>
              <w:t>修改的</w:t>
            </w:r>
            <w:r>
              <w:rPr>
                <w:rFonts w:hint="default" w:ascii="宋体" w:hAnsi="宋体" w:eastAsia="宋体" w:cs="Times New Roman"/>
                <w:color w:val="auto"/>
                <w:kern w:val="0"/>
                <w:szCs w:val="21"/>
                <w:highlight w:val="none"/>
              </w:rPr>
              <w:t>，每延误</w:t>
            </w:r>
            <w:r>
              <w:rPr>
                <w:rFonts w:hint="eastAsia" w:ascii="宋体" w:hAnsi="宋体" w:cs="Times New Roman"/>
                <w:color w:val="auto"/>
                <w:kern w:val="0"/>
                <w:szCs w:val="21"/>
                <w:highlight w:val="none"/>
                <w:lang w:val="en-US" w:eastAsia="zh-CN"/>
              </w:rPr>
              <w:t>1日</w:t>
            </w:r>
            <w:r>
              <w:rPr>
                <w:rFonts w:hint="default" w:ascii="宋体" w:hAnsi="宋体" w:eastAsia="宋体" w:cs="Times New Roman"/>
                <w:color w:val="auto"/>
                <w:kern w:val="0"/>
                <w:szCs w:val="21"/>
                <w:highlight w:val="none"/>
              </w:rPr>
              <w:t>扣</w:t>
            </w:r>
            <w:r>
              <w:rPr>
                <w:rFonts w:hint="eastAsia" w:ascii="宋体" w:hAnsi="宋体" w:cs="Times New Roman"/>
                <w:color w:val="auto"/>
                <w:kern w:val="0"/>
                <w:szCs w:val="21"/>
                <w:highlight w:val="none"/>
                <w:lang w:val="en-US" w:eastAsia="zh-CN"/>
              </w:rPr>
              <w:t>2</w:t>
            </w:r>
            <w:r>
              <w:rPr>
                <w:rFonts w:hint="default" w:ascii="宋体" w:hAnsi="宋体" w:eastAsia="宋体" w:cs="Times New Roman"/>
                <w:color w:val="auto"/>
                <w:kern w:val="0"/>
                <w:szCs w:val="21"/>
                <w:highlight w:val="none"/>
              </w:rPr>
              <w:t>分</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满分5分，扣完为止</w:t>
            </w:r>
            <w:r>
              <w:rPr>
                <w:rFonts w:hint="default" w:ascii="宋体" w:hAnsi="宋体" w:eastAsia="宋体" w:cs="Times New Roman"/>
                <w:color w:val="auto"/>
                <w:kern w:val="0"/>
                <w:szCs w:val="21"/>
                <w:highlight w:val="none"/>
              </w:rPr>
              <w:t>。</w:t>
            </w:r>
          </w:p>
        </w:tc>
        <w:tc>
          <w:tcPr>
            <w:tcW w:w="451" w:type="pct"/>
            <w:noWrap w:val="0"/>
            <w:vAlign w:val="center"/>
          </w:tcPr>
          <w:p w14:paraId="70854EC8">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11B030D9">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27743A3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2EC3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4E3E86E0">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422E0D4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455F7AF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leftChars="0" w:right="0" w:rightChars="0"/>
              <w:jc w:val="left"/>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b</w:t>
            </w:r>
            <w:r>
              <w:rPr>
                <w:rFonts w:hint="default" w:ascii="宋体" w:hAnsi="宋体" w:eastAsia="宋体" w:cs="Times New Roman"/>
                <w:color w:val="auto"/>
                <w:kern w:val="0"/>
                <w:szCs w:val="21"/>
                <w:highlight w:val="none"/>
              </w:rPr>
              <w:t>.</w:t>
            </w:r>
            <w:r>
              <w:rPr>
                <w:rFonts w:hint="eastAsia" w:ascii="宋体" w:hAnsi="宋体" w:cs="Times New Roman"/>
                <w:color w:val="auto"/>
                <w:kern w:val="0"/>
                <w:szCs w:val="21"/>
                <w:highlight w:val="none"/>
                <w:lang w:val="en-US" w:eastAsia="zh-CN"/>
              </w:rPr>
              <w:t>协审人员</w:t>
            </w:r>
            <w:r>
              <w:rPr>
                <w:rFonts w:hint="default" w:ascii="宋体" w:hAnsi="宋体" w:eastAsia="宋体" w:cs="Times New Roman"/>
                <w:color w:val="auto"/>
                <w:kern w:val="0"/>
                <w:szCs w:val="21"/>
                <w:highlight w:val="none"/>
              </w:rPr>
              <w:t>收到项目资料后</w:t>
            </w:r>
            <w:r>
              <w:rPr>
                <w:rFonts w:hint="eastAsia" w:ascii="宋体" w:hAnsi="宋体" w:cs="Times New Roman"/>
                <w:color w:val="auto"/>
                <w:kern w:val="0"/>
                <w:szCs w:val="21"/>
                <w:highlight w:val="none"/>
                <w:lang w:val="en-US" w:eastAsia="zh-CN"/>
              </w:rPr>
              <w:t>发现资料缺失的，需在3</w:t>
            </w:r>
            <w:r>
              <w:rPr>
                <w:rFonts w:hint="default" w:ascii="宋体" w:hAnsi="宋体" w:eastAsia="宋体" w:cs="Times New Roman"/>
                <w:color w:val="auto"/>
                <w:kern w:val="0"/>
                <w:szCs w:val="21"/>
                <w:highlight w:val="none"/>
              </w:rPr>
              <w:t>个工作日</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从当日起计算）</w:t>
            </w:r>
            <w:r>
              <w:rPr>
                <w:rFonts w:hint="default" w:ascii="宋体" w:hAnsi="宋体" w:eastAsia="宋体" w:cs="Times New Roman"/>
                <w:color w:val="auto"/>
                <w:kern w:val="0"/>
                <w:szCs w:val="21"/>
                <w:highlight w:val="none"/>
              </w:rPr>
              <w:t>内</w:t>
            </w:r>
            <w:r>
              <w:rPr>
                <w:rFonts w:hint="eastAsia" w:ascii="宋体" w:hAnsi="宋体" w:cs="Times New Roman"/>
                <w:color w:val="auto"/>
                <w:kern w:val="0"/>
                <w:szCs w:val="21"/>
                <w:highlight w:val="none"/>
                <w:lang w:val="en-US" w:eastAsia="zh-CN"/>
              </w:rPr>
              <w:t>以书面形式提交</w:t>
            </w:r>
            <w:r>
              <w:rPr>
                <w:rFonts w:hint="default" w:ascii="宋体" w:hAnsi="宋体" w:eastAsia="宋体" w:cs="Times New Roman"/>
                <w:color w:val="auto"/>
                <w:kern w:val="0"/>
                <w:szCs w:val="21"/>
                <w:highlight w:val="none"/>
              </w:rPr>
              <w:t>缺失资料清单，逾期</w:t>
            </w:r>
            <w:r>
              <w:rPr>
                <w:rFonts w:hint="eastAsia" w:ascii="宋体" w:hAnsi="宋体" w:cs="Times New Roman"/>
                <w:color w:val="auto"/>
                <w:kern w:val="0"/>
                <w:szCs w:val="21"/>
                <w:highlight w:val="none"/>
                <w:lang w:val="en-US" w:eastAsia="zh-CN"/>
              </w:rPr>
              <w:t>1日</w:t>
            </w:r>
            <w:r>
              <w:rPr>
                <w:rFonts w:hint="default" w:ascii="宋体" w:hAnsi="宋体" w:eastAsia="宋体" w:cs="Times New Roman"/>
                <w:color w:val="auto"/>
                <w:kern w:val="0"/>
                <w:szCs w:val="21"/>
                <w:highlight w:val="none"/>
              </w:rPr>
              <w:t>扣2分</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满分5分，扣完为止</w:t>
            </w:r>
            <w:r>
              <w:rPr>
                <w:rFonts w:hint="default" w:ascii="宋体" w:hAnsi="宋体" w:eastAsia="宋体" w:cs="Times New Roman"/>
                <w:color w:val="auto"/>
                <w:kern w:val="0"/>
                <w:szCs w:val="21"/>
                <w:highlight w:val="none"/>
              </w:rPr>
              <w:t>。</w:t>
            </w:r>
          </w:p>
        </w:tc>
        <w:tc>
          <w:tcPr>
            <w:tcW w:w="451" w:type="pct"/>
            <w:noWrap w:val="0"/>
            <w:vAlign w:val="center"/>
          </w:tcPr>
          <w:p w14:paraId="62724094">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4F9B628E">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019AE1C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74D6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83" w:type="pct"/>
            <w:vMerge w:val="continue"/>
            <w:noWrap w:val="0"/>
            <w:vAlign w:val="center"/>
          </w:tcPr>
          <w:p w14:paraId="32C77E26">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73C021F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6432F75D">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leftChars="0" w:right="0" w:rightChars="0"/>
              <w:jc w:val="left"/>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Cs w:val="21"/>
                <w:highlight w:val="none"/>
                <w:lang w:val="en-US" w:eastAsia="zh-CN"/>
              </w:rPr>
              <w:t>c</w:t>
            </w:r>
            <w:r>
              <w:rPr>
                <w:rFonts w:hint="default" w:ascii="宋体" w:hAnsi="宋体" w:eastAsia="宋体" w:cs="Times New Roman"/>
                <w:color w:val="auto"/>
                <w:kern w:val="0"/>
                <w:szCs w:val="21"/>
                <w:highlight w:val="none"/>
              </w:rPr>
              <w:t>.出具正式报告后</w:t>
            </w:r>
            <w:r>
              <w:rPr>
                <w:rFonts w:hint="eastAsia" w:ascii="宋体" w:hAnsi="宋体" w:cs="Times New Roman"/>
                <w:color w:val="auto"/>
                <w:kern w:val="0"/>
                <w:szCs w:val="21"/>
                <w:highlight w:val="none"/>
                <w:lang w:val="en-US" w:eastAsia="zh-CN"/>
              </w:rPr>
              <w:t>5</w:t>
            </w:r>
            <w:r>
              <w:rPr>
                <w:rFonts w:hint="default" w:ascii="宋体" w:hAnsi="宋体" w:eastAsia="宋体" w:cs="Times New Roman"/>
                <w:color w:val="auto"/>
                <w:kern w:val="0"/>
                <w:szCs w:val="21"/>
                <w:highlight w:val="none"/>
              </w:rPr>
              <w:t>个工作日内完成资料归档及整理</w:t>
            </w:r>
            <w:r>
              <w:rPr>
                <w:rFonts w:hint="eastAsia" w:ascii="宋体" w:hAnsi="宋体" w:cs="Times New Roman"/>
                <w:color w:val="auto"/>
                <w:kern w:val="0"/>
                <w:szCs w:val="21"/>
                <w:highlight w:val="none"/>
                <w:lang w:val="en-US" w:eastAsia="zh-CN"/>
              </w:rPr>
              <w:t>，</w:t>
            </w:r>
            <w:r>
              <w:rPr>
                <w:rFonts w:hint="default" w:ascii="宋体" w:hAnsi="宋体" w:eastAsia="宋体" w:cs="Times New Roman"/>
                <w:color w:val="auto"/>
                <w:kern w:val="0"/>
                <w:szCs w:val="21"/>
                <w:highlight w:val="none"/>
              </w:rPr>
              <w:t>每逾期</w:t>
            </w:r>
            <w:r>
              <w:rPr>
                <w:rFonts w:hint="eastAsia" w:ascii="宋体" w:hAnsi="宋体" w:cs="Times New Roman"/>
                <w:color w:val="auto"/>
                <w:kern w:val="0"/>
                <w:szCs w:val="21"/>
                <w:highlight w:val="none"/>
                <w:lang w:val="en-US" w:eastAsia="zh-CN"/>
              </w:rPr>
              <w:t>1</w:t>
            </w:r>
            <w:r>
              <w:rPr>
                <w:rFonts w:hint="default" w:ascii="宋体" w:hAnsi="宋体" w:eastAsia="宋体" w:cs="Times New Roman"/>
                <w:color w:val="auto"/>
                <w:kern w:val="0"/>
                <w:szCs w:val="21"/>
                <w:highlight w:val="none"/>
              </w:rPr>
              <w:t>日扣1分</w:t>
            </w:r>
            <w:r>
              <w:rPr>
                <w:rFonts w:hint="eastAsia" w:ascii="宋体" w:hAnsi="宋体" w:cs="Times New Roman"/>
                <w:color w:val="auto"/>
                <w:kern w:val="0"/>
                <w:szCs w:val="21"/>
                <w:highlight w:val="none"/>
                <w:lang w:eastAsia="zh-CN"/>
              </w:rPr>
              <w:t>，</w:t>
            </w:r>
            <w:r>
              <w:rPr>
                <w:rFonts w:hint="eastAsia" w:ascii="宋体" w:hAnsi="宋体" w:cs="Times New Roman"/>
                <w:color w:val="auto"/>
                <w:kern w:val="0"/>
                <w:szCs w:val="21"/>
                <w:highlight w:val="none"/>
                <w:lang w:val="en-US" w:eastAsia="zh-CN"/>
              </w:rPr>
              <w:t>满分5分，扣完为止</w:t>
            </w:r>
            <w:r>
              <w:rPr>
                <w:rFonts w:hint="default" w:ascii="宋体" w:hAnsi="宋体" w:eastAsia="宋体" w:cs="Times New Roman"/>
                <w:color w:val="auto"/>
                <w:kern w:val="0"/>
                <w:szCs w:val="21"/>
                <w:highlight w:val="none"/>
              </w:rPr>
              <w:t>。</w:t>
            </w:r>
          </w:p>
        </w:tc>
        <w:tc>
          <w:tcPr>
            <w:tcW w:w="451" w:type="pct"/>
            <w:noWrap w:val="0"/>
            <w:vAlign w:val="center"/>
          </w:tcPr>
          <w:p w14:paraId="60D606D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2EE03BF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2F85C976">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036E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83" w:type="pct"/>
            <w:vMerge w:val="restart"/>
            <w:noWrap w:val="0"/>
            <w:vAlign w:val="center"/>
          </w:tcPr>
          <w:p w14:paraId="28466D4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default" w:ascii="宋体" w:hAnsi="宋体" w:eastAsia="宋体" w:cs="Times New Roman"/>
                <w:color w:val="auto"/>
                <w:kern w:val="0"/>
                <w:szCs w:val="21"/>
                <w:highlight w:val="none"/>
              </w:rPr>
              <w:t>评审质量（满分40分）</w:t>
            </w:r>
          </w:p>
        </w:tc>
        <w:tc>
          <w:tcPr>
            <w:tcW w:w="793" w:type="pct"/>
            <w:vMerge w:val="restart"/>
            <w:noWrap w:val="0"/>
            <w:vAlign w:val="center"/>
          </w:tcPr>
          <w:p w14:paraId="3AB1114B">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color w:val="auto"/>
                <w:highlight w:val="none"/>
              </w:rPr>
            </w:pPr>
          </w:p>
          <w:p w14:paraId="705E82A6">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评审质量符合合同质量要求，</w:t>
            </w:r>
            <w:r>
              <w:rPr>
                <w:rFonts w:hint="eastAsia" w:ascii="宋体" w:hAnsi="宋体" w:cs="Times New Roman"/>
                <w:color w:val="auto"/>
                <w:kern w:val="0"/>
                <w:szCs w:val="21"/>
                <w:highlight w:val="none"/>
                <w:lang w:val="en-US" w:eastAsia="zh-CN"/>
              </w:rPr>
              <w:t>不</w:t>
            </w:r>
            <w:r>
              <w:rPr>
                <w:rFonts w:hint="eastAsia" w:ascii="宋体" w:hAnsi="宋体" w:eastAsia="宋体" w:cs="Times New Roman"/>
                <w:color w:val="auto"/>
                <w:kern w:val="0"/>
                <w:szCs w:val="21"/>
                <w:highlight w:val="none"/>
              </w:rPr>
              <w:t>出现重大失误或漏项</w:t>
            </w:r>
            <w:r>
              <w:rPr>
                <w:rFonts w:hint="eastAsia" w:ascii="宋体" w:hAnsi="宋体" w:cs="Times New Roman"/>
                <w:color w:val="auto"/>
                <w:kern w:val="0"/>
                <w:szCs w:val="21"/>
                <w:highlight w:val="none"/>
                <w:lang w:val="en-US" w:eastAsia="zh-CN"/>
              </w:rPr>
              <w:t>不</w:t>
            </w:r>
            <w:r>
              <w:rPr>
                <w:rFonts w:hint="eastAsia" w:ascii="宋体" w:hAnsi="宋体" w:eastAsia="宋体" w:cs="Times New Roman"/>
                <w:color w:val="auto"/>
                <w:kern w:val="0"/>
                <w:szCs w:val="21"/>
                <w:highlight w:val="none"/>
              </w:rPr>
              <w:t>出现返工现象。</w:t>
            </w:r>
          </w:p>
          <w:p w14:paraId="581FCC16">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2.协审</w:t>
            </w:r>
            <w:r>
              <w:rPr>
                <w:rFonts w:hint="eastAsia" w:ascii="宋体" w:hAnsi="宋体" w:eastAsia="宋体" w:cs="Times New Roman"/>
                <w:color w:val="auto"/>
                <w:kern w:val="0"/>
                <w:szCs w:val="21"/>
                <w:highlight w:val="none"/>
              </w:rPr>
              <w:t>说明内容完整、反映全面、数字准确、依据充分。评审内容全面、完整，评审结论定性客观，定量准确，依据充分，表达清楚、完整；评审建议及分析措辞规范，客观公正、分析透彻。评审报告是否按有关规定装订齐全，有无缺、漏、错误发生。</w:t>
            </w:r>
          </w:p>
        </w:tc>
        <w:tc>
          <w:tcPr>
            <w:tcW w:w="1997" w:type="pct"/>
            <w:noWrap w:val="0"/>
            <w:vAlign w:val="center"/>
          </w:tcPr>
          <w:p w14:paraId="62C121E1">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a.</w:t>
            </w:r>
            <w:r>
              <w:rPr>
                <w:rFonts w:hint="eastAsia" w:ascii="宋体" w:hAnsi="宋体" w:cs="宋体"/>
                <w:b w:val="0"/>
                <w:bCs w:val="0"/>
                <w:color w:val="auto"/>
                <w:sz w:val="21"/>
                <w:szCs w:val="21"/>
                <w:highlight w:val="none"/>
                <w:lang w:val="en-US" w:eastAsia="zh-CN"/>
              </w:rPr>
              <w:t>报告</w:t>
            </w:r>
            <w:r>
              <w:rPr>
                <w:rFonts w:hint="default" w:ascii="宋体" w:hAnsi="宋体" w:cs="宋体"/>
                <w:b w:val="0"/>
                <w:bCs w:val="0"/>
                <w:color w:val="auto"/>
                <w:sz w:val="21"/>
                <w:szCs w:val="21"/>
                <w:highlight w:val="none"/>
                <w:lang w:val="en-US" w:eastAsia="zh-CN"/>
              </w:rPr>
              <w:t>内容没有按规定要求、格式编写</w:t>
            </w:r>
            <w:r>
              <w:rPr>
                <w:rFonts w:hint="eastAsia" w:ascii="宋体" w:hAnsi="宋体" w:cs="宋体"/>
                <w:b w:val="0"/>
                <w:bCs w:val="0"/>
                <w:color w:val="auto"/>
                <w:sz w:val="21"/>
                <w:szCs w:val="21"/>
                <w:highlight w:val="none"/>
                <w:lang w:val="en-US" w:eastAsia="zh-CN"/>
              </w:rPr>
              <w:t>，出现出别字或者用错标点符号的，每发现1次扣2分，满分10分，扣完为止</w:t>
            </w:r>
            <w:r>
              <w:rPr>
                <w:rFonts w:hint="default" w:ascii="宋体" w:hAnsi="宋体" w:cs="宋体"/>
                <w:b w:val="0"/>
                <w:bCs w:val="0"/>
                <w:color w:val="auto"/>
                <w:sz w:val="21"/>
                <w:szCs w:val="21"/>
                <w:highlight w:val="none"/>
                <w:lang w:val="en-US" w:eastAsia="zh-CN"/>
              </w:rPr>
              <w:t>。</w:t>
            </w:r>
          </w:p>
        </w:tc>
        <w:tc>
          <w:tcPr>
            <w:tcW w:w="451" w:type="pct"/>
            <w:noWrap w:val="0"/>
            <w:vAlign w:val="center"/>
          </w:tcPr>
          <w:p w14:paraId="21228472">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21F44E00">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33BD8837">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3149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Merge w:val="continue"/>
            <w:noWrap w:val="0"/>
            <w:vAlign w:val="center"/>
          </w:tcPr>
          <w:p w14:paraId="2226925B">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674C4229">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28D5924D">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宋体" w:hAnsi="宋体" w:eastAsia="宋体" w:cs="Times New Roman"/>
                <w:color w:val="auto"/>
                <w:kern w:val="0"/>
                <w:szCs w:val="21"/>
                <w:highlight w:val="none"/>
              </w:rPr>
            </w:pPr>
            <w:r>
              <w:rPr>
                <w:rFonts w:hint="default" w:ascii="宋体" w:hAnsi="宋体" w:cs="宋体"/>
                <w:b w:val="0"/>
                <w:bCs w:val="0"/>
                <w:color w:val="auto"/>
                <w:sz w:val="21"/>
                <w:szCs w:val="21"/>
                <w:highlight w:val="none"/>
                <w:lang w:val="en-US" w:eastAsia="zh-CN"/>
              </w:rPr>
              <w:t>b.评审报告</w:t>
            </w:r>
            <w:r>
              <w:rPr>
                <w:rFonts w:hint="eastAsia" w:ascii="宋体" w:hAnsi="宋体" w:cs="宋体"/>
                <w:b w:val="0"/>
                <w:bCs w:val="0"/>
                <w:color w:val="auto"/>
                <w:sz w:val="21"/>
                <w:szCs w:val="21"/>
                <w:highlight w:val="none"/>
                <w:lang w:val="en-US" w:eastAsia="zh-CN"/>
              </w:rPr>
              <w:t>内的取数</w:t>
            </w:r>
            <w:r>
              <w:rPr>
                <w:rFonts w:hint="default" w:ascii="宋体" w:hAnsi="宋体" w:cs="宋体"/>
                <w:b w:val="0"/>
                <w:bCs w:val="0"/>
                <w:color w:val="auto"/>
                <w:sz w:val="21"/>
                <w:szCs w:val="21"/>
                <w:highlight w:val="none"/>
                <w:lang w:val="en-US" w:eastAsia="zh-CN"/>
              </w:rPr>
              <w:t>与送审资料、审定结论不</w:t>
            </w:r>
            <w:r>
              <w:rPr>
                <w:rFonts w:hint="eastAsia" w:ascii="宋体" w:hAnsi="宋体" w:cs="宋体"/>
                <w:b w:val="0"/>
                <w:bCs w:val="0"/>
                <w:color w:val="auto"/>
                <w:sz w:val="21"/>
                <w:szCs w:val="21"/>
                <w:highlight w:val="none"/>
                <w:lang w:val="en-US" w:eastAsia="zh-CN"/>
              </w:rPr>
              <w:t>一致的情况</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每发现1次</w:t>
            </w:r>
            <w:r>
              <w:rPr>
                <w:rFonts w:hint="default" w:ascii="宋体" w:hAnsi="宋体" w:cs="宋体"/>
                <w:b w:val="0"/>
                <w:bCs w:val="0"/>
                <w:color w:val="auto"/>
                <w:sz w:val="21"/>
                <w:szCs w:val="21"/>
                <w:highlight w:val="none"/>
                <w:lang w:val="en-US" w:eastAsia="zh-CN"/>
              </w:rPr>
              <w:t>扣2分</w:t>
            </w:r>
            <w:r>
              <w:rPr>
                <w:rFonts w:hint="eastAsia" w:ascii="宋体" w:hAnsi="宋体" w:cs="宋体"/>
                <w:b w:val="0"/>
                <w:bCs w:val="0"/>
                <w:color w:val="auto"/>
                <w:sz w:val="21"/>
                <w:szCs w:val="21"/>
                <w:highlight w:val="none"/>
                <w:lang w:val="en-US" w:eastAsia="zh-CN"/>
              </w:rPr>
              <w:t>，满分5分，扣完为止</w:t>
            </w:r>
            <w:r>
              <w:rPr>
                <w:rFonts w:hint="default" w:ascii="宋体" w:hAnsi="宋体" w:cs="宋体"/>
                <w:b w:val="0"/>
                <w:bCs w:val="0"/>
                <w:color w:val="auto"/>
                <w:sz w:val="21"/>
                <w:szCs w:val="21"/>
                <w:highlight w:val="none"/>
                <w:lang w:val="en-US" w:eastAsia="zh-CN"/>
              </w:rPr>
              <w:t>；</w:t>
            </w:r>
          </w:p>
        </w:tc>
        <w:tc>
          <w:tcPr>
            <w:tcW w:w="451" w:type="pct"/>
            <w:noWrap w:val="0"/>
            <w:vAlign w:val="center"/>
          </w:tcPr>
          <w:p w14:paraId="669661E4">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0A7F6167">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72CC160E">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0CA5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3CF6BB94">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4C649691">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shd w:val="clear" w:color="auto" w:fill="auto"/>
            <w:noWrap w:val="0"/>
            <w:vAlign w:val="center"/>
          </w:tcPr>
          <w:p w14:paraId="654E71B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宋体" w:hAnsi="宋体" w:cs="宋体" w:eastAsiaTheme="minorEastAsia"/>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C.</w:t>
            </w:r>
            <w:r>
              <w:rPr>
                <w:rFonts w:hint="default" w:ascii="宋体" w:hAnsi="宋体" w:cs="宋体"/>
                <w:b w:val="0"/>
                <w:bCs w:val="0"/>
                <w:color w:val="auto"/>
                <w:sz w:val="21"/>
                <w:szCs w:val="21"/>
                <w:highlight w:val="none"/>
                <w:lang w:val="en-US" w:eastAsia="zh-CN"/>
              </w:rPr>
              <w:t>评审过程发现的重大问题没有在评审结论中反映每项扣2分</w:t>
            </w:r>
            <w:r>
              <w:rPr>
                <w:rFonts w:hint="eastAsia" w:ascii="宋体" w:hAnsi="宋体" w:cs="宋体"/>
                <w:b w:val="0"/>
                <w:bCs w:val="0"/>
                <w:color w:val="auto"/>
                <w:sz w:val="21"/>
                <w:szCs w:val="21"/>
                <w:highlight w:val="none"/>
                <w:lang w:val="en-US" w:eastAsia="zh-CN"/>
              </w:rPr>
              <w:t>，满分5分，扣完为止</w:t>
            </w:r>
            <w:r>
              <w:rPr>
                <w:rFonts w:hint="default" w:ascii="宋体" w:hAnsi="宋体" w:cs="宋体"/>
                <w:b w:val="0"/>
                <w:bCs w:val="0"/>
                <w:color w:val="auto"/>
                <w:sz w:val="21"/>
                <w:szCs w:val="21"/>
                <w:highlight w:val="none"/>
                <w:lang w:val="en-US" w:eastAsia="zh-CN"/>
              </w:rPr>
              <w:t>；</w:t>
            </w:r>
          </w:p>
        </w:tc>
        <w:tc>
          <w:tcPr>
            <w:tcW w:w="451" w:type="pct"/>
            <w:noWrap w:val="0"/>
            <w:vAlign w:val="center"/>
          </w:tcPr>
          <w:p w14:paraId="2E942DD7">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0CC9612E">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7FB3235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6DC4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0436E55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65F58FCD">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shd w:val="clear" w:color="auto" w:fill="auto"/>
            <w:noWrap w:val="0"/>
            <w:vAlign w:val="center"/>
          </w:tcPr>
          <w:p w14:paraId="7DA06C8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宋体" w:hAnsi="宋体" w:cs="宋体" w:eastAsiaTheme="minorEastAsia"/>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d.</w:t>
            </w:r>
            <w:r>
              <w:rPr>
                <w:rFonts w:hint="default" w:ascii="宋体" w:hAnsi="宋体" w:cs="宋体"/>
                <w:b w:val="0"/>
                <w:bCs w:val="0"/>
                <w:color w:val="auto"/>
                <w:sz w:val="21"/>
                <w:szCs w:val="21"/>
                <w:highlight w:val="none"/>
                <w:lang w:val="en-US" w:eastAsia="zh-CN"/>
              </w:rPr>
              <w:t>评审结论没有按规定要求表达清楚、完整或与工作底稿不相符的扣5分</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满分5分，扣完为止；</w:t>
            </w:r>
          </w:p>
        </w:tc>
        <w:tc>
          <w:tcPr>
            <w:tcW w:w="451" w:type="pct"/>
            <w:noWrap w:val="0"/>
            <w:vAlign w:val="center"/>
          </w:tcPr>
          <w:p w14:paraId="2B6690CB">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77917AC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254D4A5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5533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79A5B7BE">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7A5A57F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0E3E9066">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e.</w:t>
            </w:r>
            <w:r>
              <w:rPr>
                <w:rFonts w:hint="default" w:ascii="宋体" w:hAnsi="宋体" w:cs="宋体"/>
                <w:b w:val="0"/>
                <w:bCs w:val="0"/>
                <w:color w:val="auto"/>
                <w:sz w:val="21"/>
                <w:szCs w:val="21"/>
                <w:highlight w:val="none"/>
                <w:lang w:val="en-US" w:eastAsia="zh-CN"/>
              </w:rPr>
              <w:t>评审建议及分析没有根据项目实际特殊情况编写扣</w:t>
            </w:r>
            <w:r>
              <w:rPr>
                <w:rFonts w:hint="eastAsia" w:ascii="宋体" w:hAnsi="宋体" w:cs="宋体"/>
                <w:b w:val="0"/>
                <w:bCs w:val="0"/>
                <w:color w:val="auto"/>
                <w:sz w:val="21"/>
                <w:szCs w:val="21"/>
                <w:highlight w:val="none"/>
                <w:lang w:val="en-US" w:eastAsia="zh-CN"/>
              </w:rPr>
              <w:t>3</w:t>
            </w:r>
            <w:r>
              <w:rPr>
                <w:rFonts w:hint="default" w:ascii="宋体" w:hAnsi="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r>
              <w:rPr>
                <w:rFonts w:hint="default" w:ascii="宋体" w:hAnsi="宋体" w:cs="宋体"/>
                <w:b w:val="0"/>
                <w:bCs w:val="0"/>
                <w:color w:val="auto"/>
                <w:sz w:val="21"/>
                <w:szCs w:val="21"/>
                <w:highlight w:val="none"/>
                <w:lang w:val="en-US" w:eastAsia="zh-CN"/>
              </w:rPr>
              <w:t>满分</w:t>
            </w:r>
            <w:r>
              <w:rPr>
                <w:rFonts w:hint="eastAsia" w:ascii="宋体" w:hAnsi="宋体" w:cs="宋体"/>
                <w:b w:val="0"/>
                <w:bCs w:val="0"/>
                <w:color w:val="auto"/>
                <w:sz w:val="21"/>
                <w:szCs w:val="21"/>
                <w:highlight w:val="none"/>
                <w:lang w:val="en-US" w:eastAsia="zh-CN"/>
              </w:rPr>
              <w:t>3</w:t>
            </w:r>
            <w:r>
              <w:rPr>
                <w:rFonts w:hint="default" w:ascii="宋体" w:hAnsi="宋体" w:cs="宋体"/>
                <w:b w:val="0"/>
                <w:bCs w:val="0"/>
                <w:color w:val="auto"/>
                <w:sz w:val="21"/>
                <w:szCs w:val="21"/>
                <w:highlight w:val="none"/>
                <w:lang w:val="en-US" w:eastAsia="zh-CN"/>
              </w:rPr>
              <w:t>分，扣完为止；</w:t>
            </w:r>
          </w:p>
        </w:tc>
        <w:tc>
          <w:tcPr>
            <w:tcW w:w="451" w:type="pct"/>
            <w:noWrap w:val="0"/>
            <w:vAlign w:val="center"/>
          </w:tcPr>
          <w:p w14:paraId="7BF663F7">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44F98DA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327A3F4B">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20D1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084C6F8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0D23D794">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3F61B825">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f.报告出现重大失误或漏项需重出的扣5分，满分5分，扣完为止；</w:t>
            </w:r>
          </w:p>
        </w:tc>
        <w:tc>
          <w:tcPr>
            <w:tcW w:w="451" w:type="pct"/>
            <w:noWrap w:val="0"/>
            <w:vAlign w:val="center"/>
          </w:tcPr>
          <w:p w14:paraId="08304B56">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7C4D5AA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24DAC58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2779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225834F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43361D5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75AFEA79">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both"/>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g</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提交的报告</w:t>
            </w:r>
            <w:r>
              <w:rPr>
                <w:rFonts w:hint="default" w:ascii="宋体" w:hAnsi="宋体" w:cs="宋体"/>
                <w:b w:val="0"/>
                <w:bCs w:val="0"/>
                <w:color w:val="auto"/>
                <w:sz w:val="21"/>
                <w:szCs w:val="21"/>
                <w:highlight w:val="none"/>
                <w:lang w:val="en-US" w:eastAsia="zh-CN"/>
              </w:rPr>
              <w:t>每缺</w:t>
            </w:r>
            <w:r>
              <w:rPr>
                <w:rFonts w:hint="eastAsia" w:ascii="宋体" w:hAnsi="宋体" w:cs="宋体"/>
                <w:b w:val="0"/>
                <w:bCs w:val="0"/>
                <w:color w:val="auto"/>
                <w:sz w:val="21"/>
                <w:szCs w:val="21"/>
                <w:highlight w:val="none"/>
                <w:lang w:val="en-US" w:eastAsia="zh-CN"/>
              </w:rPr>
              <w:t>1</w:t>
            </w:r>
            <w:r>
              <w:rPr>
                <w:rFonts w:hint="default" w:ascii="宋体" w:hAnsi="宋体" w:cs="宋体"/>
                <w:b w:val="0"/>
                <w:bCs w:val="0"/>
                <w:color w:val="auto"/>
                <w:sz w:val="21"/>
                <w:szCs w:val="21"/>
                <w:highlight w:val="none"/>
                <w:lang w:val="en-US" w:eastAsia="zh-CN"/>
              </w:rPr>
              <w:t>份重要附件的扣1分</w:t>
            </w:r>
            <w:r>
              <w:rPr>
                <w:rFonts w:hint="eastAsia" w:ascii="宋体" w:hAnsi="宋体" w:cs="宋体"/>
                <w:b w:val="0"/>
                <w:bCs w:val="0"/>
                <w:color w:val="auto"/>
                <w:sz w:val="21"/>
                <w:szCs w:val="21"/>
                <w:highlight w:val="none"/>
                <w:lang w:val="en-US" w:eastAsia="zh-CN"/>
              </w:rPr>
              <w:t>，满分5分，扣完为止</w:t>
            </w:r>
            <w:r>
              <w:rPr>
                <w:rFonts w:hint="default" w:ascii="宋体" w:hAnsi="宋体" w:cs="宋体"/>
                <w:b w:val="0"/>
                <w:bCs w:val="0"/>
                <w:color w:val="auto"/>
                <w:sz w:val="21"/>
                <w:szCs w:val="21"/>
                <w:highlight w:val="none"/>
                <w:lang w:val="en-US" w:eastAsia="zh-CN"/>
              </w:rPr>
              <w:t>；</w:t>
            </w:r>
          </w:p>
        </w:tc>
        <w:tc>
          <w:tcPr>
            <w:tcW w:w="451" w:type="pct"/>
            <w:noWrap w:val="0"/>
            <w:vAlign w:val="center"/>
          </w:tcPr>
          <w:p w14:paraId="4F0F7B6B">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0B6DC752">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062145C1">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4CBC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62FD565C">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793" w:type="pct"/>
            <w:vMerge w:val="continue"/>
            <w:noWrap w:val="0"/>
            <w:vAlign w:val="center"/>
          </w:tcPr>
          <w:p w14:paraId="234145CE">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4103FB07">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both"/>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h.</w:t>
            </w:r>
            <w:r>
              <w:rPr>
                <w:rFonts w:hint="default" w:ascii="宋体" w:hAnsi="宋体" w:cs="宋体"/>
                <w:b w:val="0"/>
                <w:bCs w:val="0"/>
                <w:color w:val="auto"/>
                <w:sz w:val="21"/>
                <w:szCs w:val="21"/>
                <w:highlight w:val="none"/>
                <w:lang w:val="en-US" w:eastAsia="zh-CN"/>
              </w:rPr>
              <w:t>附表勾稽不准确、与文字说明不一致扣2分</w:t>
            </w:r>
            <w:r>
              <w:rPr>
                <w:rFonts w:hint="eastAsia" w:ascii="宋体" w:hAnsi="宋体" w:cs="宋体"/>
                <w:b w:val="0"/>
                <w:bCs w:val="0"/>
                <w:color w:val="auto"/>
                <w:sz w:val="21"/>
                <w:szCs w:val="21"/>
                <w:highlight w:val="none"/>
                <w:lang w:val="en-US" w:eastAsia="zh-CN"/>
              </w:rPr>
              <w:t>，满分2分，扣完为止</w:t>
            </w:r>
            <w:r>
              <w:rPr>
                <w:rFonts w:hint="default" w:ascii="宋体" w:hAnsi="宋体" w:cs="宋体"/>
                <w:b w:val="0"/>
                <w:bCs w:val="0"/>
                <w:color w:val="auto"/>
                <w:sz w:val="21"/>
                <w:szCs w:val="21"/>
                <w:highlight w:val="none"/>
                <w:lang w:val="en-US" w:eastAsia="zh-CN"/>
              </w:rPr>
              <w:t>；</w:t>
            </w:r>
          </w:p>
        </w:tc>
        <w:tc>
          <w:tcPr>
            <w:tcW w:w="451" w:type="pct"/>
            <w:noWrap w:val="0"/>
            <w:vAlign w:val="center"/>
          </w:tcPr>
          <w:p w14:paraId="40E7D3F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4F54E810">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176D8BFD">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r w14:paraId="494C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restart"/>
            <w:noWrap w:val="0"/>
            <w:vAlign w:val="center"/>
          </w:tcPr>
          <w:p w14:paraId="45BD8EE4">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eastAsia="宋体"/>
                <w:color w:val="auto"/>
                <w:highlight w:val="none"/>
                <w:lang w:val="en-US" w:eastAsia="zh-CN"/>
              </w:rPr>
            </w:pPr>
            <w:r>
              <w:rPr>
                <w:rFonts w:hint="eastAsia"/>
                <w:color w:val="auto"/>
                <w:highlight w:val="none"/>
                <w:lang w:val="en-US" w:eastAsia="zh-CN"/>
              </w:rPr>
              <w:t>工作责任</w:t>
            </w:r>
          </w:p>
        </w:tc>
        <w:tc>
          <w:tcPr>
            <w:tcW w:w="793" w:type="pct"/>
            <w:vMerge w:val="restart"/>
            <w:noWrap w:val="0"/>
            <w:vAlign w:val="center"/>
          </w:tcPr>
          <w:p w14:paraId="5495EA0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eastAsia="宋体"/>
                <w:color w:val="auto"/>
                <w:highlight w:val="none"/>
                <w:lang w:val="en-US" w:eastAsia="zh-CN"/>
              </w:rPr>
            </w:pPr>
            <w:r>
              <w:rPr>
                <w:rFonts w:hint="eastAsia"/>
                <w:color w:val="auto"/>
                <w:highlight w:val="none"/>
                <w:lang w:val="en-US" w:eastAsia="zh-CN"/>
              </w:rPr>
              <w:t>工作责任涉及协审过程中的保密、是否出现违法违纪情况等方面。如协审单位或者委派的协审人员出现以下情形，以相关评定标准直接给分。</w:t>
            </w:r>
          </w:p>
        </w:tc>
        <w:tc>
          <w:tcPr>
            <w:tcW w:w="1997" w:type="pct"/>
            <w:noWrap w:val="0"/>
            <w:vAlign w:val="center"/>
          </w:tcPr>
          <w:p w14:paraId="27A28E7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eastAsia="宋体"/>
                <w:color w:val="auto"/>
                <w:highlight w:val="none"/>
                <w:lang w:val="en-US" w:eastAsia="zh-CN"/>
              </w:rPr>
            </w:pPr>
            <w:r>
              <w:rPr>
                <w:rFonts w:hint="eastAsia"/>
                <w:color w:val="auto"/>
                <w:highlight w:val="none"/>
                <w:lang w:val="en-US" w:eastAsia="zh-CN"/>
              </w:rPr>
              <w:t>a.</w:t>
            </w:r>
            <w:r>
              <w:rPr>
                <w:rFonts w:hint="eastAsia" w:ascii="宋体" w:hAnsi="宋体" w:cs="宋体"/>
                <w:b w:val="0"/>
                <w:bCs w:val="0"/>
                <w:color w:val="auto"/>
                <w:sz w:val="21"/>
                <w:szCs w:val="21"/>
                <w:highlight w:val="none"/>
                <w:lang w:val="en-US" w:eastAsia="zh-CN"/>
              </w:rPr>
              <w:t>协审人员</w:t>
            </w:r>
            <w:r>
              <w:rPr>
                <w:rFonts w:hint="default" w:ascii="宋体" w:hAnsi="宋体" w:cs="宋体"/>
                <w:b w:val="0"/>
                <w:bCs w:val="0"/>
                <w:color w:val="auto"/>
                <w:sz w:val="21"/>
                <w:szCs w:val="21"/>
                <w:highlight w:val="none"/>
                <w:lang w:val="en-US" w:eastAsia="zh-CN"/>
              </w:rPr>
              <w:t>遗失</w:t>
            </w:r>
            <w:r>
              <w:rPr>
                <w:rFonts w:hint="eastAsia" w:ascii="宋体" w:hAnsi="宋体" w:cs="宋体"/>
                <w:b w:val="0"/>
                <w:bCs w:val="0"/>
                <w:color w:val="auto"/>
                <w:sz w:val="21"/>
                <w:szCs w:val="21"/>
                <w:highlight w:val="none"/>
                <w:lang w:val="en-US" w:eastAsia="zh-CN"/>
              </w:rPr>
              <w:t>部分</w:t>
            </w:r>
            <w:r>
              <w:rPr>
                <w:rFonts w:hint="default" w:ascii="宋体" w:hAnsi="宋体" w:cs="宋体"/>
                <w:b w:val="0"/>
                <w:bCs w:val="0"/>
                <w:color w:val="auto"/>
                <w:sz w:val="21"/>
                <w:szCs w:val="21"/>
                <w:highlight w:val="none"/>
                <w:lang w:val="en-US" w:eastAsia="zh-CN"/>
              </w:rPr>
              <w:t>资料</w:t>
            </w:r>
            <w:r>
              <w:rPr>
                <w:rFonts w:hint="eastAsia" w:ascii="宋体" w:hAnsi="宋体" w:cs="宋体"/>
                <w:b w:val="0"/>
                <w:bCs w:val="0"/>
                <w:color w:val="auto"/>
                <w:sz w:val="21"/>
                <w:szCs w:val="21"/>
                <w:highlight w:val="none"/>
                <w:lang w:val="en-US" w:eastAsia="zh-CN"/>
              </w:rPr>
              <w:t>，最终能完成协审工作的，本次诚信综合评价为合格，评定分数为60分。</w:t>
            </w:r>
          </w:p>
        </w:tc>
        <w:tc>
          <w:tcPr>
            <w:tcW w:w="451" w:type="pct"/>
            <w:noWrap w:val="0"/>
            <w:vAlign w:val="center"/>
          </w:tcPr>
          <w:p w14:paraId="71C01E4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438" w:type="pct"/>
            <w:noWrap w:val="0"/>
            <w:vAlign w:val="center"/>
          </w:tcPr>
          <w:p w14:paraId="21E59B06">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635" w:type="pct"/>
            <w:noWrap w:val="0"/>
            <w:vAlign w:val="center"/>
          </w:tcPr>
          <w:p w14:paraId="06824A5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r>
      <w:tr w14:paraId="2FB2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5AC2E059">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793" w:type="pct"/>
            <w:vMerge w:val="continue"/>
            <w:noWrap w:val="0"/>
            <w:vAlign w:val="center"/>
          </w:tcPr>
          <w:p w14:paraId="698A4FB6">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1997" w:type="pct"/>
            <w:noWrap w:val="0"/>
            <w:vAlign w:val="center"/>
          </w:tcPr>
          <w:p w14:paraId="08832411">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lang w:val="en-US"/>
              </w:rPr>
            </w:pPr>
            <w:r>
              <w:rPr>
                <w:rFonts w:hint="eastAsia" w:ascii="宋体" w:hAnsi="宋体" w:cs="宋体"/>
                <w:b w:val="0"/>
                <w:bCs w:val="0"/>
                <w:color w:val="auto"/>
                <w:sz w:val="21"/>
                <w:szCs w:val="21"/>
                <w:highlight w:val="none"/>
                <w:lang w:val="en-US" w:eastAsia="zh-CN"/>
              </w:rPr>
              <w:t>b.协审人员</w:t>
            </w:r>
            <w:r>
              <w:rPr>
                <w:rFonts w:hint="default" w:ascii="宋体" w:hAnsi="宋体" w:cs="宋体"/>
                <w:b w:val="0"/>
                <w:bCs w:val="0"/>
                <w:color w:val="auto"/>
                <w:sz w:val="21"/>
                <w:szCs w:val="21"/>
                <w:highlight w:val="none"/>
                <w:lang w:val="en-US" w:eastAsia="zh-CN"/>
              </w:rPr>
              <w:t>遗失资料</w:t>
            </w:r>
            <w:r>
              <w:rPr>
                <w:rFonts w:hint="eastAsia" w:ascii="宋体" w:hAnsi="宋体" w:cs="宋体"/>
                <w:b w:val="0"/>
                <w:bCs w:val="0"/>
                <w:color w:val="auto"/>
                <w:sz w:val="21"/>
                <w:szCs w:val="21"/>
                <w:highlight w:val="none"/>
                <w:lang w:val="en-US" w:eastAsia="zh-CN"/>
              </w:rPr>
              <w:t>，不能完成协审工作的,本次诚信综合评价为不合格，评定分数为0分。</w:t>
            </w:r>
          </w:p>
        </w:tc>
        <w:tc>
          <w:tcPr>
            <w:tcW w:w="451" w:type="pct"/>
            <w:noWrap w:val="0"/>
            <w:vAlign w:val="center"/>
          </w:tcPr>
          <w:p w14:paraId="48F1C2E4">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438" w:type="pct"/>
            <w:noWrap w:val="0"/>
            <w:vAlign w:val="center"/>
          </w:tcPr>
          <w:p w14:paraId="091B7E1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635" w:type="pct"/>
            <w:noWrap w:val="0"/>
            <w:vAlign w:val="center"/>
          </w:tcPr>
          <w:p w14:paraId="0BEF3AD1">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r>
      <w:tr w14:paraId="10C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3" w:type="pct"/>
            <w:vMerge w:val="continue"/>
            <w:noWrap w:val="0"/>
            <w:vAlign w:val="center"/>
          </w:tcPr>
          <w:p w14:paraId="1A7EEA10">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793" w:type="pct"/>
            <w:vMerge w:val="continue"/>
            <w:noWrap w:val="0"/>
            <w:vAlign w:val="center"/>
          </w:tcPr>
          <w:p w14:paraId="0E2F689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1997" w:type="pct"/>
            <w:noWrap w:val="0"/>
            <w:vAlign w:val="center"/>
          </w:tcPr>
          <w:p w14:paraId="10220F4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r>
              <w:rPr>
                <w:rFonts w:hint="eastAsia" w:ascii="宋体" w:hAnsi="宋体" w:cs="宋体"/>
                <w:b w:val="0"/>
                <w:bCs w:val="0"/>
                <w:color w:val="auto"/>
                <w:sz w:val="21"/>
                <w:szCs w:val="21"/>
                <w:highlight w:val="none"/>
                <w:lang w:val="en-US" w:eastAsia="zh-CN"/>
              </w:rPr>
              <w:t>c</w:t>
            </w:r>
            <w:r>
              <w:rPr>
                <w:rFonts w:hint="default" w:ascii="宋体" w:hAnsi="宋体" w:cs="宋体"/>
                <w:b w:val="0"/>
                <w:bCs w:val="0"/>
                <w:color w:val="auto"/>
                <w:sz w:val="21"/>
                <w:szCs w:val="21"/>
                <w:highlight w:val="none"/>
                <w:lang w:val="en-US" w:eastAsia="zh-CN"/>
              </w:rPr>
              <w:t>.</w:t>
            </w:r>
            <w:r>
              <w:rPr>
                <w:rFonts w:hint="eastAsia" w:ascii="宋体" w:hAnsi="宋体" w:cs="Times New Roman"/>
                <w:color w:val="auto"/>
                <w:kern w:val="0"/>
                <w:szCs w:val="21"/>
                <w:highlight w:val="none"/>
                <w:lang w:val="en-US" w:eastAsia="zh-CN"/>
              </w:rPr>
              <w:t>协审单位出现严重违法违纪不能按合同约定完成协审工作，中途退出的，得0分。</w:t>
            </w:r>
          </w:p>
        </w:tc>
        <w:tc>
          <w:tcPr>
            <w:tcW w:w="451" w:type="pct"/>
            <w:noWrap w:val="0"/>
            <w:vAlign w:val="center"/>
          </w:tcPr>
          <w:p w14:paraId="350A3E8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438" w:type="pct"/>
            <w:noWrap w:val="0"/>
            <w:vAlign w:val="center"/>
          </w:tcPr>
          <w:p w14:paraId="3193437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c>
          <w:tcPr>
            <w:tcW w:w="635" w:type="pct"/>
            <w:noWrap w:val="0"/>
            <w:vAlign w:val="center"/>
          </w:tcPr>
          <w:p w14:paraId="075E6E0A">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textAlignment w:val="auto"/>
              <w:rPr>
                <w:rFonts w:hint="default"/>
                <w:color w:val="auto"/>
                <w:highlight w:val="none"/>
              </w:rPr>
            </w:pPr>
          </w:p>
        </w:tc>
      </w:tr>
      <w:tr w14:paraId="038F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3" w:type="pct"/>
            <w:noWrap w:val="0"/>
            <w:vAlign w:val="center"/>
          </w:tcPr>
          <w:p w14:paraId="72AB328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评分合计</w:t>
            </w:r>
          </w:p>
        </w:tc>
        <w:tc>
          <w:tcPr>
            <w:tcW w:w="793" w:type="pct"/>
            <w:noWrap w:val="0"/>
            <w:vAlign w:val="center"/>
          </w:tcPr>
          <w:p w14:paraId="42FDAE12">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1997" w:type="pct"/>
            <w:noWrap w:val="0"/>
            <w:vAlign w:val="center"/>
          </w:tcPr>
          <w:p w14:paraId="20799C53">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51" w:type="pct"/>
            <w:noWrap w:val="0"/>
            <w:vAlign w:val="center"/>
          </w:tcPr>
          <w:p w14:paraId="4BA8FE4B">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438" w:type="pct"/>
            <w:noWrap w:val="0"/>
            <w:vAlign w:val="center"/>
          </w:tcPr>
          <w:p w14:paraId="10D48845">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c>
          <w:tcPr>
            <w:tcW w:w="635" w:type="pct"/>
            <w:noWrap w:val="0"/>
            <w:vAlign w:val="center"/>
          </w:tcPr>
          <w:p w14:paraId="19134FBF">
            <w:pPr>
              <w:keepNext w:val="0"/>
              <w:keepLines w:val="0"/>
              <w:pageBreakBefore w:val="0"/>
              <w:widowControl w:val="0"/>
              <w:suppressLineNumbers w:val="0"/>
              <w:kinsoku/>
              <w:overflowPunct/>
              <w:topLinePunct w:val="0"/>
              <w:autoSpaceDE/>
              <w:autoSpaceDN/>
              <w:bidi w:val="0"/>
              <w:spacing w:before="0" w:beforeAutospacing="0" w:after="0" w:afterAutospacing="0" w:line="240" w:lineRule="auto"/>
              <w:ind w:left="0" w:right="0"/>
              <w:jc w:val="center"/>
              <w:textAlignment w:val="auto"/>
              <w:rPr>
                <w:rFonts w:hint="default" w:ascii="宋体" w:hAnsi="宋体" w:eastAsia="宋体" w:cs="Times New Roman"/>
                <w:color w:val="auto"/>
                <w:kern w:val="0"/>
                <w:szCs w:val="21"/>
                <w:highlight w:val="none"/>
              </w:rPr>
            </w:pPr>
          </w:p>
        </w:tc>
      </w:tr>
    </w:tbl>
    <w:p w14:paraId="77A202C1">
      <w:pPr>
        <w:spacing w:line="320" w:lineRule="exact"/>
        <w:ind w:firstLine="420" w:firstLineChars="200"/>
        <w:rPr>
          <w:rFonts w:hint="eastAsia" w:ascii="宋体" w:hAnsi="宋体" w:eastAsia="宋体" w:cs="Times New Roman"/>
          <w:color w:val="auto"/>
          <w:kern w:val="0"/>
          <w:szCs w:val="21"/>
          <w:highlight w:val="none"/>
        </w:rPr>
      </w:pPr>
    </w:p>
    <w:p w14:paraId="0F36A44A">
      <w:pPr>
        <w:spacing w:line="3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采购单位经办人：</w:t>
      </w:r>
    </w:p>
    <w:p w14:paraId="27BC9759">
      <w:pPr>
        <w:spacing w:line="32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采购单位负责人：</w:t>
      </w:r>
    </w:p>
    <w:p w14:paraId="643122C4">
      <w:pPr>
        <w:spacing w:line="320" w:lineRule="exac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（采购单位盖章）</w:t>
      </w:r>
    </w:p>
    <w:p w14:paraId="76987031">
      <w:pPr>
        <w:bidi w:val="0"/>
        <w:rPr>
          <w:rFonts w:hint="eastAsia"/>
          <w:lang w:eastAsia="zh-CN"/>
        </w:rPr>
      </w:pPr>
      <w:bookmarkStart w:id="318" w:name="_Toc18813"/>
      <w:r>
        <w:rPr>
          <w:rFonts w:hint="eastAsia"/>
        </w:rPr>
        <w:t>填报说明：1.本表作为</w:t>
      </w:r>
      <w:r>
        <w:rPr>
          <w:rFonts w:hint="eastAsia"/>
          <w:lang w:val="en-US" w:eastAsia="zh-CN"/>
        </w:rPr>
        <w:t>2025—2027年度中马钦州产业园区财政投资建设项目竣工财务决算协审服务框架协议采购单位</w:t>
      </w:r>
      <w:r>
        <w:rPr>
          <w:rFonts w:hint="eastAsia"/>
        </w:rPr>
        <w:t>诚信综合评价的依据，如评价分值在60分以下累计三次及以上的，需由采购人写明相关实际情况，</w:t>
      </w:r>
      <w:r>
        <w:rPr>
          <w:rFonts w:hint="eastAsia"/>
          <w:lang w:eastAsia="zh-CN"/>
        </w:rPr>
        <w:t>由征集人复核后报送中马钦州产业园区管委会审批</w:t>
      </w:r>
      <w:r>
        <w:rPr>
          <w:rFonts w:hint="eastAsia"/>
        </w:rPr>
        <w:t>，清退出本次框架协议管理范围。（综合考核评价分为：不合格、合格、良好、优秀四个等级，总评分值在0~60分（不含60分）为不合格、60~80分（不含80分）为合格、80~90分（不含90分）为良好、90~100分为优秀。）</w:t>
      </w:r>
      <w:bookmarkEnd w:id="318"/>
    </w:p>
    <w:bookmarkEnd w:id="314"/>
    <w:bookmarkEnd w:id="315"/>
    <w:bookmarkEnd w:id="316"/>
    <w:bookmarkEnd w:id="317"/>
    <w:p w14:paraId="21A6A0A0">
      <w:pPr>
        <w:bidi w:val="0"/>
        <w:rPr>
          <w:rFonts w:hint="eastAsia"/>
          <w:lang w:val="en-US" w:eastAsia="zh-CN"/>
        </w:rPr>
      </w:pPr>
      <w:r>
        <w:rPr>
          <w:rFonts w:hint="eastAsia"/>
          <w:lang w:val="en-US" w:eastAsia="zh-CN"/>
        </w:rPr>
        <w:br w:type="page"/>
      </w:r>
    </w:p>
    <w:p w14:paraId="7A9698EF">
      <w:pPr>
        <w:keepNext w:val="0"/>
        <w:keepLines w:val="0"/>
        <w:widowControl/>
        <w:suppressLineNumbers w:val="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lang w:val="en-US" w:eastAsia="zh-CN"/>
        </w:rPr>
        <w:t>附件2：</w:t>
      </w:r>
      <w:r>
        <w:rPr>
          <w:rFonts w:hint="eastAsia" w:ascii="宋体" w:hAnsi="宋体" w:eastAsia="宋体" w:cs="宋体"/>
          <w:b/>
          <w:bCs w:val="0"/>
          <w:color w:val="auto"/>
          <w:kern w:val="2"/>
          <w:sz w:val="36"/>
          <w:szCs w:val="20"/>
          <w:highlight w:val="none"/>
          <w:lang w:val="en-US" w:eastAsia="zh-CN" w:bidi="ar"/>
        </w:rPr>
        <w:t>履约验收方案</w:t>
      </w:r>
    </w:p>
    <w:p w14:paraId="64B04F54">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7081DED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1.履约验收工作参加人员 </w:t>
      </w:r>
    </w:p>
    <w:p w14:paraId="4EBA0B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1.1 履约验收主体单位： </w:t>
      </w:r>
    </w:p>
    <w:p w14:paraId="0C3A4C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采购人或采购人委托的机构 </w:t>
      </w:r>
    </w:p>
    <w:p w14:paraId="49C47E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1.2 履约验收参加人员 ：</w:t>
      </w:r>
    </w:p>
    <w:p w14:paraId="7F7214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采购人代表、委托机构代表、成交供应商代表及采购人邀请的其他人员 </w:t>
      </w:r>
    </w:p>
    <w:p w14:paraId="28F7620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2.履约验收时间：</w:t>
      </w:r>
      <w:r>
        <w:rPr>
          <w:rFonts w:hint="eastAsia" w:ascii="宋体" w:hAnsi="宋体" w:eastAsia="宋体" w:cs="宋体"/>
          <w:color w:val="auto"/>
          <w:kern w:val="0"/>
          <w:sz w:val="24"/>
          <w:szCs w:val="24"/>
          <w:highlight w:val="none"/>
          <w:lang w:val="en-US" w:eastAsia="zh-CN" w:bidi="ar"/>
        </w:rPr>
        <w:t xml:space="preserve">   年 </w:t>
      </w:r>
      <w:r>
        <w:rPr>
          <w:rFonts w:hint="eastAsia" w:eastAsia="宋体"/>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bidi="ar"/>
        </w:rPr>
        <w:t xml:space="preserve">月 </w:t>
      </w:r>
      <w:r>
        <w:rPr>
          <w:rFonts w:hint="eastAsia" w:eastAsia="宋体"/>
          <w:color w:val="auto"/>
          <w:highlight w:val="none"/>
          <w:lang w:val="en-US" w:eastAsia="zh-CN"/>
        </w:rPr>
        <w:t xml:space="preserve">   </w:t>
      </w:r>
      <w:r>
        <w:rPr>
          <w:rFonts w:hint="eastAsia" w:ascii="宋体" w:hAnsi="宋体" w:eastAsia="宋体" w:cs="宋体"/>
          <w:color w:val="auto"/>
          <w:kern w:val="0"/>
          <w:sz w:val="24"/>
          <w:szCs w:val="24"/>
          <w:highlight w:val="none"/>
          <w:lang w:val="en-US" w:eastAsia="zh-CN" w:bidi="ar"/>
        </w:rPr>
        <w:t xml:space="preserve">日 </w:t>
      </w:r>
    </w:p>
    <w:p w14:paraId="1B46842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3.履约验收地点： </w:t>
      </w:r>
    </w:p>
    <w:p w14:paraId="77A845AE">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4.履约验收方式：</w:t>
      </w:r>
      <w:r>
        <w:rPr>
          <w:rFonts w:hint="eastAsia" w:ascii="宋体" w:hAnsi="宋体" w:eastAsia="宋体" w:cs="宋体"/>
          <w:color w:val="auto"/>
          <w:kern w:val="0"/>
          <w:sz w:val="24"/>
          <w:szCs w:val="24"/>
          <w:highlight w:val="none"/>
          <w:lang w:val="en-US" w:eastAsia="zh-CN" w:bidi="ar"/>
        </w:rPr>
        <w:t xml:space="preserve">采购人自行验收 </w:t>
      </w:r>
    </w:p>
    <w:p w14:paraId="4D6FDB1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5.履约验收程序 </w:t>
      </w:r>
    </w:p>
    <w:p w14:paraId="172EA7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5.1 成立验收小组 </w:t>
      </w:r>
    </w:p>
    <w:p w14:paraId="23919C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5.2 量化验收标准 </w:t>
      </w:r>
    </w:p>
    <w:p w14:paraId="0292C4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5.3 组织验收 </w:t>
      </w:r>
    </w:p>
    <w:p w14:paraId="353DE8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5.4 出具验收报告 </w:t>
      </w:r>
    </w:p>
    <w:p w14:paraId="5BACC2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5.5 验收结果公告 </w:t>
      </w:r>
    </w:p>
    <w:p w14:paraId="3A0FC73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5.6 验收资料归档 </w:t>
      </w:r>
    </w:p>
    <w:p w14:paraId="3FE46C3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采购合同项目完成验收后，采购人整理好验收原始记录等资料后妥善保管，不得变造、隐匿或者销毁，验收资料保存期为采购结束之日起至少保存15年。 </w:t>
      </w:r>
    </w:p>
    <w:p w14:paraId="4DBDC052">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6.履约验收内容 </w:t>
      </w:r>
    </w:p>
    <w:p w14:paraId="4EFCE4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对采购服务的人员选派及工作合法合规性、服务成果质量、完成时限、服务态度、人员配备情况等进行验收，按《2025—2027年度中马钦州产业园区财政投资建设项目竣工财务决算协审服务框架协议采购单位诚信综合评价表》执行。 </w:t>
      </w:r>
    </w:p>
    <w:p w14:paraId="6A4E19BF">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highlight w:val="none"/>
        </w:rPr>
      </w:pPr>
      <w:r>
        <w:rPr>
          <w:rFonts w:hint="eastAsia" w:ascii="宋体" w:hAnsi="宋体" w:eastAsia="宋体" w:cs="宋体"/>
          <w:b/>
          <w:bCs/>
          <w:color w:val="auto"/>
          <w:kern w:val="0"/>
          <w:sz w:val="24"/>
          <w:szCs w:val="24"/>
          <w:highlight w:val="none"/>
          <w:lang w:val="en-US" w:eastAsia="zh-CN" w:bidi="ar"/>
        </w:rPr>
        <w:t xml:space="preserve">7.履约验收标准 </w:t>
      </w:r>
    </w:p>
    <w:p w14:paraId="08EF7BF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验收标准： </w:t>
      </w:r>
    </w:p>
    <w:p w14:paraId="15D5673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（1）成交供应商应提供完备的技术或服务资料等。</w:t>
      </w:r>
    </w:p>
    <w:p w14:paraId="181A970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验收合格条件如下：</w:t>
      </w:r>
    </w:p>
    <w:p w14:paraId="550F69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服务技术参数与响应文件中响应表或证明材料一致，性能或指标达到规定的标准。</w:t>
      </w:r>
    </w:p>
    <w:p w14:paraId="4DB4269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否则，以实际服务技术参数与响应文件响应表参数或证明材料比较，按如下情况处理：</w:t>
      </w:r>
    </w:p>
    <w:p w14:paraId="0083D7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①供应商响应文件响应表或证明材料中满足或优于的技术参数，在验收时实际不满足技术参数要求的，视为供货商违约，采购人有权终止合同，并追究供应商责任，同时报财政部门备案。</w:t>
      </w:r>
    </w:p>
    <w:p w14:paraId="04F34E5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②供应商响应文件响应表或证明材料中优于的技术参数，在验收时实际仅满足并未优于技术参数要求的，视为供货商违约，采购人有权终止合同，并追究供应商责任，同时报财政部门备案。</w:t>
      </w:r>
    </w:p>
    <w:p w14:paraId="349B10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③供应商响应文件响应表或证明材料中满足的技术参数，在验收时实际优于技术参数的要求，以满足技术参数的要求验收。</w:t>
      </w:r>
    </w:p>
    <w:p w14:paraId="17D1C6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④供应商响应文件响应表或证明材料中优于的技术参数，在验收时实际也优于技术参数的要求，但没有达到响应表或证明材料中优于的程度，由采购人与供应商协商按是否满足要求验收。</w:t>
      </w:r>
    </w:p>
    <w:p w14:paraId="6BD469E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⑤实际投入人员与响应拟投入人员不一致的，验收时不论实际是优于还是满足技术参数的要求，采购人均有权终止合同。如影响服务的使用、质量、档次及采购人需求的，</w:t>
      </w:r>
    </w:p>
    <w:p w14:paraId="40E8D1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还可视为供货商违约，追究供应商责任，同时报财政部门备案。</w:t>
      </w:r>
    </w:p>
    <w:p w14:paraId="42276FB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（2）技术资料、评审报告等资料齐全。 </w:t>
      </w:r>
    </w:p>
    <w:p w14:paraId="0D8485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（3）在服务期间所出现的问题得到解决，并工作正常。 </w:t>
      </w:r>
    </w:p>
    <w:p w14:paraId="179D2B9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（4）在规定时间内完成服务及验收，并经采购人确认。 </w:t>
      </w:r>
    </w:p>
    <w:p w14:paraId="1F1EC6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（5）服务在符合采购人要求后，才作为最终验收。 </w:t>
      </w:r>
    </w:p>
    <w:p w14:paraId="1750B5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（6）成交供应商提供的服务未达到征集文件规定要求，且对采购人造成损失的， 由成交供应商承担一切责任，并赔偿所造成的损失。 </w:t>
      </w:r>
    </w:p>
    <w:p w14:paraId="6CA1C7E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（7）采购人需要其他有关单位对成交供应商交付的产品或服务进行确认的，相关配合事项由成交供应商与其他有关单位协调。 </w:t>
      </w:r>
    </w:p>
    <w:p w14:paraId="29F5CB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（8）政府采购合同约定的其他要求及响应文件响应的其他标准。 </w:t>
      </w:r>
    </w:p>
    <w:p w14:paraId="5621BED5">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8.履约验收其他</w:t>
      </w:r>
    </w:p>
    <w:p w14:paraId="546BDC3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无</w:t>
      </w:r>
    </w:p>
    <w:p w14:paraId="3D0AFC2F">
      <w:pPr>
        <w:tabs>
          <w:tab w:val="left" w:pos="2472"/>
        </w:tabs>
        <w:spacing w:line="460" w:lineRule="exact"/>
        <w:jc w:val="center"/>
        <w:outlineLvl w:val="0"/>
        <w:rPr>
          <w:rFonts w:ascii="宋体" w:hAnsi="宋体" w:eastAsia="宋体" w:cs="宋体"/>
          <w:b/>
          <w:color w:val="auto"/>
          <w:sz w:val="36"/>
          <w:szCs w:val="20"/>
          <w:highlight w:val="none"/>
        </w:rPr>
      </w:pPr>
    </w:p>
    <w:p w14:paraId="453D30EA">
      <w:pPr>
        <w:tabs>
          <w:tab w:val="left" w:pos="2472"/>
        </w:tabs>
        <w:spacing w:line="460" w:lineRule="exact"/>
        <w:jc w:val="center"/>
        <w:outlineLvl w:val="0"/>
        <w:rPr>
          <w:rFonts w:ascii="宋体" w:hAnsi="宋体" w:eastAsia="宋体" w:cs="宋体"/>
          <w:b/>
          <w:color w:val="auto"/>
          <w:sz w:val="36"/>
          <w:szCs w:val="20"/>
          <w:highlight w:val="none"/>
        </w:rPr>
      </w:pPr>
    </w:p>
    <w:p w14:paraId="736604FA">
      <w:pPr>
        <w:tabs>
          <w:tab w:val="left" w:pos="2472"/>
        </w:tabs>
        <w:spacing w:line="460" w:lineRule="exact"/>
        <w:jc w:val="center"/>
        <w:outlineLvl w:val="0"/>
        <w:rPr>
          <w:rFonts w:ascii="宋体" w:hAnsi="宋体" w:eastAsia="宋体" w:cs="宋体"/>
          <w:b/>
          <w:color w:val="auto"/>
          <w:sz w:val="36"/>
          <w:szCs w:val="20"/>
          <w:highlight w:val="none"/>
        </w:rPr>
      </w:pPr>
    </w:p>
    <w:p w14:paraId="3381581E">
      <w:pPr>
        <w:tabs>
          <w:tab w:val="left" w:pos="2472"/>
        </w:tabs>
        <w:spacing w:line="460" w:lineRule="exact"/>
        <w:jc w:val="center"/>
        <w:outlineLvl w:val="0"/>
        <w:rPr>
          <w:rFonts w:ascii="宋体" w:hAnsi="宋体" w:eastAsia="宋体" w:cs="宋体"/>
          <w:b/>
          <w:color w:val="auto"/>
          <w:sz w:val="36"/>
          <w:szCs w:val="20"/>
          <w:highlight w:val="none"/>
        </w:rPr>
      </w:pPr>
    </w:p>
    <w:p w14:paraId="0F51A319">
      <w:pPr>
        <w:tabs>
          <w:tab w:val="left" w:pos="2472"/>
        </w:tabs>
        <w:spacing w:line="460" w:lineRule="exact"/>
        <w:jc w:val="center"/>
        <w:outlineLvl w:val="0"/>
        <w:rPr>
          <w:rFonts w:ascii="宋体" w:hAnsi="宋体" w:eastAsia="宋体" w:cs="宋体"/>
          <w:b/>
          <w:color w:val="auto"/>
          <w:sz w:val="36"/>
          <w:szCs w:val="20"/>
          <w:highlight w:val="none"/>
        </w:rPr>
      </w:pPr>
    </w:p>
    <w:p w14:paraId="5BF90B86">
      <w:pPr>
        <w:tabs>
          <w:tab w:val="left" w:pos="2472"/>
        </w:tabs>
        <w:spacing w:line="460" w:lineRule="exact"/>
        <w:jc w:val="center"/>
        <w:outlineLvl w:val="0"/>
        <w:rPr>
          <w:rFonts w:ascii="宋体" w:hAnsi="宋体" w:eastAsia="宋体" w:cs="宋体"/>
          <w:b/>
          <w:color w:val="auto"/>
          <w:sz w:val="36"/>
          <w:szCs w:val="20"/>
          <w:highlight w:val="none"/>
        </w:rPr>
      </w:pPr>
    </w:p>
    <w:p w14:paraId="3DA086F8">
      <w:pPr>
        <w:tabs>
          <w:tab w:val="left" w:pos="2472"/>
        </w:tabs>
        <w:spacing w:line="460" w:lineRule="exact"/>
        <w:jc w:val="center"/>
        <w:outlineLvl w:val="0"/>
        <w:rPr>
          <w:rFonts w:ascii="宋体" w:hAnsi="宋体" w:eastAsia="宋体" w:cs="宋体"/>
          <w:b/>
          <w:color w:val="auto"/>
          <w:sz w:val="36"/>
          <w:szCs w:val="20"/>
          <w:highlight w:val="none"/>
        </w:rPr>
      </w:pPr>
    </w:p>
    <w:p w14:paraId="0CD445E9">
      <w:pPr>
        <w:tabs>
          <w:tab w:val="left" w:pos="2472"/>
        </w:tabs>
        <w:spacing w:line="460" w:lineRule="exact"/>
        <w:jc w:val="center"/>
        <w:outlineLvl w:val="0"/>
        <w:rPr>
          <w:rFonts w:ascii="宋体" w:hAnsi="宋体" w:eastAsia="宋体" w:cs="宋体"/>
          <w:b/>
          <w:color w:val="auto"/>
          <w:sz w:val="36"/>
          <w:szCs w:val="20"/>
          <w:highlight w:val="none"/>
        </w:rPr>
      </w:pPr>
    </w:p>
    <w:p w14:paraId="4634D5C8">
      <w:pPr>
        <w:tabs>
          <w:tab w:val="left" w:pos="2472"/>
        </w:tabs>
        <w:spacing w:line="460" w:lineRule="exact"/>
        <w:jc w:val="center"/>
        <w:outlineLvl w:val="0"/>
        <w:rPr>
          <w:rFonts w:ascii="宋体" w:hAnsi="宋体" w:eastAsia="宋体" w:cs="宋体"/>
          <w:b/>
          <w:color w:val="auto"/>
          <w:sz w:val="36"/>
          <w:szCs w:val="20"/>
          <w:highlight w:val="none"/>
        </w:rPr>
      </w:pPr>
      <w:bookmarkStart w:id="319" w:name="_Toc11688"/>
      <w:bookmarkStart w:id="320" w:name="_Toc22607"/>
      <w:bookmarkStart w:id="321" w:name="_Toc18925"/>
      <w:bookmarkStart w:id="322" w:name="_Toc31460"/>
      <w:bookmarkStart w:id="323" w:name="_Toc20214"/>
      <w:r>
        <w:rPr>
          <w:rFonts w:hint="eastAsia" w:ascii="宋体" w:hAnsi="宋体" w:eastAsia="宋体" w:cs="宋体"/>
          <w:b/>
          <w:color w:val="auto"/>
          <w:sz w:val="36"/>
          <w:szCs w:val="20"/>
          <w:highlight w:val="none"/>
        </w:rPr>
        <w:t>第六章 响应文件格式</w:t>
      </w:r>
      <w:bookmarkEnd w:id="298"/>
      <w:bookmarkEnd w:id="299"/>
      <w:bookmarkEnd w:id="319"/>
      <w:bookmarkEnd w:id="320"/>
      <w:bookmarkEnd w:id="321"/>
      <w:bookmarkEnd w:id="322"/>
      <w:bookmarkEnd w:id="323"/>
    </w:p>
    <w:p w14:paraId="7AC4C54C">
      <w:pPr>
        <w:spacing w:line="360" w:lineRule="auto"/>
        <w:rPr>
          <w:rFonts w:ascii="宋体" w:hAnsi="宋体" w:eastAsia="宋体" w:cs="宋体"/>
          <w:color w:val="auto"/>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24C55223">
      <w:pPr>
        <w:ind w:firstLine="551" w:firstLineChars="196"/>
        <w:jc w:val="center"/>
        <w:outlineLvl w:val="1"/>
        <w:rPr>
          <w:rFonts w:ascii="宋体" w:hAnsi="宋体" w:eastAsia="宋体" w:cs="宋体"/>
          <w:b/>
          <w:bCs/>
          <w:color w:val="auto"/>
          <w:sz w:val="28"/>
          <w:szCs w:val="28"/>
          <w:highlight w:val="none"/>
        </w:rPr>
      </w:pPr>
      <w:bookmarkStart w:id="324" w:name="_Toc7106"/>
      <w:bookmarkStart w:id="325" w:name="_Toc4082"/>
      <w:bookmarkStart w:id="326" w:name="_Toc25562"/>
      <w:bookmarkStart w:id="327" w:name="_Toc20704"/>
      <w:bookmarkStart w:id="328" w:name="_Toc80093011"/>
      <w:bookmarkStart w:id="329" w:name="_Toc17335"/>
      <w:bookmarkStart w:id="330" w:name="_Toc31453"/>
      <w:r>
        <w:rPr>
          <w:rFonts w:hint="eastAsia" w:ascii="宋体" w:hAnsi="宋体" w:eastAsia="宋体" w:cs="宋体"/>
          <w:b/>
          <w:bCs/>
          <w:color w:val="auto"/>
          <w:sz w:val="28"/>
          <w:szCs w:val="28"/>
          <w:highlight w:val="none"/>
        </w:rPr>
        <w:t>第一节 响应文件外层包装封面格式</w:t>
      </w:r>
      <w:bookmarkEnd w:id="324"/>
      <w:bookmarkEnd w:id="325"/>
      <w:bookmarkEnd w:id="326"/>
      <w:bookmarkEnd w:id="327"/>
      <w:bookmarkEnd w:id="328"/>
      <w:bookmarkEnd w:id="329"/>
      <w:bookmarkEnd w:id="330"/>
    </w:p>
    <w:p w14:paraId="35A565C6">
      <w:pPr>
        <w:spacing w:before="120" w:beforeLines="50" w:after="120" w:afterLines="50"/>
        <w:jc w:val="center"/>
        <w:rPr>
          <w:rFonts w:ascii="宋体" w:hAnsi="宋体" w:eastAsia="宋体" w:cs="宋体"/>
          <w:color w:val="auto"/>
          <w:spacing w:val="20"/>
          <w:sz w:val="44"/>
          <w:szCs w:val="44"/>
          <w:highlight w:val="none"/>
        </w:rPr>
      </w:pPr>
    </w:p>
    <w:p w14:paraId="53B81363">
      <w:pPr>
        <w:spacing w:before="120" w:beforeLines="50" w:after="120" w:afterLines="50"/>
        <w:jc w:val="center"/>
        <w:rPr>
          <w:rFonts w:ascii="宋体" w:hAnsi="宋体" w:eastAsia="宋体" w:cs="宋体"/>
          <w:color w:val="auto"/>
          <w:spacing w:val="20"/>
          <w:sz w:val="44"/>
          <w:szCs w:val="44"/>
          <w:highlight w:val="none"/>
        </w:rPr>
      </w:pPr>
    </w:p>
    <w:p w14:paraId="3129A7FD">
      <w:pPr>
        <w:spacing w:before="120" w:beforeLines="50" w:after="120" w:afterLines="50"/>
        <w:jc w:val="center"/>
        <w:rPr>
          <w:rFonts w:ascii="宋体" w:hAnsi="宋体" w:eastAsia="宋体" w:cs="宋体"/>
          <w:color w:val="auto"/>
          <w:spacing w:val="20"/>
          <w:sz w:val="44"/>
          <w:szCs w:val="44"/>
          <w:highlight w:val="none"/>
        </w:rPr>
      </w:pPr>
    </w:p>
    <w:p w14:paraId="26DB98BE">
      <w:pPr>
        <w:spacing w:before="120" w:beforeLines="50" w:after="120" w:afterLines="50"/>
        <w:jc w:val="center"/>
        <w:rPr>
          <w:rFonts w:ascii="宋体" w:hAnsi="宋体" w:eastAsia="宋体" w:cs="宋体"/>
          <w:color w:val="auto"/>
          <w:spacing w:val="20"/>
          <w:sz w:val="44"/>
          <w:szCs w:val="44"/>
          <w:highlight w:val="none"/>
        </w:rPr>
      </w:pPr>
    </w:p>
    <w:p w14:paraId="7721D02B">
      <w:pPr>
        <w:spacing w:before="120" w:beforeLines="50" w:after="120" w:afterLines="50"/>
        <w:jc w:val="center"/>
        <w:rPr>
          <w:rFonts w:ascii="宋体" w:hAnsi="宋体" w:eastAsia="宋体" w:cs="宋体"/>
          <w:color w:val="auto"/>
          <w:spacing w:val="20"/>
          <w:sz w:val="44"/>
          <w:szCs w:val="44"/>
          <w:highlight w:val="none"/>
        </w:rPr>
      </w:pPr>
      <w:r>
        <w:rPr>
          <w:rFonts w:hint="eastAsia" w:ascii="宋体" w:hAnsi="宋体" w:eastAsia="宋体" w:cs="宋体"/>
          <w:color w:val="auto"/>
          <w:spacing w:val="20"/>
          <w:sz w:val="44"/>
          <w:szCs w:val="44"/>
          <w:highlight w:val="none"/>
        </w:rPr>
        <w:t>XXXXX（项目名称）</w:t>
      </w:r>
    </w:p>
    <w:p w14:paraId="3D532C3D">
      <w:pPr>
        <w:spacing w:before="120" w:beforeLines="50" w:after="120" w:afterLines="50"/>
        <w:jc w:val="center"/>
        <w:rPr>
          <w:rFonts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响应文件</w:t>
      </w:r>
    </w:p>
    <w:p w14:paraId="11787A7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w:t>
      </w:r>
    </w:p>
    <w:tbl>
      <w:tblPr>
        <w:tblStyle w:val="33"/>
        <w:tblW w:w="0" w:type="auto"/>
        <w:jc w:val="center"/>
        <w:tblLayout w:type="fixed"/>
        <w:tblCellMar>
          <w:top w:w="0" w:type="dxa"/>
          <w:left w:w="108" w:type="dxa"/>
          <w:bottom w:w="0" w:type="dxa"/>
          <w:right w:w="108" w:type="dxa"/>
        </w:tblCellMar>
      </w:tblPr>
      <w:tblGrid>
        <w:gridCol w:w="1601"/>
        <w:gridCol w:w="6172"/>
      </w:tblGrid>
      <w:tr w14:paraId="0A8AFD73">
        <w:tblPrEx>
          <w:tblCellMar>
            <w:top w:w="0" w:type="dxa"/>
            <w:left w:w="108" w:type="dxa"/>
            <w:bottom w:w="0" w:type="dxa"/>
            <w:right w:w="108" w:type="dxa"/>
          </w:tblCellMar>
        </w:tblPrEx>
        <w:trPr>
          <w:jc w:val="center"/>
        </w:trPr>
        <w:tc>
          <w:tcPr>
            <w:tcW w:w="7773" w:type="dxa"/>
            <w:gridSpan w:val="2"/>
            <w:vAlign w:val="bottom"/>
          </w:tcPr>
          <w:p w14:paraId="4C6C6CCF">
            <w:pPr>
              <w:keepNext w:val="0"/>
              <w:keepLines w:val="0"/>
              <w:suppressLineNumbers w:val="0"/>
              <w:spacing w:before="0" w:beforeAutospacing="0" w:after="0" w:afterAutospacing="0"/>
              <w:ind w:left="0" w:right="0"/>
              <w:jc w:val="distribute"/>
              <w:rPr>
                <w:rFonts w:hint="default" w:ascii="宋体" w:hAnsi="宋体" w:eastAsia="宋体" w:cs="宋体"/>
                <w:color w:val="auto"/>
                <w:sz w:val="24"/>
                <w:szCs w:val="24"/>
                <w:highlight w:val="none"/>
              </w:rPr>
            </w:pPr>
          </w:p>
          <w:p w14:paraId="489F3A97">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rPr>
            </w:pPr>
          </w:p>
          <w:p w14:paraId="5C06B10F">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 目名称：</w:t>
            </w: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 xml:space="preserve">                                             </w:t>
            </w:r>
          </w:p>
          <w:p w14:paraId="505EFFBF">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u w:val="single"/>
              </w:rPr>
              <w:t>封闭式框架协议采购</w:t>
            </w:r>
          </w:p>
          <w:p w14:paraId="1C983254">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r>
      <w:tr w14:paraId="65E65DD7">
        <w:tblPrEx>
          <w:tblCellMar>
            <w:top w:w="0" w:type="dxa"/>
            <w:left w:w="108" w:type="dxa"/>
            <w:bottom w:w="0" w:type="dxa"/>
            <w:right w:w="108" w:type="dxa"/>
          </w:tblCellMar>
        </w:tblPrEx>
        <w:trPr>
          <w:jc w:val="center"/>
        </w:trPr>
        <w:tc>
          <w:tcPr>
            <w:tcW w:w="1601" w:type="dxa"/>
            <w:vAlign w:val="bottom"/>
          </w:tcPr>
          <w:p w14:paraId="198D8908">
            <w:pPr>
              <w:keepNext w:val="0"/>
              <w:keepLines w:val="0"/>
              <w:suppressLineNumbers w:val="0"/>
              <w:spacing w:before="0" w:beforeAutospacing="0" w:after="0" w:afterAutospacing="0"/>
              <w:ind w:left="0" w:right="0"/>
              <w:jc w:val="distribute"/>
              <w:rPr>
                <w:rFonts w:hint="default" w:ascii="宋体" w:hAnsi="宋体" w:eastAsia="宋体" w:cs="宋体"/>
                <w:color w:val="auto"/>
                <w:sz w:val="24"/>
                <w:szCs w:val="24"/>
                <w:highlight w:val="none"/>
              </w:rPr>
            </w:pPr>
          </w:p>
        </w:tc>
        <w:tc>
          <w:tcPr>
            <w:tcW w:w="6172" w:type="dxa"/>
            <w:tcBorders>
              <w:top w:val="single" w:color="000000" w:sz="4" w:space="0"/>
              <w:bottom w:val="single" w:color="000000" w:sz="4" w:space="0"/>
            </w:tcBorders>
            <w:vAlign w:val="bottom"/>
          </w:tcPr>
          <w:p w14:paraId="2D5FB9C7">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r>
      <w:tr w14:paraId="4F6CF9C5">
        <w:tblPrEx>
          <w:tblCellMar>
            <w:top w:w="0" w:type="dxa"/>
            <w:left w:w="108" w:type="dxa"/>
            <w:bottom w:w="0" w:type="dxa"/>
            <w:right w:w="108" w:type="dxa"/>
          </w:tblCellMar>
        </w:tblPrEx>
        <w:trPr>
          <w:jc w:val="center"/>
        </w:trPr>
        <w:tc>
          <w:tcPr>
            <w:tcW w:w="1601" w:type="dxa"/>
            <w:vAlign w:val="bottom"/>
          </w:tcPr>
          <w:p w14:paraId="0D31A8AC">
            <w:pPr>
              <w:keepNext w:val="0"/>
              <w:keepLines w:val="0"/>
              <w:suppressLineNumbers w:val="0"/>
              <w:spacing w:before="0" w:beforeAutospacing="0" w:after="0" w:afterAutospacing="0"/>
              <w:ind w:left="0" w:right="0"/>
              <w:jc w:val="distribute"/>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172" w:type="dxa"/>
            <w:tcBorders>
              <w:top w:val="single" w:color="000000" w:sz="4" w:space="0"/>
              <w:bottom w:val="single" w:color="000000" w:sz="4" w:space="0"/>
            </w:tcBorders>
            <w:vAlign w:val="bottom"/>
          </w:tcPr>
          <w:p w14:paraId="3475397B">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r>
      <w:tr w14:paraId="75719929">
        <w:tblPrEx>
          <w:tblCellMar>
            <w:top w:w="0" w:type="dxa"/>
            <w:left w:w="108" w:type="dxa"/>
            <w:bottom w:w="0" w:type="dxa"/>
            <w:right w:w="108" w:type="dxa"/>
          </w:tblCellMar>
        </w:tblPrEx>
        <w:trPr>
          <w:jc w:val="center"/>
        </w:trPr>
        <w:tc>
          <w:tcPr>
            <w:tcW w:w="1601" w:type="dxa"/>
            <w:vAlign w:val="bottom"/>
          </w:tcPr>
          <w:p w14:paraId="04C3BF7E">
            <w:pPr>
              <w:keepNext w:val="0"/>
              <w:keepLines w:val="0"/>
              <w:suppressLineNumbers w:val="0"/>
              <w:spacing w:before="0" w:beforeAutospacing="0" w:after="0" w:afterAutospacing="0"/>
              <w:ind w:left="0" w:right="0"/>
              <w:jc w:val="distribute"/>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tc>
        <w:tc>
          <w:tcPr>
            <w:tcW w:w="6172" w:type="dxa"/>
            <w:tcBorders>
              <w:top w:val="single" w:color="000000" w:sz="4" w:space="0"/>
              <w:bottom w:val="single" w:color="000000" w:sz="4" w:space="0"/>
            </w:tcBorders>
            <w:vAlign w:val="bottom"/>
          </w:tcPr>
          <w:p w14:paraId="6A6700E0">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r>
    </w:tbl>
    <w:p w14:paraId="744E36E5">
      <w:pPr>
        <w:ind w:firstLine="4200" w:firstLineChars="1750"/>
        <w:rPr>
          <w:rFonts w:ascii="宋体" w:hAnsi="宋体" w:eastAsia="宋体" w:cs="宋体"/>
          <w:color w:val="auto"/>
          <w:sz w:val="24"/>
          <w:szCs w:val="24"/>
          <w:highlight w:val="none"/>
        </w:rPr>
      </w:pPr>
    </w:p>
    <w:p w14:paraId="59917212">
      <w:pPr>
        <w:ind w:firstLine="4200" w:firstLineChars="1750"/>
        <w:rPr>
          <w:rFonts w:ascii="宋体" w:hAnsi="宋体" w:eastAsia="宋体" w:cs="宋体"/>
          <w:color w:val="auto"/>
          <w:sz w:val="24"/>
          <w:szCs w:val="24"/>
          <w:highlight w:val="none"/>
        </w:rPr>
      </w:pPr>
    </w:p>
    <w:p w14:paraId="685300D3">
      <w:pPr>
        <w:ind w:firstLine="4200" w:firstLineChars="1750"/>
        <w:rPr>
          <w:rFonts w:ascii="宋体" w:hAnsi="宋体" w:eastAsia="宋体" w:cs="宋体"/>
          <w:color w:val="auto"/>
          <w:sz w:val="24"/>
          <w:szCs w:val="24"/>
          <w:highlight w:val="none"/>
        </w:rPr>
      </w:pPr>
    </w:p>
    <w:p w14:paraId="61235AE3">
      <w:pPr>
        <w:ind w:firstLine="5880" w:firstLineChars="2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响应截止时间前不得解密</w:t>
      </w:r>
    </w:p>
    <w:p w14:paraId="3CDE56F4">
      <w:pPr>
        <w:ind w:firstLine="6480" w:firstLineChars="2700"/>
        <w:rPr>
          <w:rFonts w:ascii="宋体" w:hAnsi="宋体" w:eastAsia="宋体" w:cs="宋体"/>
          <w:color w:val="auto"/>
          <w:sz w:val="24"/>
          <w:szCs w:val="24"/>
          <w:highlight w:val="none"/>
        </w:rPr>
        <w:sectPr>
          <w:headerReference r:id="rId9" w:type="default"/>
          <w:footerReference r:id="rId10" w:type="default"/>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5" w:charSpace="0"/>
        </w:sectPr>
      </w:pPr>
      <w:r>
        <w:rPr>
          <w:rFonts w:hint="eastAsia" w:ascii="宋体" w:hAnsi="宋体" w:eastAsia="宋体" w:cs="宋体"/>
          <w:color w:val="auto"/>
          <w:sz w:val="24"/>
          <w:szCs w:val="24"/>
          <w:highlight w:val="none"/>
        </w:rPr>
        <w:t>年   月   日</w:t>
      </w:r>
    </w:p>
    <w:p w14:paraId="568BD4EB">
      <w:pPr>
        <w:jc w:val="center"/>
        <w:outlineLvl w:val="1"/>
        <w:rPr>
          <w:rFonts w:ascii="宋体" w:hAnsi="宋体" w:eastAsia="宋体" w:cs="宋体"/>
          <w:b/>
          <w:bCs/>
          <w:color w:val="auto"/>
          <w:sz w:val="28"/>
          <w:szCs w:val="28"/>
          <w:highlight w:val="none"/>
        </w:rPr>
      </w:pPr>
      <w:bookmarkStart w:id="331" w:name="_Toc10589"/>
      <w:bookmarkStart w:id="332" w:name="_Toc7380"/>
      <w:bookmarkStart w:id="333" w:name="_Toc6770"/>
      <w:bookmarkStart w:id="334" w:name="_Toc18896"/>
      <w:bookmarkStart w:id="335" w:name="_Toc13402"/>
      <w:bookmarkStart w:id="336" w:name="_Toc3302"/>
      <w:bookmarkStart w:id="337" w:name="_Toc80093012"/>
      <w:r>
        <w:rPr>
          <w:rFonts w:hint="eastAsia" w:ascii="宋体" w:hAnsi="宋体" w:eastAsia="宋体" w:cs="宋体"/>
          <w:b/>
          <w:bCs/>
          <w:color w:val="auto"/>
          <w:sz w:val="28"/>
          <w:szCs w:val="28"/>
          <w:highlight w:val="none"/>
        </w:rPr>
        <w:t>第二节 资格证明文件格式</w:t>
      </w:r>
      <w:bookmarkEnd w:id="331"/>
      <w:bookmarkEnd w:id="332"/>
      <w:bookmarkEnd w:id="333"/>
      <w:bookmarkEnd w:id="334"/>
      <w:bookmarkEnd w:id="335"/>
      <w:bookmarkEnd w:id="336"/>
      <w:bookmarkEnd w:id="337"/>
    </w:p>
    <w:p w14:paraId="64F0F9DA">
      <w:pPr>
        <w:spacing w:line="360" w:lineRule="auto"/>
        <w:ind w:firstLine="420"/>
        <w:rPr>
          <w:rFonts w:ascii="宋体" w:hAnsi="宋体" w:eastAsia="宋体" w:cs="宋体"/>
          <w:color w:val="auto"/>
          <w:sz w:val="30"/>
          <w:szCs w:val="20"/>
          <w:highlight w:val="none"/>
        </w:rPr>
      </w:pPr>
    </w:p>
    <w:p w14:paraId="0B674467">
      <w:pPr>
        <w:snapToGrid w:val="0"/>
        <w:spacing w:before="120" w:beforeLines="50" w:after="50"/>
        <w:jc w:val="center"/>
        <w:rPr>
          <w:rFonts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32"/>
          <w:szCs w:val="32"/>
          <w:highlight w:val="none"/>
        </w:rPr>
        <w:t>电子响应文件</w:t>
      </w:r>
    </w:p>
    <w:p w14:paraId="547A1A64">
      <w:pPr>
        <w:snapToGrid w:val="0"/>
        <w:spacing w:before="120" w:beforeLines="50" w:after="50"/>
        <w:rPr>
          <w:rFonts w:ascii="宋体" w:hAnsi="宋体" w:eastAsia="宋体" w:cs="宋体"/>
          <w:color w:val="auto"/>
          <w:sz w:val="24"/>
          <w:szCs w:val="20"/>
          <w:highlight w:val="none"/>
        </w:rPr>
      </w:pPr>
    </w:p>
    <w:p w14:paraId="3FC29012">
      <w:pPr>
        <w:snapToGrid w:val="0"/>
        <w:spacing w:before="120" w:beforeLines="50" w:after="50"/>
        <w:jc w:val="center"/>
        <w:rPr>
          <w:rFonts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资格证明文件（封面）</w:t>
      </w:r>
    </w:p>
    <w:p w14:paraId="5DB00251">
      <w:pPr>
        <w:snapToGrid w:val="0"/>
        <w:spacing w:before="120" w:beforeLines="50" w:after="50"/>
        <w:rPr>
          <w:rFonts w:ascii="宋体" w:hAnsi="宋体" w:eastAsia="宋体" w:cs="宋体"/>
          <w:bCs/>
          <w:color w:val="auto"/>
          <w:sz w:val="24"/>
          <w:szCs w:val="20"/>
          <w:highlight w:val="none"/>
        </w:rPr>
      </w:pPr>
    </w:p>
    <w:p w14:paraId="533C262A">
      <w:pPr>
        <w:snapToGrid w:val="0"/>
        <w:spacing w:before="120" w:beforeLines="50" w:after="50"/>
        <w:rPr>
          <w:rFonts w:ascii="宋体" w:hAnsi="宋体" w:eastAsia="宋体" w:cs="宋体"/>
          <w:bCs/>
          <w:color w:val="auto"/>
          <w:sz w:val="24"/>
          <w:szCs w:val="20"/>
          <w:highlight w:val="none"/>
        </w:rPr>
      </w:pPr>
    </w:p>
    <w:p w14:paraId="5FC8CC11">
      <w:pPr>
        <w:snapToGrid w:val="0"/>
        <w:spacing w:before="120" w:beforeLines="50" w:after="50"/>
        <w:rPr>
          <w:rFonts w:ascii="宋体" w:hAnsi="宋体" w:eastAsia="宋体" w:cs="宋体"/>
          <w:bCs/>
          <w:color w:val="auto"/>
          <w:sz w:val="24"/>
          <w:szCs w:val="20"/>
          <w:highlight w:val="none"/>
        </w:rPr>
      </w:pPr>
    </w:p>
    <w:p w14:paraId="13D47505">
      <w:pPr>
        <w:snapToGrid w:val="0"/>
        <w:spacing w:before="120" w:beforeLines="50" w:after="50"/>
        <w:rPr>
          <w:rFonts w:ascii="宋体" w:hAnsi="宋体" w:eastAsia="宋体" w:cs="宋体"/>
          <w:bCs/>
          <w:color w:val="auto"/>
          <w:sz w:val="24"/>
          <w:szCs w:val="20"/>
          <w:highlight w:val="none"/>
        </w:rPr>
      </w:pPr>
    </w:p>
    <w:p w14:paraId="2409CAD2">
      <w:pPr>
        <w:snapToGrid w:val="0"/>
        <w:spacing w:before="120" w:beforeLines="50" w:after="50"/>
        <w:rPr>
          <w:rFonts w:ascii="宋体" w:hAnsi="宋体" w:eastAsia="宋体" w:cs="宋体"/>
          <w:bCs/>
          <w:color w:val="auto"/>
          <w:sz w:val="24"/>
          <w:szCs w:val="20"/>
          <w:highlight w:val="none"/>
        </w:rPr>
      </w:pPr>
    </w:p>
    <w:p w14:paraId="08E80FFD">
      <w:pPr>
        <w:snapToGrid w:val="0"/>
        <w:spacing w:before="120" w:beforeLines="50" w:after="50"/>
        <w:rPr>
          <w:rFonts w:ascii="宋体" w:hAnsi="宋体" w:eastAsia="宋体" w:cs="宋体"/>
          <w:bCs/>
          <w:color w:val="auto"/>
          <w:sz w:val="24"/>
          <w:szCs w:val="20"/>
          <w:highlight w:val="none"/>
        </w:rPr>
      </w:pPr>
    </w:p>
    <w:p w14:paraId="3C5BAC9D">
      <w:pPr>
        <w:snapToGrid w:val="0"/>
        <w:spacing w:before="120" w:beforeLines="50" w:after="50"/>
        <w:rPr>
          <w:rFonts w:ascii="宋体" w:hAnsi="宋体" w:eastAsia="宋体" w:cs="宋体"/>
          <w:bCs/>
          <w:color w:val="auto"/>
          <w:sz w:val="24"/>
          <w:szCs w:val="20"/>
          <w:highlight w:val="none"/>
        </w:rPr>
      </w:pPr>
    </w:p>
    <w:p w14:paraId="76183277">
      <w:pPr>
        <w:snapToGrid w:val="0"/>
        <w:spacing w:before="120" w:beforeLines="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　</w:t>
      </w:r>
    </w:p>
    <w:p w14:paraId="2055DDDF">
      <w:pPr>
        <w:snapToGrid w:val="0"/>
        <w:spacing w:before="120" w:beforeLines="50" w:after="50"/>
        <w:ind w:firstLine="540" w:firstLineChars="225"/>
        <w:rPr>
          <w:rFonts w:ascii="宋体" w:hAnsi="宋体" w:eastAsia="宋体" w:cs="宋体"/>
          <w:bCs/>
          <w:color w:val="auto"/>
          <w:sz w:val="24"/>
          <w:szCs w:val="20"/>
          <w:highlight w:val="none"/>
        </w:rPr>
      </w:pPr>
    </w:p>
    <w:p w14:paraId="06B5ED5F">
      <w:pPr>
        <w:snapToGrid w:val="0"/>
        <w:spacing w:before="120" w:beforeLines="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14:paraId="22A8DD26">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 xml:space="preserve"> </w:t>
      </w:r>
    </w:p>
    <w:p w14:paraId="6324B638">
      <w:pPr>
        <w:snapToGrid w:val="0"/>
        <w:spacing w:before="50" w:after="50"/>
        <w:ind w:firstLine="540" w:firstLineChars="225"/>
        <w:rPr>
          <w:rFonts w:ascii="宋体" w:hAnsi="宋体" w:eastAsia="宋体" w:cs="宋体"/>
          <w:bCs/>
          <w:color w:val="auto"/>
          <w:sz w:val="24"/>
          <w:szCs w:val="24"/>
          <w:highlight w:val="none"/>
        </w:rPr>
      </w:pPr>
    </w:p>
    <w:p w14:paraId="303235DA">
      <w:pPr>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14:paraId="652E94F4">
      <w:pPr>
        <w:snapToGrid w:val="0"/>
        <w:spacing w:before="50" w:after="50"/>
        <w:ind w:firstLine="540" w:firstLineChars="225"/>
        <w:rPr>
          <w:rFonts w:ascii="宋体" w:hAnsi="宋体" w:eastAsia="宋体" w:cs="宋体"/>
          <w:bCs/>
          <w:color w:val="auto"/>
          <w:sz w:val="24"/>
          <w:szCs w:val="24"/>
          <w:highlight w:val="none"/>
        </w:rPr>
      </w:pPr>
    </w:p>
    <w:p w14:paraId="3481D260">
      <w:pPr>
        <w:snapToGrid w:val="0"/>
        <w:spacing w:before="50" w:after="50"/>
        <w:ind w:firstLine="960" w:firstLineChars="400"/>
        <w:rPr>
          <w:rFonts w:ascii="宋体" w:hAnsi="宋体" w:eastAsia="宋体" w:cs="宋体"/>
          <w:bCs/>
          <w:color w:val="auto"/>
          <w:sz w:val="24"/>
          <w:szCs w:val="24"/>
          <w:highlight w:val="none"/>
        </w:rPr>
      </w:pPr>
    </w:p>
    <w:p w14:paraId="24B0283B">
      <w:pPr>
        <w:snapToGrid w:val="0"/>
        <w:spacing w:before="120" w:beforeLines="50" w:after="50"/>
        <w:ind w:firstLine="645"/>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ADF9A39">
      <w:pPr>
        <w:spacing w:line="360" w:lineRule="auto"/>
        <w:ind w:firstLine="420"/>
        <w:rPr>
          <w:rFonts w:ascii="宋体" w:hAnsi="宋体" w:eastAsia="宋体" w:cs="宋体"/>
          <w:color w:val="auto"/>
          <w:sz w:val="30"/>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0C33FDE4">
      <w:pPr>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1F9BC4E2">
      <w:pPr>
        <w:snapToGrid w:val="0"/>
        <w:spacing w:line="360" w:lineRule="auto"/>
        <w:rPr>
          <w:rFonts w:ascii="宋体" w:hAnsi="宋体" w:eastAsia="宋体" w:cs="宋体"/>
          <w:color w:val="auto"/>
          <w:kern w:val="0"/>
          <w:sz w:val="24"/>
          <w:szCs w:val="24"/>
          <w:highlight w:val="none"/>
        </w:rPr>
      </w:pPr>
    </w:p>
    <w:p w14:paraId="69AA46F6">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sz w:val="24"/>
          <w:szCs w:val="24"/>
          <w:highlight w:val="none"/>
        </w:rPr>
        <w:t>营业执照(或事业法人登记证或其他工商等登记证明材料)复印件（供应商为自然人的，须提供</w:t>
      </w:r>
      <w:r>
        <w:rPr>
          <w:rFonts w:hint="eastAsia" w:ascii="宋体" w:hAnsi="宋体" w:eastAsia="宋体" w:cs="宋体"/>
          <w:color w:val="auto"/>
          <w:kern w:val="0"/>
          <w:sz w:val="24"/>
          <w:szCs w:val="24"/>
          <w:highlight w:val="none"/>
        </w:rPr>
        <w:t>自然人的身份证明</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……………………………………………………………（页码）</w:t>
      </w:r>
    </w:p>
    <w:p w14:paraId="2FD44F82">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二、符合参与政府采购活动的资格条件依法缴纳税收、社会保障资金等方面的材料…………………………………………………………………………………………（页码）</w:t>
      </w:r>
    </w:p>
    <w:p w14:paraId="2B672242">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三、财务状况报告方面的材料…………………………………………………………（页码）</w:t>
      </w:r>
    </w:p>
    <w:p w14:paraId="18B68333">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四、供应商直接控股股东信息</w:t>
      </w:r>
      <w:r>
        <w:rPr>
          <w:rFonts w:hint="eastAsia" w:ascii="宋体" w:hAnsi="宋体" w:eastAsia="宋体" w:cs="宋体"/>
          <w:color w:val="auto"/>
          <w:kern w:val="0"/>
          <w:sz w:val="24"/>
          <w:szCs w:val="24"/>
          <w:highlight w:val="none"/>
        </w:rPr>
        <w:t>…………………………………………………………（页码）</w:t>
      </w:r>
    </w:p>
    <w:p w14:paraId="0875B3AD">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五、供应商直接关联关系信息表</w:t>
      </w:r>
      <w:r>
        <w:rPr>
          <w:rFonts w:hint="eastAsia" w:ascii="宋体" w:hAnsi="宋体" w:eastAsia="宋体" w:cs="宋体"/>
          <w:color w:val="auto"/>
          <w:kern w:val="0"/>
          <w:sz w:val="24"/>
          <w:szCs w:val="24"/>
          <w:highlight w:val="none"/>
        </w:rPr>
        <w:t>………………………………………………………（页码）</w:t>
      </w:r>
    </w:p>
    <w:p w14:paraId="13F07429">
      <w:pPr>
        <w:snapToGrid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六、响应资格声明函……………………………………………………………………（页码）</w:t>
      </w:r>
    </w:p>
    <w:p w14:paraId="189AB884">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七、符合特定资格条件的有关证明材料</w:t>
      </w:r>
      <w:r>
        <w:rPr>
          <w:rFonts w:hint="eastAsia" w:ascii="宋体" w:hAnsi="宋体" w:eastAsia="宋体" w:cs="宋体"/>
          <w:color w:val="auto"/>
          <w:kern w:val="0"/>
          <w:sz w:val="24"/>
          <w:szCs w:val="24"/>
          <w:highlight w:val="none"/>
        </w:rPr>
        <w:t>………………………………………………（页码）</w:t>
      </w:r>
    </w:p>
    <w:p w14:paraId="563CAA3B">
      <w:pPr>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八、中小企业声明函或监狱企业证明材料或残疾人福利性单位声明函……………（页码）</w:t>
      </w:r>
    </w:p>
    <w:p w14:paraId="63E2C4ED">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、供应商认为需要的其他</w:t>
      </w:r>
      <w:r>
        <w:rPr>
          <w:rFonts w:hint="eastAsia" w:ascii="宋体" w:hAnsi="宋体" w:eastAsia="宋体" w:cs="宋体"/>
          <w:color w:val="auto"/>
          <w:sz w:val="24"/>
          <w:szCs w:val="24"/>
          <w:highlight w:val="none"/>
          <w:lang w:eastAsia="zh-CN"/>
        </w:rPr>
        <w:t>资格</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eastAsia="zh-CN"/>
        </w:rPr>
        <w:t>文件或说明</w:t>
      </w:r>
      <w:r>
        <w:rPr>
          <w:rFonts w:hint="eastAsia" w:ascii="宋体" w:hAnsi="宋体" w:eastAsia="宋体" w:cs="宋体"/>
          <w:color w:val="auto"/>
          <w:sz w:val="24"/>
          <w:szCs w:val="24"/>
          <w:highlight w:val="none"/>
        </w:rPr>
        <w:t>（如有）…………………………（页码）</w:t>
      </w:r>
    </w:p>
    <w:p w14:paraId="62B97B1F">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注：以上目录是基本格式要求，各供应商可根据自身情况进一步向下增加内容或细化。</w:t>
      </w:r>
    </w:p>
    <w:p w14:paraId="695D729A">
      <w:pPr>
        <w:spacing w:line="360" w:lineRule="auto"/>
        <w:ind w:firstLine="420"/>
        <w:rPr>
          <w:rFonts w:ascii="宋体" w:hAnsi="宋体" w:eastAsia="宋体" w:cs="宋体"/>
          <w:color w:val="auto"/>
          <w:sz w:val="30"/>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7B6F0144">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b/>
          <w:color w:val="auto"/>
          <w:sz w:val="30"/>
          <w:szCs w:val="30"/>
          <w:highlight w:val="none"/>
        </w:rPr>
        <w:t>营业执照(或事业法人登记证或其他工商等登记证明材料)复印件（供应商为自然人的，提供自然人的身份证明）</w:t>
      </w:r>
    </w:p>
    <w:p w14:paraId="5880F364">
      <w:pPr>
        <w:spacing w:line="360" w:lineRule="auto"/>
        <w:rPr>
          <w:rFonts w:ascii="宋体" w:hAnsi="宋体" w:eastAsia="宋体" w:cs="宋体"/>
          <w:b/>
          <w:color w:val="auto"/>
          <w:sz w:val="30"/>
          <w:szCs w:val="30"/>
          <w:highlight w:val="none"/>
        </w:rPr>
      </w:pPr>
    </w:p>
    <w:p w14:paraId="3D98C076">
      <w:pPr>
        <w:snapToGrid w:val="0"/>
        <w:spacing w:line="360" w:lineRule="auto"/>
        <w:ind w:firstLine="576"/>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供应商名称(电子签章)：                              </w:t>
      </w:r>
    </w:p>
    <w:p w14:paraId="3F31B11E">
      <w:pPr>
        <w:spacing w:line="360" w:lineRule="auto"/>
        <w:jc w:val="center"/>
        <w:rPr>
          <w:rFonts w:ascii="宋体" w:hAnsi="宋体" w:eastAsia="宋体" w:cs="宋体"/>
          <w:b/>
          <w:color w:val="auto"/>
          <w:sz w:val="30"/>
          <w:szCs w:val="30"/>
          <w:highlight w:val="none"/>
        </w:rPr>
      </w:pPr>
      <w:r>
        <w:rPr>
          <w:rFonts w:hint="eastAsia" w:ascii="宋体" w:hAnsi="宋体" w:eastAsia="宋体" w:cs="宋体"/>
          <w:color w:val="auto"/>
          <w:kern w:val="0"/>
          <w:sz w:val="24"/>
          <w:szCs w:val="24"/>
          <w:highlight w:val="none"/>
          <w:lang w:val="zh-CN"/>
        </w:rPr>
        <w:t xml:space="preserve">                   日期：  年  月</w:t>
      </w:r>
    </w:p>
    <w:p w14:paraId="15A1933B">
      <w:pPr>
        <w:spacing w:line="360" w:lineRule="auto"/>
        <w:jc w:val="center"/>
        <w:rPr>
          <w:rFonts w:ascii="宋体" w:hAnsi="宋体" w:eastAsia="宋体" w:cs="宋体"/>
          <w:b/>
          <w:color w:val="auto"/>
          <w:sz w:val="30"/>
          <w:szCs w:val="30"/>
          <w:highlight w:val="none"/>
        </w:rPr>
      </w:pPr>
    </w:p>
    <w:p w14:paraId="553F70FC">
      <w:pPr>
        <w:snapToGrid w:val="0"/>
        <w:spacing w:line="360" w:lineRule="auto"/>
        <w:ind w:right="480"/>
        <w:jc w:val="center"/>
        <w:rPr>
          <w:rFonts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2"/>
          <w:szCs w:val="32"/>
          <w:highlight w:val="none"/>
        </w:rPr>
        <w:t>符合参与政府采购活动的资格条件依法缴纳税收、社会保障资金等方面的材料</w:t>
      </w:r>
    </w:p>
    <w:p w14:paraId="279EF8C0">
      <w:pPr>
        <w:snapToGrid w:val="0"/>
        <w:spacing w:line="360" w:lineRule="auto"/>
        <w:ind w:firstLine="480" w:firstLineChars="200"/>
        <w:rPr>
          <w:rFonts w:ascii="宋体" w:hAnsi="宋体" w:eastAsia="宋体" w:cs="宋体"/>
          <w:color w:val="auto"/>
          <w:sz w:val="24"/>
          <w:szCs w:val="24"/>
          <w:highlight w:val="none"/>
        </w:rPr>
      </w:pPr>
    </w:p>
    <w:p w14:paraId="7DEF975D">
      <w:pPr>
        <w:snapToGrid w:val="0"/>
        <w:spacing w:line="360" w:lineRule="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7E6E2028">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供应商名称(电子签章)：</w:t>
      </w:r>
    </w:p>
    <w:p w14:paraId="2D090300">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BFB2F87">
      <w:pPr>
        <w:snapToGrid w:val="0"/>
        <w:spacing w:line="360" w:lineRule="auto"/>
        <w:ind w:right="480"/>
        <w:jc w:val="center"/>
        <w:rPr>
          <w:rFonts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三、</w:t>
      </w:r>
      <w:r>
        <w:rPr>
          <w:rFonts w:hint="eastAsia" w:ascii="宋体" w:hAnsi="宋体" w:eastAsia="宋体" w:cs="宋体"/>
          <w:b/>
          <w:color w:val="auto"/>
          <w:kern w:val="0"/>
          <w:sz w:val="32"/>
          <w:szCs w:val="32"/>
          <w:highlight w:val="none"/>
        </w:rPr>
        <w:t>财务状况报告方面的材料</w:t>
      </w:r>
    </w:p>
    <w:p w14:paraId="5BB684EB">
      <w:pPr>
        <w:snapToGrid w:val="0"/>
        <w:spacing w:line="360" w:lineRule="auto"/>
        <w:ind w:firstLine="480" w:firstLineChars="200"/>
        <w:rPr>
          <w:rFonts w:ascii="宋体" w:hAnsi="宋体" w:eastAsia="宋体" w:cs="宋体"/>
          <w:color w:val="auto"/>
          <w:sz w:val="24"/>
          <w:szCs w:val="24"/>
          <w:highlight w:val="none"/>
        </w:rPr>
      </w:pPr>
    </w:p>
    <w:p w14:paraId="5E6142F6">
      <w:pPr>
        <w:snapToGrid w:val="0"/>
        <w:spacing w:line="360" w:lineRule="auto"/>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0BFE6C15">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供应商名称(电子签章)：</w:t>
      </w:r>
    </w:p>
    <w:p w14:paraId="4A7BEBCA">
      <w:pPr>
        <w:snapToGrid w:val="0"/>
        <w:spacing w:line="360" w:lineRule="auto"/>
        <w:ind w:firstLine="5160" w:firstLineChars="2150"/>
        <w:rPr>
          <w:rFonts w:ascii="宋体" w:hAnsi="宋体" w:eastAsia="宋体" w:cs="宋体"/>
          <w:b/>
          <w:color w:val="auto"/>
          <w:kern w:val="0"/>
          <w:sz w:val="32"/>
          <w:szCs w:val="32"/>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CA9BA11">
      <w:pPr>
        <w:snapToGrid w:val="0"/>
        <w:spacing w:line="360" w:lineRule="auto"/>
        <w:ind w:right="480"/>
        <w:jc w:val="center"/>
        <w:rPr>
          <w:rFonts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14:paraId="56A5A5B8">
      <w:pPr>
        <w:snapToGrid w:val="0"/>
        <w:spacing w:before="50" w:after="120"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四、供应商直接控股股东信息表</w:t>
      </w:r>
    </w:p>
    <w:tbl>
      <w:tblPr>
        <w:tblStyle w:val="3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AC09DE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C00AD8">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47AC139">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330E5A">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0EAE05">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CD1015">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1A50B40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C912A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B1FFA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18153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8AF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C029D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14:paraId="09F15FD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DE314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06735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98A02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B95A7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ABF90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14:paraId="36717EC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5711C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1ED38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FD2D1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2CA4C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793C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14:paraId="3D5C0A5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F0DE0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ADA4D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4A57B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303B1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C09AC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bl>
    <w:p w14:paraId="6656A620">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83D8959">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A0358AB">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2.本表所指的控股关系仅限于直接控股关系，不包括间接的控股关系。公司实际控制人与公司之间的关系不属于本表所指的直接控股关系。</w:t>
      </w:r>
    </w:p>
    <w:p w14:paraId="5CBEA760">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3.供应商不存在直接控股股东的，则填“无”。</w:t>
      </w:r>
    </w:p>
    <w:p w14:paraId="76536B36">
      <w:pPr>
        <w:snapToGrid w:val="0"/>
        <w:spacing w:line="360" w:lineRule="auto"/>
        <w:jc w:val="left"/>
        <w:rPr>
          <w:rFonts w:ascii="宋体" w:hAnsi="宋体" w:eastAsia="宋体" w:cs="宋体"/>
          <w:color w:val="auto"/>
          <w:sz w:val="24"/>
          <w:szCs w:val="24"/>
          <w:highlight w:val="none"/>
        </w:rPr>
      </w:pPr>
    </w:p>
    <w:p w14:paraId="5CB720CD">
      <w:pPr>
        <w:snapToGrid w:val="0"/>
        <w:spacing w:line="360" w:lineRule="auto"/>
        <w:jc w:val="left"/>
        <w:rPr>
          <w:rFonts w:ascii="宋体" w:hAnsi="宋体" w:eastAsia="宋体" w:cs="宋体"/>
          <w:color w:val="auto"/>
          <w:sz w:val="24"/>
          <w:szCs w:val="24"/>
          <w:highlight w:val="none"/>
        </w:rPr>
      </w:pPr>
    </w:p>
    <w:p w14:paraId="20D566CC">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14:paraId="087B4514">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4DB29556">
      <w:pPr>
        <w:snapToGrid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56BE2D6">
      <w:pPr>
        <w:snapToGrid w:val="0"/>
        <w:spacing w:line="360" w:lineRule="auto"/>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t>五、供应商直接管理关系信息表</w:t>
      </w:r>
    </w:p>
    <w:tbl>
      <w:tblPr>
        <w:tblStyle w:val="3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F61A1F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EF7C51A">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26182B">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CB02E6">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89131C">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6B4C972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0C9D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235A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A5AD1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BF785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14:paraId="3856E7D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720E1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ED05F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5DE5F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96362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14:paraId="2187330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4FCE4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CBA3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30087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967D3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r w14:paraId="6FA1B6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D515E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E7F7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6F3A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63F91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rPr>
            </w:pPr>
          </w:p>
        </w:tc>
      </w:tr>
    </w:tbl>
    <w:p w14:paraId="6AA717C5">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AC3864B">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1.管理关系：是指不具有出资持股关系的其他单位之间存在的管理与被管理关系，如一些上下级关系的事业单位和团体组织。</w:t>
      </w:r>
    </w:p>
    <w:p w14:paraId="469E48B8">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6"/>
          <w:sz w:val="24"/>
          <w:szCs w:val="24"/>
          <w:highlight w:val="none"/>
        </w:rPr>
        <w:t>本表所指的管理关系仅限于直接管理关系，不包括间接的管理关系。</w:t>
      </w:r>
    </w:p>
    <w:p w14:paraId="190E1ED3">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3.供应商不存在直接管理关系的，则填“无”。</w:t>
      </w:r>
    </w:p>
    <w:p w14:paraId="621B6B9F">
      <w:pPr>
        <w:snapToGrid w:val="0"/>
        <w:spacing w:line="360" w:lineRule="auto"/>
        <w:jc w:val="left"/>
        <w:rPr>
          <w:rFonts w:ascii="宋体" w:hAnsi="宋体" w:eastAsia="宋体" w:cs="宋体"/>
          <w:color w:val="auto"/>
          <w:sz w:val="24"/>
          <w:szCs w:val="24"/>
          <w:highlight w:val="none"/>
        </w:rPr>
      </w:pPr>
    </w:p>
    <w:p w14:paraId="34B9E40E">
      <w:pPr>
        <w:snapToGrid w:val="0"/>
        <w:spacing w:line="360" w:lineRule="auto"/>
        <w:jc w:val="left"/>
        <w:rPr>
          <w:rFonts w:ascii="宋体" w:hAnsi="宋体" w:eastAsia="宋体" w:cs="宋体"/>
          <w:color w:val="auto"/>
          <w:sz w:val="24"/>
          <w:szCs w:val="24"/>
          <w:highlight w:val="none"/>
        </w:rPr>
      </w:pPr>
    </w:p>
    <w:p w14:paraId="1C97AEF4">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14:paraId="2EDD18F6">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B63C576">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42DF0FC6">
      <w:pPr>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六、响应资格声明函</w:t>
      </w:r>
    </w:p>
    <w:p w14:paraId="6C80639F">
      <w:pPr>
        <w:snapToGrid w:val="0"/>
        <w:spacing w:before="50" w:after="120" w:afterLines="50"/>
        <w:jc w:val="center"/>
        <w:rPr>
          <w:rFonts w:hint="eastAsia" w:ascii="宋体" w:hAnsi="宋体" w:eastAsia="宋体" w:cs="宋体"/>
          <w:b/>
          <w:color w:val="auto"/>
          <w:sz w:val="32"/>
          <w:szCs w:val="32"/>
          <w:highlight w:val="none"/>
        </w:rPr>
      </w:pPr>
    </w:p>
    <w:p w14:paraId="5ABCA3FA">
      <w:pPr>
        <w:keepNext w:val="0"/>
        <w:keepLines w:val="0"/>
        <w:pageBreakBefore w:val="0"/>
        <w:widowControl w:val="0"/>
        <w:tabs>
          <w:tab w:val="left" w:pos="7200"/>
        </w:tabs>
        <w:kinsoku/>
        <w:wordWrap/>
        <w:overflowPunct/>
        <w:topLinePunct w:val="0"/>
        <w:autoSpaceDE/>
        <w:autoSpaceDN/>
        <w:bidi w:val="0"/>
        <w:adjustRightInd/>
        <w:spacing w:line="360" w:lineRule="auto"/>
        <w:ind w:left="0" w:leftChars="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致：_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（采购代理机构名称）</w:t>
      </w:r>
    </w:p>
    <w:p w14:paraId="368A7FC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我方愿意参加贵方组织的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（项目编号：       ）项目的响应，为便于贵方公正、择优地确定供应商，我方就本次响应有关事项郑重声明如下：</w:t>
      </w:r>
    </w:p>
    <w:p w14:paraId="78F6C6DF">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1.我方承诺已经具备《中华人民共和国政府采购法》第二十二条中规定的参加政府采购活动的供应商应当具备的条件：</w:t>
      </w:r>
    </w:p>
    <w:p w14:paraId="202ADD8A">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2B506408">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4DD70FCD">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11A505E7">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10BCDC7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7753777B">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60E73E89">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C292459">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3.经查询，在“信用中国”和“中国政府采购网”网站我方未被列入失信被执行人、重大税收违法案件当事人名单、政府采购严重违法失信行为记录名单。</w:t>
      </w:r>
    </w:p>
    <w:p w14:paraId="429988D3">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4.以上事项如有虚假或隐瞒，我方愿意承担一切后果，并不再寻求任何旨在减轻或免除法律责任的辩解。 </w:t>
      </w:r>
    </w:p>
    <w:p w14:paraId="453254B5">
      <w:pPr>
        <w:keepNext w:val="0"/>
        <w:keepLines w:val="0"/>
        <w:pageBreakBefore w:val="0"/>
        <w:widowControl w:val="0"/>
        <w:tabs>
          <w:tab w:val="left" w:pos="7200"/>
        </w:tabs>
        <w:kinsoku/>
        <w:wordWrap/>
        <w:overflowPunct/>
        <w:topLinePunct w:val="0"/>
        <w:autoSpaceDE/>
        <w:autoSpaceDN/>
        <w:bidi w:val="0"/>
        <w:adjustRightInd/>
        <w:spacing w:line="360" w:lineRule="auto"/>
        <w:ind w:left="0" w:leftChars="0" w:firstLine="315" w:firstLineChars="15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5EED6363">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1.供应商应当通过 “信用中国”（www.creditchina.gov.cn）和“中国政府采购网”网站（www.ccgp.gov.cn）查询供应商相关主体的信用记录。对列入失信被执行人、重大税收违法案件当事人名单、政府采购严重违法失信行为记录名单的供应商，将被拒绝参与本项目政府采购活动。</w:t>
      </w:r>
    </w:p>
    <w:p w14:paraId="50B51283">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16A032">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3.如为联合体响应，盖章处须加盖联合体各方公章并由联合体各方法定代表人分别签署，否则响应无效。</w:t>
      </w:r>
    </w:p>
    <w:p w14:paraId="3493E06B">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54E9EE6">
      <w:pPr>
        <w:keepNext w:val="0"/>
        <w:keepLines w:val="0"/>
        <w:pageBreakBefore w:val="0"/>
        <w:widowControl w:val="0"/>
        <w:kinsoku/>
        <w:wordWrap/>
        <w:overflowPunct/>
        <w:topLinePunct w:val="0"/>
        <w:autoSpaceDE/>
        <w:autoSpaceDN/>
        <w:bidi w:val="0"/>
        <w:adjustRightInd/>
        <w:snapToGrid w:val="0"/>
        <w:spacing w:line="360" w:lineRule="auto"/>
        <w:ind w:left="2760" w:leftChars="0" w:hanging="2760" w:hangingChars="1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供应商名称(电子签章)：</w:t>
      </w:r>
      <w:r>
        <w:rPr>
          <w:rFonts w:hint="eastAsia" w:ascii="宋体" w:hAnsi="宋体" w:eastAsia="宋体" w:cs="宋体"/>
          <w:color w:val="auto"/>
          <w:szCs w:val="21"/>
          <w:highlight w:val="none"/>
        </w:rPr>
        <w:t xml:space="preserve">                                     年    月    日</w:t>
      </w:r>
    </w:p>
    <w:p w14:paraId="4BBA27C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E2000EA">
      <w:pPr>
        <w:spacing w:line="600" w:lineRule="exact"/>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七、符合特定资格条件的有关证明材料</w:t>
      </w:r>
    </w:p>
    <w:p w14:paraId="6FBECC98">
      <w:pPr>
        <w:spacing w:line="600" w:lineRule="exact"/>
        <w:jc w:val="center"/>
        <w:rPr>
          <w:rFonts w:ascii="宋体" w:hAnsi="宋体" w:eastAsia="宋体" w:cs="宋体"/>
          <w:b/>
          <w:bCs/>
          <w:color w:val="auto"/>
          <w:sz w:val="30"/>
          <w:szCs w:val="30"/>
          <w:highlight w:val="none"/>
        </w:rPr>
      </w:pPr>
    </w:p>
    <w:p w14:paraId="471B02F6">
      <w:pPr>
        <w:spacing w:line="600" w:lineRule="exact"/>
        <w:jc w:val="center"/>
        <w:rPr>
          <w:rFonts w:ascii="宋体" w:hAnsi="宋体" w:eastAsia="宋体" w:cs="宋体"/>
          <w:b/>
          <w:bCs/>
          <w:color w:val="auto"/>
          <w:sz w:val="30"/>
          <w:szCs w:val="30"/>
          <w:highlight w:val="none"/>
        </w:rPr>
      </w:pPr>
    </w:p>
    <w:p w14:paraId="397FE9E5">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14:paraId="043AC939">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0D59E084">
      <w:pPr>
        <w:snapToGrid/>
        <w:spacing w:line="240" w:lineRule="auto"/>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1A615082">
      <w:pPr>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八</w:t>
      </w:r>
      <w:r>
        <w:rPr>
          <w:rFonts w:hint="eastAsia" w:ascii="宋体" w:hAnsi="宋体" w:eastAsia="宋体" w:cs="宋体"/>
          <w:b/>
          <w:color w:val="auto"/>
          <w:sz w:val="30"/>
          <w:szCs w:val="30"/>
          <w:highlight w:val="none"/>
        </w:rPr>
        <w:t>、中小企业声明函（格式）</w:t>
      </w:r>
    </w:p>
    <w:p w14:paraId="24AAB731">
      <w:pPr>
        <w:spacing w:afterLines="0" w:line="360" w:lineRule="auto"/>
        <w:ind w:firstLine="404" w:firstLineChars="200"/>
        <w:rPr>
          <w:rFonts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说明：</w:t>
      </w:r>
    </w:p>
    <w:p w14:paraId="19C97EFE">
      <w:pPr>
        <w:spacing w:afterLines="0" w:line="360" w:lineRule="auto"/>
        <w:ind w:firstLine="404" w:firstLineChars="200"/>
        <w:rPr>
          <w:rFonts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1、本声明函主要供参加政府采购活动的中小企业填写，非中小企业无需填写。</w:t>
      </w:r>
    </w:p>
    <w:p w14:paraId="5721E8EF">
      <w:pPr>
        <w:spacing w:afterLines="0" w:line="360" w:lineRule="auto"/>
        <w:ind w:firstLine="404" w:firstLineChars="200"/>
        <w:rPr>
          <w:rFonts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2、小型、微型企业提供中型企业提供的服务的，视同为中型企业。</w:t>
      </w:r>
    </w:p>
    <w:p w14:paraId="79FBEE25">
      <w:pPr>
        <w:spacing w:afterLines="0" w:line="360" w:lineRule="auto"/>
        <w:ind w:firstLine="404" w:firstLineChars="200"/>
        <w:rPr>
          <w:rFonts w:ascii="宋体" w:hAnsi="宋体" w:eastAsia="宋体" w:cs="宋体"/>
          <w:color w:val="auto"/>
          <w:spacing w:val="-4"/>
          <w:sz w:val="21"/>
          <w:szCs w:val="21"/>
          <w:highlight w:val="none"/>
        </w:rPr>
      </w:pPr>
    </w:p>
    <w:p w14:paraId="546B7F9A">
      <w:pPr>
        <w:spacing w:after="0" w:afterLines="0" w:line="360" w:lineRule="auto"/>
        <w:ind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2D7B266B">
      <w:pPr>
        <w:tabs>
          <w:tab w:val="left" w:pos="1384"/>
          <w:tab w:val="left" w:pos="4562"/>
          <w:tab w:val="left" w:pos="6803"/>
        </w:tabs>
        <w:spacing w:before="0" w:afterLines="0" w:line="360" w:lineRule="auto"/>
        <w:ind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3E1AD6B3">
      <w:pPr>
        <w:tabs>
          <w:tab w:val="left" w:pos="1065"/>
          <w:tab w:val="left" w:pos="4262"/>
          <w:tab w:val="left" w:pos="6477"/>
        </w:tabs>
        <w:spacing w:before="0" w:afterLines="0" w:line="360" w:lineRule="auto"/>
        <w:ind w:right="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14:paraId="7D50E617">
      <w:pPr>
        <w:spacing w:before="0" w:after="0" w:afterLines="0" w:line="360" w:lineRule="auto"/>
        <w:ind w:left="0"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F2CEB41">
      <w:pPr>
        <w:spacing w:before="0" w:after="0" w:afterLines="0" w:line="360" w:lineRule="auto"/>
        <w:ind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0D9720D">
      <w:pPr>
        <w:spacing w:before="0" w:after="0" w:afterLines="0" w:line="360" w:lineRule="auto"/>
        <w:ind w:righ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56E804B">
      <w:pPr>
        <w:spacing w:afterLines="0" w:line="360" w:lineRule="auto"/>
        <w:ind w:firstLine="420" w:firstLineChars="200"/>
        <w:rPr>
          <w:rFonts w:ascii="宋体" w:hAnsi="宋体" w:eastAsia="宋体" w:cs="宋体"/>
          <w:color w:val="auto"/>
          <w:sz w:val="21"/>
          <w:szCs w:val="21"/>
          <w:highlight w:val="none"/>
        </w:rPr>
      </w:pPr>
    </w:p>
    <w:p w14:paraId="126117A9">
      <w:pPr>
        <w:spacing w:afterLines="0" w:line="360" w:lineRule="auto"/>
        <w:ind w:firstLine="420" w:firstLineChars="200"/>
        <w:rPr>
          <w:rFonts w:ascii="宋体" w:hAnsi="宋体" w:eastAsia="宋体" w:cs="宋体"/>
          <w:color w:val="auto"/>
          <w:sz w:val="21"/>
          <w:szCs w:val="21"/>
          <w:highlight w:val="none"/>
        </w:rPr>
      </w:pPr>
    </w:p>
    <w:p w14:paraId="61782722">
      <w:pPr>
        <w:snapToGrid w:val="0"/>
        <w:spacing w:afterLines="0"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供应商名称(电子签章)：</w:t>
      </w:r>
    </w:p>
    <w:p w14:paraId="216D8500">
      <w:pPr>
        <w:snapToGrid w:val="0"/>
        <w:spacing w:afterLines="0"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2E6788CF">
      <w:pPr>
        <w:spacing w:afterLines="0" w:line="360" w:lineRule="auto"/>
        <w:ind w:firstLine="420" w:firstLineChars="200"/>
        <w:rPr>
          <w:rFonts w:ascii="宋体" w:hAnsi="宋体" w:eastAsia="宋体" w:cs="宋体"/>
          <w:color w:val="auto"/>
          <w:sz w:val="21"/>
          <w:szCs w:val="21"/>
          <w:highlight w:val="none"/>
        </w:rPr>
      </w:pPr>
    </w:p>
    <w:p w14:paraId="5A5492A4">
      <w:pPr>
        <w:snapToGrid w:val="0"/>
        <w:spacing w:before="0" w:after="0" w:afterLines="0"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25CC5A83">
      <w:pPr>
        <w:keepNext w:val="0"/>
        <w:keepLines w:val="0"/>
        <w:pageBreakBefore w:val="0"/>
        <w:widowControl w:val="0"/>
        <w:numPr>
          <w:ilvl w:val="0"/>
          <w:numId w:val="7"/>
        </w:numPr>
        <w:kinsoku/>
        <w:wordWrap/>
        <w:overflowPunct/>
        <w:topLinePunct w:val="0"/>
        <w:autoSpaceDE/>
        <w:autoSpaceDN/>
        <w:bidi w:val="0"/>
        <w:adjustRightInd/>
        <w:snapToGrid/>
        <w:spacing w:before="0" w:after="0" w:afterLines="0" w:line="360" w:lineRule="auto"/>
        <w:ind w:left="0" w:firstLine="420" w:firstLineChars="200"/>
        <w:jc w:val="lef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64ADA444">
      <w:pPr>
        <w:keepNext w:val="0"/>
        <w:keepLines w:val="0"/>
        <w:pageBreakBefore w:val="0"/>
        <w:widowControl w:val="0"/>
        <w:kinsoku/>
        <w:wordWrap/>
        <w:overflowPunct/>
        <w:topLinePunct w:val="0"/>
        <w:autoSpaceDE/>
        <w:autoSpaceDN/>
        <w:bidi w:val="0"/>
        <w:adjustRightInd/>
        <w:snapToGrid/>
        <w:spacing w:before="0" w:after="0" w:afterLines="0" w:line="360" w:lineRule="auto"/>
        <w:ind w:left="0" w:firstLine="420" w:firstLineChars="200"/>
        <w:jc w:val="left"/>
        <w:textAlignment w:val="auto"/>
        <w:rPr>
          <w:rFonts w:ascii="宋体" w:hAnsi="宋体" w:eastAsia="宋体" w:cs="宋体"/>
          <w:color w:val="auto"/>
          <w:sz w:val="21"/>
          <w:szCs w:val="21"/>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r>
        <w:rPr>
          <w:rFonts w:hint="eastAsia" w:ascii="宋体" w:hAnsi="宋体" w:eastAsia="宋体" w:cs="宋体"/>
          <w:color w:val="auto"/>
          <w:sz w:val="21"/>
          <w:szCs w:val="21"/>
          <w:highlight w:val="none"/>
        </w:rPr>
        <w:t>2、请根据自己的真实情况出具《中小企业声明函》。依法享受中小企业优惠政策的，征集人或者采购代理机构在公告入围结果时，同时公告其《中小企业声明函》，接受社会监督。</w:t>
      </w:r>
    </w:p>
    <w:p w14:paraId="44FB039E">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九</w:t>
      </w:r>
      <w:r>
        <w:rPr>
          <w:rFonts w:hint="eastAsia" w:ascii="宋体" w:hAnsi="宋体" w:eastAsia="宋体" w:cs="宋体"/>
          <w:b/>
          <w:color w:val="auto"/>
          <w:sz w:val="30"/>
          <w:szCs w:val="30"/>
          <w:highlight w:val="none"/>
        </w:rPr>
        <w:t>、残疾人福利性单位声明函（格式）</w:t>
      </w:r>
    </w:p>
    <w:p w14:paraId="0B11A70A">
      <w:pPr>
        <w:spacing w:line="360" w:lineRule="auto"/>
        <w:jc w:val="center"/>
        <w:rPr>
          <w:rFonts w:ascii="宋体" w:hAnsi="宋体" w:eastAsia="宋体" w:cs="宋体"/>
          <w:b/>
          <w:color w:val="auto"/>
          <w:sz w:val="30"/>
          <w:szCs w:val="30"/>
          <w:highlight w:val="none"/>
        </w:rPr>
      </w:pPr>
    </w:p>
    <w:p w14:paraId="1837E42E">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项目采购活动提供本公司制造的货物（由本公司承担工程/提供服务），或者提供其他残疾人福利性单位制造的货物（不包括使用非残疾人福利性单位注册商标的货物）。</w:t>
      </w:r>
    </w:p>
    <w:p w14:paraId="59D4DD14">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14:paraId="038E7C64">
      <w:pPr>
        <w:spacing w:line="360" w:lineRule="auto"/>
        <w:jc w:val="left"/>
        <w:rPr>
          <w:rFonts w:ascii="宋体" w:hAnsi="宋体" w:eastAsia="宋体" w:cs="宋体"/>
          <w:b/>
          <w:color w:val="auto"/>
          <w:szCs w:val="21"/>
          <w:highlight w:val="none"/>
        </w:rPr>
      </w:pPr>
    </w:p>
    <w:p w14:paraId="0DD7B582">
      <w:pPr>
        <w:spacing w:line="360" w:lineRule="auto"/>
        <w:jc w:val="left"/>
        <w:rPr>
          <w:rFonts w:ascii="宋体" w:hAnsi="宋体" w:eastAsia="宋体" w:cs="宋体"/>
          <w:b/>
          <w:color w:val="auto"/>
          <w:szCs w:val="21"/>
          <w:highlight w:val="none"/>
        </w:rPr>
      </w:pPr>
    </w:p>
    <w:p w14:paraId="15203FB0">
      <w:pPr>
        <w:snapToGrid w:val="0"/>
        <w:spacing w:line="360" w:lineRule="auto"/>
        <w:ind w:left="5137" w:leftChars="1736" w:hanging="1491" w:hangingChars="825"/>
        <w:rPr>
          <w:rFonts w:ascii="宋体" w:hAnsi="宋体" w:eastAsia="宋体" w:cs="宋体"/>
          <w:color w:val="auto"/>
          <w:kern w:val="0"/>
          <w:sz w:val="24"/>
          <w:szCs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szCs w:val="24"/>
          <w:highlight w:val="none"/>
          <w:lang w:val="zh-CN"/>
        </w:rPr>
        <w:t>供应商名称(电子签章)：</w:t>
      </w:r>
    </w:p>
    <w:p w14:paraId="4394F100">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5032CBF2">
      <w:pPr>
        <w:spacing w:line="360" w:lineRule="auto"/>
        <w:ind w:left="5132" w:leftChars="1979" w:hanging="976" w:hangingChars="488"/>
        <w:rPr>
          <w:rFonts w:ascii="宋体" w:hAnsi="宋体" w:eastAsia="宋体" w:cs="宋体"/>
          <w:color w:val="auto"/>
          <w:sz w:val="20"/>
          <w:szCs w:val="20"/>
          <w:highlight w:val="none"/>
        </w:rPr>
      </w:pPr>
    </w:p>
    <w:p w14:paraId="2D5692F7">
      <w:pPr>
        <w:spacing w:line="360" w:lineRule="auto"/>
        <w:ind w:right="4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注：请根据自己的真实情况出具《残疾人福利性单位声明函》。依法享受中小企业优惠政策的，征集人或者采购代理机构在公告入围结果时，同时公告其《残疾人福利性单位声明函》，接受社会监督。</w:t>
      </w:r>
    </w:p>
    <w:p w14:paraId="507D6D65">
      <w:pPr>
        <w:spacing w:line="240" w:lineRule="auto"/>
        <w:ind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4FAEDCF">
      <w:pPr>
        <w:spacing w:line="360" w:lineRule="auto"/>
        <w:jc w:val="cente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十</w:t>
      </w:r>
      <w:r>
        <w:rPr>
          <w:rFonts w:hint="eastAsia" w:ascii="宋体" w:hAnsi="宋体" w:eastAsia="宋体" w:cs="宋体"/>
          <w:b/>
          <w:color w:val="auto"/>
          <w:sz w:val="30"/>
          <w:szCs w:val="30"/>
          <w:highlight w:val="none"/>
        </w:rPr>
        <w:t>、属于监狱企业证明文件</w:t>
      </w:r>
    </w:p>
    <w:p w14:paraId="38F26998">
      <w:pPr>
        <w:spacing w:line="360" w:lineRule="auto"/>
        <w:ind w:right="420" w:firstLine="480" w:firstLineChars="200"/>
        <w:rPr>
          <w:rFonts w:ascii="宋体" w:hAnsi="宋体" w:eastAsia="宋体" w:cs="宋体"/>
          <w:color w:val="auto"/>
          <w:sz w:val="24"/>
          <w:szCs w:val="24"/>
          <w:highlight w:val="none"/>
        </w:rPr>
      </w:pPr>
    </w:p>
    <w:p w14:paraId="466DA6D6">
      <w:pPr>
        <w:spacing w:line="360" w:lineRule="auto"/>
        <w:ind w:right="420"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0FAF2318">
      <w:pPr>
        <w:snapToGrid w:val="0"/>
        <w:spacing w:before="50" w:after="120" w:afterLines="50" w:line="360" w:lineRule="auto"/>
        <w:jc w:val="left"/>
        <w:rPr>
          <w:rFonts w:ascii="宋体" w:hAnsi="宋体" w:eastAsia="宋体" w:cs="宋体"/>
          <w:color w:val="auto"/>
          <w:sz w:val="20"/>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251BA6D7">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十一</w:t>
      </w:r>
      <w:r>
        <w:rPr>
          <w:rFonts w:hint="eastAsia" w:ascii="宋体" w:hAnsi="宋体" w:eastAsia="宋体" w:cs="宋体"/>
          <w:b/>
          <w:bCs/>
          <w:color w:val="auto"/>
          <w:sz w:val="30"/>
          <w:szCs w:val="30"/>
          <w:highlight w:val="none"/>
        </w:rPr>
        <w:t>、供应商认为需要的其他资格证明文件或说明（如有）</w:t>
      </w:r>
    </w:p>
    <w:p w14:paraId="3D409150">
      <w:pPr>
        <w:wordWrap w:val="0"/>
        <w:spacing w:after="160"/>
        <w:outlineLvl w:val="5"/>
        <w:rPr>
          <w:rFonts w:ascii="宋体" w:hAnsi="宋体" w:eastAsia="宋体" w:cs="宋体"/>
          <w:b/>
          <w:color w:val="auto"/>
          <w:szCs w:val="24"/>
          <w:highlight w:val="none"/>
        </w:rPr>
      </w:pPr>
    </w:p>
    <w:p w14:paraId="46027EB1">
      <w:pPr>
        <w:rPr>
          <w:rFonts w:ascii="宋体" w:hAnsi="宋体" w:eastAsia="宋体" w:cs="宋体"/>
          <w:color w:val="auto"/>
          <w:szCs w:val="24"/>
          <w:highlight w:val="none"/>
        </w:rPr>
      </w:pPr>
    </w:p>
    <w:p w14:paraId="7543BEC8">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14:paraId="0EAA6D11">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F57925B">
      <w:pPr>
        <w:wordWrap w:val="0"/>
        <w:spacing w:after="160"/>
        <w:ind w:left="2000" w:hanging="400"/>
        <w:outlineLvl w:val="5"/>
        <w:rPr>
          <w:rFonts w:ascii="宋体" w:hAnsi="宋体" w:eastAsia="宋体" w:cs="宋体"/>
          <w:b/>
          <w:color w:val="auto"/>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52963047">
      <w:pPr>
        <w:jc w:val="center"/>
        <w:rPr>
          <w:rFonts w:ascii="宋体" w:hAnsi="宋体" w:eastAsia="宋体" w:cs="宋体"/>
          <w:color w:val="auto"/>
          <w:szCs w:val="21"/>
          <w:highlight w:val="none"/>
        </w:rPr>
      </w:pPr>
    </w:p>
    <w:p w14:paraId="7E14131B">
      <w:pPr>
        <w:jc w:val="center"/>
        <w:outlineLvl w:val="1"/>
        <w:rPr>
          <w:rFonts w:ascii="宋体" w:hAnsi="宋体" w:eastAsia="宋体" w:cs="宋体"/>
          <w:b/>
          <w:bCs/>
          <w:color w:val="auto"/>
          <w:sz w:val="28"/>
          <w:szCs w:val="28"/>
          <w:highlight w:val="none"/>
        </w:rPr>
      </w:pPr>
      <w:bookmarkStart w:id="338" w:name="_Toc19686838"/>
      <w:bookmarkStart w:id="339" w:name="_Toc32586"/>
      <w:bookmarkStart w:id="340" w:name="_Toc12795"/>
      <w:bookmarkStart w:id="341" w:name="_Toc17397"/>
      <w:bookmarkStart w:id="342" w:name="_Toc80093013"/>
      <w:bookmarkStart w:id="343" w:name="_Toc30982"/>
      <w:bookmarkStart w:id="344" w:name="_Toc6795"/>
      <w:bookmarkStart w:id="345" w:name="_Toc12526"/>
      <w:r>
        <w:rPr>
          <w:rFonts w:hint="eastAsia" w:ascii="宋体" w:hAnsi="宋体" w:eastAsia="宋体" w:cs="宋体"/>
          <w:b/>
          <w:bCs/>
          <w:color w:val="auto"/>
          <w:sz w:val="28"/>
          <w:szCs w:val="28"/>
          <w:highlight w:val="none"/>
        </w:rPr>
        <w:t>第三节 商务文件格式</w:t>
      </w:r>
      <w:bookmarkEnd w:id="338"/>
      <w:bookmarkEnd w:id="339"/>
      <w:bookmarkEnd w:id="340"/>
      <w:bookmarkEnd w:id="341"/>
      <w:bookmarkEnd w:id="342"/>
      <w:bookmarkEnd w:id="343"/>
      <w:bookmarkEnd w:id="344"/>
      <w:bookmarkEnd w:id="345"/>
    </w:p>
    <w:p w14:paraId="25643278">
      <w:pPr>
        <w:snapToGrid w:val="0"/>
        <w:spacing w:before="120" w:beforeLines="50" w:after="50"/>
        <w:rPr>
          <w:rFonts w:ascii="宋体" w:hAnsi="宋体" w:eastAsia="宋体" w:cs="宋体"/>
          <w:color w:val="auto"/>
          <w:sz w:val="30"/>
          <w:szCs w:val="20"/>
          <w:highlight w:val="none"/>
        </w:rPr>
      </w:pPr>
    </w:p>
    <w:p w14:paraId="278FC5C3">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Cs w:val="24"/>
          <w:highlight w:val="none"/>
        </w:rPr>
        <w:t xml:space="preserve">             电子响应文件</w:t>
      </w:r>
    </w:p>
    <w:p w14:paraId="69C290AD">
      <w:pPr>
        <w:snapToGrid w:val="0"/>
        <w:spacing w:before="120" w:beforeLines="50" w:after="50"/>
        <w:rPr>
          <w:rFonts w:ascii="宋体" w:hAnsi="宋体" w:eastAsia="宋体" w:cs="宋体"/>
          <w:color w:val="auto"/>
          <w:sz w:val="24"/>
          <w:szCs w:val="20"/>
          <w:highlight w:val="none"/>
        </w:rPr>
      </w:pPr>
    </w:p>
    <w:p w14:paraId="3D399C94">
      <w:pPr>
        <w:snapToGrid w:val="0"/>
        <w:spacing w:before="120" w:beforeLines="50" w:after="50"/>
        <w:jc w:val="center"/>
        <w:rPr>
          <w:rFonts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14:paraId="66951BEF">
      <w:pPr>
        <w:snapToGrid w:val="0"/>
        <w:spacing w:before="120" w:beforeLines="50" w:after="50"/>
        <w:rPr>
          <w:rFonts w:ascii="宋体" w:hAnsi="宋体" w:eastAsia="宋体" w:cs="宋体"/>
          <w:bCs/>
          <w:color w:val="auto"/>
          <w:sz w:val="24"/>
          <w:szCs w:val="20"/>
          <w:highlight w:val="none"/>
        </w:rPr>
      </w:pPr>
    </w:p>
    <w:p w14:paraId="20CB7BEE">
      <w:pPr>
        <w:snapToGrid w:val="0"/>
        <w:spacing w:before="120" w:beforeLines="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p w14:paraId="7CF1E0A6">
      <w:pPr>
        <w:snapToGrid w:val="0"/>
        <w:spacing w:before="120" w:beforeLines="50" w:after="50"/>
        <w:ind w:firstLine="540" w:firstLineChars="225"/>
        <w:rPr>
          <w:rFonts w:ascii="宋体" w:hAnsi="宋体" w:eastAsia="宋体" w:cs="宋体"/>
          <w:bCs/>
          <w:color w:val="auto"/>
          <w:sz w:val="24"/>
          <w:szCs w:val="24"/>
          <w:highlight w:val="none"/>
        </w:rPr>
      </w:pPr>
    </w:p>
    <w:p w14:paraId="190860F1">
      <w:pPr>
        <w:snapToGrid w:val="0"/>
        <w:spacing w:before="120" w:beforeLines="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p>
    <w:p w14:paraId="6D639727">
      <w:pPr>
        <w:snapToGrid w:val="0"/>
        <w:spacing w:before="120" w:beforeLines="50" w:after="50"/>
        <w:ind w:firstLine="540" w:firstLineChars="225"/>
        <w:rPr>
          <w:rFonts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 xml:space="preserve"> </w:t>
      </w:r>
    </w:p>
    <w:p w14:paraId="5DB0F15C">
      <w:pPr>
        <w:snapToGrid w:val="0"/>
        <w:spacing w:before="120" w:beforeLines="50" w:after="50"/>
        <w:ind w:firstLine="540" w:firstLineChars="225"/>
        <w:rPr>
          <w:rFonts w:ascii="宋体" w:hAnsi="宋体" w:eastAsia="宋体" w:cs="宋体"/>
          <w:bCs/>
          <w:color w:val="auto"/>
          <w:sz w:val="24"/>
          <w:szCs w:val="20"/>
          <w:highlight w:val="none"/>
        </w:rPr>
      </w:pPr>
    </w:p>
    <w:p w14:paraId="7D4575D2">
      <w:pPr>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14:paraId="3C2BC320">
      <w:pPr>
        <w:snapToGrid w:val="0"/>
        <w:spacing w:before="50" w:after="50"/>
        <w:ind w:firstLine="540" w:firstLineChars="225"/>
        <w:rPr>
          <w:rFonts w:ascii="宋体" w:hAnsi="宋体" w:eastAsia="宋体" w:cs="宋体"/>
          <w:bCs/>
          <w:color w:val="auto"/>
          <w:sz w:val="24"/>
          <w:szCs w:val="24"/>
          <w:highlight w:val="none"/>
        </w:rPr>
      </w:pPr>
    </w:p>
    <w:p w14:paraId="53C191A9">
      <w:pPr>
        <w:snapToGrid w:val="0"/>
        <w:spacing w:before="50" w:after="50"/>
        <w:ind w:firstLine="540" w:firstLineChars="225"/>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供应商地址：</w:t>
      </w:r>
    </w:p>
    <w:p w14:paraId="1893DD7C">
      <w:pPr>
        <w:snapToGrid w:val="0"/>
        <w:spacing w:before="50" w:after="50"/>
        <w:ind w:firstLine="960" w:firstLineChars="400"/>
        <w:rPr>
          <w:rFonts w:ascii="宋体" w:hAnsi="宋体" w:eastAsia="宋体" w:cs="宋体"/>
          <w:bCs/>
          <w:color w:val="auto"/>
          <w:sz w:val="24"/>
          <w:szCs w:val="24"/>
          <w:highlight w:val="none"/>
        </w:rPr>
      </w:pPr>
    </w:p>
    <w:p w14:paraId="78915840">
      <w:pPr>
        <w:snapToGrid w:val="0"/>
        <w:spacing w:before="120" w:beforeLines="50" w:after="50"/>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5688C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CD9F7DF">
      <w:pPr>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商务文件目录</w:t>
      </w:r>
    </w:p>
    <w:p w14:paraId="26AD541F">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一、无串通响应行为的承诺函………………………………………………………………（页码）</w:t>
      </w:r>
    </w:p>
    <w:p w14:paraId="1CD54557">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二、法定代表人身份证明及法定代表人有效身份证正反面复印件………………………（页码）</w:t>
      </w:r>
    </w:p>
    <w:p w14:paraId="1F884A6C">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三、法定代表人授权委托书（如有委托时）………………………………………………（页码）</w:t>
      </w:r>
    </w:p>
    <w:p w14:paraId="7D6E0617">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商务条款偏离表………………………………</w:t>
      </w:r>
      <w:r>
        <w:rPr>
          <w:rFonts w:hint="eastAsia" w:ascii="宋体" w:hAnsi="宋体" w:eastAsia="宋体" w:cs="宋体"/>
          <w:color w:val="auto"/>
          <w:sz w:val="24"/>
          <w:szCs w:val="24"/>
          <w:highlight w:val="none"/>
        </w:rPr>
        <w:t>…………………………………………（页码）</w:t>
      </w:r>
    </w:p>
    <w:p w14:paraId="299D22E0">
      <w:pPr>
        <w:adjustRightInd/>
        <w:spacing w:line="360" w:lineRule="auto"/>
        <w:ind w:left="0" w:firstLine="0" w:firstLineChars="0"/>
        <w:rPr>
          <w:rFonts w:ascii="宋体" w:hAnsi="宋体" w:eastAsia="宋体" w:cs="宋体"/>
          <w:color w:val="auto"/>
          <w:sz w:val="24"/>
          <w:szCs w:val="24"/>
          <w:highlight w:val="none"/>
        </w:rPr>
      </w:pPr>
      <w:bookmarkStart w:id="346" w:name="OLE_LINK7"/>
      <w:bookmarkStart w:id="347" w:name="OLE_LINK6"/>
      <w:bookmarkStart w:id="348" w:name="OLE_LINK5"/>
      <w:r>
        <w:rPr>
          <w:rFonts w:hint="eastAsia" w:ascii="宋体" w:hAnsi="宋体" w:eastAsia="宋体" w:cs="宋体"/>
          <w:color w:val="auto"/>
          <w:sz w:val="24"/>
          <w:szCs w:val="24"/>
          <w:highlight w:val="none"/>
        </w:rPr>
        <w:t>五、人员配备一览表…………………………………………………………………………（页码）</w:t>
      </w:r>
    </w:p>
    <w:p w14:paraId="3AD13926">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六、供应商类似业绩证明文件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bookmarkEnd w:id="346"/>
      <w:bookmarkEnd w:id="347"/>
    </w:p>
    <w:p w14:paraId="6C5A5D73">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七、企业信誉证明文件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64C0888A">
      <w:pPr>
        <w:adjustRightInd/>
        <w:spacing w:line="360" w:lineRule="auto"/>
        <w:ind w:left="0"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供应商认为需要的</w:t>
      </w:r>
      <w:r>
        <w:rPr>
          <w:rFonts w:hint="eastAsia" w:ascii="宋体" w:hAnsi="宋体" w:eastAsia="宋体" w:cs="宋体"/>
          <w:color w:val="auto"/>
          <w:sz w:val="24"/>
          <w:szCs w:val="24"/>
          <w:highlight w:val="none"/>
        </w:rPr>
        <w:t>其他商务文件或说明</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bookmarkEnd w:id="348"/>
    <w:p w14:paraId="2089947B">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注：以上目录是基本格式要求，各供应商可根据自身情况进一步向下增加内容或细化。</w:t>
      </w:r>
    </w:p>
    <w:p w14:paraId="059DE3E1">
      <w:pPr>
        <w:snapToGrid w:val="0"/>
        <w:spacing w:line="360" w:lineRule="auto"/>
        <w:ind w:firstLine="420" w:firstLineChars="200"/>
        <w:jc w:val="left"/>
        <w:rPr>
          <w:rFonts w:ascii="宋体" w:hAnsi="宋体" w:eastAsia="宋体" w:cs="宋体"/>
          <w:color w:val="auto"/>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771A4F32">
      <w:pPr>
        <w:snapToGrid w:val="0"/>
        <w:spacing w:before="120" w:beforeLines="50" w:after="50"/>
        <w:ind w:left="42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一、无串通响应行为的承诺函</w:t>
      </w:r>
    </w:p>
    <w:p w14:paraId="0A115D10">
      <w:pPr>
        <w:snapToGrid w:val="0"/>
        <w:spacing w:before="120" w:beforeLines="50" w:after="50"/>
        <w:ind w:left="420"/>
        <w:jc w:val="center"/>
        <w:rPr>
          <w:rFonts w:hint="eastAsia" w:ascii="宋体" w:hAnsi="宋体" w:eastAsia="宋体" w:cs="宋体"/>
          <w:b/>
          <w:color w:val="auto"/>
          <w:sz w:val="32"/>
          <w:szCs w:val="32"/>
          <w:highlight w:val="none"/>
        </w:rPr>
      </w:pPr>
    </w:p>
    <w:p w14:paraId="475A2A83">
      <w:pPr>
        <w:snapToGrid w:val="0"/>
        <w:spacing w:before="120" w:beforeLines="50" w:after="50"/>
        <w:ind w:left="42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供应商参加本项目无串通响应行为的承诺函</w:t>
      </w:r>
    </w:p>
    <w:p w14:paraId="4EC33F03">
      <w:pPr>
        <w:snapToGrid w:val="0"/>
        <w:spacing w:before="120" w:beforeLines="50" w:after="50"/>
        <w:rPr>
          <w:rFonts w:ascii="宋体" w:hAnsi="宋体" w:eastAsia="宋体" w:cs="宋体"/>
          <w:b/>
          <w:color w:val="auto"/>
          <w:szCs w:val="21"/>
          <w:highlight w:val="none"/>
        </w:rPr>
      </w:pPr>
    </w:p>
    <w:p w14:paraId="28FC9C0D">
      <w:pPr>
        <w:snapToGrid w:val="0"/>
        <w:spacing w:before="120" w:beforeLines="50" w:after="50"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一、我方承诺无下列相互串通响应的情形：</w:t>
      </w:r>
    </w:p>
    <w:p w14:paraId="54AB960E">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14:paraId="376DD88E">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2.不同供应商委托同一单位或者个人办理响应事宜；</w:t>
      </w:r>
    </w:p>
    <w:p w14:paraId="73856413">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EB9E617">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4.不同供应商的响应文件异常一致或者响应报价呈规律性差异；</w:t>
      </w:r>
    </w:p>
    <w:p w14:paraId="0B1FD8E9">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48296C43">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6.不同供应商的响应保证金从同一单位或者个人账户转出。</w:t>
      </w:r>
    </w:p>
    <w:p w14:paraId="2E3518C9">
      <w:pPr>
        <w:snapToGrid w:val="0"/>
        <w:spacing w:before="120" w:beforeLines="50" w:after="50" w:line="360" w:lineRule="auto"/>
        <w:jc w:val="left"/>
        <w:rPr>
          <w:rFonts w:ascii="宋体" w:hAnsi="宋体" w:eastAsia="宋体" w:cs="宋体"/>
          <w:color w:val="auto"/>
          <w:szCs w:val="21"/>
          <w:highlight w:val="none"/>
        </w:rPr>
      </w:pPr>
      <w:r>
        <w:rPr>
          <w:rFonts w:hint="eastAsia" w:ascii="宋体" w:hAnsi="宋体" w:eastAsia="宋体" w:cs="宋体"/>
          <w:b/>
          <w:color w:val="auto"/>
          <w:szCs w:val="21"/>
          <w:highlight w:val="none"/>
        </w:rPr>
        <w:t>二、我方承诺无下列恶意串通的情形：</w:t>
      </w:r>
    </w:p>
    <w:p w14:paraId="014F224C">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1.供应商直接或者间接从采购人或者采购代理机构处获得其他供应商的相关信息并修改其响应文件或者响应文件；</w:t>
      </w:r>
    </w:p>
    <w:p w14:paraId="0E488F14">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2.供应商按照采购人或者采购代理机构的授意撤换、修改响应文件或者响应文件；</w:t>
      </w:r>
    </w:p>
    <w:p w14:paraId="01A87133">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068FD76C">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93FBBD9">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01492ED7">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6.供应商之间商定部分供应商放弃参加政府采购活动或者放弃入围；</w:t>
      </w:r>
    </w:p>
    <w:p w14:paraId="4C00D952">
      <w:pPr>
        <w:snapToGrid w:val="0"/>
        <w:spacing w:before="120" w:beforeLines="50" w:after="50"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7.供应商与采购人或者采购代理机构之间、供应商相互之间，为谋求特定供应商入围或者排斥其他供应商的其他串通行为。</w:t>
      </w:r>
    </w:p>
    <w:p w14:paraId="629CC3B3">
      <w:pPr>
        <w:snapToGrid w:val="0"/>
        <w:spacing w:before="120" w:beforeLines="50" w:after="50" w:line="360" w:lineRule="auto"/>
        <w:ind w:firstLine="413" w:firstLineChars="196"/>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以上情形一经核查属实，我方愿意承担一切后果，并不再寻求任何旨在减轻或者免除法律责任的辩解。</w:t>
      </w:r>
    </w:p>
    <w:p w14:paraId="4C4F917A">
      <w:pPr>
        <w:snapToGrid w:val="0"/>
        <w:spacing w:line="360" w:lineRule="auto"/>
        <w:ind w:firstLine="4935" w:firstLineChars="235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供应商名称(电子签章)：</w:t>
      </w:r>
    </w:p>
    <w:p w14:paraId="2EBAA6DB">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8158E7E">
      <w:pPr>
        <w:snapToGrid w:val="0"/>
        <w:spacing w:before="295" w:after="295" w:line="360" w:lineRule="auto"/>
        <w:jc w:val="center"/>
        <w:rPr>
          <w:rFonts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r>
        <w:rPr>
          <w:rFonts w:hint="eastAsia" w:ascii="宋体" w:hAnsi="宋体" w:eastAsia="宋体" w:cs="宋体"/>
          <w:b/>
          <w:bCs/>
          <w:color w:val="auto"/>
          <w:sz w:val="30"/>
          <w:szCs w:val="30"/>
          <w:highlight w:val="none"/>
        </w:rPr>
        <w:t>二、法定代表人身份证明</w:t>
      </w:r>
    </w:p>
    <w:p w14:paraId="7F7E0A5C">
      <w:pPr>
        <w:spacing w:before="240" w:beforeLines="100" w:after="120" w:afterLines="50"/>
        <w:ind w:left="540"/>
        <w:jc w:val="center"/>
        <w:rPr>
          <w:rFonts w:ascii="宋体" w:hAnsi="宋体" w:eastAsia="宋体" w:cs="宋体"/>
          <w:b/>
          <w:color w:val="auto"/>
          <w:sz w:val="32"/>
          <w:szCs w:val="32"/>
          <w:highlight w:val="none"/>
        </w:rPr>
      </w:pPr>
    </w:p>
    <w:p w14:paraId="27523F19">
      <w:pPr>
        <w:spacing w:before="240" w:beforeLines="100" w:after="120" w:afterLines="50"/>
        <w:ind w:left="540"/>
        <w:jc w:val="center"/>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4D5D0894">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651F11E7">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EAE8EA6">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79C97C9B">
      <w:pPr>
        <w:spacing w:line="500" w:lineRule="exact"/>
        <w:ind w:left="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3EFAE684">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EA56179">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w:t>
      </w:r>
    </w:p>
    <w:p w14:paraId="461EFD1C">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7D258D6">
      <w:pPr>
        <w:spacing w:line="500" w:lineRule="exact"/>
        <w:ind w:left="540"/>
        <w:rPr>
          <w:rFonts w:ascii="宋体" w:hAnsi="宋体" w:eastAsia="宋体" w:cs="宋体"/>
          <w:color w:val="auto"/>
          <w:sz w:val="24"/>
          <w:szCs w:val="24"/>
          <w:highlight w:val="none"/>
        </w:rPr>
      </w:pPr>
    </w:p>
    <w:p w14:paraId="3FA43356">
      <w:pPr>
        <w:spacing w:line="500" w:lineRule="exact"/>
        <w:ind w:left="540"/>
        <w:rPr>
          <w:rFonts w:ascii="宋体" w:hAnsi="宋体" w:eastAsia="宋体" w:cs="宋体"/>
          <w:color w:val="auto"/>
          <w:sz w:val="24"/>
          <w:szCs w:val="24"/>
          <w:highlight w:val="none"/>
        </w:rPr>
      </w:pPr>
    </w:p>
    <w:p w14:paraId="2571A62B">
      <w:pPr>
        <w:spacing w:line="500" w:lineRule="exact"/>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14:paraId="773BC250">
      <w:pPr>
        <w:spacing w:line="500" w:lineRule="exact"/>
        <w:ind w:left="540"/>
        <w:rPr>
          <w:rFonts w:ascii="宋体" w:hAnsi="宋体" w:eastAsia="宋体" w:cs="宋体"/>
          <w:color w:val="auto"/>
          <w:sz w:val="24"/>
          <w:szCs w:val="24"/>
          <w:highlight w:val="none"/>
        </w:rPr>
      </w:pPr>
    </w:p>
    <w:p w14:paraId="6CBD8351">
      <w:pPr>
        <w:snapToGrid w:val="0"/>
        <w:spacing w:line="360" w:lineRule="auto"/>
        <w:ind w:firstLine="4935" w:firstLineChars="235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供应商名称(电子签章)：</w:t>
      </w:r>
    </w:p>
    <w:p w14:paraId="0A17190A">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21D09C7A">
      <w:pPr>
        <w:snapToGrid w:val="0"/>
        <w:spacing w:before="120" w:beforeLines="50" w:after="50"/>
        <w:jc w:val="center"/>
        <w:rPr>
          <w:rFonts w:ascii="宋体" w:hAnsi="宋体" w:eastAsia="宋体" w:cs="宋体"/>
          <w:b/>
          <w:color w:val="auto"/>
          <w:sz w:val="24"/>
          <w:szCs w:val="24"/>
          <w:highlight w:val="none"/>
        </w:rPr>
      </w:pPr>
    </w:p>
    <w:p w14:paraId="45C5569E">
      <w:pPr>
        <w:snapToGrid w:val="0"/>
        <w:spacing w:before="120" w:beforeLines="50" w:after="50"/>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注：自然人响应的无需提供</w:t>
      </w:r>
    </w:p>
    <w:p w14:paraId="7FD944D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7376A82">
      <w:pPr>
        <w:snapToGrid w:val="0"/>
        <w:spacing w:before="295" w:after="295"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EAD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vAlign w:val="top"/>
          </w:tcPr>
          <w:p w14:paraId="04B3DE53">
            <w:pPr>
              <w:keepNext w:val="0"/>
              <w:keepLines w:val="0"/>
              <w:suppressLineNumbers w:val="0"/>
              <w:spacing w:before="0" w:beforeAutospacing="0" w:after="0" w:afterAutospacing="0" w:line="360" w:lineRule="auto"/>
              <w:ind w:left="0" w:right="0"/>
              <w:rPr>
                <w:rFonts w:hint="default" w:ascii="宋体" w:hAnsi="宋体" w:eastAsia="宋体" w:cs="宋体"/>
                <w:b/>
                <w:color w:val="auto"/>
                <w:sz w:val="24"/>
                <w:szCs w:val="24"/>
                <w:highlight w:val="none"/>
              </w:rPr>
            </w:pPr>
          </w:p>
          <w:p w14:paraId="18D593C3">
            <w:pPr>
              <w:keepNext w:val="0"/>
              <w:keepLines w:val="0"/>
              <w:suppressLineNumbers w:val="0"/>
              <w:spacing w:before="0" w:beforeAutospacing="0" w:after="0" w:afterAutospacing="0" w:line="360" w:lineRule="auto"/>
              <w:ind w:left="0" w:right="0"/>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法定代表身份证复印件粘帖处（正、反面）</w:t>
            </w:r>
          </w:p>
        </w:tc>
      </w:tr>
    </w:tbl>
    <w:p w14:paraId="025AFBD1">
      <w:pPr>
        <w:spacing w:line="500" w:lineRule="exact"/>
        <w:ind w:left="540"/>
        <w:rPr>
          <w:rFonts w:hint="eastAsia" w:ascii="宋体" w:hAnsi="宋体" w:eastAsia="宋体" w:cs="宋体"/>
          <w:color w:val="auto"/>
          <w:sz w:val="24"/>
          <w:szCs w:val="24"/>
          <w:highlight w:val="none"/>
        </w:rPr>
      </w:pPr>
    </w:p>
    <w:p w14:paraId="19000CC4">
      <w:pPr>
        <w:snapToGrid w:val="0"/>
        <w:spacing w:before="295" w:after="295" w:line="360" w:lineRule="auto"/>
        <w:jc w:val="left"/>
        <w:rPr>
          <w:rFonts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r>
        <w:rPr>
          <w:rFonts w:hint="eastAsia" w:ascii="宋体" w:hAnsi="宋体" w:eastAsia="宋体" w:cs="宋体"/>
          <w:b/>
          <w:bCs/>
          <w:color w:val="auto"/>
          <w:sz w:val="30"/>
          <w:szCs w:val="30"/>
          <w:highlight w:val="none"/>
        </w:rPr>
        <w:t>三、法定代表人授权委托书（如有委托时）</w:t>
      </w:r>
    </w:p>
    <w:p w14:paraId="6C6796A9">
      <w:pPr>
        <w:snapToGrid w:val="0"/>
        <w:spacing w:before="120" w:beforeLines="50" w:after="5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46957DFD">
      <w:pPr>
        <w:snapToGrid w:val="0"/>
        <w:spacing w:before="120" w:beforeLines="50" w:after="50"/>
        <w:jc w:val="center"/>
        <w:rPr>
          <w:rFonts w:ascii="宋体" w:hAnsi="宋体" w:eastAsia="宋体" w:cs="宋体"/>
          <w:b/>
          <w:color w:val="auto"/>
          <w:sz w:val="24"/>
          <w:szCs w:val="24"/>
          <w:highlight w:val="none"/>
        </w:rPr>
      </w:pPr>
    </w:p>
    <w:p w14:paraId="3BB871B8">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致：</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（采购代理机构名称）</w:t>
      </w:r>
    </w:p>
    <w:p w14:paraId="2EBA55D6">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本人</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（姓名）系</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（供应商名称）的法定代表人，现授权我单位在职正式员工</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（姓名和职务）为我方代理人。代理人根据授权，以我方名义签署、澄清、说明、补正、递交、撤回、修改贵方组织的</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项目（项目编号：</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）的响应文件、签订合同和处理一切有关事宜，其法律后果由我方承担。</w:t>
      </w:r>
    </w:p>
    <w:p w14:paraId="6D1F7315">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本授权书于</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年</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月</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日签字生效，委托期限：</w:t>
      </w:r>
      <w:r>
        <w:rPr>
          <w:rFonts w:hint="eastAsia" w:ascii="宋体" w:hAnsi="宋体" w:eastAsia="宋体" w:cs="宋体"/>
          <w:color w:val="auto"/>
          <w:spacing w:val="10"/>
          <w:sz w:val="24"/>
          <w:szCs w:val="20"/>
          <w:highlight w:val="none"/>
          <w:u w:val="single"/>
        </w:rPr>
        <w:t xml:space="preserve">    </w:t>
      </w:r>
      <w:r>
        <w:rPr>
          <w:rFonts w:hint="eastAsia" w:ascii="宋体" w:hAnsi="宋体" w:eastAsia="宋体" w:cs="宋体"/>
          <w:color w:val="auto"/>
          <w:szCs w:val="20"/>
          <w:highlight w:val="none"/>
        </w:rPr>
        <w:t>。</w:t>
      </w:r>
    </w:p>
    <w:p w14:paraId="1E13BABF">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代理人无转委托权。</w:t>
      </w:r>
    </w:p>
    <w:p w14:paraId="0D632882">
      <w:pPr>
        <w:spacing w:line="440" w:lineRule="exact"/>
        <w:ind w:firstLine="420" w:firstLineChars="200"/>
        <w:rPr>
          <w:rFonts w:ascii="宋体" w:hAnsi="宋体" w:eastAsia="宋体" w:cs="宋体"/>
          <w:color w:val="auto"/>
          <w:szCs w:val="20"/>
          <w:highlight w:val="none"/>
        </w:rPr>
      </w:pPr>
    </w:p>
    <w:p w14:paraId="590EB068">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供应商（或联合体响应</w:t>
      </w:r>
      <w:r>
        <w:rPr>
          <w:rFonts w:hint="eastAsia" w:ascii="宋体" w:hAnsi="宋体" w:eastAsia="宋体" w:cs="宋体"/>
          <w:color w:val="auto"/>
          <w:kern w:val="0"/>
          <w:szCs w:val="21"/>
          <w:highlight w:val="none"/>
        </w:rPr>
        <w:t>牵头人名称</w:t>
      </w:r>
      <w:r>
        <w:rPr>
          <w:rFonts w:hint="eastAsia" w:ascii="宋体" w:hAnsi="宋体" w:eastAsia="宋体" w:cs="宋体"/>
          <w:color w:val="auto"/>
          <w:szCs w:val="20"/>
          <w:highlight w:val="none"/>
        </w:rPr>
        <w:t>）（盖单位公章）：</w:t>
      </w:r>
      <w:r>
        <w:rPr>
          <w:rFonts w:hint="eastAsia" w:ascii="宋体" w:hAnsi="宋体" w:eastAsia="宋体" w:cs="宋体"/>
          <w:color w:val="auto"/>
          <w:szCs w:val="20"/>
          <w:highlight w:val="none"/>
          <w:u w:val="single"/>
        </w:rPr>
        <w:t xml:space="preserve">                                    </w:t>
      </w:r>
    </w:p>
    <w:p w14:paraId="78151551">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法定代表人（签字或盖章）：</w:t>
      </w:r>
      <w:r>
        <w:rPr>
          <w:rFonts w:hint="eastAsia" w:ascii="宋体" w:hAnsi="宋体" w:eastAsia="宋体" w:cs="宋体"/>
          <w:color w:val="auto"/>
          <w:szCs w:val="20"/>
          <w:highlight w:val="none"/>
          <w:u w:val="single"/>
        </w:rPr>
        <w:t xml:space="preserve">                                </w:t>
      </w:r>
    </w:p>
    <w:p w14:paraId="49F1A625">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法定代表人身份证号码：</w:t>
      </w:r>
      <w:r>
        <w:rPr>
          <w:rFonts w:hint="eastAsia" w:ascii="宋体" w:hAnsi="宋体" w:eastAsia="宋体" w:cs="宋体"/>
          <w:color w:val="auto"/>
          <w:szCs w:val="20"/>
          <w:highlight w:val="none"/>
          <w:u w:val="single"/>
        </w:rPr>
        <w:t xml:space="preserve">                                   </w:t>
      </w:r>
    </w:p>
    <w:p w14:paraId="7E32ABFF">
      <w:pPr>
        <w:spacing w:line="360" w:lineRule="auto"/>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委托代理人（签字或盖章）：</w:t>
      </w:r>
      <w:r>
        <w:rPr>
          <w:rFonts w:hint="eastAsia" w:ascii="宋体" w:hAnsi="宋体" w:eastAsia="宋体" w:cs="宋体"/>
          <w:color w:val="auto"/>
          <w:szCs w:val="20"/>
          <w:highlight w:val="none"/>
          <w:u w:val="single"/>
        </w:rPr>
        <w:t xml:space="preserve">                                </w:t>
      </w:r>
    </w:p>
    <w:p w14:paraId="40C50DD7">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委托代理人身份证号码：</w:t>
      </w:r>
      <w:r>
        <w:rPr>
          <w:rFonts w:hint="eastAsia" w:ascii="宋体" w:hAnsi="宋体" w:eastAsia="宋体" w:cs="宋体"/>
          <w:color w:val="auto"/>
          <w:szCs w:val="20"/>
          <w:highlight w:val="none"/>
          <w:u w:val="single"/>
        </w:rPr>
        <w:t xml:space="preserve">                                   </w:t>
      </w:r>
    </w:p>
    <w:p w14:paraId="6853116B">
      <w:pPr>
        <w:spacing w:line="360" w:lineRule="auto"/>
        <w:ind w:firstLine="420"/>
        <w:rPr>
          <w:rFonts w:ascii="宋体" w:hAnsi="宋体" w:eastAsia="宋体" w:cs="宋体"/>
          <w:color w:val="auto"/>
          <w:szCs w:val="20"/>
          <w:highlight w:val="none"/>
          <w:u w:val="single"/>
        </w:rPr>
      </w:pPr>
    </w:p>
    <w:p w14:paraId="4697A7F1">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szCs w:val="20"/>
          <w:highlight w:val="none"/>
        </w:rPr>
        <w:t>（盖单位公章）：</w:t>
      </w:r>
      <w:r>
        <w:rPr>
          <w:rFonts w:hint="eastAsia" w:ascii="宋体" w:hAnsi="宋体" w:eastAsia="宋体" w:cs="宋体"/>
          <w:color w:val="auto"/>
          <w:szCs w:val="20"/>
          <w:highlight w:val="none"/>
          <w:u w:val="single"/>
        </w:rPr>
        <w:t xml:space="preserve">                                    </w:t>
      </w:r>
    </w:p>
    <w:p w14:paraId="3AC59D0F">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法定代表人（签字或盖章）：</w:t>
      </w:r>
      <w:r>
        <w:rPr>
          <w:rFonts w:hint="eastAsia" w:ascii="宋体" w:hAnsi="宋体" w:eastAsia="宋体" w:cs="宋体"/>
          <w:color w:val="auto"/>
          <w:szCs w:val="20"/>
          <w:highlight w:val="none"/>
          <w:u w:val="single"/>
        </w:rPr>
        <w:t xml:space="preserve">                                </w:t>
      </w:r>
    </w:p>
    <w:p w14:paraId="299DB851">
      <w:pPr>
        <w:spacing w:line="360" w:lineRule="auto"/>
        <w:ind w:firstLine="420"/>
        <w:rPr>
          <w:rFonts w:ascii="宋体" w:hAnsi="宋体" w:eastAsia="宋体" w:cs="宋体"/>
          <w:color w:val="auto"/>
          <w:szCs w:val="20"/>
          <w:highlight w:val="none"/>
          <w:u w:val="single"/>
        </w:rPr>
      </w:pPr>
    </w:p>
    <w:p w14:paraId="086F492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00FCD2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r>
        <w:rPr>
          <w:rFonts w:hint="eastAsia" w:ascii="宋体" w:hAnsi="宋体" w:eastAsia="宋体" w:cs="宋体"/>
          <w:color w:val="auto"/>
          <w:kern w:val="0"/>
          <w:szCs w:val="21"/>
          <w:highlight w:val="none"/>
          <w:lang w:eastAsia="zh-CN"/>
        </w:rPr>
        <w:t>或盖章</w:t>
      </w:r>
      <w:r>
        <w:rPr>
          <w:rFonts w:hint="eastAsia" w:ascii="宋体" w:hAnsi="宋体" w:eastAsia="宋体" w:cs="宋体"/>
          <w:color w:val="auto"/>
          <w:kern w:val="0"/>
          <w:szCs w:val="21"/>
          <w:highlight w:val="none"/>
        </w:rPr>
        <w:t>）</w:t>
      </w:r>
    </w:p>
    <w:p w14:paraId="40B48D5B">
      <w:pPr>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w:t>
      </w:r>
    </w:p>
    <w:p w14:paraId="155D6E9F">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0C6E762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1.法定代表人和委托代理人必须在授权委托书上签字或盖章，</w:t>
      </w:r>
      <w:r>
        <w:rPr>
          <w:rFonts w:hint="eastAsia" w:ascii="宋体" w:hAnsi="宋体" w:eastAsia="宋体" w:cs="宋体"/>
          <w:b/>
          <w:bCs/>
          <w:color w:val="auto"/>
          <w:szCs w:val="21"/>
          <w:highlight w:val="none"/>
        </w:rPr>
        <w:t>否则作无效响应处理</w:t>
      </w:r>
      <w:r>
        <w:rPr>
          <w:rFonts w:hint="eastAsia" w:ascii="宋体" w:hAnsi="宋体" w:eastAsia="宋体" w:cs="宋体"/>
          <w:color w:val="auto"/>
          <w:szCs w:val="21"/>
          <w:highlight w:val="none"/>
        </w:rPr>
        <w:t>；</w:t>
      </w:r>
    </w:p>
    <w:p w14:paraId="3D8EFAC8">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2.以联合体形式响应的，本授权委托书应由联合体牵头人的法定代表人按上述规定签署。</w:t>
      </w:r>
    </w:p>
    <w:p w14:paraId="163752AA">
      <w:pPr>
        <w:snapToGrid/>
        <w:spacing w:before="0" w:after="0" w:afterLines="-2147483648"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3. 供应商为其他组织或者自然人时，本征集文件规定的法定代表人指负责人或者自然人。本征集文件所称负责人是指参加响应的其他组织营业执照上的负责人，本征集文件所称自然人指参与响应的自然人本人。</w:t>
      </w:r>
    </w:p>
    <w:p w14:paraId="37BC95A8">
      <w:pPr>
        <w:snapToGrid/>
        <w:spacing w:before="0" w:after="0" w:afterLines="-2147483648"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若为联合体响应须各方签字或盖章。</w:t>
      </w:r>
    </w:p>
    <w:p w14:paraId="17C6B8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C2F8F31">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4B35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vAlign w:val="top"/>
          </w:tcPr>
          <w:p w14:paraId="36C15466">
            <w:pPr>
              <w:keepNext w:val="0"/>
              <w:keepLines w:val="0"/>
              <w:suppressLineNumbers w:val="0"/>
              <w:spacing w:before="0" w:beforeAutospacing="0" w:after="0" w:afterAutospacing="0" w:line="360" w:lineRule="auto"/>
              <w:ind w:left="0" w:right="0"/>
              <w:rPr>
                <w:rFonts w:hint="default" w:ascii="宋体" w:hAnsi="宋体" w:eastAsia="宋体" w:cs="宋体"/>
                <w:b/>
                <w:color w:val="auto"/>
                <w:sz w:val="24"/>
                <w:szCs w:val="24"/>
                <w:highlight w:val="none"/>
              </w:rPr>
            </w:pPr>
          </w:p>
          <w:p w14:paraId="1F8C2CAC">
            <w:pPr>
              <w:keepNext w:val="0"/>
              <w:keepLines w:val="0"/>
              <w:suppressLineNumbers w:val="0"/>
              <w:spacing w:before="0" w:beforeAutospacing="0" w:after="0" w:afterAutospacing="0" w:line="360" w:lineRule="auto"/>
              <w:ind w:left="0" w:right="0"/>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全权代表身份证复印件粘帖处（正、反面）</w:t>
            </w:r>
          </w:p>
        </w:tc>
      </w:tr>
    </w:tbl>
    <w:p w14:paraId="7C152DB1">
      <w:pPr>
        <w:snapToGrid w:val="0"/>
        <w:spacing w:before="50" w:after="120" w:afterLines="50" w:line="360" w:lineRule="auto"/>
        <w:jc w:val="left"/>
        <w:rPr>
          <w:rFonts w:ascii="宋体" w:hAnsi="宋体" w:eastAsia="宋体" w:cs="宋体"/>
          <w:color w:val="auto"/>
          <w:szCs w:val="21"/>
          <w:highlight w:val="none"/>
        </w:rPr>
      </w:pPr>
    </w:p>
    <w:p w14:paraId="7CA8A353">
      <w:pPr>
        <w:snapToGrid w:val="0"/>
        <w:spacing w:before="120" w:beforeLines="50" w:after="50"/>
        <w:ind w:firstLine="566" w:firstLineChars="236"/>
        <w:jc w:val="center"/>
        <w:rPr>
          <w:rFonts w:ascii="宋体" w:hAnsi="宋体" w:eastAsia="宋体" w:cs="宋体"/>
          <w:color w:val="auto"/>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page"/>
      </w:r>
    </w:p>
    <w:p w14:paraId="6DF031C3">
      <w:pPr>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四、商务条款偏离表</w:t>
      </w:r>
    </w:p>
    <w:p w14:paraId="333C3356">
      <w:pPr>
        <w:jc w:val="center"/>
        <w:rPr>
          <w:rFonts w:ascii="宋体" w:hAnsi="宋体" w:eastAsia="宋体" w:cs="宋体"/>
          <w:b/>
          <w:color w:val="auto"/>
          <w:sz w:val="24"/>
          <w:szCs w:val="20"/>
          <w:highlight w:val="none"/>
        </w:rPr>
      </w:pPr>
      <w:r>
        <w:rPr>
          <w:rFonts w:hint="eastAsia" w:ascii="宋体" w:hAnsi="宋体" w:eastAsia="宋体" w:cs="宋体"/>
          <w:color w:val="auto"/>
          <w:sz w:val="30"/>
          <w:szCs w:val="20"/>
          <w:highlight w:val="none"/>
        </w:rPr>
        <w:t>(注：按项目需求表具体项目修改)</w:t>
      </w:r>
    </w:p>
    <w:p w14:paraId="6BB9EEA6">
      <w:pPr>
        <w:snapToGrid w:val="0"/>
        <w:spacing w:before="50"/>
        <w:jc w:val="left"/>
        <w:rPr>
          <w:rFonts w:ascii="宋体" w:hAnsi="宋体" w:eastAsia="宋体" w:cs="宋体"/>
          <w:color w:val="auto"/>
          <w:sz w:val="24"/>
          <w:szCs w:val="24"/>
          <w:highlight w:val="none"/>
        </w:rPr>
      </w:pPr>
    </w:p>
    <w:p w14:paraId="000A2C9E">
      <w:pPr>
        <w:spacing w:line="360" w:lineRule="auto"/>
        <w:ind w:left="-424" w:leftChars="-202" w:firstLine="420" w:firstLineChars="200"/>
        <w:rPr>
          <w:rFonts w:ascii="宋体" w:hAnsi="宋体" w:eastAsia="宋体" w:cs="宋体"/>
          <w:color w:val="auto"/>
          <w:sz w:val="24"/>
          <w:szCs w:val="24"/>
          <w:highlight w:val="none"/>
        </w:rPr>
      </w:pPr>
      <w:r>
        <w:rPr>
          <w:rFonts w:hint="eastAsia" w:ascii="宋体" w:hAnsi="宋体" w:eastAsia="宋体" w:cs="宋体"/>
          <w:color w:val="auto"/>
          <w:szCs w:val="20"/>
          <w:highlight w:val="none"/>
        </w:rPr>
        <w:t>请逐条对应本项目征集文件第二章“服务需求一览表”中“商务条款”的要求，详细填写相应的具体内容。“偏离说明”一栏应当选择“正偏离”、“负偏离”或“无偏离”进行填写。</w:t>
      </w:r>
    </w:p>
    <w:tbl>
      <w:tblPr>
        <w:tblStyle w:val="3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027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82CE9E6">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B85BAAC">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2C00267D">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8D58681">
            <w:pPr>
              <w:keepNext w:val="0"/>
              <w:keepLines w:val="0"/>
              <w:suppressLineNumbers w:val="0"/>
              <w:spacing w:before="0" w:beforeAutospacing="0" w:after="0" w:afterAutospacing="0" w:line="3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9B7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C7E8298">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187AEF84">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03129BD0">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1200927A">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79A44BE8">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3E1B737">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35CB16D3">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2E1AD150">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7F4F2E27">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58516E8">
            <w:pPr>
              <w:keepNext w:val="0"/>
              <w:keepLines w:val="0"/>
              <w:suppressLineNumbers w:val="0"/>
              <w:spacing w:before="0" w:beforeAutospacing="0" w:after="0" w:afterAutospacing="0" w:line="3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49FA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5ADC56B">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05E42BD3">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70B4816B">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38496781">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3329117F">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59FD195B">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312698E0">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442D208F">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790D9FA1">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18EB4CA3">
            <w:pPr>
              <w:keepNext w:val="0"/>
              <w:keepLines w:val="0"/>
              <w:suppressLineNumbers w:val="0"/>
              <w:spacing w:before="0" w:beforeAutospacing="0" w:after="0" w:afterAutospacing="0" w:line="3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0712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1896737D">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59C819D2">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38C8CEE9">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63259DEA">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34747683">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28328201">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6889C70B">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7E244670">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084151FA">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787F60B">
            <w:pPr>
              <w:keepNext w:val="0"/>
              <w:keepLines w:val="0"/>
              <w:suppressLineNumbers w:val="0"/>
              <w:spacing w:before="0" w:beforeAutospacing="0" w:after="0" w:afterAutospacing="0" w:line="3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3EA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0406A2B5">
            <w:pPr>
              <w:keepNext w:val="0"/>
              <w:keepLines w:val="0"/>
              <w:suppressLineNumbers w:val="0"/>
              <w:spacing w:before="0" w:beforeAutospacing="0" w:after="0" w:afterAutospacing="0" w:line="3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77120CF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p>
    <w:p w14:paraId="3B228D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eastAsia" w:ascii="宋体" w:hAnsi="宋体" w:eastAsia="宋体" w:cs="宋体"/>
          <w:color w:val="auto"/>
          <w:szCs w:val="20"/>
          <w:highlight w:val="none"/>
        </w:rPr>
        <w:t>注：</w:t>
      </w:r>
    </w:p>
    <w:p w14:paraId="5B1205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eastAsia" w:ascii="宋体" w:hAnsi="宋体" w:eastAsia="宋体" w:cs="宋体"/>
          <w:color w:val="auto"/>
          <w:szCs w:val="20"/>
          <w:highlight w:val="none"/>
        </w:rPr>
        <w:t>1.表格内容均需按要求填写并盖章，不得留空，否则按响应无效处理。</w:t>
      </w:r>
    </w:p>
    <w:p w14:paraId="58FED57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eastAsia" w:ascii="宋体" w:hAnsi="宋体" w:eastAsia="宋体" w:cs="宋体"/>
          <w:color w:val="auto"/>
          <w:szCs w:val="20"/>
          <w:highlight w:val="none"/>
        </w:rPr>
        <w:t>2.如果征集文件需求为小于或大于某个数值标准时，响应文件承诺不得直接复制征集文件需求，响应文件承诺内容应当写明响应</w:t>
      </w:r>
      <w:r>
        <w:rPr>
          <w:rFonts w:hint="eastAsia" w:ascii="宋体" w:hAnsi="宋体" w:eastAsia="宋体" w:cs="宋体"/>
          <w:color w:val="auto"/>
          <w:szCs w:val="20"/>
          <w:highlight w:val="none"/>
          <w:lang w:val="en-US" w:eastAsia="zh-CN"/>
        </w:rPr>
        <w:t>服务</w:t>
      </w:r>
      <w:r>
        <w:rPr>
          <w:rFonts w:hint="eastAsia" w:ascii="宋体" w:hAnsi="宋体" w:eastAsia="宋体" w:cs="宋体"/>
          <w:color w:val="auto"/>
          <w:szCs w:val="20"/>
          <w:highlight w:val="none"/>
        </w:rPr>
        <w:t>具体参数或商务响应承诺的具体数值，否则按响应无效处理。</w:t>
      </w:r>
    </w:p>
    <w:p w14:paraId="5B3CFF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default" w:ascii="宋体" w:hAnsi="宋体" w:eastAsia="宋体" w:cs="宋体"/>
          <w:color w:val="auto"/>
          <w:szCs w:val="20"/>
          <w:highlight w:val="none"/>
          <w:lang w:val="en-US"/>
        </w:rPr>
        <w:t>3</w:t>
      </w:r>
      <w:r>
        <w:rPr>
          <w:rFonts w:hint="eastAsia" w:ascii="宋体" w:hAnsi="宋体" w:eastAsia="宋体" w:cs="宋体"/>
          <w:color w:val="auto"/>
          <w:szCs w:val="20"/>
          <w:highlight w:val="none"/>
        </w:rPr>
        <w:t>.当响应文件的商务内容低于征集文件要求时，供应商应当如实写明“负偏离”，否则视为虚假应标。</w:t>
      </w:r>
    </w:p>
    <w:p w14:paraId="609947B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Cs w:val="20"/>
          <w:highlight w:val="none"/>
        </w:rPr>
      </w:pPr>
      <w:r>
        <w:rPr>
          <w:rFonts w:hint="default" w:ascii="宋体" w:hAnsi="宋体" w:eastAsia="宋体" w:cs="宋体"/>
          <w:color w:val="auto"/>
          <w:szCs w:val="21"/>
          <w:highlight w:val="none"/>
          <w:lang w:val="en-US"/>
        </w:rPr>
        <w:t>4</w:t>
      </w:r>
      <w:r>
        <w:rPr>
          <w:rFonts w:hint="eastAsia" w:ascii="宋体" w:hAnsi="宋体" w:eastAsia="宋体" w:cs="宋体"/>
          <w:color w:val="auto"/>
          <w:szCs w:val="21"/>
          <w:highlight w:val="none"/>
        </w:rPr>
        <w:t>.采购需求中带“▲”及“★”的条款，也要分别在本表“响应文件的商务需求”、“响应文件承诺的商务条款”中标记。</w:t>
      </w:r>
    </w:p>
    <w:p w14:paraId="48719E8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szCs w:val="24"/>
          <w:highlight w:val="none"/>
        </w:rPr>
      </w:pPr>
    </w:p>
    <w:p w14:paraId="31A09C2D">
      <w:pPr>
        <w:snapToGrid w:val="0"/>
        <w:spacing w:line="360" w:lineRule="auto"/>
        <w:ind w:firstLine="4935" w:firstLineChars="235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供应商名称(电子签章)：</w:t>
      </w:r>
    </w:p>
    <w:p w14:paraId="3204E42C">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A6227CB">
      <w:pPr>
        <w:snapToGrid w:val="0"/>
        <w:spacing w:before="120" w:beforeLines="50" w:after="50"/>
        <w:rPr>
          <w:rFonts w:ascii="宋体" w:hAnsi="宋体" w:eastAsia="宋体" w:cs="宋体"/>
          <w:b/>
          <w:bCs/>
          <w:color w:val="auto"/>
          <w:sz w:val="30"/>
          <w:szCs w:val="30"/>
          <w:highlight w:val="none"/>
        </w:rPr>
        <w:sectPr>
          <w:footerReference r:id="rId14" w:type="first"/>
          <w:headerReference r:id="rId11" w:type="default"/>
          <w:footerReference r:id="rId12" w:type="default"/>
          <w:footerReference r:id="rId13" w:type="even"/>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10AC438C">
      <w:pPr>
        <w:snapToGrid w:val="0"/>
        <w:spacing w:before="120" w:beforeLines="50" w:after="50"/>
        <w:ind w:left="142"/>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五、人员配备一览表</w:t>
      </w:r>
    </w:p>
    <w:p w14:paraId="0BF19205">
      <w:pPr>
        <w:spacing w:line="360" w:lineRule="auto"/>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（由供应商根据采购需求及征集文件要求编制）</w:t>
      </w:r>
    </w:p>
    <w:p w14:paraId="3B11B3B2">
      <w:pPr>
        <w:keepNext/>
        <w:autoSpaceDE w:val="0"/>
        <w:autoSpaceDN w:val="0"/>
        <w:spacing w:line="360" w:lineRule="auto"/>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w:t>
      </w: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负责人情况表</w:t>
      </w:r>
      <w:r>
        <w:rPr>
          <w:rFonts w:hint="eastAsia" w:ascii="宋体" w:hAnsi="宋体" w:eastAsia="宋体" w:cs="宋体"/>
          <w:color w:val="auto"/>
          <w:sz w:val="24"/>
          <w:szCs w:val="24"/>
          <w:highlight w:val="none"/>
        </w:rPr>
        <w:t>（1人）</w:t>
      </w:r>
    </w:p>
    <w:tbl>
      <w:tblPr>
        <w:tblStyle w:val="33"/>
        <w:tblW w:w="0" w:type="auto"/>
        <w:tblInd w:w="0" w:type="dxa"/>
        <w:tblLayout w:type="fixed"/>
        <w:tblCellMar>
          <w:top w:w="0" w:type="dxa"/>
          <w:left w:w="108" w:type="dxa"/>
          <w:bottom w:w="0" w:type="dxa"/>
          <w:right w:w="108" w:type="dxa"/>
        </w:tblCellMar>
      </w:tblPr>
      <w:tblGrid>
        <w:gridCol w:w="1575"/>
        <w:gridCol w:w="983"/>
        <w:gridCol w:w="962"/>
        <w:gridCol w:w="1977"/>
        <w:gridCol w:w="4357"/>
      </w:tblGrid>
      <w:tr w14:paraId="7018467D">
        <w:tblPrEx>
          <w:tblCellMar>
            <w:top w:w="0" w:type="dxa"/>
            <w:left w:w="108" w:type="dxa"/>
            <w:bottom w:w="0" w:type="dxa"/>
            <w:right w:w="108" w:type="dxa"/>
          </w:tblCellMar>
        </w:tblPrEx>
        <w:trPr>
          <w:trHeight w:val="604" w:hRule="atLeast"/>
        </w:trPr>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14:paraId="67B2E95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83" w:type="dxa"/>
            <w:tcBorders>
              <w:top w:val="single" w:color="auto" w:sz="6" w:space="0"/>
              <w:left w:val="single" w:color="auto" w:sz="6" w:space="0"/>
              <w:bottom w:val="single" w:color="auto" w:sz="6" w:space="0"/>
              <w:right w:val="single" w:color="auto" w:sz="4" w:space="0"/>
            </w:tcBorders>
            <w:shd w:val="clear" w:color="auto" w:fill="B3B3B3"/>
            <w:vAlign w:val="center"/>
          </w:tcPr>
          <w:p w14:paraId="38870E49">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vAlign w:val="center"/>
          </w:tcPr>
          <w:p w14:paraId="4F91016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977" w:type="dxa"/>
            <w:tcBorders>
              <w:top w:val="single" w:color="auto" w:sz="6" w:space="0"/>
              <w:left w:val="single" w:color="auto" w:sz="6" w:space="0"/>
              <w:bottom w:val="single" w:color="auto" w:sz="6" w:space="0"/>
              <w:right w:val="single" w:color="auto" w:sz="6" w:space="0"/>
            </w:tcBorders>
          </w:tcPr>
          <w:p w14:paraId="2047BDB8">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4357" w:type="dxa"/>
            <w:tcBorders>
              <w:top w:val="single" w:color="auto" w:sz="6" w:space="0"/>
              <w:left w:val="single" w:color="auto" w:sz="6" w:space="0"/>
              <w:bottom w:val="single" w:color="auto" w:sz="6" w:space="0"/>
              <w:right w:val="single" w:color="auto" w:sz="6" w:space="0"/>
            </w:tcBorders>
          </w:tcPr>
          <w:p w14:paraId="7EB9F10B">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00C3FAC">
        <w:tblPrEx>
          <w:tblCellMar>
            <w:top w:w="0" w:type="dxa"/>
            <w:left w:w="108" w:type="dxa"/>
            <w:bottom w:w="0" w:type="dxa"/>
            <w:right w:w="108" w:type="dxa"/>
          </w:tblCellMar>
        </w:tblPrEx>
        <w:trPr>
          <w:cantSplit/>
          <w:trHeight w:val="345" w:hRule="atLeast"/>
        </w:trPr>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14:paraId="15F8A23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83" w:type="dxa"/>
            <w:tcBorders>
              <w:top w:val="single" w:color="auto" w:sz="6" w:space="0"/>
              <w:left w:val="single" w:color="auto" w:sz="6" w:space="0"/>
              <w:bottom w:val="single" w:color="auto" w:sz="6" w:space="0"/>
              <w:right w:val="single" w:color="auto" w:sz="4" w:space="0"/>
            </w:tcBorders>
            <w:shd w:val="clear" w:color="auto" w:fill="auto"/>
            <w:vAlign w:val="center"/>
          </w:tcPr>
          <w:p w14:paraId="5F33CAD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shd w:val="clear" w:color="auto" w:fill="B3B3B3"/>
            <w:vAlign w:val="center"/>
          </w:tcPr>
          <w:p w14:paraId="44344E8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14:paraId="3890952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14:paraId="57DFA42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r w14:paraId="1E78E546">
        <w:tblPrEx>
          <w:tblCellMar>
            <w:top w:w="0" w:type="dxa"/>
            <w:left w:w="108" w:type="dxa"/>
            <w:bottom w:w="0" w:type="dxa"/>
            <w:right w:w="108" w:type="dxa"/>
          </w:tblCellMar>
        </w:tblPrEx>
        <w:trPr>
          <w:cantSplit/>
          <w:trHeight w:val="337" w:hRule="atLeast"/>
        </w:trPr>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14:paraId="5F7E9BC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983" w:type="dxa"/>
            <w:tcBorders>
              <w:top w:val="single" w:color="auto" w:sz="6" w:space="0"/>
              <w:left w:val="single" w:color="auto" w:sz="6" w:space="0"/>
              <w:bottom w:val="single" w:color="auto" w:sz="6" w:space="0"/>
              <w:right w:val="single" w:color="auto" w:sz="4" w:space="0"/>
            </w:tcBorders>
            <w:shd w:val="clear" w:color="auto" w:fill="auto"/>
            <w:vAlign w:val="center"/>
          </w:tcPr>
          <w:p w14:paraId="0268E63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shd w:val="clear" w:color="auto" w:fill="B3B3B3"/>
            <w:vAlign w:val="center"/>
          </w:tcPr>
          <w:p w14:paraId="25C1D2D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14:paraId="111F67D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14:paraId="504F0DB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r w14:paraId="45D71C5A">
        <w:tblPrEx>
          <w:tblCellMar>
            <w:top w:w="0" w:type="dxa"/>
            <w:left w:w="108" w:type="dxa"/>
            <w:bottom w:w="0" w:type="dxa"/>
            <w:right w:w="108" w:type="dxa"/>
          </w:tblCellMar>
        </w:tblPrEx>
        <w:trPr>
          <w:cantSplit/>
          <w:trHeight w:val="345" w:hRule="atLeast"/>
        </w:trPr>
        <w:tc>
          <w:tcPr>
            <w:tcW w:w="1575" w:type="dxa"/>
            <w:tcBorders>
              <w:top w:val="single" w:color="auto" w:sz="6" w:space="0"/>
              <w:left w:val="single" w:color="auto" w:sz="6" w:space="0"/>
              <w:bottom w:val="single" w:color="auto" w:sz="6" w:space="0"/>
              <w:right w:val="single" w:color="auto" w:sz="6" w:space="0"/>
            </w:tcBorders>
            <w:vAlign w:val="center"/>
          </w:tcPr>
          <w:p w14:paraId="3A7BF416">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983" w:type="dxa"/>
            <w:tcBorders>
              <w:top w:val="single" w:color="auto" w:sz="6" w:space="0"/>
              <w:left w:val="single" w:color="auto" w:sz="6" w:space="0"/>
              <w:bottom w:val="single" w:color="auto" w:sz="6" w:space="0"/>
              <w:right w:val="single" w:color="auto" w:sz="4" w:space="0"/>
            </w:tcBorders>
            <w:vAlign w:val="center"/>
          </w:tcPr>
          <w:p w14:paraId="7F28FBC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vAlign w:val="center"/>
          </w:tcPr>
          <w:p w14:paraId="2BD28BF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14:paraId="2CA55628">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14:paraId="03AD6CB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r w14:paraId="6D92EF76">
        <w:tblPrEx>
          <w:tblCellMar>
            <w:top w:w="0" w:type="dxa"/>
            <w:left w:w="108" w:type="dxa"/>
            <w:bottom w:w="0" w:type="dxa"/>
            <w:right w:w="108" w:type="dxa"/>
          </w:tblCellMar>
        </w:tblPrEx>
        <w:trPr>
          <w:cantSplit/>
          <w:trHeight w:val="356" w:hRule="atLeast"/>
        </w:trPr>
        <w:tc>
          <w:tcPr>
            <w:tcW w:w="1575" w:type="dxa"/>
            <w:tcBorders>
              <w:top w:val="single" w:color="auto" w:sz="6" w:space="0"/>
              <w:left w:val="single" w:color="auto" w:sz="6" w:space="0"/>
              <w:bottom w:val="single" w:color="auto" w:sz="6" w:space="0"/>
              <w:right w:val="single" w:color="auto" w:sz="6" w:space="0"/>
            </w:tcBorders>
            <w:vAlign w:val="center"/>
          </w:tcPr>
          <w:p w14:paraId="073C1B3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注册证书编号、专业及注册单位</w:t>
            </w:r>
          </w:p>
        </w:tc>
        <w:tc>
          <w:tcPr>
            <w:tcW w:w="983" w:type="dxa"/>
            <w:tcBorders>
              <w:top w:val="single" w:color="auto" w:sz="6" w:space="0"/>
              <w:left w:val="single" w:color="auto" w:sz="6" w:space="0"/>
              <w:bottom w:val="single" w:color="auto" w:sz="6" w:space="0"/>
              <w:right w:val="single" w:color="auto" w:sz="4" w:space="0"/>
            </w:tcBorders>
            <w:vAlign w:val="center"/>
          </w:tcPr>
          <w:p w14:paraId="2840522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vAlign w:val="center"/>
          </w:tcPr>
          <w:p w14:paraId="48DCC8F9">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14:paraId="386BCA6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14:paraId="0175B28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r w14:paraId="778772C2">
        <w:tblPrEx>
          <w:tblCellMar>
            <w:top w:w="0" w:type="dxa"/>
            <w:left w:w="108" w:type="dxa"/>
            <w:bottom w:w="0" w:type="dxa"/>
            <w:right w:w="108" w:type="dxa"/>
          </w:tblCellMar>
        </w:tblPrEx>
        <w:trPr>
          <w:cantSplit/>
          <w:trHeight w:val="177" w:hRule="atLeast"/>
        </w:trPr>
        <w:tc>
          <w:tcPr>
            <w:tcW w:w="1575" w:type="dxa"/>
            <w:tcBorders>
              <w:top w:val="single" w:color="auto" w:sz="6" w:space="0"/>
              <w:left w:val="single" w:color="auto" w:sz="6" w:space="0"/>
              <w:bottom w:val="single" w:color="auto" w:sz="6" w:space="0"/>
              <w:right w:val="single" w:color="auto" w:sz="6" w:space="0"/>
            </w:tcBorders>
            <w:vAlign w:val="center"/>
          </w:tcPr>
          <w:p w14:paraId="2CA7493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p>
        </w:tc>
        <w:tc>
          <w:tcPr>
            <w:tcW w:w="983" w:type="dxa"/>
            <w:tcBorders>
              <w:top w:val="single" w:color="auto" w:sz="6" w:space="0"/>
              <w:left w:val="single" w:color="auto" w:sz="6" w:space="0"/>
              <w:bottom w:val="single" w:color="auto" w:sz="6" w:space="0"/>
              <w:right w:val="single" w:color="auto" w:sz="4" w:space="0"/>
            </w:tcBorders>
            <w:vAlign w:val="center"/>
          </w:tcPr>
          <w:p w14:paraId="2A3A6B0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962" w:type="dxa"/>
            <w:tcBorders>
              <w:top w:val="single" w:color="auto" w:sz="6" w:space="0"/>
              <w:left w:val="single" w:color="auto" w:sz="4" w:space="0"/>
              <w:bottom w:val="single" w:color="auto" w:sz="6" w:space="0"/>
              <w:right w:val="single" w:color="auto" w:sz="6" w:space="0"/>
            </w:tcBorders>
            <w:vAlign w:val="center"/>
          </w:tcPr>
          <w:p w14:paraId="43398278">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tcPr>
          <w:p w14:paraId="551C63B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4357" w:type="dxa"/>
            <w:tcBorders>
              <w:top w:val="single" w:color="auto" w:sz="6" w:space="0"/>
              <w:left w:val="single" w:color="auto" w:sz="6" w:space="0"/>
              <w:bottom w:val="single" w:color="auto" w:sz="6" w:space="0"/>
              <w:right w:val="single" w:color="auto" w:sz="6" w:space="0"/>
            </w:tcBorders>
          </w:tcPr>
          <w:p w14:paraId="040D40BB">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r>
    </w:tbl>
    <w:p w14:paraId="5976B337">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注：随表提交相应的证书复印件并注明所在响应技术文件页码。</w:t>
      </w:r>
    </w:p>
    <w:p w14:paraId="21315D6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0FD9106">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附表B:本项目配备专业技术人员情况表</w:t>
      </w:r>
    </w:p>
    <w:tbl>
      <w:tblPr>
        <w:tblStyle w:val="33"/>
        <w:tblW w:w="0" w:type="auto"/>
        <w:tblInd w:w="0" w:type="dxa"/>
        <w:tblLayout w:type="fixed"/>
        <w:tblCellMar>
          <w:top w:w="0" w:type="dxa"/>
          <w:left w:w="108" w:type="dxa"/>
          <w:bottom w:w="0" w:type="dxa"/>
          <w:right w:w="108" w:type="dxa"/>
        </w:tblCellMar>
      </w:tblPr>
      <w:tblGrid>
        <w:gridCol w:w="1460"/>
        <w:gridCol w:w="804"/>
        <w:gridCol w:w="761"/>
        <w:gridCol w:w="838"/>
        <w:gridCol w:w="1600"/>
        <w:gridCol w:w="2502"/>
        <w:gridCol w:w="1889"/>
      </w:tblGrid>
      <w:tr w14:paraId="652D6F0C">
        <w:tblPrEx>
          <w:tblCellMar>
            <w:top w:w="0" w:type="dxa"/>
            <w:left w:w="108" w:type="dxa"/>
            <w:bottom w:w="0" w:type="dxa"/>
            <w:right w:w="108" w:type="dxa"/>
          </w:tblCellMar>
        </w:tblPrEx>
        <w:tc>
          <w:tcPr>
            <w:tcW w:w="1460" w:type="dxa"/>
            <w:tcBorders>
              <w:top w:val="single" w:color="auto" w:sz="6" w:space="0"/>
              <w:left w:val="single" w:color="auto" w:sz="6" w:space="0"/>
              <w:bottom w:val="single" w:color="auto" w:sz="6" w:space="0"/>
              <w:right w:val="single" w:color="auto" w:sz="6" w:space="0"/>
            </w:tcBorders>
            <w:vAlign w:val="center"/>
          </w:tcPr>
          <w:p w14:paraId="6197D38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04" w:type="dxa"/>
            <w:tcBorders>
              <w:top w:val="single" w:color="auto" w:sz="6" w:space="0"/>
              <w:left w:val="single" w:color="auto" w:sz="6" w:space="0"/>
              <w:bottom w:val="single" w:color="auto" w:sz="6" w:space="0"/>
              <w:right w:val="single" w:color="auto" w:sz="6" w:space="0"/>
            </w:tcBorders>
            <w:vAlign w:val="center"/>
          </w:tcPr>
          <w:p w14:paraId="66422C3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61" w:type="dxa"/>
            <w:tcBorders>
              <w:top w:val="single" w:color="auto" w:sz="6" w:space="0"/>
              <w:left w:val="single" w:color="auto" w:sz="6" w:space="0"/>
              <w:bottom w:val="single" w:color="auto" w:sz="6" w:space="0"/>
              <w:right w:val="single" w:color="auto" w:sz="6" w:space="0"/>
            </w:tcBorders>
            <w:vAlign w:val="center"/>
          </w:tcPr>
          <w:p w14:paraId="27DF2B28">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838" w:type="dxa"/>
            <w:tcBorders>
              <w:top w:val="single" w:color="auto" w:sz="6" w:space="0"/>
              <w:left w:val="single" w:color="auto" w:sz="6" w:space="0"/>
              <w:bottom w:val="single" w:color="auto" w:sz="6" w:space="0"/>
              <w:right w:val="single" w:color="auto" w:sz="6" w:space="0"/>
            </w:tcBorders>
            <w:vAlign w:val="center"/>
          </w:tcPr>
          <w:p w14:paraId="38607DF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600" w:type="dxa"/>
            <w:tcBorders>
              <w:top w:val="single" w:color="auto" w:sz="6" w:space="0"/>
              <w:left w:val="single" w:color="auto" w:sz="6" w:space="0"/>
              <w:bottom w:val="single" w:color="auto" w:sz="6" w:space="0"/>
              <w:right w:val="single" w:color="auto" w:sz="6" w:space="0"/>
            </w:tcBorders>
            <w:vAlign w:val="center"/>
          </w:tcPr>
          <w:p w14:paraId="2809A8C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注册证书编号、专业及注册单位</w:t>
            </w:r>
          </w:p>
          <w:p w14:paraId="5CB3AE86">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2502" w:type="dxa"/>
            <w:tcBorders>
              <w:top w:val="single" w:color="auto" w:sz="6" w:space="0"/>
              <w:left w:val="single" w:color="auto" w:sz="6" w:space="0"/>
              <w:bottom w:val="single" w:color="auto" w:sz="6" w:space="0"/>
              <w:right w:val="single" w:color="auto" w:sz="6" w:space="0"/>
            </w:tcBorders>
          </w:tcPr>
          <w:p w14:paraId="3EB5CC9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职称</w:t>
            </w:r>
            <w:r>
              <w:rPr>
                <w:rFonts w:hint="eastAsia" w:ascii="宋体" w:hAnsi="宋体" w:eastAsia="宋体" w:cs="宋体"/>
                <w:color w:val="auto"/>
                <w:sz w:val="24"/>
                <w:szCs w:val="24"/>
                <w:highlight w:val="none"/>
              </w:rPr>
              <w:t>(页码)</w:t>
            </w:r>
          </w:p>
        </w:tc>
        <w:tc>
          <w:tcPr>
            <w:tcW w:w="1889" w:type="dxa"/>
            <w:tcBorders>
              <w:top w:val="single" w:color="auto" w:sz="6" w:space="0"/>
              <w:left w:val="single" w:color="auto" w:sz="6" w:space="0"/>
              <w:bottom w:val="single" w:color="auto" w:sz="6" w:space="0"/>
              <w:right w:val="single" w:color="auto" w:sz="6" w:space="0"/>
            </w:tcBorders>
          </w:tcPr>
          <w:p w14:paraId="711266E6">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备注（例如载明一级或二级造价工程师）</w:t>
            </w:r>
          </w:p>
        </w:tc>
      </w:tr>
      <w:tr w14:paraId="11153EDF">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14:paraId="7107D5A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例：01</w:t>
            </w:r>
          </w:p>
        </w:tc>
        <w:tc>
          <w:tcPr>
            <w:tcW w:w="804" w:type="dxa"/>
            <w:tcBorders>
              <w:top w:val="single" w:color="auto" w:sz="6" w:space="0"/>
              <w:left w:val="single" w:color="auto" w:sz="6" w:space="0"/>
              <w:bottom w:val="single" w:color="auto" w:sz="6" w:space="0"/>
              <w:right w:val="single" w:color="auto" w:sz="6" w:space="0"/>
            </w:tcBorders>
          </w:tcPr>
          <w:p w14:paraId="438DC482">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李生</w:t>
            </w:r>
          </w:p>
        </w:tc>
        <w:tc>
          <w:tcPr>
            <w:tcW w:w="761" w:type="dxa"/>
            <w:tcBorders>
              <w:top w:val="single" w:color="auto" w:sz="6" w:space="0"/>
              <w:left w:val="single" w:color="auto" w:sz="6" w:space="0"/>
              <w:bottom w:val="single" w:color="auto" w:sz="6" w:space="0"/>
              <w:right w:val="single" w:color="auto" w:sz="6" w:space="0"/>
            </w:tcBorders>
          </w:tcPr>
          <w:p w14:paraId="484F498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838" w:type="dxa"/>
            <w:tcBorders>
              <w:top w:val="single" w:color="auto" w:sz="6" w:space="0"/>
              <w:left w:val="single" w:color="auto" w:sz="6" w:space="0"/>
              <w:bottom w:val="single" w:color="auto" w:sz="6" w:space="0"/>
              <w:right w:val="single" w:color="auto" w:sz="6" w:space="0"/>
            </w:tcBorders>
          </w:tcPr>
          <w:p w14:paraId="08F8E19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600" w:type="dxa"/>
            <w:tcBorders>
              <w:top w:val="single" w:color="auto" w:sz="6" w:space="0"/>
              <w:left w:val="single" w:color="auto" w:sz="6" w:space="0"/>
              <w:bottom w:val="single" w:color="auto" w:sz="6" w:space="0"/>
              <w:right w:val="single" w:color="auto" w:sz="6" w:space="0"/>
            </w:tcBorders>
          </w:tcPr>
          <w:p w14:paraId="5FCB3AB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一级造价工程师证，土建专业，**公司，34页</w:t>
            </w:r>
          </w:p>
        </w:tc>
        <w:tc>
          <w:tcPr>
            <w:tcW w:w="2502" w:type="dxa"/>
            <w:tcBorders>
              <w:top w:val="single" w:color="auto" w:sz="6" w:space="0"/>
              <w:left w:val="single" w:color="auto" w:sz="6" w:space="0"/>
              <w:bottom w:val="single" w:color="auto" w:sz="6" w:space="0"/>
              <w:right w:val="single" w:color="auto" w:sz="6" w:space="0"/>
            </w:tcBorders>
          </w:tcPr>
          <w:p w14:paraId="28B1513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37页</w:t>
            </w:r>
          </w:p>
        </w:tc>
        <w:tc>
          <w:tcPr>
            <w:tcW w:w="1889" w:type="dxa"/>
            <w:tcBorders>
              <w:top w:val="single" w:color="auto" w:sz="6" w:space="0"/>
              <w:left w:val="single" w:color="auto" w:sz="6" w:space="0"/>
              <w:bottom w:val="single" w:color="auto" w:sz="6" w:space="0"/>
              <w:right w:val="single" w:color="auto" w:sz="6" w:space="0"/>
            </w:tcBorders>
          </w:tcPr>
          <w:p w14:paraId="1EBDE43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14:paraId="631D584E">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14:paraId="351E4DE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c>
          <w:tcPr>
            <w:tcW w:w="804" w:type="dxa"/>
            <w:tcBorders>
              <w:top w:val="single" w:color="auto" w:sz="6" w:space="0"/>
              <w:left w:val="single" w:color="auto" w:sz="6" w:space="0"/>
              <w:bottom w:val="single" w:color="auto" w:sz="6" w:space="0"/>
              <w:right w:val="single" w:color="auto" w:sz="6" w:space="0"/>
            </w:tcBorders>
          </w:tcPr>
          <w:p w14:paraId="7B5B75D3">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14:paraId="588BBF11">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14:paraId="5389686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14:paraId="238A793E">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14:paraId="35E695B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14:paraId="2F86DEB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14:paraId="21F15A3B">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14:paraId="4F896555">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c>
          <w:tcPr>
            <w:tcW w:w="804" w:type="dxa"/>
            <w:tcBorders>
              <w:top w:val="single" w:color="auto" w:sz="6" w:space="0"/>
              <w:left w:val="single" w:color="auto" w:sz="6" w:space="0"/>
              <w:bottom w:val="single" w:color="auto" w:sz="6" w:space="0"/>
              <w:right w:val="single" w:color="auto" w:sz="6" w:space="0"/>
            </w:tcBorders>
          </w:tcPr>
          <w:p w14:paraId="726BA724">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14:paraId="762245D2">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14:paraId="2B3E55EF">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14:paraId="2DCBDC9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14:paraId="4E67F59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14:paraId="2FDAE631">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14:paraId="46198CBA">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14:paraId="1F55391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c>
          <w:tcPr>
            <w:tcW w:w="804" w:type="dxa"/>
            <w:tcBorders>
              <w:top w:val="single" w:color="auto" w:sz="6" w:space="0"/>
              <w:left w:val="single" w:color="auto" w:sz="6" w:space="0"/>
              <w:bottom w:val="single" w:color="auto" w:sz="6" w:space="0"/>
              <w:right w:val="single" w:color="auto" w:sz="6" w:space="0"/>
            </w:tcBorders>
          </w:tcPr>
          <w:p w14:paraId="35F9F85C">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14:paraId="0B771D75">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14:paraId="411A0D40">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14:paraId="68FD5631">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14:paraId="0312F97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14:paraId="4D1D086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14:paraId="38AA0115">
        <w:tblPrEx>
          <w:tblCellMar>
            <w:top w:w="0" w:type="dxa"/>
            <w:left w:w="108" w:type="dxa"/>
            <w:bottom w:w="0" w:type="dxa"/>
            <w:right w:w="108" w:type="dxa"/>
          </w:tblCellMar>
        </w:tblPrEx>
        <w:trPr>
          <w:trHeight w:val="479" w:hRule="atLeast"/>
        </w:trPr>
        <w:tc>
          <w:tcPr>
            <w:tcW w:w="1460" w:type="dxa"/>
            <w:tcBorders>
              <w:top w:val="single" w:color="auto" w:sz="6" w:space="0"/>
              <w:left w:val="single" w:color="auto" w:sz="6" w:space="0"/>
              <w:bottom w:val="single" w:color="auto" w:sz="6" w:space="0"/>
              <w:right w:val="single" w:color="auto" w:sz="6" w:space="0"/>
            </w:tcBorders>
          </w:tcPr>
          <w:p w14:paraId="1154AD3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804" w:type="dxa"/>
            <w:tcBorders>
              <w:top w:val="single" w:color="auto" w:sz="6" w:space="0"/>
              <w:left w:val="single" w:color="auto" w:sz="6" w:space="0"/>
              <w:bottom w:val="single" w:color="auto" w:sz="6" w:space="0"/>
              <w:right w:val="single" w:color="auto" w:sz="6" w:space="0"/>
            </w:tcBorders>
          </w:tcPr>
          <w:p w14:paraId="532E612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14:paraId="6C07373F">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14:paraId="3E9A5DD0">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14:paraId="275DFFC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14:paraId="6F64A0D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14:paraId="5E094992">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14:paraId="13B8A9F1">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14:paraId="2159DDBC">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c>
          <w:tcPr>
            <w:tcW w:w="804" w:type="dxa"/>
            <w:tcBorders>
              <w:top w:val="single" w:color="auto" w:sz="6" w:space="0"/>
              <w:left w:val="single" w:color="auto" w:sz="6" w:space="0"/>
              <w:bottom w:val="single" w:color="auto" w:sz="6" w:space="0"/>
              <w:right w:val="single" w:color="auto" w:sz="6" w:space="0"/>
            </w:tcBorders>
          </w:tcPr>
          <w:p w14:paraId="27EF814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14:paraId="674EAB6A">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14:paraId="30D72295">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14:paraId="0BA048C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14:paraId="7367DEF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14:paraId="60073F2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14:paraId="6B94E9AA">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14:paraId="30A5ADC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c>
          <w:tcPr>
            <w:tcW w:w="804" w:type="dxa"/>
            <w:tcBorders>
              <w:top w:val="single" w:color="auto" w:sz="6" w:space="0"/>
              <w:left w:val="single" w:color="auto" w:sz="6" w:space="0"/>
              <w:bottom w:val="single" w:color="auto" w:sz="6" w:space="0"/>
              <w:right w:val="single" w:color="auto" w:sz="6" w:space="0"/>
            </w:tcBorders>
          </w:tcPr>
          <w:p w14:paraId="6AF37F60">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14:paraId="3D97A4E5">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14:paraId="2601F20C">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14:paraId="5CBBBE31">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14:paraId="6923B4C5">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14:paraId="15533C93">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14:paraId="4834A759">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14:paraId="40372797">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804" w:type="dxa"/>
            <w:tcBorders>
              <w:top w:val="single" w:color="auto" w:sz="6" w:space="0"/>
              <w:left w:val="single" w:color="auto" w:sz="6" w:space="0"/>
              <w:bottom w:val="single" w:color="auto" w:sz="6" w:space="0"/>
              <w:right w:val="single" w:color="auto" w:sz="6" w:space="0"/>
            </w:tcBorders>
          </w:tcPr>
          <w:p w14:paraId="6706F5DA">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14:paraId="166A8CBB">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14:paraId="2B6F9C0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14:paraId="0804D16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14:paraId="42A2271B">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14:paraId="4B568C4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14:paraId="4201AFA1">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14:paraId="694B515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09</w:t>
            </w:r>
          </w:p>
        </w:tc>
        <w:tc>
          <w:tcPr>
            <w:tcW w:w="804" w:type="dxa"/>
            <w:tcBorders>
              <w:top w:val="single" w:color="auto" w:sz="6" w:space="0"/>
              <w:left w:val="single" w:color="auto" w:sz="6" w:space="0"/>
              <w:bottom w:val="single" w:color="auto" w:sz="6" w:space="0"/>
              <w:right w:val="single" w:color="auto" w:sz="6" w:space="0"/>
            </w:tcBorders>
          </w:tcPr>
          <w:p w14:paraId="36B79C2E">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14:paraId="312E89F3">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14:paraId="396D5B3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14:paraId="46CDBEFF">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14:paraId="1FA3A0F2">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14:paraId="083D9C2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r w14:paraId="0A25AF58">
        <w:tblPrEx>
          <w:tblCellMar>
            <w:top w:w="0" w:type="dxa"/>
            <w:left w:w="108" w:type="dxa"/>
            <w:bottom w:w="0" w:type="dxa"/>
            <w:right w:w="108" w:type="dxa"/>
          </w:tblCellMar>
        </w:tblPrEx>
        <w:trPr>
          <w:trHeight w:val="473" w:hRule="atLeast"/>
        </w:trPr>
        <w:tc>
          <w:tcPr>
            <w:tcW w:w="1460" w:type="dxa"/>
            <w:tcBorders>
              <w:top w:val="single" w:color="auto" w:sz="6" w:space="0"/>
              <w:left w:val="single" w:color="auto" w:sz="6" w:space="0"/>
              <w:bottom w:val="single" w:color="auto" w:sz="6" w:space="0"/>
              <w:right w:val="single" w:color="auto" w:sz="6" w:space="0"/>
            </w:tcBorders>
          </w:tcPr>
          <w:p w14:paraId="01CA8F4F">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04" w:type="dxa"/>
            <w:tcBorders>
              <w:top w:val="single" w:color="auto" w:sz="6" w:space="0"/>
              <w:left w:val="single" w:color="auto" w:sz="6" w:space="0"/>
              <w:bottom w:val="single" w:color="auto" w:sz="6" w:space="0"/>
              <w:right w:val="single" w:color="auto" w:sz="6" w:space="0"/>
            </w:tcBorders>
          </w:tcPr>
          <w:p w14:paraId="1BFC22BB">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761" w:type="dxa"/>
            <w:tcBorders>
              <w:top w:val="single" w:color="auto" w:sz="6" w:space="0"/>
              <w:left w:val="single" w:color="auto" w:sz="6" w:space="0"/>
              <w:bottom w:val="single" w:color="auto" w:sz="6" w:space="0"/>
              <w:right w:val="single" w:color="auto" w:sz="6" w:space="0"/>
            </w:tcBorders>
          </w:tcPr>
          <w:p w14:paraId="58D3B12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838" w:type="dxa"/>
            <w:tcBorders>
              <w:top w:val="single" w:color="auto" w:sz="6" w:space="0"/>
              <w:left w:val="single" w:color="auto" w:sz="6" w:space="0"/>
              <w:bottom w:val="single" w:color="auto" w:sz="6" w:space="0"/>
              <w:right w:val="single" w:color="auto" w:sz="6" w:space="0"/>
            </w:tcBorders>
          </w:tcPr>
          <w:p w14:paraId="03B8669A">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600" w:type="dxa"/>
            <w:tcBorders>
              <w:top w:val="single" w:color="auto" w:sz="6" w:space="0"/>
              <w:left w:val="single" w:color="auto" w:sz="6" w:space="0"/>
              <w:bottom w:val="single" w:color="auto" w:sz="6" w:space="0"/>
              <w:right w:val="single" w:color="auto" w:sz="6" w:space="0"/>
            </w:tcBorders>
          </w:tcPr>
          <w:p w14:paraId="24CF2B72">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2502" w:type="dxa"/>
            <w:tcBorders>
              <w:top w:val="single" w:color="auto" w:sz="6" w:space="0"/>
              <w:left w:val="single" w:color="auto" w:sz="6" w:space="0"/>
              <w:bottom w:val="single" w:color="auto" w:sz="6" w:space="0"/>
              <w:right w:val="single" w:color="auto" w:sz="6" w:space="0"/>
            </w:tcBorders>
          </w:tcPr>
          <w:p w14:paraId="7DB97AC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c>
          <w:tcPr>
            <w:tcW w:w="1889" w:type="dxa"/>
            <w:tcBorders>
              <w:top w:val="single" w:color="auto" w:sz="6" w:space="0"/>
              <w:left w:val="single" w:color="auto" w:sz="6" w:space="0"/>
              <w:bottom w:val="single" w:color="auto" w:sz="6" w:space="0"/>
              <w:right w:val="single" w:color="auto" w:sz="6" w:space="0"/>
            </w:tcBorders>
          </w:tcPr>
          <w:p w14:paraId="517814C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sz w:val="24"/>
                <w:szCs w:val="24"/>
                <w:highlight w:val="none"/>
              </w:rPr>
            </w:pPr>
          </w:p>
        </w:tc>
      </w:tr>
    </w:tbl>
    <w:p w14:paraId="7AE1C37F">
      <w:pPr>
        <w:spacing w:line="360" w:lineRule="auto"/>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注：供应商按上述的格式编制，随表提交相应的证书复印件并注明所在响应技术文件页码。</w:t>
      </w:r>
    </w:p>
    <w:p w14:paraId="4451153E">
      <w:pPr>
        <w:autoSpaceDE w:val="0"/>
        <w:autoSpaceDN w:val="0"/>
        <w:spacing w:line="360" w:lineRule="auto"/>
        <w:rPr>
          <w:rFonts w:ascii="宋体" w:hAnsi="宋体" w:eastAsia="宋体" w:cs="宋体"/>
          <w:b/>
          <w:color w:val="auto"/>
          <w:sz w:val="24"/>
          <w:szCs w:val="24"/>
          <w:highlight w:val="none"/>
        </w:rPr>
      </w:pPr>
    </w:p>
    <w:p w14:paraId="1810AB7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79F66F2">
      <w:pPr>
        <w:snapToGrid w:val="0"/>
        <w:spacing w:before="120" w:beforeLines="50" w:after="50"/>
        <w:ind w:firstLine="602" w:firstLineChars="20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六、供应商类似项目业绩证明文件</w:t>
      </w:r>
    </w:p>
    <w:p w14:paraId="5FAEF053">
      <w:pPr>
        <w:snapToGrid w:val="0"/>
        <w:ind w:left="480" w:hanging="480" w:hangingChars="200"/>
        <w:rPr>
          <w:rFonts w:ascii="宋体" w:hAnsi="宋体" w:eastAsia="宋体" w:cs="宋体"/>
          <w:color w:val="auto"/>
          <w:sz w:val="24"/>
          <w:szCs w:val="24"/>
          <w:highlight w:val="none"/>
        </w:rPr>
      </w:pPr>
    </w:p>
    <w:p w14:paraId="2E3A8DE9">
      <w:pPr>
        <w:autoSpaceDE w:val="0"/>
        <w:autoSpaceDN w:val="0"/>
        <w:spacing w:line="360" w:lineRule="auto"/>
        <w:ind w:firstLine="12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 :相关项目业绩一览表（格式自拟）</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3"/>
        <w:gridCol w:w="2451"/>
        <w:gridCol w:w="1229"/>
        <w:gridCol w:w="1117"/>
        <w:gridCol w:w="1117"/>
        <w:gridCol w:w="1016"/>
        <w:gridCol w:w="1625"/>
      </w:tblGrid>
      <w:tr w14:paraId="0F487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6" w:hRule="atLeast"/>
          <w:jc w:val="center"/>
        </w:trPr>
        <w:tc>
          <w:tcPr>
            <w:tcW w:w="1883" w:type="dxa"/>
            <w:vMerge w:val="restart"/>
            <w:tcBorders>
              <w:top w:val="single" w:color="auto" w:sz="4" w:space="0"/>
              <w:left w:val="single" w:color="auto" w:sz="4" w:space="0"/>
              <w:bottom w:val="single" w:color="auto" w:sz="4" w:space="0"/>
              <w:right w:val="single" w:color="auto" w:sz="4" w:space="0"/>
            </w:tcBorders>
            <w:vAlign w:val="center"/>
          </w:tcPr>
          <w:p w14:paraId="636AB31F">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tc>
        <w:tc>
          <w:tcPr>
            <w:tcW w:w="2451" w:type="dxa"/>
            <w:vMerge w:val="restart"/>
            <w:tcBorders>
              <w:top w:val="single" w:color="auto" w:sz="4" w:space="0"/>
              <w:left w:val="single" w:color="auto" w:sz="4" w:space="0"/>
              <w:bottom w:val="single" w:color="auto" w:sz="4" w:space="0"/>
              <w:right w:val="single" w:color="auto" w:sz="4" w:space="0"/>
            </w:tcBorders>
            <w:vAlign w:val="center"/>
          </w:tcPr>
          <w:p w14:paraId="3E7D58A3">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29" w:type="dxa"/>
            <w:vMerge w:val="restart"/>
            <w:tcBorders>
              <w:top w:val="single" w:color="auto" w:sz="4" w:space="0"/>
              <w:left w:val="single" w:color="auto" w:sz="4" w:space="0"/>
              <w:bottom w:val="single" w:color="auto" w:sz="4" w:space="0"/>
              <w:right w:val="single" w:color="auto" w:sz="4" w:space="0"/>
            </w:tcBorders>
            <w:vAlign w:val="center"/>
          </w:tcPr>
          <w:p w14:paraId="1CFEB4A2">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14:paraId="11BFD629">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2A21606F">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3250" w:type="dxa"/>
            <w:gridSpan w:val="3"/>
            <w:tcBorders>
              <w:top w:val="single" w:color="auto" w:sz="4" w:space="0"/>
              <w:left w:val="single" w:color="auto" w:sz="4" w:space="0"/>
              <w:bottom w:val="single" w:color="auto" w:sz="4" w:space="0"/>
              <w:right w:val="single" w:color="auto" w:sz="4" w:space="0"/>
            </w:tcBorders>
            <w:vAlign w:val="center"/>
          </w:tcPr>
          <w:p w14:paraId="7CDDA41E">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附件在响应文件中页码</w:t>
            </w:r>
          </w:p>
        </w:tc>
        <w:tc>
          <w:tcPr>
            <w:tcW w:w="1625" w:type="dxa"/>
            <w:vMerge w:val="restart"/>
            <w:tcBorders>
              <w:top w:val="single" w:color="auto" w:sz="4" w:space="0"/>
              <w:left w:val="single" w:color="auto" w:sz="4" w:space="0"/>
              <w:bottom w:val="single" w:color="auto" w:sz="4" w:space="0"/>
              <w:right w:val="single" w:color="auto" w:sz="4" w:space="0"/>
            </w:tcBorders>
            <w:vAlign w:val="center"/>
          </w:tcPr>
          <w:p w14:paraId="3C442E0E">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采购人联系人及</w:t>
            </w:r>
          </w:p>
          <w:p w14:paraId="4E0BAE65">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0B1CA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1883" w:type="dxa"/>
            <w:vMerge w:val="continue"/>
            <w:tcBorders>
              <w:top w:val="single" w:color="auto" w:sz="4" w:space="0"/>
              <w:left w:val="single" w:color="auto" w:sz="4" w:space="0"/>
              <w:bottom w:val="single" w:color="auto" w:sz="4" w:space="0"/>
              <w:right w:val="single" w:color="auto" w:sz="4" w:space="0"/>
            </w:tcBorders>
            <w:vAlign w:val="center"/>
          </w:tcPr>
          <w:p w14:paraId="154449A4">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c>
          <w:tcPr>
            <w:tcW w:w="2451" w:type="dxa"/>
            <w:vMerge w:val="continue"/>
            <w:tcBorders>
              <w:top w:val="single" w:color="auto" w:sz="4" w:space="0"/>
              <w:left w:val="single" w:color="auto" w:sz="4" w:space="0"/>
              <w:bottom w:val="single" w:color="auto" w:sz="4" w:space="0"/>
              <w:right w:val="single" w:color="auto" w:sz="4" w:space="0"/>
            </w:tcBorders>
            <w:vAlign w:val="center"/>
          </w:tcPr>
          <w:p w14:paraId="6CAE26A5">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14:paraId="2054E638">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056E5537">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tc>
        <w:tc>
          <w:tcPr>
            <w:tcW w:w="1117" w:type="dxa"/>
            <w:tcBorders>
              <w:top w:val="single" w:color="auto" w:sz="4" w:space="0"/>
              <w:left w:val="single" w:color="auto" w:sz="4" w:space="0"/>
              <w:bottom w:val="single" w:color="auto" w:sz="4" w:space="0"/>
              <w:right w:val="single" w:color="auto" w:sz="4" w:space="0"/>
            </w:tcBorders>
            <w:vAlign w:val="center"/>
          </w:tcPr>
          <w:p w14:paraId="5F5517C2">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成果报告</w:t>
            </w:r>
          </w:p>
        </w:tc>
        <w:tc>
          <w:tcPr>
            <w:tcW w:w="1016" w:type="dxa"/>
            <w:tcBorders>
              <w:top w:val="single" w:color="auto" w:sz="4" w:space="0"/>
              <w:left w:val="single" w:color="auto" w:sz="4" w:space="0"/>
              <w:bottom w:val="single" w:color="auto" w:sz="4" w:space="0"/>
              <w:right w:val="single" w:color="auto" w:sz="4" w:space="0"/>
            </w:tcBorders>
            <w:vAlign w:val="center"/>
          </w:tcPr>
          <w:p w14:paraId="24034551">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用户评价</w:t>
            </w:r>
          </w:p>
        </w:tc>
        <w:tc>
          <w:tcPr>
            <w:tcW w:w="1625" w:type="dxa"/>
            <w:vMerge w:val="continue"/>
            <w:tcBorders>
              <w:top w:val="single" w:color="auto" w:sz="4" w:space="0"/>
              <w:left w:val="single" w:color="auto" w:sz="4" w:space="0"/>
              <w:bottom w:val="single" w:color="auto" w:sz="4" w:space="0"/>
              <w:right w:val="single" w:color="auto" w:sz="4" w:space="0"/>
            </w:tcBorders>
            <w:vAlign w:val="center"/>
          </w:tcPr>
          <w:p w14:paraId="37B56204">
            <w:pPr>
              <w:keepNext w:val="0"/>
              <w:keepLines w:val="0"/>
              <w:suppressLineNumbers w:val="0"/>
              <w:spacing w:before="0" w:beforeAutospacing="0" w:after="0" w:afterAutospacing="0"/>
              <w:ind w:left="0" w:right="0"/>
              <w:jc w:val="left"/>
              <w:rPr>
                <w:rFonts w:hint="default" w:ascii="宋体" w:hAnsi="宋体" w:eastAsia="宋体" w:cs="宋体"/>
                <w:color w:val="auto"/>
                <w:sz w:val="24"/>
                <w:szCs w:val="24"/>
                <w:highlight w:val="none"/>
              </w:rPr>
            </w:pPr>
          </w:p>
        </w:tc>
      </w:tr>
      <w:tr w14:paraId="1DD81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883" w:type="dxa"/>
            <w:tcBorders>
              <w:top w:val="single" w:color="auto" w:sz="4" w:space="0"/>
              <w:left w:val="single" w:color="auto" w:sz="4" w:space="0"/>
              <w:bottom w:val="single" w:color="auto" w:sz="4" w:space="0"/>
              <w:right w:val="single" w:color="auto" w:sz="4" w:space="0"/>
            </w:tcBorders>
          </w:tcPr>
          <w:p w14:paraId="03612435">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0686D190">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2FF49BD0">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BB3656E">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2753BE7">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56E5FDAB">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0B26BDDE">
            <w:pPr>
              <w:keepNext w:val="0"/>
              <w:keepLines w:val="0"/>
              <w:suppressLineNumbers w:val="0"/>
              <w:snapToGrid w:val="0"/>
              <w:spacing w:before="0" w:beforeAutospacing="0" w:after="0" w:afterAutospacing="0" w:line="240" w:lineRule="exact"/>
              <w:ind w:left="0" w:right="0"/>
              <w:jc w:val="left"/>
              <w:rPr>
                <w:rFonts w:hint="default" w:ascii="宋体" w:hAnsi="宋体" w:eastAsia="宋体" w:cs="宋体"/>
                <w:color w:val="auto"/>
                <w:sz w:val="24"/>
                <w:szCs w:val="24"/>
                <w:highlight w:val="none"/>
              </w:rPr>
            </w:pPr>
          </w:p>
        </w:tc>
      </w:tr>
      <w:tr w14:paraId="205D3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883" w:type="dxa"/>
            <w:tcBorders>
              <w:top w:val="single" w:color="auto" w:sz="4" w:space="0"/>
              <w:left w:val="single" w:color="auto" w:sz="4" w:space="0"/>
              <w:bottom w:val="single" w:color="auto" w:sz="4" w:space="0"/>
              <w:right w:val="single" w:color="auto" w:sz="4" w:space="0"/>
            </w:tcBorders>
          </w:tcPr>
          <w:p w14:paraId="714510F8">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34151A9A">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3168A953">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22265B13">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E57FEC6">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166B2BEC">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31403CB8">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r>
      <w:tr w14:paraId="6C850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883" w:type="dxa"/>
            <w:tcBorders>
              <w:top w:val="single" w:color="auto" w:sz="4" w:space="0"/>
              <w:left w:val="single" w:color="auto" w:sz="4" w:space="0"/>
              <w:bottom w:val="single" w:color="auto" w:sz="4" w:space="0"/>
              <w:right w:val="single" w:color="auto" w:sz="4" w:space="0"/>
            </w:tcBorders>
          </w:tcPr>
          <w:p w14:paraId="7931B43B">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247D25E0">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645A6224">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6D7F2F1">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59B6AC3">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3C9A2335">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4F487C5A">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r>
      <w:tr w14:paraId="51426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883" w:type="dxa"/>
            <w:tcBorders>
              <w:top w:val="single" w:color="auto" w:sz="4" w:space="0"/>
              <w:left w:val="single" w:color="auto" w:sz="4" w:space="0"/>
              <w:bottom w:val="single" w:color="auto" w:sz="4" w:space="0"/>
              <w:right w:val="single" w:color="auto" w:sz="4" w:space="0"/>
            </w:tcBorders>
          </w:tcPr>
          <w:p w14:paraId="579A0741">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3E0536A2">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735097BA">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23C99908">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40A90F7A">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6E766838">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20AD1D12">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r>
      <w:tr w14:paraId="60713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883" w:type="dxa"/>
            <w:tcBorders>
              <w:top w:val="single" w:color="auto" w:sz="4" w:space="0"/>
              <w:left w:val="single" w:color="auto" w:sz="4" w:space="0"/>
              <w:bottom w:val="single" w:color="auto" w:sz="4" w:space="0"/>
              <w:right w:val="single" w:color="auto" w:sz="4" w:space="0"/>
            </w:tcBorders>
          </w:tcPr>
          <w:p w14:paraId="1617553C">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0E977A1A">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229" w:type="dxa"/>
            <w:tcBorders>
              <w:top w:val="single" w:color="auto" w:sz="4" w:space="0"/>
              <w:left w:val="single" w:color="auto" w:sz="4" w:space="0"/>
              <w:bottom w:val="single" w:color="auto" w:sz="4" w:space="0"/>
              <w:right w:val="single" w:color="auto" w:sz="4" w:space="0"/>
            </w:tcBorders>
          </w:tcPr>
          <w:p w14:paraId="5678A6B2">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397B9140">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19BB9E94">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016" w:type="dxa"/>
            <w:tcBorders>
              <w:top w:val="single" w:color="auto" w:sz="4" w:space="0"/>
              <w:left w:val="single" w:color="auto" w:sz="4" w:space="0"/>
              <w:bottom w:val="single" w:color="auto" w:sz="4" w:space="0"/>
              <w:right w:val="single" w:color="auto" w:sz="4" w:space="0"/>
            </w:tcBorders>
          </w:tcPr>
          <w:p w14:paraId="4A1D2BCF">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tcPr>
          <w:p w14:paraId="5C27C36E">
            <w:pPr>
              <w:keepNext w:val="0"/>
              <w:keepLines w:val="0"/>
              <w:suppressLineNumbers w:val="0"/>
              <w:snapToGrid w:val="0"/>
              <w:spacing w:before="50" w:beforeAutospacing="0" w:after="120" w:afterLines="50" w:afterAutospacing="0" w:line="400" w:lineRule="exact"/>
              <w:ind w:left="0" w:right="0"/>
              <w:jc w:val="left"/>
              <w:rPr>
                <w:rFonts w:hint="default" w:ascii="宋体" w:hAnsi="宋体" w:eastAsia="宋体" w:cs="宋体"/>
                <w:color w:val="auto"/>
                <w:sz w:val="24"/>
                <w:szCs w:val="24"/>
                <w:highlight w:val="none"/>
              </w:rPr>
            </w:pPr>
          </w:p>
        </w:tc>
      </w:tr>
    </w:tbl>
    <w:p w14:paraId="24FAF535">
      <w:pPr>
        <w:spacing w:line="360" w:lineRule="auto"/>
        <w:ind w:left="72"/>
        <w:rPr>
          <w:rFonts w:ascii="宋体" w:hAnsi="宋体" w:eastAsia="宋体" w:cs="宋体"/>
          <w:color w:val="auto"/>
          <w:szCs w:val="20"/>
          <w:highlight w:val="none"/>
        </w:rPr>
      </w:pPr>
      <w:r>
        <w:rPr>
          <w:rFonts w:hint="eastAsia" w:ascii="宋体" w:hAnsi="宋体" w:eastAsia="宋体" w:cs="宋体"/>
          <w:color w:val="auto"/>
          <w:szCs w:val="20"/>
          <w:highlight w:val="none"/>
        </w:rPr>
        <w:t>注：供应商可按上述的格式自行编制，须随表提交相应的协议或合同复印件并注明所在供应商商务技术文件页码。</w:t>
      </w:r>
    </w:p>
    <w:p w14:paraId="578E7815">
      <w:pPr>
        <w:snapToGrid w:val="0"/>
        <w:spacing w:line="360" w:lineRule="auto"/>
        <w:ind w:firstLine="4935" w:firstLineChars="235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58109CB">
      <w:pPr>
        <w:snapToGrid w:val="0"/>
        <w:spacing w:line="360" w:lineRule="auto"/>
        <w:ind w:firstLine="4935" w:firstLineChars="2350"/>
        <w:rPr>
          <w:rFonts w:ascii="宋体" w:hAnsi="宋体" w:eastAsia="宋体" w:cs="宋体"/>
          <w:color w:val="auto"/>
          <w:szCs w:val="21"/>
          <w:highlight w:val="none"/>
        </w:rPr>
      </w:pPr>
    </w:p>
    <w:p w14:paraId="283EDF82">
      <w:pPr>
        <w:snapToGrid w:val="0"/>
        <w:spacing w:line="360" w:lineRule="auto"/>
        <w:ind w:firstLine="10080" w:firstLineChars="480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供应商名称(电子签章)：</w:t>
      </w:r>
    </w:p>
    <w:p w14:paraId="1BC9EA48">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1FBFB8DD">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398690FB">
      <w:pPr>
        <w:spacing w:line="360" w:lineRule="auto"/>
        <w:rPr>
          <w:rFonts w:ascii="宋体" w:hAnsi="宋体" w:eastAsia="宋体" w:cs="宋体"/>
          <w:b/>
          <w:bCs/>
          <w:color w:val="auto"/>
          <w:sz w:val="30"/>
          <w:szCs w:val="30"/>
          <w:highlight w:val="none"/>
        </w:rPr>
      </w:pPr>
      <w:bookmarkStart w:id="349" w:name="_Toc7726"/>
      <w:bookmarkStart w:id="350" w:name="_Toc31749"/>
      <w:bookmarkStart w:id="351" w:name="_Toc19686839"/>
      <w:bookmarkStart w:id="352" w:name="_Toc80093014"/>
      <w:r>
        <w:rPr>
          <w:rFonts w:hint="eastAsia" w:ascii="宋体" w:hAnsi="宋体" w:eastAsia="宋体" w:cs="宋体"/>
          <w:b/>
          <w:bCs/>
          <w:color w:val="auto"/>
          <w:sz w:val="30"/>
          <w:szCs w:val="30"/>
          <w:highlight w:val="none"/>
        </w:rPr>
        <w:t>七、企业信誉（或供应商实力）证明文件</w:t>
      </w:r>
      <w:bookmarkEnd w:id="349"/>
      <w:bookmarkEnd w:id="350"/>
    </w:p>
    <w:p w14:paraId="4DF212ED">
      <w:pPr>
        <w:spacing w:line="360" w:lineRule="auto"/>
        <w:ind w:firstLine="590" w:firstLineChars="245"/>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供应商结合自身情况提交相应证明材料。</w:t>
      </w:r>
    </w:p>
    <w:p w14:paraId="652995EF">
      <w:pPr>
        <w:snapToGrid w:val="0"/>
        <w:spacing w:line="360" w:lineRule="auto"/>
        <w:ind w:firstLine="5640" w:firstLineChars="2350"/>
        <w:rPr>
          <w:rFonts w:ascii="宋体" w:hAnsi="宋体" w:eastAsia="宋体" w:cs="宋体"/>
          <w:color w:val="auto"/>
          <w:kern w:val="0"/>
          <w:sz w:val="24"/>
          <w:szCs w:val="24"/>
          <w:highlight w:val="none"/>
          <w:lang w:val="zh-CN"/>
        </w:rPr>
      </w:pPr>
    </w:p>
    <w:p w14:paraId="17DCBC64">
      <w:pPr>
        <w:snapToGrid w:val="0"/>
        <w:spacing w:line="360" w:lineRule="auto"/>
        <w:ind w:firstLine="5640" w:firstLineChars="2350"/>
        <w:rPr>
          <w:rFonts w:ascii="宋体" w:hAnsi="宋体" w:eastAsia="宋体" w:cs="宋体"/>
          <w:color w:val="auto"/>
          <w:kern w:val="0"/>
          <w:sz w:val="24"/>
          <w:szCs w:val="24"/>
          <w:highlight w:val="none"/>
          <w:lang w:val="zh-CN"/>
        </w:rPr>
      </w:pPr>
    </w:p>
    <w:p w14:paraId="2FE15EF1">
      <w:pPr>
        <w:snapToGrid w:val="0"/>
        <w:spacing w:line="360" w:lineRule="auto"/>
        <w:ind w:firstLine="5640" w:firstLineChars="2350"/>
        <w:rPr>
          <w:rFonts w:ascii="宋体" w:hAnsi="宋体" w:eastAsia="宋体" w:cs="宋体"/>
          <w:color w:val="auto"/>
          <w:kern w:val="0"/>
          <w:sz w:val="24"/>
          <w:szCs w:val="24"/>
          <w:highlight w:val="none"/>
          <w:lang w:val="zh-CN"/>
        </w:rPr>
      </w:pPr>
    </w:p>
    <w:p w14:paraId="3551A9D9">
      <w:pPr>
        <w:snapToGrid w:val="0"/>
        <w:spacing w:line="360" w:lineRule="auto"/>
        <w:ind w:firstLine="5640" w:firstLineChars="2350"/>
        <w:rPr>
          <w:rFonts w:ascii="宋体" w:hAnsi="宋体" w:eastAsia="宋体" w:cs="宋体"/>
          <w:color w:val="auto"/>
          <w:kern w:val="0"/>
          <w:sz w:val="24"/>
          <w:szCs w:val="24"/>
          <w:highlight w:val="none"/>
          <w:lang w:val="zh-CN"/>
        </w:rPr>
      </w:pPr>
    </w:p>
    <w:p w14:paraId="6F406A61">
      <w:pPr>
        <w:snapToGrid w:val="0"/>
        <w:spacing w:line="360" w:lineRule="auto"/>
        <w:ind w:firstLine="5640" w:firstLineChars="2350"/>
        <w:rPr>
          <w:rFonts w:ascii="宋体" w:hAnsi="宋体" w:eastAsia="宋体" w:cs="宋体"/>
          <w:color w:val="auto"/>
          <w:kern w:val="0"/>
          <w:sz w:val="24"/>
          <w:szCs w:val="24"/>
          <w:highlight w:val="none"/>
          <w:lang w:val="zh-CN"/>
        </w:rPr>
      </w:pPr>
    </w:p>
    <w:p w14:paraId="3E425B87">
      <w:pPr>
        <w:snapToGrid w:val="0"/>
        <w:spacing w:line="360" w:lineRule="auto"/>
        <w:ind w:firstLine="5640" w:firstLineChars="23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14:paraId="2053A25E">
      <w:pPr>
        <w:snapToGrid w:val="0"/>
        <w:spacing w:line="360" w:lineRule="auto"/>
        <w:ind w:firstLine="5760" w:firstLineChars="24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1D0BF4EB">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19157C7A">
      <w:pPr>
        <w:snapToGrid w:val="0"/>
        <w:spacing w:before="120" w:beforeLines="50" w:after="50"/>
        <w:ind w:firstLine="0" w:firstLineChars="0"/>
        <w:jc w:val="both"/>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八、供应商认为需要的其他商务文件或说明</w:t>
      </w:r>
    </w:p>
    <w:p w14:paraId="41541CC0">
      <w:pPr>
        <w:snapToGrid w:val="0"/>
        <w:spacing w:before="120" w:beforeLines="50" w:after="50"/>
        <w:ind w:firstLine="602" w:firstLineChars="200"/>
        <w:jc w:val="center"/>
        <w:rPr>
          <w:rFonts w:ascii="宋体" w:hAnsi="宋体" w:eastAsia="宋体" w:cs="宋体"/>
          <w:b/>
          <w:bCs/>
          <w:color w:val="auto"/>
          <w:sz w:val="30"/>
          <w:szCs w:val="30"/>
          <w:highlight w:val="none"/>
        </w:rPr>
      </w:pPr>
    </w:p>
    <w:p w14:paraId="792C4E7F">
      <w:pPr>
        <w:spacing w:line="360" w:lineRule="auto"/>
        <w:ind w:firstLine="590" w:firstLineChars="245"/>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供应商可结合自身情况提供。</w:t>
      </w:r>
    </w:p>
    <w:p w14:paraId="344EB998">
      <w:pPr>
        <w:jc w:val="center"/>
        <w:rPr>
          <w:rFonts w:ascii="宋体" w:hAnsi="宋体" w:eastAsia="宋体" w:cs="宋体"/>
          <w:b/>
          <w:bCs/>
          <w:color w:val="auto"/>
          <w:sz w:val="30"/>
          <w:szCs w:val="30"/>
          <w:highlight w:val="none"/>
        </w:rPr>
      </w:pPr>
    </w:p>
    <w:p w14:paraId="2B7B4C09">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w:t>
      </w:r>
    </w:p>
    <w:p w14:paraId="2A6988CA">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14:paraId="3F57AFB9">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14:paraId="556E575C">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14:paraId="37DB66E9">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14:paraId="58F3E5A7">
      <w:pPr>
        <w:snapToGrid w:val="0"/>
        <w:spacing w:line="360" w:lineRule="auto"/>
        <w:ind w:left="3950" w:leftChars="1881" w:firstLine="7560" w:firstLineChars="3150"/>
        <w:rPr>
          <w:rFonts w:ascii="宋体" w:hAnsi="宋体" w:eastAsia="宋体" w:cs="宋体"/>
          <w:color w:val="auto"/>
          <w:kern w:val="0"/>
          <w:sz w:val="24"/>
          <w:szCs w:val="24"/>
          <w:highlight w:val="none"/>
          <w:lang w:val="zh-CN"/>
        </w:rPr>
      </w:pPr>
    </w:p>
    <w:p w14:paraId="51C02D73">
      <w:pPr>
        <w:snapToGrid w:val="0"/>
        <w:spacing w:line="360" w:lineRule="auto"/>
        <w:ind w:left="3950" w:leftChars="1881" w:firstLine="7560" w:firstLineChars="31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14:paraId="5D85247D">
      <w:pPr>
        <w:jc w:val="center"/>
        <w:outlineLvl w:val="1"/>
        <w:rPr>
          <w:rFonts w:ascii="宋体" w:hAnsi="宋体" w:eastAsia="宋体" w:cs="宋体"/>
          <w:b/>
          <w:bCs/>
          <w:color w:val="auto"/>
          <w:sz w:val="30"/>
          <w:szCs w:val="30"/>
          <w:highlight w:val="none"/>
        </w:rPr>
      </w:pPr>
      <w:r>
        <w:rPr>
          <w:rFonts w:hint="eastAsia" w:ascii="宋体" w:hAnsi="宋体" w:eastAsia="宋体" w:cs="宋体"/>
          <w:color w:val="auto"/>
          <w:kern w:val="0"/>
          <w:sz w:val="24"/>
          <w:szCs w:val="20"/>
          <w:highlight w:val="none"/>
        </w:rPr>
        <w:t xml:space="preserve">    </w:t>
      </w:r>
      <w:bookmarkStart w:id="353" w:name="_Toc1548"/>
      <w:bookmarkStart w:id="354" w:name="_Toc21380"/>
      <w:bookmarkStart w:id="355" w:name="_Toc27775"/>
      <w:bookmarkStart w:id="356" w:name="_Toc29173"/>
      <w:bookmarkStart w:id="357" w:name="_Toc144971863"/>
      <w:bookmarkStart w:id="358" w:name="_Toc13528"/>
      <w:bookmarkStart w:id="359" w:name="_Toc3481"/>
      <w:bookmarkStart w:id="360" w:name="_Toc7267"/>
      <w:r>
        <w:rPr>
          <w:rFonts w:hint="eastAsia" w:ascii="宋体" w:hAnsi="宋体" w:eastAsia="宋体" w:cs="宋体"/>
          <w:color w:val="auto"/>
          <w:kern w:val="0"/>
          <w:sz w:val="24"/>
          <w:szCs w:val="20"/>
          <w:highlight w:val="none"/>
          <w:lang w:val="zh-CN"/>
        </w:rPr>
        <w:t>日期</w:t>
      </w:r>
      <w:r>
        <w:rPr>
          <w:rFonts w:hint="eastAsia" w:ascii="宋体" w:hAnsi="宋体" w:eastAsia="宋体" w:cs="宋体"/>
          <w:color w:val="auto"/>
          <w:kern w:val="0"/>
          <w:sz w:val="24"/>
          <w:szCs w:val="20"/>
          <w:highlight w:val="none"/>
        </w:rPr>
        <w:t xml:space="preserve">：  年  </w:t>
      </w:r>
      <w:r>
        <w:rPr>
          <w:rFonts w:hint="eastAsia" w:ascii="宋体" w:hAnsi="宋体" w:eastAsia="宋体" w:cs="宋体"/>
          <w:color w:val="auto"/>
          <w:kern w:val="0"/>
          <w:sz w:val="24"/>
          <w:szCs w:val="20"/>
          <w:highlight w:val="none"/>
          <w:lang w:val="zh-CN"/>
        </w:rPr>
        <w:t>月</w:t>
      </w: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 w:val="24"/>
          <w:szCs w:val="20"/>
          <w:highlight w:val="none"/>
          <w:lang w:val="zh-CN"/>
        </w:rPr>
        <w:t>日</w:t>
      </w:r>
      <w:bookmarkEnd w:id="353"/>
      <w:bookmarkEnd w:id="354"/>
      <w:bookmarkEnd w:id="355"/>
      <w:bookmarkEnd w:id="356"/>
      <w:bookmarkEnd w:id="357"/>
      <w:bookmarkEnd w:id="358"/>
      <w:bookmarkEnd w:id="359"/>
      <w:bookmarkEnd w:id="360"/>
    </w:p>
    <w:p w14:paraId="52C95377">
      <w:pPr>
        <w:jc w:val="center"/>
        <w:outlineLvl w:val="1"/>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bookmarkStart w:id="361" w:name="_Toc2085"/>
      <w:bookmarkStart w:id="362" w:name="_Toc11645"/>
      <w:bookmarkStart w:id="363" w:name="_Toc10296"/>
      <w:bookmarkStart w:id="364" w:name="_Toc24969"/>
      <w:bookmarkStart w:id="365" w:name="_Toc6590"/>
      <w:bookmarkStart w:id="366" w:name="_Toc5007"/>
      <w:r>
        <w:rPr>
          <w:rFonts w:hint="eastAsia" w:ascii="宋体" w:hAnsi="宋体" w:eastAsia="宋体" w:cs="宋体"/>
          <w:b/>
          <w:bCs/>
          <w:color w:val="auto"/>
          <w:sz w:val="28"/>
          <w:szCs w:val="28"/>
          <w:highlight w:val="none"/>
        </w:rPr>
        <w:t>第四节 技术文件格式</w:t>
      </w:r>
      <w:bookmarkEnd w:id="351"/>
      <w:bookmarkEnd w:id="352"/>
      <w:bookmarkEnd w:id="361"/>
      <w:bookmarkEnd w:id="362"/>
      <w:bookmarkEnd w:id="363"/>
      <w:bookmarkEnd w:id="364"/>
      <w:bookmarkEnd w:id="365"/>
      <w:bookmarkEnd w:id="366"/>
    </w:p>
    <w:p w14:paraId="5EBEBB50">
      <w:pPr>
        <w:snapToGrid w:val="0"/>
        <w:spacing w:before="120" w:beforeLines="50" w:after="50"/>
        <w:rPr>
          <w:rFonts w:ascii="宋体" w:hAnsi="宋体" w:eastAsia="宋体" w:cs="宋体"/>
          <w:bCs/>
          <w:color w:val="auto"/>
          <w:sz w:val="32"/>
          <w:szCs w:val="20"/>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Cs w:val="24"/>
          <w:highlight w:val="none"/>
        </w:rPr>
        <w:t>电子响应文件</w:t>
      </w:r>
    </w:p>
    <w:p w14:paraId="237BE68D">
      <w:pPr>
        <w:snapToGrid w:val="0"/>
        <w:spacing w:before="120" w:beforeLines="50" w:after="50"/>
        <w:rPr>
          <w:rFonts w:ascii="宋体" w:hAnsi="宋体" w:eastAsia="宋体" w:cs="宋体"/>
          <w:color w:val="auto"/>
          <w:sz w:val="24"/>
          <w:szCs w:val="20"/>
          <w:highlight w:val="none"/>
        </w:rPr>
      </w:pPr>
    </w:p>
    <w:p w14:paraId="2FD355B6">
      <w:pPr>
        <w:snapToGrid w:val="0"/>
        <w:spacing w:before="120" w:beforeLines="50" w:after="50"/>
        <w:jc w:val="center"/>
        <w:rPr>
          <w:rFonts w:ascii="宋体" w:hAnsi="宋体" w:eastAsia="宋体" w:cs="宋体"/>
          <w:b/>
          <w:bCs/>
          <w:color w:val="auto"/>
          <w:sz w:val="32"/>
          <w:szCs w:val="32"/>
          <w:highlight w:val="none"/>
        </w:rPr>
      </w:pPr>
    </w:p>
    <w:p w14:paraId="5336A5C2">
      <w:pPr>
        <w:snapToGrid w:val="0"/>
        <w:spacing w:before="120" w:beforeLines="50" w:after="50"/>
        <w:jc w:val="center"/>
        <w:rPr>
          <w:rFonts w:ascii="宋体" w:hAnsi="宋体" w:eastAsia="宋体" w:cs="宋体"/>
          <w:b/>
          <w:bCs/>
          <w:color w:val="auto"/>
          <w:sz w:val="32"/>
          <w:szCs w:val="32"/>
          <w:highlight w:val="none"/>
        </w:rPr>
      </w:pPr>
    </w:p>
    <w:p w14:paraId="6D72381C">
      <w:pPr>
        <w:snapToGrid w:val="0"/>
        <w:spacing w:before="120" w:beforeLines="50" w:after="50"/>
        <w:jc w:val="center"/>
        <w:rPr>
          <w:rFonts w:ascii="宋体" w:hAnsi="宋体" w:eastAsia="宋体" w:cs="宋体"/>
          <w:b/>
          <w:bCs/>
          <w:color w:val="auto"/>
          <w:sz w:val="32"/>
          <w:szCs w:val="32"/>
          <w:highlight w:val="none"/>
        </w:rPr>
      </w:pPr>
    </w:p>
    <w:p w14:paraId="3DC2460B">
      <w:pPr>
        <w:snapToGrid w:val="0"/>
        <w:spacing w:before="120" w:beforeLines="50" w:after="5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14:paraId="48774466">
      <w:pPr>
        <w:snapToGrid w:val="0"/>
        <w:spacing w:before="120" w:beforeLines="50" w:after="50"/>
        <w:rPr>
          <w:rFonts w:ascii="宋体" w:hAnsi="宋体" w:eastAsia="宋体" w:cs="宋体"/>
          <w:bCs/>
          <w:color w:val="auto"/>
          <w:sz w:val="24"/>
          <w:szCs w:val="20"/>
          <w:highlight w:val="none"/>
        </w:rPr>
      </w:pPr>
    </w:p>
    <w:p w14:paraId="14FAFEA3">
      <w:pPr>
        <w:snapToGrid w:val="0"/>
        <w:spacing w:before="120" w:beforeLines="50" w:after="50" w:line="400" w:lineRule="exact"/>
        <w:ind w:firstLine="360" w:firstLineChars="150"/>
        <w:rPr>
          <w:rFonts w:ascii="宋体" w:hAnsi="宋体" w:eastAsia="宋体" w:cs="宋体"/>
          <w:bCs/>
          <w:color w:val="auto"/>
          <w:sz w:val="24"/>
          <w:szCs w:val="20"/>
          <w:highlight w:val="none"/>
        </w:rPr>
      </w:pPr>
      <w:r>
        <w:rPr>
          <w:rFonts w:hint="eastAsia" w:ascii="宋体" w:hAnsi="宋体" w:eastAsia="宋体" w:cs="宋体"/>
          <w:bCs/>
          <w:color w:val="auto"/>
          <w:sz w:val="24"/>
          <w:szCs w:val="24"/>
          <w:highlight w:val="none"/>
        </w:rPr>
        <w:t xml:space="preserve">项目名称： </w:t>
      </w:r>
    </w:p>
    <w:p w14:paraId="33748010">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项目编号： </w:t>
      </w:r>
    </w:p>
    <w:p w14:paraId="1A90B7D8">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14:paraId="35952844">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供应商地址：</w:t>
      </w:r>
    </w:p>
    <w:p w14:paraId="3BF24AD2">
      <w:pPr>
        <w:snapToGrid w:val="0"/>
        <w:spacing w:before="120" w:beforeLines="50" w:after="50"/>
        <w:ind w:firstLine="645"/>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FDDD473">
      <w:pPr>
        <w:snapToGrid w:val="0"/>
        <w:spacing w:before="120" w:beforeLines="50" w:after="50"/>
        <w:ind w:firstLine="645"/>
        <w:jc w:val="center"/>
        <w:rPr>
          <w:rFonts w:ascii="宋体" w:hAnsi="宋体" w:eastAsia="宋体" w:cs="宋体"/>
          <w:color w:val="auto"/>
          <w:sz w:val="24"/>
          <w:szCs w:val="20"/>
          <w:highlight w:val="none"/>
        </w:rPr>
      </w:pPr>
    </w:p>
    <w:p w14:paraId="7AF90A8F">
      <w:pPr>
        <w:jc w:val="center"/>
        <w:rPr>
          <w:rFonts w:ascii="宋体" w:hAnsi="宋体" w:eastAsia="宋体" w:cs="宋体"/>
          <w:b/>
          <w:color w:val="auto"/>
          <w:kern w:val="0"/>
          <w:sz w:val="28"/>
          <w:szCs w:val="28"/>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color w:val="auto"/>
          <w:kern w:val="0"/>
          <w:sz w:val="28"/>
          <w:szCs w:val="28"/>
          <w:highlight w:val="none"/>
        </w:rPr>
        <w:t>技术文件目录</w:t>
      </w:r>
    </w:p>
    <w:p w14:paraId="7DA08B20">
      <w:pPr>
        <w:adjustRightInd w:val="0"/>
        <w:spacing w:line="360" w:lineRule="auto"/>
        <w:ind w:left="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一、响应服务技术需求偏离表…………………………………………………（页码）</w:t>
      </w:r>
    </w:p>
    <w:p w14:paraId="34ABD0C0">
      <w:pPr>
        <w:adjustRightInd w:val="0"/>
        <w:spacing w:line="360" w:lineRule="auto"/>
        <w:ind w:left="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二、实施方案…………………………………………………………………（页码）</w:t>
      </w:r>
    </w:p>
    <w:p w14:paraId="6B1C082C">
      <w:pPr>
        <w:adjustRightInd w:val="0"/>
        <w:spacing w:line="360" w:lineRule="auto"/>
        <w:ind w:left="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三、服务承诺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208ACED1">
      <w:pPr>
        <w:adjustRightInd w:val="0"/>
        <w:spacing w:line="360" w:lineRule="auto"/>
        <w:ind w:left="2"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认为需要的其他技术文件或说明（如有）</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（页码）</w:t>
      </w:r>
    </w:p>
    <w:p w14:paraId="2A960C2C">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注：以上目录是基本格式要求，各供应商可根据自身情况进一步向下增加内容或细化。</w:t>
      </w:r>
    </w:p>
    <w:p w14:paraId="17F29688">
      <w:pPr>
        <w:snapToGrid w:val="0"/>
        <w:spacing w:before="120" w:beforeLines="50" w:after="50"/>
        <w:ind w:left="143" w:leftChars="68" w:firstLine="472" w:firstLineChars="196"/>
        <w:jc w:val="left"/>
        <w:rPr>
          <w:rFonts w:ascii="宋体" w:hAnsi="宋体" w:eastAsia="宋体" w:cs="宋体"/>
          <w:b/>
          <w:color w:val="auto"/>
          <w:sz w:val="24"/>
          <w:szCs w:val="24"/>
          <w:highlight w:val="none"/>
        </w:rPr>
      </w:pPr>
    </w:p>
    <w:p w14:paraId="7FDAD17F">
      <w:pPr>
        <w:snapToGrid w:val="0"/>
        <w:spacing w:before="120" w:beforeLines="50" w:after="50"/>
        <w:jc w:val="center"/>
        <w:rPr>
          <w:rFonts w:ascii="宋体" w:hAnsi="宋体" w:eastAsia="宋体" w:cs="宋体"/>
          <w:b/>
          <w:bCs/>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sz w:val="30"/>
          <w:szCs w:val="30"/>
          <w:highlight w:val="none"/>
        </w:rPr>
        <w:t>一、响应服务技术需求偏离表</w:t>
      </w:r>
    </w:p>
    <w:p w14:paraId="4BB95C6F">
      <w:pPr>
        <w:spacing w:line="440" w:lineRule="exact"/>
        <w:ind w:firstLine="420" w:firstLineChars="200"/>
        <w:rPr>
          <w:rFonts w:ascii="宋体" w:hAnsi="宋体" w:eastAsia="宋体" w:cs="宋体"/>
          <w:color w:val="auto"/>
          <w:szCs w:val="20"/>
          <w:highlight w:val="none"/>
        </w:rPr>
      </w:pPr>
    </w:p>
    <w:p w14:paraId="554E85FD">
      <w:pPr>
        <w:spacing w:line="6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请根据所投服务的实际技术参数，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szCs w:val="24"/>
          <w:highlight w:val="none"/>
        </w:rPr>
        <w:t>本项目征集文件第二章“服务需求一览表”中的</w:t>
      </w:r>
      <w:r>
        <w:rPr>
          <w:rFonts w:hint="eastAsia" w:ascii="宋体" w:hAnsi="宋体" w:eastAsia="宋体" w:cs="宋体"/>
          <w:b/>
          <w:color w:val="auto"/>
          <w:sz w:val="28"/>
          <w:szCs w:val="28"/>
          <w:highlight w:val="none"/>
        </w:rPr>
        <w:t>服务参数</w:t>
      </w:r>
      <w:r>
        <w:rPr>
          <w:rFonts w:hint="eastAsia" w:ascii="宋体" w:hAnsi="宋体" w:eastAsia="宋体" w:cs="宋体"/>
          <w:color w:val="auto"/>
          <w:sz w:val="24"/>
          <w:szCs w:val="24"/>
          <w:highlight w:val="none"/>
        </w:rPr>
        <w:t>详细填写相应的具体内容。“偏离说明”一栏应当选择“正偏离”、“负偏离”或“无偏离”进行填写。</w:t>
      </w:r>
    </w:p>
    <w:tbl>
      <w:tblPr>
        <w:tblStyle w:val="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217"/>
        <w:gridCol w:w="2234"/>
        <w:gridCol w:w="1466"/>
        <w:gridCol w:w="3187"/>
        <w:gridCol w:w="1133"/>
      </w:tblGrid>
      <w:tr w14:paraId="5F90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311" w:type="pct"/>
            <w:vMerge w:val="restart"/>
            <w:tcBorders>
              <w:top w:val="single" w:color="auto" w:sz="4" w:space="0"/>
              <w:left w:val="single" w:color="auto" w:sz="4" w:space="0"/>
              <w:bottom w:val="single" w:color="auto" w:sz="4" w:space="0"/>
              <w:right w:val="single" w:color="auto" w:sz="4" w:space="0"/>
            </w:tcBorders>
            <w:vAlign w:val="center"/>
          </w:tcPr>
          <w:p w14:paraId="5FA9F7DB">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752" w:type="pct"/>
            <w:gridSpan w:val="2"/>
            <w:tcBorders>
              <w:top w:val="single" w:color="auto" w:sz="4" w:space="0"/>
              <w:left w:val="single" w:color="auto" w:sz="4" w:space="0"/>
              <w:bottom w:val="single" w:color="auto" w:sz="4" w:space="0"/>
              <w:right w:val="single" w:color="auto" w:sz="4" w:space="0"/>
            </w:tcBorders>
            <w:vAlign w:val="center"/>
          </w:tcPr>
          <w:p w14:paraId="49C5BC1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征集文件需求</w:t>
            </w:r>
          </w:p>
        </w:tc>
        <w:tc>
          <w:tcPr>
            <w:tcW w:w="2362" w:type="pct"/>
            <w:gridSpan w:val="2"/>
            <w:tcBorders>
              <w:top w:val="single" w:color="auto" w:sz="4" w:space="0"/>
              <w:left w:val="single" w:color="auto" w:sz="4" w:space="0"/>
              <w:bottom w:val="single" w:color="auto" w:sz="4" w:space="0"/>
              <w:right w:val="single" w:color="auto" w:sz="4" w:space="0"/>
            </w:tcBorders>
            <w:vAlign w:val="center"/>
          </w:tcPr>
          <w:p w14:paraId="131B53E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573" w:type="pct"/>
            <w:vMerge w:val="restart"/>
            <w:tcBorders>
              <w:top w:val="single" w:color="auto" w:sz="4" w:space="0"/>
              <w:left w:val="single" w:color="auto" w:sz="4" w:space="0"/>
              <w:bottom w:val="single" w:color="auto" w:sz="4" w:space="0"/>
              <w:right w:val="single" w:color="auto" w:sz="4" w:space="0"/>
            </w:tcBorders>
            <w:vAlign w:val="center"/>
          </w:tcPr>
          <w:p w14:paraId="409CF2F8">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4CC6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311" w:type="pct"/>
            <w:vMerge w:val="continue"/>
            <w:tcBorders>
              <w:top w:val="single" w:color="auto" w:sz="4" w:space="0"/>
              <w:left w:val="single" w:color="auto" w:sz="4" w:space="0"/>
              <w:bottom w:val="single" w:color="auto" w:sz="4" w:space="0"/>
              <w:right w:val="single" w:color="auto" w:sz="4" w:space="0"/>
            </w:tcBorders>
            <w:vAlign w:val="center"/>
          </w:tcPr>
          <w:p w14:paraId="6293EA99">
            <w:pPr>
              <w:keepNext w:val="0"/>
              <w:keepLines w:val="0"/>
              <w:widowControl/>
              <w:suppressLineNumbers w:val="0"/>
              <w:spacing w:before="0" w:beforeAutospacing="0" w:after="0" w:afterAutospacing="0"/>
              <w:ind w:left="0" w:right="0"/>
              <w:jc w:val="left"/>
              <w:rPr>
                <w:rFonts w:hint="default" w:ascii="宋体" w:hAnsi="宋体" w:eastAsia="宋体" w:cs="宋体"/>
                <w:color w:val="auto"/>
                <w:szCs w:val="21"/>
                <w:highlight w:val="none"/>
              </w:rPr>
            </w:pPr>
          </w:p>
        </w:tc>
        <w:tc>
          <w:tcPr>
            <w:tcW w:w="618" w:type="pct"/>
            <w:tcBorders>
              <w:top w:val="single" w:color="auto" w:sz="4" w:space="0"/>
              <w:left w:val="single" w:color="auto" w:sz="4" w:space="0"/>
              <w:bottom w:val="single" w:color="auto" w:sz="4" w:space="0"/>
              <w:right w:val="single" w:color="auto" w:sz="4" w:space="0"/>
            </w:tcBorders>
            <w:vAlign w:val="center"/>
          </w:tcPr>
          <w:p w14:paraId="75A34641">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1133" w:type="pct"/>
            <w:tcBorders>
              <w:top w:val="single" w:color="auto" w:sz="4" w:space="0"/>
              <w:left w:val="single" w:color="auto" w:sz="4" w:space="0"/>
              <w:bottom w:val="single" w:color="auto" w:sz="4" w:space="0"/>
              <w:right w:val="single" w:color="auto" w:sz="4" w:space="0"/>
            </w:tcBorders>
            <w:vAlign w:val="center"/>
          </w:tcPr>
          <w:p w14:paraId="3006C302">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744" w:type="pct"/>
            <w:tcBorders>
              <w:top w:val="single" w:color="auto" w:sz="4" w:space="0"/>
              <w:left w:val="single" w:color="auto" w:sz="4" w:space="0"/>
              <w:bottom w:val="single" w:color="auto" w:sz="4" w:space="0"/>
              <w:right w:val="single" w:color="auto" w:sz="4" w:space="0"/>
            </w:tcBorders>
            <w:vAlign w:val="center"/>
          </w:tcPr>
          <w:p w14:paraId="3907A26E">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1618" w:type="pct"/>
            <w:tcBorders>
              <w:top w:val="single" w:color="auto" w:sz="4" w:space="0"/>
              <w:left w:val="single" w:color="auto" w:sz="4" w:space="0"/>
              <w:bottom w:val="single" w:color="auto" w:sz="4" w:space="0"/>
              <w:right w:val="single" w:color="auto" w:sz="4" w:space="0"/>
            </w:tcBorders>
            <w:vAlign w:val="center"/>
          </w:tcPr>
          <w:p w14:paraId="78EC232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所提供服务的内容</w:t>
            </w:r>
          </w:p>
        </w:tc>
        <w:tc>
          <w:tcPr>
            <w:tcW w:w="573" w:type="pct"/>
            <w:vMerge w:val="continue"/>
            <w:tcBorders>
              <w:top w:val="single" w:color="auto" w:sz="4" w:space="0"/>
              <w:left w:val="single" w:color="auto" w:sz="4" w:space="0"/>
              <w:bottom w:val="single" w:color="auto" w:sz="4" w:space="0"/>
              <w:right w:val="single" w:color="auto" w:sz="4" w:space="0"/>
            </w:tcBorders>
            <w:vAlign w:val="center"/>
          </w:tcPr>
          <w:p w14:paraId="6BA3DC61">
            <w:pPr>
              <w:keepNext w:val="0"/>
              <w:keepLines w:val="0"/>
              <w:widowControl/>
              <w:suppressLineNumbers w:val="0"/>
              <w:spacing w:before="0" w:beforeAutospacing="0" w:after="0" w:afterAutospacing="0"/>
              <w:ind w:left="0" w:right="0"/>
              <w:jc w:val="left"/>
              <w:rPr>
                <w:rFonts w:hint="default" w:ascii="宋体" w:hAnsi="宋体" w:eastAsia="宋体" w:cs="宋体"/>
                <w:color w:val="auto"/>
                <w:szCs w:val="21"/>
                <w:highlight w:val="none"/>
              </w:rPr>
            </w:pPr>
          </w:p>
        </w:tc>
      </w:tr>
      <w:tr w14:paraId="376B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30E7EC92">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8" w:type="pct"/>
            <w:tcBorders>
              <w:top w:val="single" w:color="auto" w:sz="4" w:space="0"/>
              <w:left w:val="single" w:color="auto" w:sz="4" w:space="0"/>
              <w:bottom w:val="single" w:color="auto" w:sz="4" w:space="0"/>
              <w:right w:val="single" w:color="auto" w:sz="4" w:space="0"/>
            </w:tcBorders>
            <w:vAlign w:val="center"/>
          </w:tcPr>
          <w:p w14:paraId="12D34B9C">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33" w:type="pct"/>
            <w:tcBorders>
              <w:top w:val="single" w:color="auto" w:sz="4" w:space="0"/>
              <w:left w:val="single" w:color="auto" w:sz="4" w:space="0"/>
              <w:bottom w:val="single" w:color="auto" w:sz="4" w:space="0"/>
              <w:right w:val="single" w:color="auto" w:sz="4" w:space="0"/>
            </w:tcBorders>
            <w:vAlign w:val="center"/>
          </w:tcPr>
          <w:p w14:paraId="52EE2B26">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6823645F">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724EB8A4">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2EEF880B">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44" w:type="pct"/>
            <w:tcBorders>
              <w:top w:val="single" w:color="auto" w:sz="4" w:space="0"/>
              <w:left w:val="single" w:color="auto" w:sz="4" w:space="0"/>
              <w:bottom w:val="single" w:color="auto" w:sz="4" w:space="0"/>
              <w:right w:val="single" w:color="auto" w:sz="4" w:space="0"/>
            </w:tcBorders>
            <w:vAlign w:val="center"/>
          </w:tcPr>
          <w:p w14:paraId="29BC5373">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8" w:type="pct"/>
            <w:tcBorders>
              <w:top w:val="single" w:color="auto" w:sz="4" w:space="0"/>
              <w:left w:val="single" w:color="auto" w:sz="4" w:space="0"/>
              <w:bottom w:val="single" w:color="auto" w:sz="4" w:space="0"/>
              <w:right w:val="single" w:color="auto" w:sz="4" w:space="0"/>
            </w:tcBorders>
            <w:vAlign w:val="center"/>
          </w:tcPr>
          <w:p w14:paraId="7A217485">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07F86093">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7E21357B">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40425F7E">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73" w:type="pct"/>
            <w:tcBorders>
              <w:top w:val="single" w:color="auto" w:sz="4" w:space="0"/>
              <w:left w:val="single" w:color="auto" w:sz="4" w:space="0"/>
              <w:bottom w:val="single" w:color="auto" w:sz="4" w:space="0"/>
              <w:right w:val="single" w:color="auto" w:sz="4" w:space="0"/>
            </w:tcBorders>
            <w:vAlign w:val="center"/>
          </w:tcPr>
          <w:p w14:paraId="15AFF113">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2AAD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1D13DF3F">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18" w:type="pct"/>
            <w:tcBorders>
              <w:top w:val="single" w:color="auto" w:sz="4" w:space="0"/>
              <w:left w:val="single" w:color="auto" w:sz="4" w:space="0"/>
              <w:bottom w:val="single" w:color="auto" w:sz="4" w:space="0"/>
              <w:right w:val="single" w:color="auto" w:sz="4" w:space="0"/>
            </w:tcBorders>
            <w:vAlign w:val="center"/>
          </w:tcPr>
          <w:p w14:paraId="0E2375C7">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33" w:type="pct"/>
            <w:tcBorders>
              <w:top w:val="single" w:color="auto" w:sz="4" w:space="0"/>
              <w:left w:val="single" w:color="auto" w:sz="4" w:space="0"/>
              <w:bottom w:val="single" w:color="auto" w:sz="4" w:space="0"/>
              <w:right w:val="single" w:color="auto" w:sz="4" w:space="0"/>
            </w:tcBorders>
            <w:vAlign w:val="center"/>
          </w:tcPr>
          <w:p w14:paraId="73472983">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66BA48D8">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5B3F9A43">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25900728">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44" w:type="pct"/>
            <w:tcBorders>
              <w:top w:val="single" w:color="auto" w:sz="4" w:space="0"/>
              <w:left w:val="single" w:color="auto" w:sz="4" w:space="0"/>
              <w:bottom w:val="single" w:color="auto" w:sz="4" w:space="0"/>
              <w:right w:val="single" w:color="auto" w:sz="4" w:space="0"/>
            </w:tcBorders>
            <w:vAlign w:val="center"/>
          </w:tcPr>
          <w:p w14:paraId="17F43091">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8" w:type="pct"/>
            <w:tcBorders>
              <w:top w:val="single" w:color="auto" w:sz="4" w:space="0"/>
              <w:left w:val="single" w:color="auto" w:sz="4" w:space="0"/>
              <w:bottom w:val="single" w:color="auto" w:sz="4" w:space="0"/>
              <w:right w:val="single" w:color="auto" w:sz="4" w:space="0"/>
            </w:tcBorders>
            <w:vAlign w:val="center"/>
          </w:tcPr>
          <w:p w14:paraId="7CF4CDDC">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  ……</w:t>
            </w:r>
          </w:p>
          <w:p w14:paraId="0E78A947">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  ……</w:t>
            </w:r>
          </w:p>
          <w:p w14:paraId="0F8D6836">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  ……</w:t>
            </w:r>
          </w:p>
          <w:p w14:paraId="26E27CEE">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73" w:type="pct"/>
            <w:tcBorders>
              <w:top w:val="single" w:color="auto" w:sz="4" w:space="0"/>
              <w:left w:val="single" w:color="auto" w:sz="4" w:space="0"/>
              <w:bottom w:val="single" w:color="auto" w:sz="4" w:space="0"/>
              <w:right w:val="single" w:color="auto" w:sz="4" w:space="0"/>
            </w:tcBorders>
            <w:vAlign w:val="center"/>
          </w:tcPr>
          <w:p w14:paraId="3843C45E">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18EC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Borders>
              <w:top w:val="single" w:color="auto" w:sz="4" w:space="0"/>
              <w:left w:val="single" w:color="auto" w:sz="4" w:space="0"/>
              <w:bottom w:val="single" w:color="auto" w:sz="4" w:space="0"/>
              <w:right w:val="single" w:color="auto" w:sz="4" w:space="0"/>
            </w:tcBorders>
            <w:vAlign w:val="center"/>
          </w:tcPr>
          <w:p w14:paraId="61614D74">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18" w:type="pct"/>
            <w:tcBorders>
              <w:top w:val="single" w:color="auto" w:sz="4" w:space="0"/>
              <w:left w:val="single" w:color="auto" w:sz="4" w:space="0"/>
              <w:bottom w:val="single" w:color="auto" w:sz="4" w:space="0"/>
              <w:right w:val="single" w:color="auto" w:sz="4" w:space="0"/>
            </w:tcBorders>
            <w:vAlign w:val="center"/>
          </w:tcPr>
          <w:p w14:paraId="00A4FE7E">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c>
          <w:tcPr>
            <w:tcW w:w="1133" w:type="pct"/>
            <w:tcBorders>
              <w:top w:val="single" w:color="auto" w:sz="4" w:space="0"/>
              <w:left w:val="single" w:color="auto" w:sz="4" w:space="0"/>
              <w:bottom w:val="single" w:color="auto" w:sz="4" w:space="0"/>
              <w:right w:val="single" w:color="auto" w:sz="4" w:space="0"/>
            </w:tcBorders>
            <w:vAlign w:val="center"/>
          </w:tcPr>
          <w:p w14:paraId="6333599B">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c>
          <w:tcPr>
            <w:tcW w:w="744" w:type="pct"/>
            <w:tcBorders>
              <w:top w:val="single" w:color="auto" w:sz="4" w:space="0"/>
              <w:left w:val="single" w:color="auto" w:sz="4" w:space="0"/>
              <w:bottom w:val="single" w:color="auto" w:sz="4" w:space="0"/>
              <w:right w:val="single" w:color="auto" w:sz="4" w:space="0"/>
            </w:tcBorders>
            <w:vAlign w:val="center"/>
          </w:tcPr>
          <w:p w14:paraId="4FC90EAB">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c>
          <w:tcPr>
            <w:tcW w:w="1618" w:type="pct"/>
            <w:tcBorders>
              <w:top w:val="single" w:color="auto" w:sz="4" w:space="0"/>
              <w:left w:val="single" w:color="auto" w:sz="4" w:space="0"/>
              <w:bottom w:val="single" w:color="auto" w:sz="4" w:space="0"/>
              <w:right w:val="single" w:color="auto" w:sz="4" w:space="0"/>
            </w:tcBorders>
            <w:vAlign w:val="center"/>
          </w:tcPr>
          <w:p w14:paraId="3F224E80">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c>
          <w:tcPr>
            <w:tcW w:w="573" w:type="pct"/>
            <w:tcBorders>
              <w:top w:val="single" w:color="auto" w:sz="4" w:space="0"/>
              <w:left w:val="single" w:color="auto" w:sz="4" w:space="0"/>
              <w:bottom w:val="single" w:color="auto" w:sz="4" w:space="0"/>
              <w:right w:val="single" w:color="auto" w:sz="4" w:space="0"/>
            </w:tcBorders>
            <w:vAlign w:val="center"/>
          </w:tcPr>
          <w:p w14:paraId="1C26064E">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r>
      <w:tr w14:paraId="5E91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D919B39">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4FF0A3A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w:t>
      </w:r>
    </w:p>
    <w:p w14:paraId="2564A4F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r>
        <w:rPr>
          <w:rFonts w:hint="eastAsia" w:ascii="宋体" w:hAnsi="宋体" w:eastAsia="宋体" w:cs="宋体"/>
          <w:bCs/>
          <w:color w:val="auto"/>
          <w:szCs w:val="21"/>
          <w:highlight w:val="none"/>
        </w:rPr>
        <w:t>否则按响应无效处理</w:t>
      </w:r>
      <w:r>
        <w:rPr>
          <w:rFonts w:hint="eastAsia" w:ascii="宋体" w:hAnsi="宋体" w:eastAsia="宋体" w:cs="宋体"/>
          <w:color w:val="auto"/>
          <w:szCs w:val="21"/>
          <w:highlight w:val="none"/>
        </w:rPr>
        <w:t>。</w:t>
      </w:r>
    </w:p>
    <w:p w14:paraId="25B98A1D">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2.当响应文件的服务内容低于征集文件要求时，供应商应当如实写明“负偏离”，否则视为虚假应标。</w:t>
      </w:r>
    </w:p>
    <w:p w14:paraId="4DCFAE79">
      <w:pPr>
        <w:spacing w:line="360" w:lineRule="auto"/>
        <w:rPr>
          <w:rFonts w:ascii="宋体" w:hAnsi="宋体" w:eastAsia="宋体" w:cs="宋体"/>
          <w:color w:val="auto"/>
          <w:szCs w:val="20"/>
          <w:highlight w:val="none"/>
        </w:rPr>
      </w:pPr>
      <w:r>
        <w:rPr>
          <w:rFonts w:hint="eastAsia" w:ascii="宋体" w:hAnsi="宋体" w:eastAsia="宋体" w:cs="宋体"/>
          <w:color w:val="auto"/>
          <w:szCs w:val="20"/>
          <w:highlight w:val="none"/>
        </w:rPr>
        <w:t>3.</w:t>
      </w:r>
      <w:r>
        <w:rPr>
          <w:rFonts w:hint="eastAsia" w:ascii="宋体" w:hAnsi="宋体" w:eastAsia="宋体" w:cs="宋体"/>
          <w:color w:val="auto"/>
          <w:szCs w:val="21"/>
          <w:highlight w:val="none"/>
        </w:rPr>
        <w:t>采购需求中带“▲”及“★”的条款，也要分别在本表“服务参数”、“所提供服务的内容”中标记。</w:t>
      </w:r>
    </w:p>
    <w:p w14:paraId="7C462E57">
      <w:pPr>
        <w:snapToGrid w:val="0"/>
        <w:spacing w:line="360" w:lineRule="auto"/>
        <w:ind w:firstLine="5640" w:firstLineChars="2350"/>
        <w:rPr>
          <w:rFonts w:ascii="宋体" w:hAnsi="宋体" w:eastAsia="宋体" w:cs="宋体"/>
          <w:color w:val="auto"/>
          <w:kern w:val="0"/>
          <w:sz w:val="24"/>
          <w:szCs w:val="24"/>
          <w:highlight w:val="none"/>
          <w:lang w:val="zh-CN"/>
        </w:rPr>
      </w:pPr>
    </w:p>
    <w:p w14:paraId="1BD01E52">
      <w:pPr>
        <w:snapToGrid w:val="0"/>
        <w:spacing w:line="360" w:lineRule="auto"/>
        <w:ind w:firstLine="5640" w:firstLineChars="23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14:paraId="5340E43D">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3AA127B">
      <w:pPr>
        <w:snapToGrid w:val="0"/>
        <w:spacing w:before="120" w:beforeLines="50" w:after="50"/>
        <w:ind w:left="143" w:leftChars="68" w:firstLine="600" w:firstLineChars="200"/>
        <w:jc w:val="left"/>
        <w:rPr>
          <w:rFonts w:ascii="宋体" w:hAnsi="宋体" w:eastAsia="宋体" w:cs="宋体"/>
          <w:color w:val="auto"/>
          <w:sz w:val="30"/>
          <w:szCs w:val="20"/>
          <w:highlight w:val="none"/>
        </w:rPr>
        <w:sectPr>
          <w:footerReference r:id="rId18" w:type="first"/>
          <w:headerReference r:id="rId15" w:type="default"/>
          <w:footerReference r:id="rId16" w:type="default"/>
          <w:footerReference r:id="rId17" w:type="even"/>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1E7EA4D1">
      <w:pPr>
        <w:snapToGrid w:val="0"/>
        <w:spacing w:before="120" w:beforeLines="50" w:after="5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二、实施方案</w:t>
      </w:r>
    </w:p>
    <w:p w14:paraId="687D6866">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（由供应商根据采购需求及征集文件要求编制）</w:t>
      </w:r>
    </w:p>
    <w:p w14:paraId="501E29EA">
      <w:pPr>
        <w:rPr>
          <w:rFonts w:ascii="宋体" w:hAnsi="宋体" w:eastAsia="宋体" w:cs="宋体"/>
          <w:b/>
          <w:bCs/>
          <w:color w:val="auto"/>
          <w:kern w:val="0"/>
          <w:sz w:val="24"/>
          <w:szCs w:val="24"/>
          <w:highlight w:val="none"/>
          <w:lang w:val="zh-CN"/>
        </w:rPr>
      </w:pPr>
    </w:p>
    <w:p w14:paraId="117C31C9">
      <w:pPr>
        <w:rPr>
          <w:rFonts w:ascii="宋体" w:hAnsi="宋体" w:eastAsia="宋体" w:cs="宋体"/>
          <w:b/>
          <w:bCs/>
          <w:color w:val="auto"/>
          <w:kern w:val="0"/>
          <w:sz w:val="24"/>
          <w:szCs w:val="24"/>
          <w:highlight w:val="none"/>
          <w:lang w:val="zh-CN"/>
        </w:rPr>
      </w:pPr>
    </w:p>
    <w:p w14:paraId="1648320F">
      <w:pPr>
        <w:autoSpaceDE w:val="0"/>
        <w:autoSpaceDN w:val="0"/>
        <w:spacing w:line="360" w:lineRule="auto"/>
        <w:ind w:firstLine="4440" w:firstLineChars="18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供应商名称（电子签章）：</w:t>
      </w:r>
    </w:p>
    <w:p w14:paraId="2F4A7BB8">
      <w:p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  年  月   日</w:t>
      </w:r>
    </w:p>
    <w:p w14:paraId="3914A6BB">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544E4BDB">
      <w:pPr>
        <w:snapToGrid w:val="0"/>
        <w:spacing w:before="120" w:beforeLines="50" w:after="5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三、服务承诺</w:t>
      </w:r>
    </w:p>
    <w:p w14:paraId="50224F25">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（由供应商根据采购需求及征集文件要求编制）</w:t>
      </w:r>
    </w:p>
    <w:p w14:paraId="13C955B3">
      <w:pPr>
        <w:snapToGrid w:val="0"/>
        <w:spacing w:before="120" w:beforeLines="50" w:after="50"/>
        <w:ind w:left="142"/>
        <w:jc w:val="center"/>
        <w:rPr>
          <w:rFonts w:ascii="宋体" w:hAnsi="宋体" w:eastAsia="宋体" w:cs="宋体"/>
          <w:b/>
          <w:color w:val="auto"/>
          <w:sz w:val="32"/>
          <w:szCs w:val="32"/>
          <w:highlight w:val="none"/>
        </w:rPr>
      </w:pPr>
    </w:p>
    <w:p w14:paraId="0F24C582">
      <w:pPr>
        <w:snapToGrid w:val="0"/>
        <w:spacing w:before="120" w:beforeLines="50" w:line="360" w:lineRule="auto"/>
        <w:ind w:right="480" w:firstLine="3967" w:firstLineChars="1653"/>
        <w:rPr>
          <w:rFonts w:ascii="宋体" w:hAnsi="宋体" w:eastAsia="宋体" w:cs="宋体"/>
          <w:color w:val="auto"/>
          <w:sz w:val="24"/>
          <w:szCs w:val="24"/>
          <w:highlight w:val="none"/>
        </w:rPr>
      </w:pPr>
    </w:p>
    <w:p w14:paraId="6C93A3EB">
      <w:pPr>
        <w:snapToGrid w:val="0"/>
        <w:spacing w:line="360" w:lineRule="auto"/>
        <w:ind w:firstLine="5160" w:firstLineChars="21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r>
        <w:rPr>
          <w:rFonts w:hint="eastAsia" w:ascii="宋体" w:hAnsi="宋体" w:eastAsia="宋体" w:cs="宋体"/>
          <w:color w:val="auto"/>
          <w:kern w:val="0"/>
          <w:sz w:val="24"/>
          <w:szCs w:val="24"/>
          <w:highlight w:val="none"/>
        </w:rPr>
        <w:t xml:space="preserve">  </w:t>
      </w:r>
    </w:p>
    <w:p w14:paraId="3E8FE76D">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70873927">
      <w:pP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3EA0BDFF">
      <w:pPr>
        <w:snapToGrid w:val="0"/>
        <w:spacing w:before="120" w:beforeLines="50" w:after="50"/>
        <w:ind w:firstLine="0" w:firstLineChars="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四、供应商认为需要的其他技术文件或说明</w:t>
      </w:r>
    </w:p>
    <w:p w14:paraId="090B57C5">
      <w:pPr>
        <w:snapToGrid w:val="0"/>
        <w:spacing w:before="120" w:beforeLines="50" w:after="50"/>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（由供应商根据采购需求自行编制）</w:t>
      </w:r>
    </w:p>
    <w:p w14:paraId="7256C9C4">
      <w:pPr>
        <w:spacing w:line="360" w:lineRule="auto"/>
        <w:jc w:val="center"/>
        <w:rPr>
          <w:rFonts w:ascii="宋体" w:hAnsi="宋体" w:eastAsia="宋体" w:cs="宋体"/>
          <w:color w:val="auto"/>
          <w:sz w:val="24"/>
          <w:szCs w:val="24"/>
          <w:highlight w:val="none"/>
        </w:rPr>
      </w:pPr>
    </w:p>
    <w:p w14:paraId="4537E717">
      <w:pPr>
        <w:autoSpaceDE w:val="0"/>
        <w:autoSpaceDN w:val="0"/>
        <w:spacing w:line="360" w:lineRule="auto"/>
        <w:ind w:firstLine="4800" w:firstLineChars="2000"/>
        <w:rPr>
          <w:rFonts w:ascii="宋体" w:hAnsi="宋体" w:eastAsia="宋体" w:cs="宋体"/>
          <w:color w:val="auto"/>
          <w:kern w:val="0"/>
          <w:sz w:val="24"/>
          <w:szCs w:val="24"/>
          <w:highlight w:val="none"/>
        </w:rPr>
      </w:pPr>
    </w:p>
    <w:p w14:paraId="093823B0">
      <w:pPr>
        <w:autoSpaceDE w:val="0"/>
        <w:autoSpaceDN w:val="0"/>
        <w:spacing w:line="360" w:lineRule="auto"/>
        <w:ind w:firstLine="4800" w:firstLineChars="2000"/>
        <w:rPr>
          <w:rFonts w:ascii="宋体" w:hAnsi="宋体" w:eastAsia="宋体" w:cs="宋体"/>
          <w:color w:val="auto"/>
          <w:kern w:val="0"/>
          <w:sz w:val="24"/>
          <w:szCs w:val="24"/>
          <w:highlight w:val="none"/>
        </w:rPr>
      </w:pPr>
    </w:p>
    <w:p w14:paraId="59E2A267">
      <w:pPr>
        <w:autoSpaceDE w:val="0"/>
        <w:autoSpaceDN w:val="0"/>
        <w:spacing w:line="360" w:lineRule="auto"/>
        <w:ind w:firstLine="4800" w:firstLineChars="20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供应商名称（电子</w:t>
      </w:r>
      <w:r>
        <w:rPr>
          <w:rFonts w:hint="eastAsia" w:ascii="宋体" w:hAnsi="宋体" w:eastAsia="宋体" w:cs="宋体"/>
          <w:color w:val="auto"/>
          <w:kern w:val="0"/>
          <w:sz w:val="24"/>
          <w:szCs w:val="24"/>
          <w:highlight w:val="none"/>
          <w:lang w:val="zh-CN"/>
        </w:rPr>
        <w:t>签章</w:t>
      </w:r>
      <w:r>
        <w:rPr>
          <w:rFonts w:hint="eastAsia" w:ascii="宋体" w:hAnsi="宋体" w:eastAsia="宋体" w:cs="宋体"/>
          <w:color w:val="auto"/>
          <w:kern w:val="0"/>
          <w:sz w:val="24"/>
          <w:szCs w:val="24"/>
          <w:highlight w:val="none"/>
        </w:rPr>
        <w:t>）：</w:t>
      </w:r>
    </w:p>
    <w:p w14:paraId="012EC70E">
      <w:pPr>
        <w:autoSpaceDE w:val="0"/>
        <w:autoSpaceDN w:val="0"/>
        <w:spacing w:line="360" w:lineRule="auto"/>
        <w:rPr>
          <w:rFonts w:ascii="宋体" w:hAnsi="宋体" w:eastAsia="宋体" w:cs="宋体"/>
          <w:b/>
          <w:bCs/>
          <w:color w:val="auto"/>
          <w:sz w:val="30"/>
          <w:szCs w:val="30"/>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  年  月   日</w:t>
      </w:r>
    </w:p>
    <w:p w14:paraId="6C69E9CC">
      <w:pPr>
        <w:snapToGrid w:val="0"/>
        <w:spacing w:before="120" w:beforeLines="50" w:after="50"/>
        <w:jc w:val="center"/>
        <w:rPr>
          <w:rFonts w:ascii="宋体" w:hAnsi="宋体" w:eastAsia="宋体" w:cs="宋体"/>
          <w:b/>
          <w:bCs/>
          <w:color w:val="auto"/>
          <w:sz w:val="24"/>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7CAC4B94">
      <w:pPr>
        <w:jc w:val="center"/>
        <w:outlineLvl w:val="1"/>
        <w:rPr>
          <w:rFonts w:ascii="宋体" w:hAnsi="宋体" w:eastAsia="宋体" w:cs="宋体"/>
          <w:b/>
          <w:bCs/>
          <w:color w:val="auto"/>
          <w:sz w:val="28"/>
          <w:szCs w:val="28"/>
          <w:highlight w:val="none"/>
        </w:rPr>
      </w:pPr>
      <w:bookmarkStart w:id="367" w:name="_Toc4340"/>
      <w:bookmarkStart w:id="368" w:name="_Toc717"/>
      <w:bookmarkStart w:id="369" w:name="_Toc30391"/>
      <w:bookmarkStart w:id="370" w:name="_Toc26592"/>
      <w:bookmarkStart w:id="371" w:name="_Toc10226"/>
      <w:bookmarkStart w:id="372" w:name="_Toc5660"/>
      <w:bookmarkStart w:id="373" w:name="_Toc80093015"/>
      <w:r>
        <w:rPr>
          <w:rFonts w:hint="eastAsia" w:ascii="宋体" w:hAnsi="宋体" w:eastAsia="宋体" w:cs="宋体"/>
          <w:b/>
          <w:bCs/>
          <w:color w:val="auto"/>
          <w:sz w:val="28"/>
          <w:szCs w:val="28"/>
          <w:highlight w:val="none"/>
        </w:rPr>
        <w:t>第五节 报价文件格式</w:t>
      </w:r>
      <w:bookmarkEnd w:id="367"/>
      <w:bookmarkEnd w:id="368"/>
      <w:bookmarkEnd w:id="369"/>
      <w:bookmarkEnd w:id="370"/>
      <w:bookmarkEnd w:id="371"/>
      <w:bookmarkEnd w:id="372"/>
      <w:bookmarkEnd w:id="373"/>
    </w:p>
    <w:p w14:paraId="4329AA0B">
      <w:pPr>
        <w:snapToGrid w:val="0"/>
        <w:spacing w:before="120" w:beforeLines="50" w:after="50" w:line="400" w:lineRule="exact"/>
        <w:jc w:val="center"/>
        <w:rPr>
          <w:rFonts w:ascii="宋体" w:hAnsi="宋体" w:eastAsia="宋体" w:cs="宋体"/>
          <w:bCs/>
          <w:color w:val="auto"/>
          <w:sz w:val="32"/>
          <w:szCs w:val="20"/>
          <w:highlight w:val="none"/>
        </w:rPr>
      </w:pPr>
      <w:r>
        <w:rPr>
          <w:rFonts w:hint="eastAsia" w:ascii="宋体" w:hAnsi="宋体" w:eastAsia="宋体" w:cs="宋体"/>
          <w:bCs/>
          <w:color w:val="auto"/>
          <w:szCs w:val="24"/>
          <w:highlight w:val="none"/>
        </w:rPr>
        <w:t>电子响应文件</w:t>
      </w:r>
    </w:p>
    <w:p w14:paraId="1A1B7DCA">
      <w:pPr>
        <w:snapToGrid w:val="0"/>
        <w:spacing w:before="120" w:beforeLines="50" w:after="50" w:line="400" w:lineRule="exact"/>
        <w:jc w:val="center"/>
        <w:rPr>
          <w:rFonts w:ascii="宋体" w:hAnsi="宋体" w:eastAsia="宋体" w:cs="宋体"/>
          <w:bCs/>
          <w:color w:val="auto"/>
          <w:sz w:val="24"/>
          <w:szCs w:val="20"/>
          <w:highlight w:val="none"/>
        </w:rPr>
      </w:pPr>
    </w:p>
    <w:p w14:paraId="00104D87">
      <w:pPr>
        <w:snapToGrid w:val="0"/>
        <w:spacing w:before="120" w:beforeLines="50" w:after="50" w:line="40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14:paraId="28770109">
      <w:pPr>
        <w:snapToGrid w:val="0"/>
        <w:spacing w:before="120" w:beforeLines="50" w:after="50" w:line="400" w:lineRule="exact"/>
        <w:rPr>
          <w:rFonts w:ascii="宋体" w:hAnsi="宋体" w:eastAsia="宋体" w:cs="宋体"/>
          <w:bCs/>
          <w:color w:val="auto"/>
          <w:sz w:val="24"/>
          <w:szCs w:val="20"/>
          <w:highlight w:val="none"/>
        </w:rPr>
      </w:pPr>
    </w:p>
    <w:p w14:paraId="28E42C46">
      <w:pPr>
        <w:snapToGrid w:val="0"/>
        <w:spacing w:before="120" w:beforeLines="50" w:after="50" w:line="400" w:lineRule="exact"/>
        <w:rPr>
          <w:rFonts w:ascii="宋体" w:hAnsi="宋体" w:eastAsia="宋体" w:cs="宋体"/>
          <w:bCs/>
          <w:color w:val="auto"/>
          <w:sz w:val="24"/>
          <w:szCs w:val="20"/>
          <w:highlight w:val="none"/>
        </w:rPr>
      </w:pPr>
    </w:p>
    <w:p w14:paraId="34114F01">
      <w:pPr>
        <w:snapToGrid w:val="0"/>
        <w:spacing w:before="120" w:beforeLines="50" w:after="50" w:line="400" w:lineRule="exact"/>
        <w:rPr>
          <w:rFonts w:ascii="宋体" w:hAnsi="宋体" w:eastAsia="宋体" w:cs="宋体"/>
          <w:bCs/>
          <w:color w:val="auto"/>
          <w:sz w:val="24"/>
          <w:szCs w:val="20"/>
          <w:highlight w:val="none"/>
        </w:rPr>
      </w:pPr>
    </w:p>
    <w:p w14:paraId="3614FD1E">
      <w:pPr>
        <w:snapToGrid w:val="0"/>
        <w:spacing w:before="120" w:beforeLines="50" w:after="50" w:line="400" w:lineRule="exact"/>
        <w:rPr>
          <w:rFonts w:ascii="宋体" w:hAnsi="宋体" w:eastAsia="宋体" w:cs="宋体"/>
          <w:bCs/>
          <w:color w:val="auto"/>
          <w:sz w:val="24"/>
          <w:szCs w:val="20"/>
          <w:highlight w:val="none"/>
        </w:rPr>
      </w:pPr>
    </w:p>
    <w:p w14:paraId="026A9B06">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p>
    <w:p w14:paraId="5CE154DB">
      <w:pPr>
        <w:snapToGrid w:val="0"/>
        <w:spacing w:before="120" w:beforeLines="50" w:after="50" w:line="400" w:lineRule="exact"/>
        <w:ind w:firstLine="360" w:firstLineChars="150"/>
        <w:rPr>
          <w:rFonts w:ascii="宋体" w:hAnsi="宋体" w:eastAsia="宋体" w:cs="宋体"/>
          <w:bCs/>
          <w:color w:val="auto"/>
          <w:sz w:val="24"/>
          <w:szCs w:val="24"/>
          <w:highlight w:val="none"/>
        </w:rPr>
      </w:pPr>
    </w:p>
    <w:p w14:paraId="77307502">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项目编号： </w:t>
      </w:r>
    </w:p>
    <w:p w14:paraId="7E63CC45">
      <w:pPr>
        <w:snapToGrid w:val="0"/>
        <w:spacing w:before="120" w:beforeLines="50" w:after="50" w:line="400" w:lineRule="exact"/>
        <w:ind w:firstLine="360" w:firstLineChars="150"/>
        <w:rPr>
          <w:rFonts w:ascii="宋体" w:hAnsi="宋体" w:eastAsia="宋体" w:cs="宋体"/>
          <w:bCs/>
          <w:color w:val="auto"/>
          <w:sz w:val="24"/>
          <w:szCs w:val="24"/>
          <w:highlight w:val="none"/>
        </w:rPr>
      </w:pPr>
    </w:p>
    <w:p w14:paraId="4B0D2A31">
      <w:pPr>
        <w:snapToGrid w:val="0"/>
        <w:spacing w:before="120" w:beforeLines="50" w:after="50" w:line="400" w:lineRule="exact"/>
        <w:ind w:firstLine="360" w:firstLineChars="150"/>
        <w:rPr>
          <w:rFonts w:ascii="宋体" w:hAnsi="宋体" w:eastAsia="宋体" w:cs="宋体"/>
          <w:bCs/>
          <w:color w:val="auto"/>
          <w:sz w:val="24"/>
          <w:szCs w:val="24"/>
          <w:highlight w:val="none"/>
        </w:rPr>
      </w:pPr>
    </w:p>
    <w:p w14:paraId="54A71C73">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p w14:paraId="324C4A65">
      <w:pPr>
        <w:snapToGrid w:val="0"/>
        <w:spacing w:before="120" w:beforeLines="50" w:after="50" w:line="400" w:lineRule="exact"/>
        <w:ind w:firstLine="360" w:firstLineChars="150"/>
        <w:rPr>
          <w:rFonts w:ascii="宋体" w:hAnsi="宋体" w:eastAsia="宋体" w:cs="宋体"/>
          <w:bCs/>
          <w:color w:val="auto"/>
          <w:sz w:val="24"/>
          <w:szCs w:val="24"/>
          <w:highlight w:val="none"/>
        </w:rPr>
      </w:pPr>
    </w:p>
    <w:p w14:paraId="4811D0F8">
      <w:pPr>
        <w:snapToGrid w:val="0"/>
        <w:spacing w:before="120" w:beforeLines="50" w:after="50" w:line="400" w:lineRule="exact"/>
        <w:ind w:firstLine="360" w:firstLineChars="1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供应商地址：</w:t>
      </w:r>
    </w:p>
    <w:p w14:paraId="2EC85C8B">
      <w:pPr>
        <w:snapToGrid w:val="0"/>
        <w:spacing w:before="50" w:after="50" w:line="400" w:lineRule="exact"/>
        <w:ind w:firstLine="960" w:firstLineChars="400"/>
        <w:rPr>
          <w:rFonts w:ascii="宋体" w:hAnsi="宋体" w:eastAsia="宋体" w:cs="宋体"/>
          <w:bCs/>
          <w:color w:val="auto"/>
          <w:sz w:val="24"/>
          <w:szCs w:val="24"/>
          <w:highlight w:val="none"/>
        </w:rPr>
      </w:pPr>
    </w:p>
    <w:p w14:paraId="144077F5">
      <w:pPr>
        <w:snapToGrid w:val="0"/>
        <w:spacing w:before="120" w:beforeLines="50" w:after="50" w:line="400" w:lineRule="exact"/>
        <w:rPr>
          <w:rFonts w:ascii="宋体" w:hAnsi="宋体" w:eastAsia="宋体" w:cs="宋体"/>
          <w:color w:val="auto"/>
          <w:sz w:val="24"/>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r>
        <w:rPr>
          <w:rFonts w:hint="eastAsia" w:ascii="宋体" w:hAnsi="宋体" w:eastAsia="宋体" w:cs="宋体"/>
          <w:color w:val="auto"/>
          <w:sz w:val="24"/>
          <w:szCs w:val="24"/>
          <w:highlight w:val="none"/>
        </w:rPr>
        <w:t xml:space="preserve">                                                       年  月  日</w:t>
      </w:r>
    </w:p>
    <w:p w14:paraId="01FD4DFC">
      <w:pPr>
        <w:snapToGrid w:val="0"/>
        <w:spacing w:before="120" w:beforeLines="50" w:after="50"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5B5B8639">
      <w:pPr>
        <w:spacing w:line="360" w:lineRule="auto"/>
        <w:rPr>
          <w:rFonts w:ascii="宋体" w:hAnsi="宋体" w:eastAsia="宋体" w:cs="宋体"/>
          <w:color w:val="auto"/>
          <w:szCs w:val="24"/>
          <w:highlight w:val="none"/>
        </w:rPr>
      </w:pPr>
    </w:p>
    <w:p w14:paraId="66419F98">
      <w:pPr>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一、响应函………………………………………………………（页码）</w:t>
      </w:r>
    </w:p>
    <w:p w14:paraId="266C68B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二、开标一览表…………………………………………………（页码）</w:t>
      </w:r>
    </w:p>
    <w:p w14:paraId="5A71603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三、供应商针对报价需要说明的其他文件和说明……………（页码）</w:t>
      </w:r>
    </w:p>
    <w:p w14:paraId="6DC24EB2">
      <w:pPr>
        <w:spacing w:line="360" w:lineRule="auto"/>
        <w:rPr>
          <w:rFonts w:ascii="宋体" w:hAnsi="宋体" w:eastAsia="宋体" w:cs="宋体"/>
          <w:color w:val="auto"/>
          <w:sz w:val="30"/>
          <w:szCs w:val="20"/>
          <w:highlight w:val="none"/>
        </w:rPr>
      </w:pPr>
    </w:p>
    <w:p w14:paraId="1E0215CB">
      <w:pPr>
        <w:wordWrap w:val="0"/>
        <w:spacing w:after="160"/>
        <w:ind w:left="2000" w:firstLine="210"/>
        <w:outlineLvl w:val="5"/>
        <w:rPr>
          <w:rFonts w:ascii="宋体" w:hAnsi="宋体" w:eastAsia="宋体" w:cs="宋体"/>
          <w:b/>
          <w:color w:val="auto"/>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37203726">
      <w:pPr>
        <w:spacing w:line="500" w:lineRule="exact"/>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一、响应函</w:t>
      </w:r>
    </w:p>
    <w:p w14:paraId="57ABA392">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致：</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（采购代理机构名称）</w:t>
      </w:r>
    </w:p>
    <w:p w14:paraId="09000430">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我方已仔细阅读了贵方组织的</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项目（项目编号：</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）的征集文件的全部内容，授权</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(全权代表姓名)</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(职务、职称)为全权代表，现正式递交下述文件参加贵方组织的本次政府采购活动： </w:t>
      </w:r>
    </w:p>
    <w:p w14:paraId="66A58545">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一、报价文件电子版一份（包含按供应商须知前附表要求提交的全部文件）；</w:t>
      </w:r>
    </w:p>
    <w:p w14:paraId="25417F0A">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二、资格文件电子版一份（包含按供应商须知前附表要求提交的全部文件）；</w:t>
      </w:r>
    </w:p>
    <w:p w14:paraId="7FA622FB">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三、技术文件电子版一份（包含按供应商须知前附表要求提交的全部文件）；</w:t>
      </w:r>
    </w:p>
    <w:p w14:paraId="237E16EF">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四、商务文件电子版一份（包含按供应商须知前附表要求提交的全部文件）；</w:t>
      </w:r>
    </w:p>
    <w:p w14:paraId="4F2B14B4">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据此函，签字人兹宣布：</w:t>
      </w:r>
    </w:p>
    <w:p w14:paraId="56045C23">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1、响应报价</w:t>
      </w:r>
    </w:p>
    <w:p w14:paraId="25F124B4">
      <w:pPr>
        <w:spacing w:line="360" w:lineRule="exact"/>
        <w:ind w:firstLine="420" w:firstLineChars="200"/>
        <w:rPr>
          <w:rFonts w:ascii="宋体" w:hAnsi="宋体" w:eastAsia="宋体" w:cs="宋体"/>
          <w:color w:val="auto"/>
          <w:szCs w:val="20"/>
          <w:highlight w:val="none"/>
          <w:u w:val="single"/>
        </w:rPr>
      </w:pPr>
      <w:r>
        <w:rPr>
          <w:rFonts w:hint="eastAsia" w:hAnsi="宋体" w:cs="宋体"/>
          <w:color w:val="auto"/>
          <w:highlight w:val="none"/>
        </w:rPr>
        <w:t>我方愿意</w:t>
      </w:r>
      <w:r>
        <w:rPr>
          <w:rFonts w:hint="eastAsia" w:hAnsi="宋体"/>
          <w:color w:val="auto"/>
          <w:highlight w:val="none"/>
          <w:u w:val="single"/>
        </w:rPr>
        <w:t>按本项目征集文件规定的计费方式和费率（即最高限制单价，</w:t>
      </w:r>
      <w:r>
        <w:rPr>
          <w:rFonts w:hint="eastAsia" w:ascii="宋体" w:hAnsi="宋体"/>
          <w:color w:val="auto"/>
          <w:szCs w:val="21"/>
          <w:highlight w:val="none"/>
          <w:u w:val="single"/>
        </w:rPr>
        <w:t>含固定</w:t>
      </w:r>
      <w:r>
        <w:rPr>
          <w:rFonts w:hint="eastAsia" w:ascii="宋体" w:hAnsi="宋体"/>
          <w:color w:val="auto"/>
          <w:szCs w:val="21"/>
          <w:highlight w:val="none"/>
          <w:u w:val="single"/>
          <w:lang w:val="en-US" w:eastAsia="zh-CN"/>
        </w:rPr>
        <w:t>费率</w:t>
      </w:r>
      <w:r>
        <w:rPr>
          <w:rFonts w:hint="eastAsia" w:hAnsi="宋体"/>
          <w:color w:val="auto"/>
          <w:highlight w:val="none"/>
          <w:u w:val="single"/>
        </w:rPr>
        <w:t>）计费</w:t>
      </w:r>
      <w:r>
        <w:rPr>
          <w:rFonts w:hint="eastAsia" w:hAnsi="宋体" w:cs="宋体"/>
          <w:color w:val="auto"/>
          <w:highlight w:val="none"/>
        </w:rPr>
        <w:t>进行响应</w:t>
      </w:r>
      <w:r>
        <w:rPr>
          <w:rFonts w:hint="eastAsia" w:ascii="宋体" w:hAnsi="宋体" w:eastAsia="宋体" w:cs="宋体"/>
          <w:color w:val="auto"/>
          <w:szCs w:val="20"/>
          <w:highlight w:val="none"/>
        </w:rPr>
        <w:t>，框架协议的期限</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u w:val="single"/>
        </w:rPr>
        <w:t xml:space="preserve">               </w:t>
      </w:r>
    </w:p>
    <w:p w14:paraId="05B2FB12">
      <w:pPr>
        <w:spacing w:line="360" w:lineRule="exact"/>
        <w:ind w:firstLine="420" w:firstLineChars="200"/>
        <w:rPr>
          <w:rFonts w:ascii="宋体" w:hAnsi="宋体" w:eastAsia="宋体" w:cs="宋体"/>
          <w:color w:val="auto"/>
          <w:szCs w:val="20"/>
          <w:highlight w:val="none"/>
          <w:u w:val="single"/>
        </w:rPr>
      </w:pPr>
      <w:r>
        <w:rPr>
          <w:rFonts w:hint="eastAsia" w:ascii="宋体" w:hAnsi="宋体" w:eastAsia="宋体" w:cs="宋体"/>
          <w:color w:val="auto"/>
          <w:szCs w:val="20"/>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49D3A66B">
      <w:pPr>
        <w:spacing w:line="360" w:lineRule="exact"/>
        <w:ind w:firstLine="420" w:firstLineChars="200"/>
        <w:rPr>
          <w:rFonts w:ascii="宋体" w:hAnsi="宋体" w:eastAsia="宋体" w:cs="宋体"/>
          <w:color w:val="auto"/>
          <w:szCs w:val="20"/>
          <w:highlight w:val="none"/>
          <w:u w:val="single"/>
        </w:rPr>
      </w:pPr>
      <w:r>
        <w:rPr>
          <w:rFonts w:hint="eastAsia" w:ascii="宋体" w:hAnsi="宋体" w:eastAsia="宋体" w:cs="宋体"/>
          <w:color w:val="auto"/>
          <w:szCs w:val="20"/>
          <w:highlight w:val="none"/>
        </w:rPr>
        <w:t>3、我方所递交的响应文件及有关资料都是内容完整、真实和准确的。</w:t>
      </w:r>
    </w:p>
    <w:p w14:paraId="41A8DBED">
      <w:pPr>
        <w:spacing w:line="360" w:lineRule="exact"/>
        <w:ind w:firstLine="420" w:firstLineChars="200"/>
        <w:rPr>
          <w:rFonts w:ascii="宋体" w:hAnsi="宋体" w:eastAsia="宋体" w:cs="宋体"/>
          <w:color w:val="auto"/>
          <w:szCs w:val="20"/>
          <w:highlight w:val="none"/>
          <w:u w:val="single"/>
        </w:rPr>
      </w:pPr>
      <w:r>
        <w:rPr>
          <w:rFonts w:hint="eastAsia" w:ascii="宋体" w:hAnsi="宋体" w:eastAsia="宋体" w:cs="宋体"/>
          <w:color w:val="auto"/>
          <w:szCs w:val="20"/>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43B6CE00">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具有独立承担民事责任的能力；</w:t>
      </w:r>
    </w:p>
    <w:p w14:paraId="65BF2165">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具有良好的商业信誉和健全的财务会计制度；</w:t>
      </w:r>
    </w:p>
    <w:p w14:paraId="0B9D8E4B">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具有履行合同所必需的设备和专业技术能力；</w:t>
      </w:r>
    </w:p>
    <w:p w14:paraId="480B3550">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有依法缴纳税收和社会保障资金的良好记录；</w:t>
      </w:r>
    </w:p>
    <w:p w14:paraId="3F287527">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参加政府采购活动前三年内，在经营活动中没有重大违法记录；</w:t>
      </w:r>
    </w:p>
    <w:p w14:paraId="70CD88BE">
      <w:pPr>
        <w:numPr>
          <w:ilvl w:val="0"/>
          <w:numId w:val="8"/>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法律、行政法规规定的其他条件。</w:t>
      </w:r>
    </w:p>
    <w:p w14:paraId="4F9D30E7">
      <w:pPr>
        <w:spacing w:line="440" w:lineRule="exact"/>
        <w:ind w:firstLine="482"/>
        <w:rPr>
          <w:rFonts w:ascii="宋体" w:hAnsi="宋体" w:eastAsia="宋体" w:cs="宋体"/>
          <w:color w:val="auto"/>
          <w:szCs w:val="20"/>
          <w:highlight w:val="none"/>
        </w:rPr>
      </w:pPr>
      <w:r>
        <w:rPr>
          <w:rFonts w:hint="eastAsia" w:ascii="宋体" w:hAnsi="宋体" w:eastAsia="宋体" w:cs="宋体"/>
          <w:color w:val="auto"/>
          <w:szCs w:val="20"/>
          <w:highlight w:val="none"/>
        </w:rPr>
        <w:t>5、</w:t>
      </w:r>
      <w:r>
        <w:rPr>
          <w:rFonts w:hint="eastAsia" w:ascii="宋体" w:hAnsi="宋体" w:eastAsia="宋体" w:cs="宋体"/>
          <w:color w:val="auto"/>
          <w:szCs w:val="21"/>
          <w:highlight w:val="none"/>
        </w:rPr>
        <w:t>如本项目采购内容涉及须符合国家强制规定的，我方承诺我方本次响应（包括资格条件和所投产品）均符合国家有关强制规定。</w:t>
      </w:r>
    </w:p>
    <w:p w14:paraId="17D8F209">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7D010513">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7、我方已详细</w:t>
      </w:r>
      <w:r>
        <w:rPr>
          <w:rFonts w:hint="eastAsia" w:ascii="宋体" w:hAnsi="宋体" w:eastAsia="宋体" w:cs="宋体"/>
          <w:color w:val="auto"/>
          <w:szCs w:val="20"/>
          <w:highlight w:val="none"/>
          <w:lang w:eastAsia="zh-CN"/>
        </w:rPr>
        <w:t>评审</w:t>
      </w:r>
      <w:r>
        <w:rPr>
          <w:rFonts w:hint="eastAsia" w:ascii="宋体" w:hAnsi="宋体" w:eastAsia="宋体" w:cs="宋体"/>
          <w:color w:val="auto"/>
          <w:szCs w:val="20"/>
          <w:highlight w:val="none"/>
        </w:rPr>
        <w:t>征集文件，我方知道必须放弃提出含糊不清或误解问题的权利。</w:t>
      </w:r>
    </w:p>
    <w:p w14:paraId="1014FC46">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8、我方同意应贵方要求提供与本响应有关的任何数据或资料。若贵方需要，我方愿意提供我方作出的一切承诺的证明材料。</w:t>
      </w:r>
    </w:p>
    <w:p w14:paraId="10952A65">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9、我方完全理解贵方不一定接受响应报价最低的供应商为入围供应商的行为。</w:t>
      </w:r>
    </w:p>
    <w:p w14:paraId="64FEE9FE">
      <w:pPr>
        <w:spacing w:line="440" w:lineRule="exact"/>
        <w:ind w:firstLine="420" w:firstLineChars="200"/>
        <w:rPr>
          <w:rFonts w:ascii="宋体" w:hAnsi="宋体" w:eastAsia="宋体" w:cs="宋体"/>
          <w:color w:val="auto"/>
          <w:szCs w:val="20"/>
          <w:highlight w:val="none"/>
        </w:rPr>
      </w:pPr>
      <w:r>
        <w:rPr>
          <w:rFonts w:hint="eastAsia" w:ascii="宋体" w:hAnsi="宋体" w:eastAsia="宋体" w:cs="宋体"/>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284FF18">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提供虚假材料谋取入围、成交的；</w:t>
      </w:r>
    </w:p>
    <w:p w14:paraId="54D27FBC">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采取不正当手段诋毁、排挤其他供应商的；</w:t>
      </w:r>
    </w:p>
    <w:p w14:paraId="313C0FD2">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14:paraId="357B17FE">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14:paraId="612CFE1D">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在征集采购过程中与采购人进行协商谈判的；</w:t>
      </w:r>
    </w:p>
    <w:p w14:paraId="74AF2F8F">
      <w:pPr>
        <w:numPr>
          <w:ilvl w:val="0"/>
          <w:numId w:val="9"/>
        </w:numPr>
        <w:spacing w:line="440" w:lineRule="exact"/>
        <w:rPr>
          <w:rFonts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14:paraId="0A110946">
      <w:pPr>
        <w:spacing w:line="440" w:lineRule="exact"/>
        <w:ind w:left="420"/>
        <w:rPr>
          <w:rFonts w:ascii="宋体" w:hAnsi="宋体" w:eastAsia="宋体" w:cs="宋体"/>
          <w:color w:val="auto"/>
          <w:szCs w:val="20"/>
          <w:highlight w:val="none"/>
        </w:rPr>
      </w:pPr>
      <w:r>
        <w:rPr>
          <w:rFonts w:hint="eastAsia" w:ascii="宋体" w:hAnsi="宋体" w:eastAsia="宋体" w:cs="宋体"/>
          <w:color w:val="auto"/>
          <w:szCs w:val="20"/>
          <w:highlight w:val="none"/>
        </w:rPr>
        <w:t>11、我方及由本人担任法定代表人的其他机构最近三年内被处罚的违法行为有：</w:t>
      </w:r>
      <w:r>
        <w:rPr>
          <w:rFonts w:hint="eastAsia" w:ascii="宋体" w:hAnsi="宋体" w:eastAsia="宋体" w:cs="宋体"/>
          <w:color w:val="auto"/>
          <w:szCs w:val="20"/>
          <w:highlight w:val="none"/>
          <w:u w:val="single"/>
        </w:rPr>
        <w:t xml:space="preserve">                  </w:t>
      </w:r>
    </w:p>
    <w:p w14:paraId="13612D56">
      <w:pPr>
        <w:spacing w:line="440" w:lineRule="exact"/>
        <w:ind w:left="420"/>
        <w:rPr>
          <w:rFonts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p>
    <w:p w14:paraId="3DD2CA00">
      <w:pPr>
        <w:spacing w:line="360" w:lineRule="auto"/>
        <w:ind w:firstLine="420"/>
        <w:rPr>
          <w:rFonts w:ascii="宋体" w:hAnsi="宋体" w:eastAsia="宋体" w:cs="宋体"/>
          <w:color w:val="auto"/>
          <w:szCs w:val="20"/>
          <w:highlight w:val="none"/>
        </w:rPr>
      </w:pPr>
      <w:r>
        <w:rPr>
          <w:rFonts w:hint="eastAsia" w:ascii="宋体" w:hAnsi="宋体" w:eastAsia="宋体" w:cs="宋体"/>
          <w:color w:val="auto"/>
          <w:szCs w:val="20"/>
          <w:highlight w:val="none"/>
        </w:rPr>
        <w:t>12、以上事项如有虚假或隐瞒，我方愿意承担一切后果，并不再寻求任何旨在减轻或免除法律责任的辩解。</w:t>
      </w:r>
    </w:p>
    <w:p w14:paraId="4F2DA02C">
      <w:pPr>
        <w:spacing w:line="360" w:lineRule="auto"/>
        <w:ind w:firstLine="420"/>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rPr>
        <w:t>13、与本响应有关的一切正式往来信函请寄：</w:t>
      </w:r>
    </w:p>
    <w:p w14:paraId="08132242">
      <w:pPr>
        <w:spacing w:line="360" w:lineRule="auto"/>
        <w:ind w:firstLine="420"/>
        <w:rPr>
          <w:rFonts w:ascii="宋体" w:hAnsi="宋体" w:eastAsia="宋体" w:cs="宋体"/>
          <w:color w:val="auto"/>
          <w:szCs w:val="20"/>
          <w:highlight w:val="none"/>
        </w:rPr>
      </w:pPr>
      <w:r>
        <w:rPr>
          <w:rFonts w:hint="eastAsia" w:ascii="宋体" w:hAnsi="宋体" w:eastAsia="宋体" w:cs="宋体"/>
          <w:color w:val="auto"/>
          <w:szCs w:val="20"/>
          <w:highlight w:val="none"/>
        </w:rPr>
        <w:t>地址：</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w:t>
      </w:r>
    </w:p>
    <w:p w14:paraId="39478E3E">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电话：</w:t>
      </w:r>
      <w:r>
        <w:rPr>
          <w:rFonts w:hint="eastAsia" w:ascii="宋体" w:hAnsi="宋体" w:eastAsia="宋体" w:cs="宋体"/>
          <w:color w:val="auto"/>
          <w:szCs w:val="20"/>
          <w:highlight w:val="none"/>
          <w:u w:val="single"/>
        </w:rPr>
        <w:t xml:space="preserve">                                      　　　　　　　　　</w:t>
      </w:r>
    </w:p>
    <w:p w14:paraId="5514B745">
      <w:pPr>
        <w:spacing w:line="360" w:lineRule="auto"/>
        <w:ind w:firstLine="420"/>
        <w:rPr>
          <w:rFonts w:ascii="宋体" w:hAnsi="宋体" w:eastAsia="宋体" w:cs="宋体"/>
          <w:color w:val="auto"/>
          <w:szCs w:val="20"/>
          <w:highlight w:val="none"/>
        </w:rPr>
      </w:pPr>
      <w:r>
        <w:rPr>
          <w:rFonts w:hint="eastAsia" w:ascii="宋体" w:hAnsi="宋体" w:eastAsia="宋体" w:cs="宋体"/>
          <w:color w:val="auto"/>
          <w:szCs w:val="20"/>
          <w:highlight w:val="none"/>
        </w:rPr>
        <w:t>传真：</w:t>
      </w:r>
      <w:r>
        <w:rPr>
          <w:rFonts w:hint="eastAsia" w:ascii="宋体" w:hAnsi="宋体" w:eastAsia="宋体" w:cs="宋体"/>
          <w:color w:val="auto"/>
          <w:szCs w:val="20"/>
          <w:highlight w:val="none"/>
          <w:u w:val="single"/>
        </w:rPr>
        <w:t>　　　　　　　　　　　　　　　　　　　　　　　　　　　　</w:t>
      </w:r>
    </w:p>
    <w:p w14:paraId="37DB05F6">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邮政编码：</w:t>
      </w:r>
      <w:r>
        <w:rPr>
          <w:rFonts w:hint="eastAsia" w:ascii="宋体" w:hAnsi="宋体" w:eastAsia="宋体" w:cs="宋体"/>
          <w:color w:val="auto"/>
          <w:szCs w:val="20"/>
          <w:highlight w:val="none"/>
          <w:u w:val="single"/>
        </w:rPr>
        <w:t xml:space="preserve">                                                    </w:t>
      </w:r>
    </w:p>
    <w:p w14:paraId="442FC5DA">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开户名称：</w:t>
      </w:r>
      <w:r>
        <w:rPr>
          <w:rFonts w:hint="eastAsia" w:ascii="宋体" w:hAnsi="宋体" w:eastAsia="宋体" w:cs="宋体"/>
          <w:color w:val="auto"/>
          <w:szCs w:val="20"/>
          <w:highlight w:val="none"/>
          <w:u w:val="single"/>
        </w:rPr>
        <w:t xml:space="preserve">                                                    </w:t>
      </w:r>
    </w:p>
    <w:p w14:paraId="5FFA086E">
      <w:pPr>
        <w:spacing w:line="360" w:lineRule="auto"/>
        <w:ind w:firstLine="420"/>
        <w:rPr>
          <w:rFonts w:ascii="宋体" w:hAnsi="宋体" w:eastAsia="宋体" w:cs="宋体"/>
          <w:color w:val="auto"/>
          <w:szCs w:val="20"/>
          <w:highlight w:val="none"/>
          <w:u w:val="single"/>
        </w:rPr>
      </w:pPr>
      <w:r>
        <w:rPr>
          <w:rFonts w:hint="eastAsia" w:ascii="宋体" w:hAnsi="宋体" w:eastAsia="宋体" w:cs="宋体"/>
          <w:color w:val="auto"/>
          <w:szCs w:val="20"/>
          <w:highlight w:val="none"/>
        </w:rPr>
        <w:t>开户银行：</w:t>
      </w:r>
      <w:r>
        <w:rPr>
          <w:rFonts w:hint="eastAsia" w:ascii="宋体" w:hAnsi="宋体" w:eastAsia="宋体" w:cs="宋体"/>
          <w:color w:val="auto"/>
          <w:szCs w:val="20"/>
          <w:highlight w:val="none"/>
          <w:u w:val="single"/>
        </w:rPr>
        <w:t xml:space="preserve">                                                    </w:t>
      </w:r>
    </w:p>
    <w:p w14:paraId="33494788">
      <w:pPr>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银行账号：</w:t>
      </w:r>
      <w:r>
        <w:rPr>
          <w:rFonts w:hint="eastAsia" w:ascii="宋体" w:hAnsi="宋体" w:eastAsia="宋体" w:cs="宋体"/>
          <w:color w:val="auto"/>
          <w:szCs w:val="20"/>
          <w:highlight w:val="none"/>
          <w:u w:val="single"/>
        </w:rPr>
        <w:t xml:space="preserve">                                                    </w:t>
      </w:r>
    </w:p>
    <w:p w14:paraId="23E612C4">
      <w:pPr>
        <w:spacing w:line="360" w:lineRule="auto"/>
        <w:ind w:firstLine="420"/>
        <w:rPr>
          <w:rFonts w:hint="eastAsia" w:ascii="宋体" w:hAnsi="宋体" w:eastAsia="宋体" w:cs="宋体"/>
          <w:color w:val="auto"/>
          <w:szCs w:val="20"/>
          <w:highlight w:val="none"/>
          <w:u w:val="single"/>
        </w:rPr>
      </w:pPr>
    </w:p>
    <w:p w14:paraId="53C926CA">
      <w:pPr>
        <w:snapToGrid w:val="0"/>
        <w:spacing w:line="360" w:lineRule="auto"/>
        <w:ind w:firstLine="5040" w:firstLineChars="2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供应商名称(电子签章)：</w:t>
      </w:r>
    </w:p>
    <w:p w14:paraId="71A87824">
      <w:pPr>
        <w:snapToGrid w:val="0"/>
        <w:spacing w:line="360" w:lineRule="auto"/>
        <w:ind w:firstLine="5160" w:firstLineChars="215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2C12C8AB">
      <w:pPr>
        <w:snapToGrid w:val="0"/>
        <w:spacing w:line="360" w:lineRule="auto"/>
        <w:ind w:firstLine="5160" w:firstLineChars="2150"/>
        <w:rPr>
          <w:rFonts w:ascii="宋体" w:hAnsi="宋体" w:eastAsia="宋体" w:cs="宋体"/>
          <w:color w:val="auto"/>
          <w:kern w:val="0"/>
          <w:sz w:val="24"/>
          <w:szCs w:val="24"/>
          <w:highlight w:val="none"/>
          <w:lang w:val="zh-CN"/>
        </w:rPr>
      </w:pPr>
    </w:p>
    <w:p w14:paraId="5C3BC79D">
      <w:pPr>
        <w:rPr>
          <w:rFonts w:ascii="宋体" w:hAnsi="宋体" w:eastAsia="宋体" w:cs="宋体"/>
          <w:color w:val="auto"/>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5B863588">
      <w:pPr>
        <w:spacing w:line="360" w:lineRule="auto"/>
        <w:jc w:val="center"/>
        <w:rPr>
          <w:rFonts w:ascii="宋体" w:hAnsi="宋体" w:eastAsia="宋体" w:cs="宋体"/>
          <w:b/>
          <w:color w:val="auto"/>
          <w:sz w:val="30"/>
          <w:szCs w:val="30"/>
          <w:highlight w:val="none"/>
        </w:rPr>
      </w:pPr>
      <w:r>
        <w:rPr>
          <w:rFonts w:hint="eastAsia" w:ascii="宋体" w:hAnsi="宋体" w:eastAsia="宋体" w:cs="宋体"/>
          <w:color w:val="auto"/>
          <w:sz w:val="30"/>
          <w:szCs w:val="20"/>
          <w:highlight w:val="none"/>
        </w:rPr>
        <w:t>二、</w:t>
      </w:r>
      <w:r>
        <w:rPr>
          <w:rFonts w:hint="eastAsia" w:ascii="宋体" w:hAnsi="宋体" w:eastAsia="宋体" w:cs="宋体"/>
          <w:b/>
          <w:color w:val="auto"/>
          <w:sz w:val="30"/>
          <w:szCs w:val="30"/>
          <w:highlight w:val="none"/>
        </w:rPr>
        <w:t>开标一览表</w:t>
      </w:r>
    </w:p>
    <w:p w14:paraId="03990F5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rPr>
      </w:pPr>
    </w:p>
    <w:p w14:paraId="22C25D7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4283678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p>
    <w:p w14:paraId="364073B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417"/>
        <w:gridCol w:w="2324"/>
        <w:gridCol w:w="2635"/>
        <w:gridCol w:w="1391"/>
        <w:gridCol w:w="1275"/>
      </w:tblGrid>
      <w:tr w14:paraId="307A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409" w:type="pct"/>
            <w:tcBorders>
              <w:top w:val="single" w:color="auto" w:sz="4" w:space="0"/>
              <w:left w:val="single" w:color="auto" w:sz="4" w:space="0"/>
              <w:bottom w:val="single" w:color="auto" w:sz="4" w:space="0"/>
              <w:right w:val="single" w:color="auto" w:sz="4" w:space="0"/>
            </w:tcBorders>
            <w:vAlign w:val="center"/>
          </w:tcPr>
          <w:p w14:paraId="5EC891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19" w:type="pct"/>
            <w:tcBorders>
              <w:top w:val="single" w:color="auto" w:sz="4" w:space="0"/>
              <w:left w:val="single" w:color="auto" w:sz="4" w:space="0"/>
              <w:bottom w:val="single" w:color="auto" w:sz="4" w:space="0"/>
              <w:right w:val="single" w:color="auto" w:sz="4" w:space="0"/>
            </w:tcBorders>
            <w:vAlign w:val="center"/>
          </w:tcPr>
          <w:p w14:paraId="235611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1179" w:type="pct"/>
            <w:tcBorders>
              <w:top w:val="single" w:color="auto" w:sz="4" w:space="0"/>
              <w:left w:val="single" w:color="auto" w:sz="4" w:space="0"/>
              <w:bottom w:val="single" w:color="auto" w:sz="4" w:space="0"/>
              <w:right w:val="single" w:color="auto" w:sz="4" w:space="0"/>
            </w:tcBorders>
            <w:vAlign w:val="center"/>
          </w:tcPr>
          <w:p w14:paraId="751CB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具体服务内容</w:t>
            </w:r>
          </w:p>
        </w:tc>
        <w:tc>
          <w:tcPr>
            <w:tcW w:w="1337" w:type="pct"/>
            <w:tcBorders>
              <w:top w:val="single" w:color="auto" w:sz="4" w:space="0"/>
              <w:left w:val="single" w:color="auto" w:sz="4" w:space="0"/>
              <w:bottom w:val="single" w:color="auto" w:sz="4" w:space="0"/>
              <w:right w:val="single" w:color="auto" w:sz="4" w:space="0"/>
            </w:tcBorders>
            <w:vAlign w:val="center"/>
          </w:tcPr>
          <w:p w14:paraId="76B69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706" w:type="pct"/>
            <w:tcBorders>
              <w:top w:val="single" w:color="auto" w:sz="4" w:space="0"/>
              <w:left w:val="single" w:color="auto" w:sz="4" w:space="0"/>
              <w:bottom w:val="single" w:color="auto" w:sz="4" w:space="0"/>
              <w:right w:val="single" w:color="auto" w:sz="4" w:space="0"/>
            </w:tcBorders>
          </w:tcPr>
          <w:p w14:paraId="79546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服务要求（年限）</w:t>
            </w:r>
          </w:p>
        </w:tc>
        <w:tc>
          <w:tcPr>
            <w:tcW w:w="647" w:type="pct"/>
            <w:tcBorders>
              <w:top w:val="single" w:color="auto" w:sz="4" w:space="0"/>
              <w:left w:val="single" w:color="auto" w:sz="4" w:space="0"/>
              <w:bottom w:val="single" w:color="auto" w:sz="4" w:space="0"/>
              <w:right w:val="single" w:color="auto" w:sz="4" w:space="0"/>
            </w:tcBorders>
            <w:vAlign w:val="center"/>
          </w:tcPr>
          <w:p w14:paraId="2841B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177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09" w:type="pct"/>
            <w:tcBorders>
              <w:top w:val="single" w:color="auto" w:sz="4" w:space="0"/>
              <w:left w:val="single" w:color="auto" w:sz="4" w:space="0"/>
              <w:bottom w:val="single" w:color="auto" w:sz="4" w:space="0"/>
              <w:right w:val="single" w:color="auto" w:sz="4" w:space="0"/>
            </w:tcBorders>
            <w:vAlign w:val="center"/>
          </w:tcPr>
          <w:p w14:paraId="200A2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19" w:type="pct"/>
            <w:tcBorders>
              <w:top w:val="single" w:color="auto" w:sz="4" w:space="0"/>
              <w:left w:val="single" w:color="auto" w:sz="4" w:space="0"/>
              <w:bottom w:val="single" w:color="auto" w:sz="4" w:space="0"/>
              <w:right w:val="single" w:color="auto" w:sz="4" w:space="0"/>
            </w:tcBorders>
            <w:vAlign w:val="center"/>
          </w:tcPr>
          <w:p w14:paraId="5BBC9D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1179" w:type="pct"/>
            <w:tcBorders>
              <w:top w:val="single" w:color="auto" w:sz="4" w:space="0"/>
              <w:left w:val="single" w:color="auto" w:sz="4" w:space="0"/>
              <w:bottom w:val="single" w:color="auto" w:sz="4" w:space="0"/>
              <w:right w:val="single" w:color="auto" w:sz="4" w:space="0"/>
            </w:tcBorders>
            <w:vAlign w:val="center"/>
          </w:tcPr>
          <w:p w14:paraId="1F042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19FA22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706" w:type="pct"/>
            <w:tcBorders>
              <w:top w:val="single" w:color="auto" w:sz="4" w:space="0"/>
              <w:left w:val="single" w:color="auto" w:sz="4" w:space="0"/>
              <w:bottom w:val="single" w:color="auto" w:sz="4" w:space="0"/>
              <w:right w:val="single" w:color="auto" w:sz="4" w:space="0"/>
            </w:tcBorders>
          </w:tcPr>
          <w:p w14:paraId="536062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1224A1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r>
      <w:tr w14:paraId="3306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09" w:type="pct"/>
            <w:tcBorders>
              <w:top w:val="single" w:color="auto" w:sz="4" w:space="0"/>
              <w:left w:val="single" w:color="auto" w:sz="4" w:space="0"/>
              <w:bottom w:val="single" w:color="auto" w:sz="4" w:space="0"/>
              <w:right w:val="single" w:color="auto" w:sz="4" w:space="0"/>
            </w:tcBorders>
            <w:vAlign w:val="center"/>
          </w:tcPr>
          <w:p w14:paraId="678A8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19" w:type="pct"/>
            <w:tcBorders>
              <w:top w:val="single" w:color="auto" w:sz="4" w:space="0"/>
              <w:left w:val="single" w:color="auto" w:sz="4" w:space="0"/>
              <w:bottom w:val="single" w:color="auto" w:sz="4" w:space="0"/>
              <w:right w:val="single" w:color="auto" w:sz="4" w:space="0"/>
            </w:tcBorders>
            <w:vAlign w:val="center"/>
          </w:tcPr>
          <w:p w14:paraId="24031D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1179" w:type="pct"/>
            <w:tcBorders>
              <w:top w:val="single" w:color="auto" w:sz="4" w:space="0"/>
              <w:left w:val="single" w:color="auto" w:sz="4" w:space="0"/>
              <w:bottom w:val="single" w:color="auto" w:sz="4" w:space="0"/>
              <w:right w:val="single" w:color="auto" w:sz="4" w:space="0"/>
            </w:tcBorders>
            <w:vAlign w:val="center"/>
          </w:tcPr>
          <w:p w14:paraId="231A2F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14:paraId="5D676B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706" w:type="pct"/>
            <w:tcBorders>
              <w:top w:val="single" w:color="auto" w:sz="4" w:space="0"/>
              <w:left w:val="single" w:color="auto" w:sz="4" w:space="0"/>
              <w:bottom w:val="single" w:color="auto" w:sz="4" w:space="0"/>
              <w:right w:val="single" w:color="auto" w:sz="4" w:space="0"/>
            </w:tcBorders>
          </w:tcPr>
          <w:p w14:paraId="5772F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c>
          <w:tcPr>
            <w:tcW w:w="647" w:type="pct"/>
            <w:tcBorders>
              <w:top w:val="single" w:color="auto" w:sz="4" w:space="0"/>
              <w:left w:val="single" w:color="auto" w:sz="4" w:space="0"/>
              <w:bottom w:val="single" w:color="auto" w:sz="4" w:space="0"/>
              <w:right w:val="single" w:color="auto" w:sz="4" w:space="0"/>
            </w:tcBorders>
            <w:vAlign w:val="center"/>
          </w:tcPr>
          <w:p w14:paraId="28842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color w:val="auto"/>
                <w:sz w:val="21"/>
                <w:szCs w:val="21"/>
                <w:highlight w:val="none"/>
              </w:rPr>
            </w:pPr>
          </w:p>
        </w:tc>
      </w:tr>
    </w:tbl>
    <w:p w14:paraId="08C405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注：</w:t>
      </w:r>
    </w:p>
    <w:p w14:paraId="622A0A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1、供应商需按本表格式填写，不得自行更改，也不得留空, 如有多分标，按分标分别提供开标一览表，必须加盖供应商有效电子公章，</w:t>
      </w:r>
      <w:r>
        <w:rPr>
          <w:rFonts w:hint="eastAsia" w:ascii="宋体" w:hAnsi="宋体" w:eastAsia="宋体" w:cs="宋体"/>
          <w:b/>
          <w:color w:val="auto"/>
          <w:kern w:val="0"/>
          <w:sz w:val="21"/>
          <w:szCs w:val="21"/>
          <w:highlight w:val="none"/>
          <w:lang w:val="zh-CN"/>
        </w:rPr>
        <w:t>否则其响应作无效标处理。</w:t>
      </w:r>
    </w:p>
    <w:p w14:paraId="696383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否则其响应作无效标处理。</w:t>
      </w:r>
    </w:p>
    <w:p w14:paraId="375572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3、如为联合体响应，“供应商名称”处必须列明联合体各方名称，并标注联合体牵头人名称，且盖章处须加盖联合体各方公章，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否则其响应作无效标处理。</w:t>
      </w:r>
    </w:p>
    <w:p w14:paraId="1D27DA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4、以上表格要求细分项目及报价，在“具体服务内容”一栏中，填写具体服务，</w:t>
      </w:r>
      <w:r>
        <w:rPr>
          <w:rFonts w:hint="eastAsia" w:ascii="宋体" w:hAnsi="宋体" w:eastAsia="宋体" w:cs="宋体"/>
          <w:b/>
          <w:color w:val="auto"/>
          <w:kern w:val="0"/>
          <w:sz w:val="21"/>
          <w:szCs w:val="21"/>
          <w:highlight w:val="none"/>
          <w:lang w:val="zh-CN"/>
        </w:rPr>
        <w:t>否则其响应作无效标处理。</w:t>
      </w:r>
    </w:p>
    <w:p w14:paraId="5009D3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5、特别提示：采购机构将对项目名称和项目编号，入围供应商名称、地址和入围金额，主要入围标的的名称、规格型号、数量、单价、服务要求等予以公示。</w:t>
      </w:r>
    </w:p>
    <w:p w14:paraId="6F6D68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6、符合征集文件中列明的可享受中小企业扶持政策或残疾人福利性单位的供应商，请填写中小企业或残疾人福利性单位声明函。注：供应商提供的中小企业或残疾人福利性单位声明函内容不实的，属于提供虚假材料谋取入围、成交，依照《中华人民共和国政府采购法》等国家有关规定追究相应责任。</w:t>
      </w:r>
    </w:p>
    <w:p w14:paraId="21E3C0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7、若本公司入围，本公司承诺同意按本项目征集文件规定的计费方式和费率计费。</w:t>
      </w:r>
    </w:p>
    <w:p w14:paraId="020BAB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zh-CN"/>
        </w:rPr>
      </w:pPr>
    </w:p>
    <w:p w14:paraId="327D40CA">
      <w:pPr>
        <w:keepNext w:val="0"/>
        <w:keepLines w:val="0"/>
        <w:pageBreakBefore w:val="0"/>
        <w:widowControl w:val="0"/>
        <w:kinsoku/>
        <w:wordWrap/>
        <w:overflowPunct/>
        <w:topLinePunct w:val="0"/>
        <w:autoSpaceDE/>
        <w:autoSpaceDN/>
        <w:bidi w:val="0"/>
        <w:adjustRightInd/>
        <w:snapToGrid/>
        <w:spacing w:line="360" w:lineRule="auto"/>
        <w:ind w:firstLine="5250" w:firstLineChars="25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供应商名称(电子签章)：</w:t>
      </w:r>
    </w:p>
    <w:p w14:paraId="1658C7C2">
      <w:pPr>
        <w:keepNext w:val="0"/>
        <w:keepLines w:val="0"/>
        <w:pageBreakBefore w:val="0"/>
        <w:widowControl w:val="0"/>
        <w:kinsoku/>
        <w:wordWrap/>
        <w:overflowPunct/>
        <w:topLinePunct w:val="0"/>
        <w:autoSpaceDE/>
        <w:autoSpaceDN/>
        <w:bidi w:val="0"/>
        <w:adjustRightInd/>
        <w:snapToGrid/>
        <w:spacing w:line="360" w:lineRule="auto"/>
        <w:ind w:firstLine="5250" w:firstLineChars="25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0A54000C">
      <w:pP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br w:type="page"/>
      </w:r>
    </w:p>
    <w:p w14:paraId="7EA799BD">
      <w:pPr>
        <w:spacing w:line="360" w:lineRule="auto"/>
        <w:ind w:right="42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三、供应商针对报价需要说明的其他文件和说明</w:t>
      </w:r>
    </w:p>
    <w:p w14:paraId="3CC0F878">
      <w:pPr>
        <w:snapToGrid w:val="0"/>
        <w:spacing w:before="120" w:beforeLines="50" w:after="50"/>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（由供应商根据采购需求自行编制）</w:t>
      </w:r>
    </w:p>
    <w:p w14:paraId="6C4C1371">
      <w:pPr>
        <w:spacing w:line="360" w:lineRule="auto"/>
        <w:jc w:val="center"/>
        <w:rPr>
          <w:rFonts w:ascii="宋体" w:hAnsi="宋体" w:eastAsia="宋体" w:cs="宋体"/>
          <w:color w:val="auto"/>
          <w:sz w:val="24"/>
          <w:szCs w:val="24"/>
          <w:highlight w:val="none"/>
        </w:rPr>
      </w:pPr>
    </w:p>
    <w:p w14:paraId="28CADE39">
      <w:pPr>
        <w:autoSpaceDE w:val="0"/>
        <w:autoSpaceDN w:val="0"/>
        <w:spacing w:line="360" w:lineRule="auto"/>
        <w:ind w:firstLine="4800" w:firstLineChars="2000"/>
        <w:rPr>
          <w:rFonts w:ascii="宋体" w:hAnsi="宋体" w:eastAsia="宋体" w:cs="宋体"/>
          <w:color w:val="auto"/>
          <w:kern w:val="0"/>
          <w:sz w:val="24"/>
          <w:szCs w:val="24"/>
          <w:highlight w:val="none"/>
        </w:rPr>
      </w:pPr>
    </w:p>
    <w:p w14:paraId="2E1CF9CD">
      <w:pPr>
        <w:autoSpaceDE w:val="0"/>
        <w:autoSpaceDN w:val="0"/>
        <w:spacing w:line="360" w:lineRule="auto"/>
        <w:ind w:firstLine="4800" w:firstLineChars="2000"/>
        <w:rPr>
          <w:rFonts w:ascii="宋体" w:hAnsi="宋体" w:eastAsia="宋体" w:cs="宋体"/>
          <w:color w:val="auto"/>
          <w:kern w:val="0"/>
          <w:sz w:val="24"/>
          <w:szCs w:val="24"/>
          <w:highlight w:val="none"/>
        </w:rPr>
      </w:pPr>
    </w:p>
    <w:p w14:paraId="5B49738E">
      <w:pPr>
        <w:autoSpaceDE w:val="0"/>
        <w:autoSpaceDN w:val="0"/>
        <w:spacing w:line="360" w:lineRule="auto"/>
        <w:ind w:firstLine="4800" w:firstLineChars="20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供应商名称（电子</w:t>
      </w:r>
      <w:r>
        <w:rPr>
          <w:rFonts w:hint="eastAsia" w:ascii="宋体" w:hAnsi="宋体" w:eastAsia="宋体" w:cs="宋体"/>
          <w:color w:val="auto"/>
          <w:kern w:val="0"/>
          <w:sz w:val="24"/>
          <w:szCs w:val="24"/>
          <w:highlight w:val="none"/>
          <w:lang w:val="zh-CN"/>
        </w:rPr>
        <w:t>签章</w:t>
      </w:r>
      <w:r>
        <w:rPr>
          <w:rFonts w:hint="eastAsia" w:ascii="宋体" w:hAnsi="宋体" w:eastAsia="宋体" w:cs="宋体"/>
          <w:color w:val="auto"/>
          <w:kern w:val="0"/>
          <w:sz w:val="24"/>
          <w:szCs w:val="24"/>
          <w:highlight w:val="none"/>
        </w:rPr>
        <w:t>）：</w:t>
      </w:r>
    </w:p>
    <w:p w14:paraId="3C0C129C">
      <w:pPr>
        <w:spacing w:line="360" w:lineRule="auto"/>
        <w:ind w:right="420"/>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  年  月   日</w:t>
      </w:r>
    </w:p>
    <w:p w14:paraId="512A282F">
      <w:pPr>
        <w:spacing w:line="360" w:lineRule="auto"/>
        <w:ind w:right="420" w:firstLine="602" w:firstLineChars="200"/>
        <w:rPr>
          <w:rFonts w:hint="eastAsia" w:ascii="宋体" w:hAnsi="宋体" w:eastAsia="宋体" w:cs="宋体"/>
          <w:b/>
          <w:color w:val="auto"/>
          <w:sz w:val="30"/>
          <w:szCs w:val="30"/>
          <w:highlight w:val="none"/>
        </w:rPr>
      </w:pPr>
    </w:p>
    <w:p w14:paraId="5911B31C">
      <w:pPr>
        <w:snapToGrid w:val="0"/>
        <w:spacing w:before="50" w:after="120" w:afterLines="50" w:line="360" w:lineRule="auto"/>
        <w:jc w:val="left"/>
        <w:rPr>
          <w:rFonts w:ascii="宋体" w:hAnsi="宋体" w:eastAsia="宋体" w:cs="宋体"/>
          <w:color w:val="auto"/>
          <w:sz w:val="20"/>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2F8F2BC1">
      <w:pPr>
        <w:tabs>
          <w:tab w:val="left" w:pos="2472"/>
        </w:tabs>
        <w:spacing w:line="460" w:lineRule="exact"/>
        <w:jc w:val="center"/>
        <w:rPr>
          <w:rFonts w:ascii="宋体" w:hAnsi="宋体" w:eastAsia="宋体" w:cs="宋体"/>
          <w:b/>
          <w:color w:val="auto"/>
          <w:sz w:val="36"/>
          <w:szCs w:val="20"/>
          <w:highlight w:val="none"/>
        </w:rPr>
      </w:pPr>
    </w:p>
    <w:p w14:paraId="08F3366E">
      <w:pPr>
        <w:tabs>
          <w:tab w:val="left" w:pos="2472"/>
        </w:tabs>
        <w:spacing w:line="460" w:lineRule="exact"/>
        <w:jc w:val="center"/>
        <w:rPr>
          <w:rFonts w:ascii="宋体" w:hAnsi="宋体" w:eastAsia="宋体" w:cs="宋体"/>
          <w:b/>
          <w:color w:val="auto"/>
          <w:sz w:val="36"/>
          <w:szCs w:val="20"/>
          <w:highlight w:val="none"/>
        </w:rPr>
      </w:pPr>
    </w:p>
    <w:p w14:paraId="5CC09864">
      <w:pPr>
        <w:tabs>
          <w:tab w:val="left" w:pos="2472"/>
        </w:tabs>
        <w:spacing w:line="460" w:lineRule="exact"/>
        <w:jc w:val="center"/>
        <w:rPr>
          <w:rFonts w:ascii="宋体" w:hAnsi="宋体" w:eastAsia="宋体" w:cs="宋体"/>
          <w:b/>
          <w:color w:val="auto"/>
          <w:sz w:val="36"/>
          <w:szCs w:val="20"/>
          <w:highlight w:val="none"/>
        </w:rPr>
      </w:pPr>
    </w:p>
    <w:p w14:paraId="7220B352">
      <w:pPr>
        <w:tabs>
          <w:tab w:val="left" w:pos="2472"/>
        </w:tabs>
        <w:spacing w:line="460" w:lineRule="exact"/>
        <w:jc w:val="center"/>
        <w:rPr>
          <w:rFonts w:ascii="宋体" w:hAnsi="宋体" w:eastAsia="宋体" w:cs="宋体"/>
          <w:b/>
          <w:color w:val="auto"/>
          <w:sz w:val="36"/>
          <w:szCs w:val="20"/>
          <w:highlight w:val="none"/>
        </w:rPr>
      </w:pPr>
    </w:p>
    <w:p w14:paraId="1A842F76">
      <w:pPr>
        <w:tabs>
          <w:tab w:val="left" w:pos="2472"/>
        </w:tabs>
        <w:spacing w:line="460" w:lineRule="exact"/>
        <w:jc w:val="center"/>
        <w:rPr>
          <w:rFonts w:ascii="宋体" w:hAnsi="宋体" w:eastAsia="宋体" w:cs="宋体"/>
          <w:b/>
          <w:color w:val="auto"/>
          <w:sz w:val="36"/>
          <w:szCs w:val="20"/>
          <w:highlight w:val="none"/>
        </w:rPr>
      </w:pPr>
    </w:p>
    <w:p w14:paraId="79C3813C">
      <w:pPr>
        <w:tabs>
          <w:tab w:val="left" w:pos="2472"/>
        </w:tabs>
        <w:spacing w:line="460" w:lineRule="exact"/>
        <w:jc w:val="center"/>
        <w:rPr>
          <w:rFonts w:ascii="宋体" w:hAnsi="宋体" w:eastAsia="宋体" w:cs="宋体"/>
          <w:b/>
          <w:color w:val="auto"/>
          <w:sz w:val="36"/>
          <w:szCs w:val="20"/>
          <w:highlight w:val="none"/>
        </w:rPr>
      </w:pPr>
    </w:p>
    <w:p w14:paraId="63A7CA8F">
      <w:pPr>
        <w:tabs>
          <w:tab w:val="left" w:pos="2472"/>
        </w:tabs>
        <w:spacing w:line="460" w:lineRule="exact"/>
        <w:jc w:val="center"/>
        <w:rPr>
          <w:rFonts w:ascii="宋体" w:hAnsi="宋体" w:eastAsia="宋体" w:cs="宋体"/>
          <w:b/>
          <w:color w:val="auto"/>
          <w:sz w:val="36"/>
          <w:szCs w:val="20"/>
          <w:highlight w:val="none"/>
        </w:rPr>
      </w:pPr>
    </w:p>
    <w:p w14:paraId="2D197B5D">
      <w:pPr>
        <w:tabs>
          <w:tab w:val="left" w:pos="2472"/>
        </w:tabs>
        <w:spacing w:line="460" w:lineRule="exact"/>
        <w:jc w:val="center"/>
        <w:rPr>
          <w:rFonts w:ascii="宋体" w:hAnsi="宋体" w:eastAsia="宋体" w:cs="宋体"/>
          <w:b/>
          <w:color w:val="auto"/>
          <w:sz w:val="36"/>
          <w:szCs w:val="20"/>
          <w:highlight w:val="none"/>
        </w:rPr>
      </w:pPr>
    </w:p>
    <w:p w14:paraId="290868D9">
      <w:pPr>
        <w:tabs>
          <w:tab w:val="left" w:pos="2472"/>
        </w:tabs>
        <w:spacing w:line="460" w:lineRule="exact"/>
        <w:jc w:val="center"/>
        <w:rPr>
          <w:rFonts w:ascii="宋体" w:hAnsi="宋体" w:eastAsia="宋体" w:cs="宋体"/>
          <w:b/>
          <w:color w:val="auto"/>
          <w:sz w:val="36"/>
          <w:szCs w:val="20"/>
          <w:highlight w:val="none"/>
        </w:rPr>
      </w:pPr>
    </w:p>
    <w:p w14:paraId="13FDB490">
      <w:pPr>
        <w:tabs>
          <w:tab w:val="left" w:pos="2472"/>
        </w:tabs>
        <w:spacing w:line="460" w:lineRule="exact"/>
        <w:jc w:val="center"/>
        <w:rPr>
          <w:rFonts w:ascii="宋体" w:hAnsi="宋体" w:eastAsia="宋体" w:cs="宋体"/>
          <w:b/>
          <w:color w:val="auto"/>
          <w:sz w:val="36"/>
          <w:szCs w:val="20"/>
          <w:highlight w:val="none"/>
        </w:rPr>
      </w:pPr>
    </w:p>
    <w:p w14:paraId="71285723">
      <w:pPr>
        <w:tabs>
          <w:tab w:val="left" w:pos="2472"/>
        </w:tabs>
        <w:spacing w:line="460" w:lineRule="exact"/>
        <w:jc w:val="center"/>
        <w:rPr>
          <w:rFonts w:ascii="宋体" w:hAnsi="宋体" w:eastAsia="宋体" w:cs="宋体"/>
          <w:b/>
          <w:color w:val="auto"/>
          <w:sz w:val="36"/>
          <w:szCs w:val="20"/>
          <w:highlight w:val="none"/>
        </w:rPr>
      </w:pPr>
    </w:p>
    <w:p w14:paraId="515097D6">
      <w:pPr>
        <w:tabs>
          <w:tab w:val="left" w:pos="2472"/>
        </w:tabs>
        <w:spacing w:line="460" w:lineRule="exact"/>
        <w:jc w:val="center"/>
        <w:outlineLvl w:val="0"/>
        <w:rPr>
          <w:rFonts w:ascii="宋体" w:hAnsi="宋体" w:eastAsia="宋体" w:cs="宋体"/>
          <w:b/>
          <w:color w:val="auto"/>
          <w:sz w:val="36"/>
          <w:szCs w:val="20"/>
          <w:highlight w:val="none"/>
        </w:rPr>
      </w:pPr>
      <w:bookmarkStart w:id="374" w:name="_Toc5892"/>
      <w:bookmarkStart w:id="375" w:name="_Toc12670"/>
      <w:bookmarkStart w:id="376" w:name="_Toc29326"/>
      <w:bookmarkStart w:id="377" w:name="_Toc22135"/>
      <w:bookmarkStart w:id="378" w:name="_Toc80093017"/>
      <w:bookmarkStart w:id="379" w:name="_Toc9942"/>
      <w:bookmarkStart w:id="380" w:name="_Toc1487"/>
      <w:r>
        <w:rPr>
          <w:rFonts w:hint="eastAsia" w:ascii="宋体" w:hAnsi="宋体" w:eastAsia="宋体" w:cs="宋体"/>
          <w:b/>
          <w:color w:val="auto"/>
          <w:sz w:val="36"/>
          <w:szCs w:val="20"/>
          <w:highlight w:val="none"/>
        </w:rPr>
        <w:t>第七章 质疑、投诉证明材料格式</w:t>
      </w:r>
      <w:bookmarkEnd w:id="374"/>
      <w:bookmarkEnd w:id="375"/>
      <w:bookmarkEnd w:id="376"/>
      <w:bookmarkEnd w:id="377"/>
      <w:bookmarkEnd w:id="378"/>
      <w:bookmarkEnd w:id="379"/>
      <w:bookmarkEnd w:id="380"/>
    </w:p>
    <w:p w14:paraId="23C5AE9E">
      <w:pPr>
        <w:snapToGrid w:val="0"/>
        <w:spacing w:before="50" w:after="120" w:afterLines="50" w:line="360" w:lineRule="auto"/>
        <w:ind w:firstLine="300" w:firstLineChars="150"/>
        <w:jc w:val="left"/>
        <w:rPr>
          <w:rFonts w:ascii="宋体" w:hAnsi="宋体" w:eastAsia="宋体" w:cs="宋体"/>
          <w:color w:val="auto"/>
          <w:sz w:val="20"/>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181E2544">
      <w:pPr>
        <w:keepNext/>
        <w:keepLines/>
        <w:spacing w:before="260" w:after="260" w:line="413" w:lineRule="auto"/>
        <w:jc w:val="center"/>
        <w:outlineLvl w:val="1"/>
        <w:rPr>
          <w:rFonts w:ascii="宋体" w:hAnsi="宋体" w:eastAsia="宋体" w:cs="宋体"/>
          <w:color w:val="auto"/>
          <w:sz w:val="32"/>
          <w:szCs w:val="32"/>
          <w:highlight w:val="none"/>
        </w:rPr>
      </w:pPr>
      <w:bookmarkStart w:id="381" w:name="_Toc16830"/>
      <w:bookmarkStart w:id="382" w:name="_Toc11462"/>
      <w:bookmarkStart w:id="383" w:name="_Toc22126"/>
      <w:bookmarkStart w:id="384" w:name="_Toc31490"/>
      <w:bookmarkStart w:id="385" w:name="_Toc80093018"/>
      <w:bookmarkStart w:id="386" w:name="_Toc17932"/>
      <w:bookmarkStart w:id="387" w:name="_Toc24283"/>
      <w:r>
        <w:rPr>
          <w:rFonts w:hint="eastAsia" w:ascii="宋体" w:hAnsi="宋体" w:eastAsia="宋体" w:cs="宋体"/>
          <w:color w:val="auto"/>
          <w:sz w:val="32"/>
          <w:szCs w:val="32"/>
          <w:highlight w:val="none"/>
        </w:rPr>
        <w:t>第一节 质疑函（格式）</w:t>
      </w:r>
      <w:bookmarkEnd w:id="381"/>
      <w:bookmarkEnd w:id="382"/>
      <w:bookmarkEnd w:id="383"/>
      <w:bookmarkEnd w:id="384"/>
      <w:bookmarkEnd w:id="385"/>
      <w:bookmarkEnd w:id="386"/>
      <w:bookmarkEnd w:id="387"/>
    </w:p>
    <w:p w14:paraId="01A741AA">
      <w:pPr>
        <w:jc w:val="center"/>
        <w:outlineLvl w:val="2"/>
        <w:rPr>
          <w:rFonts w:ascii="宋体" w:hAnsi="宋体" w:eastAsia="宋体" w:cs="宋体"/>
          <w:b/>
          <w:bCs/>
          <w:color w:val="auto"/>
          <w:sz w:val="44"/>
          <w:szCs w:val="44"/>
          <w:highlight w:val="none"/>
        </w:rPr>
      </w:pPr>
      <w:bookmarkStart w:id="388" w:name="_Toc28053"/>
      <w:bookmarkStart w:id="389" w:name="_Toc2499"/>
      <w:bookmarkStart w:id="390" w:name="_Toc9185"/>
      <w:bookmarkStart w:id="391" w:name="_Toc2988"/>
      <w:bookmarkStart w:id="392" w:name="_Toc10767"/>
      <w:r>
        <w:rPr>
          <w:rFonts w:hint="eastAsia" w:ascii="宋体" w:hAnsi="宋体" w:eastAsia="宋体" w:cs="宋体"/>
          <w:b/>
          <w:bCs/>
          <w:color w:val="auto"/>
          <w:sz w:val="44"/>
          <w:szCs w:val="44"/>
          <w:highlight w:val="none"/>
        </w:rPr>
        <w:t>质疑函范本</w:t>
      </w:r>
      <w:bookmarkEnd w:id="388"/>
      <w:bookmarkEnd w:id="389"/>
      <w:bookmarkEnd w:id="390"/>
      <w:bookmarkEnd w:id="391"/>
      <w:bookmarkEnd w:id="392"/>
    </w:p>
    <w:p w14:paraId="7BDF424E">
      <w:pPr>
        <w:adjustRightInd w:val="0"/>
        <w:snapToGrid w:val="0"/>
        <w:spacing w:before="240" w:beforeLines="100" w:line="360" w:lineRule="auto"/>
        <w:outlineLvl w:val="2"/>
        <w:rPr>
          <w:rFonts w:ascii="宋体" w:hAnsi="宋体" w:eastAsia="宋体" w:cs="宋体"/>
          <w:bCs/>
          <w:color w:val="auto"/>
          <w:sz w:val="28"/>
          <w:szCs w:val="28"/>
          <w:highlight w:val="none"/>
        </w:rPr>
      </w:pPr>
      <w:bookmarkStart w:id="393" w:name="_Toc30251"/>
      <w:bookmarkStart w:id="394" w:name="_Toc1781"/>
      <w:bookmarkStart w:id="395" w:name="_Toc144971869"/>
      <w:bookmarkStart w:id="396" w:name="_Toc16527"/>
      <w:bookmarkStart w:id="397" w:name="_Toc16760"/>
      <w:bookmarkStart w:id="398" w:name="_Toc3547"/>
      <w:r>
        <w:rPr>
          <w:rFonts w:hint="eastAsia" w:ascii="宋体" w:hAnsi="宋体" w:eastAsia="宋体" w:cs="宋体"/>
          <w:bCs/>
          <w:color w:val="auto"/>
          <w:sz w:val="28"/>
          <w:szCs w:val="28"/>
          <w:highlight w:val="none"/>
        </w:rPr>
        <w:t>一、质疑供应商基本信息</w:t>
      </w:r>
      <w:bookmarkEnd w:id="393"/>
      <w:bookmarkEnd w:id="394"/>
      <w:bookmarkEnd w:id="395"/>
      <w:bookmarkEnd w:id="396"/>
      <w:bookmarkEnd w:id="397"/>
      <w:bookmarkEnd w:id="398"/>
    </w:p>
    <w:p w14:paraId="3F804B47">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4906A796">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736DD50B">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71BBB780">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3FF0AA12">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7E185B18">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390A714">
      <w:pPr>
        <w:adjustRightInd w:val="0"/>
        <w:snapToGrid w:val="0"/>
        <w:spacing w:line="360" w:lineRule="auto"/>
        <w:outlineLvl w:val="2"/>
        <w:rPr>
          <w:rFonts w:ascii="宋体" w:hAnsi="宋体" w:eastAsia="宋体" w:cs="宋体"/>
          <w:bCs/>
          <w:color w:val="auto"/>
          <w:sz w:val="28"/>
          <w:szCs w:val="28"/>
          <w:highlight w:val="none"/>
        </w:rPr>
      </w:pPr>
      <w:bookmarkStart w:id="399" w:name="_Toc8402"/>
      <w:bookmarkStart w:id="400" w:name="_Toc4728"/>
      <w:bookmarkStart w:id="401" w:name="_Toc144971870"/>
      <w:bookmarkStart w:id="402" w:name="_Toc28660"/>
      <w:bookmarkStart w:id="403" w:name="_Toc31424"/>
      <w:bookmarkStart w:id="404" w:name="_Toc30953"/>
      <w:r>
        <w:rPr>
          <w:rFonts w:hint="eastAsia" w:ascii="宋体" w:hAnsi="宋体" w:eastAsia="宋体" w:cs="宋体"/>
          <w:bCs/>
          <w:color w:val="auto"/>
          <w:sz w:val="28"/>
          <w:szCs w:val="28"/>
          <w:highlight w:val="none"/>
        </w:rPr>
        <w:t>二、质疑项目基本情况</w:t>
      </w:r>
      <w:bookmarkEnd w:id="399"/>
      <w:bookmarkEnd w:id="400"/>
      <w:bookmarkEnd w:id="401"/>
      <w:bookmarkEnd w:id="402"/>
      <w:bookmarkEnd w:id="403"/>
      <w:bookmarkEnd w:id="404"/>
    </w:p>
    <w:p w14:paraId="157A1929">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p>
    <w:p w14:paraId="6209CE1F">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4D4BC4FB">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征集人名称：</w:t>
      </w:r>
      <w:r>
        <w:rPr>
          <w:rFonts w:hint="eastAsia" w:ascii="宋体" w:hAnsi="宋体" w:eastAsia="宋体" w:cs="宋体"/>
          <w:color w:val="auto"/>
          <w:sz w:val="28"/>
          <w:szCs w:val="28"/>
          <w:highlight w:val="none"/>
          <w:u w:val="dotted"/>
        </w:rPr>
        <w:t xml:space="preserve">                                         </w:t>
      </w:r>
    </w:p>
    <w:p w14:paraId="04B81134">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4FF38D39">
      <w:pPr>
        <w:adjustRightInd w:val="0"/>
        <w:snapToGrid w:val="0"/>
        <w:spacing w:line="360" w:lineRule="auto"/>
        <w:outlineLvl w:val="2"/>
        <w:rPr>
          <w:rFonts w:ascii="宋体" w:hAnsi="宋体" w:eastAsia="宋体" w:cs="宋体"/>
          <w:bCs/>
          <w:color w:val="auto"/>
          <w:sz w:val="28"/>
          <w:szCs w:val="28"/>
          <w:highlight w:val="none"/>
        </w:rPr>
      </w:pPr>
      <w:bookmarkStart w:id="405" w:name="_Toc26692"/>
      <w:bookmarkStart w:id="406" w:name="_Toc12851"/>
      <w:bookmarkStart w:id="407" w:name="_Toc31438"/>
      <w:bookmarkStart w:id="408" w:name="_Toc144971871"/>
      <w:bookmarkStart w:id="409" w:name="_Toc13010"/>
      <w:bookmarkStart w:id="410" w:name="_Toc89"/>
      <w:r>
        <w:rPr>
          <w:rFonts w:hint="eastAsia" w:ascii="宋体" w:hAnsi="宋体" w:eastAsia="宋体" w:cs="宋体"/>
          <w:bCs/>
          <w:color w:val="auto"/>
          <w:sz w:val="28"/>
          <w:szCs w:val="28"/>
          <w:highlight w:val="none"/>
        </w:rPr>
        <w:t>三、质疑事项具体内容</w:t>
      </w:r>
      <w:bookmarkEnd w:id="405"/>
      <w:bookmarkEnd w:id="406"/>
      <w:bookmarkEnd w:id="407"/>
      <w:bookmarkEnd w:id="408"/>
      <w:bookmarkEnd w:id="409"/>
      <w:bookmarkEnd w:id="410"/>
    </w:p>
    <w:p w14:paraId="6DBBD52E">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3CAA0DCC">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0B66A044">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 xml:space="preserve">                                                       </w:t>
      </w:r>
    </w:p>
    <w:p w14:paraId="3ABBD9CC">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357B902E">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08C5AB09">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0221262F">
      <w:pPr>
        <w:adjustRightInd w:val="0"/>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7F785F52">
      <w:pPr>
        <w:adjustRightInd w:val="0"/>
        <w:snapToGrid w:val="0"/>
        <w:spacing w:line="360" w:lineRule="auto"/>
        <w:outlineLvl w:val="2"/>
        <w:rPr>
          <w:rFonts w:ascii="宋体" w:hAnsi="宋体" w:eastAsia="宋体" w:cs="宋体"/>
          <w:bCs/>
          <w:color w:val="auto"/>
          <w:sz w:val="28"/>
          <w:szCs w:val="28"/>
          <w:highlight w:val="none"/>
        </w:rPr>
      </w:pPr>
      <w:bookmarkStart w:id="411" w:name="_Toc11207"/>
      <w:bookmarkStart w:id="412" w:name="_Toc144971872"/>
      <w:bookmarkStart w:id="413" w:name="_Toc6131"/>
      <w:bookmarkStart w:id="414" w:name="_Toc14003"/>
      <w:bookmarkStart w:id="415" w:name="_Toc17163"/>
      <w:bookmarkStart w:id="416" w:name="_Toc11374"/>
      <w:r>
        <w:rPr>
          <w:rFonts w:hint="eastAsia" w:ascii="宋体" w:hAnsi="宋体" w:eastAsia="宋体" w:cs="宋体"/>
          <w:bCs/>
          <w:color w:val="auto"/>
          <w:sz w:val="28"/>
          <w:szCs w:val="28"/>
          <w:highlight w:val="none"/>
        </w:rPr>
        <w:t>四、与质疑事项相关的质疑请求</w:t>
      </w:r>
      <w:bookmarkEnd w:id="411"/>
      <w:bookmarkEnd w:id="412"/>
      <w:bookmarkEnd w:id="413"/>
      <w:bookmarkEnd w:id="414"/>
      <w:bookmarkEnd w:id="415"/>
      <w:bookmarkEnd w:id="416"/>
    </w:p>
    <w:p w14:paraId="54FAB12D">
      <w:pPr>
        <w:adjustRightInd w:val="0"/>
        <w:snapToGrid w:val="0"/>
        <w:spacing w:line="360" w:lineRule="auto"/>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3F90D176">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20B5CD86">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285E424C">
      <w:pPr>
        <w:rPr>
          <w:rFonts w:ascii="宋体" w:hAnsi="宋体" w:eastAsia="宋体" w:cs="宋体"/>
          <w:b/>
          <w:color w:val="auto"/>
          <w:sz w:val="28"/>
          <w:szCs w:val="28"/>
          <w:highlight w:val="none"/>
        </w:rPr>
      </w:pPr>
    </w:p>
    <w:p w14:paraId="63D297A9">
      <w:pPr>
        <w:outlineLvl w:val="2"/>
        <w:rPr>
          <w:rFonts w:ascii="宋体" w:hAnsi="宋体" w:eastAsia="宋体" w:cs="宋体"/>
          <w:b/>
          <w:color w:val="auto"/>
          <w:sz w:val="28"/>
          <w:szCs w:val="28"/>
          <w:highlight w:val="none"/>
        </w:rPr>
      </w:pPr>
      <w:bookmarkStart w:id="417" w:name="_Toc1218"/>
      <w:bookmarkStart w:id="418" w:name="_Toc13481"/>
      <w:bookmarkStart w:id="419" w:name="_Toc144971873"/>
      <w:bookmarkStart w:id="420" w:name="_Toc13792"/>
      <w:bookmarkStart w:id="421" w:name="_Toc31877"/>
      <w:bookmarkStart w:id="422" w:name="_Toc19571"/>
      <w:r>
        <w:rPr>
          <w:rFonts w:hint="eastAsia" w:ascii="宋体" w:hAnsi="宋体" w:eastAsia="宋体" w:cs="宋体"/>
          <w:b/>
          <w:color w:val="auto"/>
          <w:sz w:val="28"/>
          <w:szCs w:val="28"/>
          <w:highlight w:val="none"/>
        </w:rPr>
        <w:t>质疑函制作说明：</w:t>
      </w:r>
      <w:bookmarkEnd w:id="417"/>
      <w:bookmarkEnd w:id="418"/>
      <w:bookmarkEnd w:id="419"/>
      <w:bookmarkEnd w:id="420"/>
      <w:bookmarkEnd w:id="421"/>
      <w:bookmarkEnd w:id="422"/>
    </w:p>
    <w:p w14:paraId="7C063844">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6B9A5B85">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77422AC2">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6815C0EA">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52490E3B">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118C5FDA">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391CBCF7">
      <w:pPr>
        <w:widowControl/>
        <w:ind w:firstLine="560" w:firstLineChars="200"/>
        <w:jc w:val="left"/>
        <w:rPr>
          <w:rFonts w:ascii="宋体" w:hAnsi="宋体" w:eastAsia="宋体" w:cs="宋体"/>
          <w:color w:val="auto"/>
          <w:sz w:val="28"/>
          <w:szCs w:val="28"/>
          <w:highlight w:val="none"/>
        </w:rPr>
      </w:pPr>
    </w:p>
    <w:p w14:paraId="4C726DA8">
      <w:pPr>
        <w:snapToGrid w:val="0"/>
        <w:spacing w:before="50" w:after="120" w:afterLines="50" w:line="360" w:lineRule="auto"/>
        <w:ind w:firstLine="480" w:firstLineChars="200"/>
        <w:jc w:val="left"/>
        <w:rPr>
          <w:rFonts w:ascii="宋体" w:hAnsi="宋体" w:eastAsia="宋体" w:cs="宋体"/>
          <w:color w:val="auto"/>
          <w:kern w:val="0"/>
          <w:sz w:val="24"/>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14:paraId="1475E84A">
      <w:pPr>
        <w:keepNext/>
        <w:keepLines/>
        <w:spacing w:before="260" w:after="260" w:line="413" w:lineRule="auto"/>
        <w:jc w:val="center"/>
        <w:outlineLvl w:val="1"/>
        <w:rPr>
          <w:rFonts w:ascii="宋体" w:hAnsi="宋体" w:eastAsia="宋体" w:cs="宋体"/>
          <w:color w:val="auto"/>
          <w:sz w:val="32"/>
          <w:szCs w:val="32"/>
          <w:highlight w:val="none"/>
        </w:rPr>
      </w:pPr>
      <w:bookmarkStart w:id="423" w:name="_Toc14933"/>
      <w:bookmarkStart w:id="424" w:name="_Toc80093019"/>
      <w:bookmarkStart w:id="425" w:name="_Toc28607"/>
      <w:bookmarkStart w:id="426" w:name="_Toc14188"/>
      <w:bookmarkStart w:id="427" w:name="_Toc10368"/>
      <w:bookmarkStart w:id="428" w:name="_Toc5973"/>
      <w:bookmarkStart w:id="429" w:name="_Toc32074"/>
      <w:r>
        <w:rPr>
          <w:rFonts w:hint="eastAsia" w:ascii="宋体" w:hAnsi="宋体" w:eastAsia="宋体" w:cs="宋体"/>
          <w:color w:val="auto"/>
          <w:sz w:val="32"/>
          <w:szCs w:val="32"/>
          <w:highlight w:val="none"/>
        </w:rPr>
        <w:t>第二节 投诉书（格式）</w:t>
      </w:r>
      <w:bookmarkEnd w:id="423"/>
      <w:bookmarkEnd w:id="424"/>
      <w:bookmarkEnd w:id="425"/>
      <w:bookmarkEnd w:id="426"/>
      <w:bookmarkEnd w:id="427"/>
      <w:bookmarkEnd w:id="428"/>
      <w:bookmarkEnd w:id="429"/>
    </w:p>
    <w:p w14:paraId="0A56EE64">
      <w:pPr>
        <w:jc w:val="center"/>
        <w:outlineLvl w:val="2"/>
        <w:rPr>
          <w:rFonts w:ascii="宋体" w:hAnsi="宋体" w:eastAsia="宋体" w:cs="宋体"/>
          <w:b/>
          <w:color w:val="auto"/>
          <w:sz w:val="44"/>
          <w:szCs w:val="44"/>
          <w:highlight w:val="none"/>
        </w:rPr>
      </w:pPr>
      <w:bookmarkStart w:id="430" w:name="_Toc1236"/>
      <w:bookmarkStart w:id="431" w:name="_Toc27668"/>
      <w:bookmarkStart w:id="432" w:name="_Toc11801"/>
      <w:bookmarkStart w:id="433" w:name="_Toc8217"/>
      <w:bookmarkStart w:id="434" w:name="_Toc32517"/>
      <w:r>
        <w:rPr>
          <w:rFonts w:hint="eastAsia" w:ascii="宋体" w:hAnsi="宋体" w:eastAsia="宋体" w:cs="宋体"/>
          <w:b/>
          <w:color w:val="auto"/>
          <w:sz w:val="44"/>
          <w:szCs w:val="44"/>
          <w:highlight w:val="none"/>
        </w:rPr>
        <w:t>投诉书范本</w:t>
      </w:r>
      <w:bookmarkEnd w:id="430"/>
      <w:bookmarkEnd w:id="431"/>
      <w:bookmarkEnd w:id="432"/>
      <w:bookmarkEnd w:id="433"/>
      <w:bookmarkEnd w:id="434"/>
    </w:p>
    <w:p w14:paraId="33256564">
      <w:pPr>
        <w:outlineLvl w:val="2"/>
        <w:rPr>
          <w:rFonts w:ascii="宋体" w:hAnsi="宋体" w:eastAsia="宋体" w:cs="宋体"/>
          <w:color w:val="auto"/>
          <w:sz w:val="28"/>
          <w:szCs w:val="28"/>
          <w:highlight w:val="none"/>
        </w:rPr>
      </w:pPr>
      <w:bookmarkStart w:id="435" w:name="_Toc11910"/>
      <w:bookmarkStart w:id="436" w:name="_Toc8685"/>
      <w:bookmarkStart w:id="437" w:name="_Toc144971876"/>
      <w:bookmarkStart w:id="438" w:name="_Toc1534"/>
      <w:bookmarkStart w:id="439" w:name="_Toc11620"/>
      <w:bookmarkStart w:id="440" w:name="_Toc10303"/>
      <w:r>
        <w:rPr>
          <w:rFonts w:hint="eastAsia" w:ascii="宋体" w:hAnsi="宋体" w:eastAsia="宋体" w:cs="宋体"/>
          <w:color w:val="auto"/>
          <w:sz w:val="28"/>
          <w:szCs w:val="28"/>
          <w:highlight w:val="none"/>
        </w:rPr>
        <w:t>一、投诉相关主体基本情况</w:t>
      </w:r>
      <w:bookmarkEnd w:id="435"/>
      <w:bookmarkEnd w:id="436"/>
      <w:bookmarkEnd w:id="437"/>
      <w:bookmarkEnd w:id="438"/>
      <w:bookmarkEnd w:id="439"/>
      <w:bookmarkEnd w:id="440"/>
    </w:p>
    <w:p w14:paraId="063E84F1">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1EE05D26">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72040190">
      <w:pPr>
        <w:tabs>
          <w:tab w:val="left" w:pos="6510"/>
        </w:tabs>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7D82AE82">
      <w:pPr>
        <w:tabs>
          <w:tab w:val="left" w:pos="6510"/>
        </w:tabs>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32E13FB2">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04897132">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7B44409E">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7B3CFA01">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E70B2A7">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E80B2D5">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67DFA887">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45251B37">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6E851F3B">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A9BE808">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35F134F2">
      <w:pPr>
        <w:outlineLvl w:val="2"/>
        <w:rPr>
          <w:rFonts w:ascii="宋体" w:hAnsi="宋体" w:eastAsia="宋体" w:cs="宋体"/>
          <w:color w:val="auto"/>
          <w:sz w:val="28"/>
          <w:szCs w:val="28"/>
          <w:highlight w:val="none"/>
        </w:rPr>
      </w:pPr>
      <w:bookmarkStart w:id="441" w:name="_Toc18171"/>
      <w:bookmarkStart w:id="442" w:name="_Toc144971877"/>
      <w:bookmarkStart w:id="443" w:name="_Toc3730"/>
      <w:bookmarkStart w:id="444" w:name="_Toc17862"/>
      <w:bookmarkStart w:id="445" w:name="_Toc13614"/>
      <w:bookmarkStart w:id="446" w:name="_Toc8123"/>
      <w:r>
        <w:rPr>
          <w:rFonts w:hint="eastAsia" w:ascii="宋体" w:hAnsi="宋体" w:eastAsia="宋体" w:cs="宋体"/>
          <w:color w:val="auto"/>
          <w:sz w:val="28"/>
          <w:szCs w:val="28"/>
          <w:highlight w:val="none"/>
        </w:rPr>
        <w:t>二、投诉项目基本情况</w:t>
      </w:r>
      <w:bookmarkEnd w:id="441"/>
      <w:bookmarkEnd w:id="442"/>
      <w:bookmarkEnd w:id="443"/>
      <w:bookmarkEnd w:id="444"/>
      <w:bookmarkEnd w:id="445"/>
      <w:bookmarkEnd w:id="446"/>
    </w:p>
    <w:p w14:paraId="7F479C82">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p>
    <w:p w14:paraId="24D27AD4">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04D77D7B">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征集人名称：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494660A2">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79E1FC29">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05FF7A69">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13167EF">
      <w:pPr>
        <w:outlineLvl w:val="2"/>
        <w:rPr>
          <w:rFonts w:ascii="宋体" w:hAnsi="宋体" w:eastAsia="宋体" w:cs="宋体"/>
          <w:color w:val="auto"/>
          <w:sz w:val="28"/>
          <w:szCs w:val="28"/>
          <w:highlight w:val="none"/>
        </w:rPr>
      </w:pPr>
      <w:bookmarkStart w:id="447" w:name="_Toc24162"/>
      <w:bookmarkStart w:id="448" w:name="_Toc144971878"/>
      <w:bookmarkStart w:id="449" w:name="_Toc30778"/>
      <w:bookmarkStart w:id="450" w:name="_Toc17218"/>
      <w:bookmarkStart w:id="451" w:name="_Toc2420"/>
      <w:bookmarkStart w:id="452" w:name="_Toc9340"/>
      <w:r>
        <w:rPr>
          <w:rFonts w:hint="eastAsia" w:ascii="宋体" w:hAnsi="宋体" w:eastAsia="宋体" w:cs="宋体"/>
          <w:color w:val="auto"/>
          <w:sz w:val="28"/>
          <w:szCs w:val="28"/>
          <w:highlight w:val="none"/>
        </w:rPr>
        <w:t>三、质疑基本情况</w:t>
      </w:r>
      <w:bookmarkEnd w:id="447"/>
      <w:bookmarkEnd w:id="448"/>
      <w:bookmarkEnd w:id="449"/>
      <w:bookmarkEnd w:id="450"/>
      <w:bookmarkEnd w:id="451"/>
      <w:bookmarkEnd w:id="452"/>
    </w:p>
    <w:p w14:paraId="69DFDF85">
      <w:pPr>
        <w:ind w:firstLine="560" w:firstLineChars="200"/>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744F0E57">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7A98DE2">
      <w:pPr>
        <w:ind w:firstLine="420" w:firstLineChars="1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征集人/代理机构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234B978D">
      <w:pPr>
        <w:outlineLvl w:val="2"/>
        <w:rPr>
          <w:rFonts w:ascii="宋体" w:hAnsi="宋体" w:eastAsia="宋体" w:cs="宋体"/>
          <w:color w:val="auto"/>
          <w:sz w:val="28"/>
          <w:szCs w:val="28"/>
          <w:highlight w:val="none"/>
        </w:rPr>
      </w:pPr>
      <w:bookmarkStart w:id="453" w:name="_Toc10916"/>
      <w:bookmarkStart w:id="454" w:name="_Toc31826"/>
      <w:bookmarkStart w:id="455" w:name="_Toc9033"/>
      <w:bookmarkStart w:id="456" w:name="_Toc144971879"/>
      <w:bookmarkStart w:id="457" w:name="_Toc20240"/>
      <w:bookmarkStart w:id="458" w:name="_Toc18060"/>
      <w:r>
        <w:rPr>
          <w:rFonts w:hint="eastAsia" w:ascii="宋体" w:hAnsi="宋体" w:eastAsia="宋体" w:cs="宋体"/>
          <w:color w:val="auto"/>
          <w:sz w:val="28"/>
          <w:szCs w:val="28"/>
          <w:highlight w:val="none"/>
        </w:rPr>
        <w:t>四、投诉事项具体内容</w:t>
      </w:r>
      <w:bookmarkEnd w:id="453"/>
      <w:bookmarkEnd w:id="454"/>
      <w:bookmarkEnd w:id="455"/>
      <w:bookmarkEnd w:id="456"/>
      <w:bookmarkEnd w:id="457"/>
      <w:bookmarkEnd w:id="458"/>
    </w:p>
    <w:p w14:paraId="41F4D931">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46156C63">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469D7583">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2F59739C">
      <w:pPr>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585C7333">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63D5767E">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763E2520">
      <w:pPr>
        <w:rPr>
          <w:rFonts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4E991F7A">
      <w:pPr>
        <w:outlineLvl w:val="2"/>
        <w:rPr>
          <w:rFonts w:ascii="宋体" w:hAnsi="宋体" w:eastAsia="宋体" w:cs="宋体"/>
          <w:color w:val="auto"/>
          <w:sz w:val="28"/>
          <w:szCs w:val="28"/>
          <w:highlight w:val="none"/>
        </w:rPr>
      </w:pPr>
      <w:bookmarkStart w:id="459" w:name="_Toc14648"/>
      <w:bookmarkStart w:id="460" w:name="_Toc32094"/>
      <w:bookmarkStart w:id="461" w:name="_Toc144971880"/>
      <w:bookmarkStart w:id="462" w:name="_Toc21003"/>
      <w:bookmarkStart w:id="463" w:name="_Toc27392"/>
      <w:bookmarkStart w:id="464" w:name="_Toc14734"/>
      <w:r>
        <w:rPr>
          <w:rFonts w:hint="eastAsia" w:ascii="宋体" w:hAnsi="宋体" w:eastAsia="宋体" w:cs="宋体"/>
          <w:color w:val="auto"/>
          <w:sz w:val="28"/>
          <w:szCs w:val="28"/>
          <w:highlight w:val="none"/>
        </w:rPr>
        <w:t>五、与投诉事项相关的投诉请求</w:t>
      </w:r>
      <w:bookmarkEnd w:id="459"/>
      <w:bookmarkEnd w:id="460"/>
      <w:bookmarkEnd w:id="461"/>
      <w:bookmarkEnd w:id="462"/>
      <w:bookmarkEnd w:id="463"/>
      <w:bookmarkEnd w:id="464"/>
    </w:p>
    <w:p w14:paraId="1C67B96D">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5660E3AB">
      <w:pPr>
        <w:rPr>
          <w:rFonts w:ascii="宋体" w:hAnsi="宋体" w:eastAsia="宋体" w:cs="宋体"/>
          <w:color w:val="auto"/>
          <w:sz w:val="28"/>
          <w:szCs w:val="28"/>
          <w:highlight w:val="none"/>
          <w:u w:val="single"/>
        </w:rPr>
      </w:pPr>
    </w:p>
    <w:p w14:paraId="5C86D579">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0FF88862">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DE20C70">
      <w:pPr>
        <w:rPr>
          <w:rFonts w:ascii="宋体" w:hAnsi="宋体" w:eastAsia="宋体" w:cs="宋体"/>
          <w:b/>
          <w:color w:val="auto"/>
          <w:sz w:val="28"/>
          <w:szCs w:val="28"/>
          <w:highlight w:val="none"/>
        </w:rPr>
      </w:pPr>
    </w:p>
    <w:p w14:paraId="46CEDBBE">
      <w:pPr>
        <w:rPr>
          <w:rFonts w:ascii="宋体" w:hAnsi="宋体" w:eastAsia="宋体" w:cs="宋体"/>
          <w:b/>
          <w:color w:val="auto"/>
          <w:sz w:val="28"/>
          <w:szCs w:val="28"/>
          <w:highlight w:val="none"/>
        </w:rPr>
      </w:pPr>
    </w:p>
    <w:p w14:paraId="0CA7220F">
      <w:pPr>
        <w:outlineLvl w:val="2"/>
        <w:rPr>
          <w:rFonts w:ascii="宋体" w:hAnsi="宋体" w:eastAsia="宋体" w:cs="宋体"/>
          <w:b/>
          <w:color w:val="auto"/>
          <w:sz w:val="28"/>
          <w:szCs w:val="28"/>
          <w:highlight w:val="none"/>
        </w:rPr>
      </w:pPr>
      <w:bookmarkStart w:id="465" w:name="_Toc29488"/>
      <w:bookmarkStart w:id="466" w:name="_Toc30274"/>
      <w:bookmarkStart w:id="467" w:name="_Toc11426"/>
      <w:bookmarkStart w:id="468" w:name="_Toc3448"/>
      <w:bookmarkStart w:id="469" w:name="_Toc22117"/>
      <w:r>
        <w:rPr>
          <w:rFonts w:hint="eastAsia" w:ascii="宋体" w:hAnsi="宋体" w:eastAsia="宋体" w:cs="宋体"/>
          <w:b/>
          <w:color w:val="auto"/>
          <w:sz w:val="28"/>
          <w:szCs w:val="28"/>
          <w:highlight w:val="none"/>
        </w:rPr>
        <w:t>投诉书制作说明：</w:t>
      </w:r>
      <w:bookmarkEnd w:id="465"/>
      <w:bookmarkEnd w:id="466"/>
      <w:bookmarkEnd w:id="467"/>
      <w:bookmarkEnd w:id="468"/>
      <w:bookmarkEnd w:id="469"/>
    </w:p>
    <w:p w14:paraId="0F19F586">
      <w:pPr>
        <w:widowControl/>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1.投诉人提起投诉时，应当提交投诉书和必要的证明材料，并按照被投诉人和与投诉事项有关的供应商数量提供投诉书副本。</w:t>
      </w:r>
    </w:p>
    <w:p w14:paraId="4623D780">
      <w:pPr>
        <w:widowControl/>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2.投诉人若委托代理人进行投诉的，投诉书应按照要求列明“授权代表”的有关内容，并在附件中提交由</w:t>
      </w:r>
      <w:r>
        <w:rPr>
          <w:rFonts w:hint="eastAsia" w:ascii="宋体" w:hAnsi="宋体" w:eastAsia="宋体" w:cs="宋体"/>
          <w:color w:val="auto"/>
          <w:kern w:val="0"/>
          <w:sz w:val="28"/>
          <w:szCs w:val="28"/>
          <w:highlight w:val="none"/>
        </w:rPr>
        <w:t>投诉人签署的授权委托书。授权委托书应当载明代理人的姓名或者名称、代理事项、具体权限、期限和相关事项。</w:t>
      </w:r>
    </w:p>
    <w:p w14:paraId="219AED36">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3.投诉人若对项目的某一分包进行投诉，投诉书应列明具体分包号。</w:t>
      </w:r>
    </w:p>
    <w:p w14:paraId="0B1DDC5E">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4.投诉书应简要列明质疑事项，质疑函、质疑答复等作为附件材料提供。</w:t>
      </w:r>
    </w:p>
    <w:p w14:paraId="0834926C">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5.投诉书的投诉事项应具体、明确，并有必要的事实依据和法律依据。</w:t>
      </w:r>
    </w:p>
    <w:p w14:paraId="51FDC172">
      <w:pPr>
        <w:widowControl/>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6.投诉书的投诉请求应与投诉事项相关。</w:t>
      </w:r>
    </w:p>
    <w:p w14:paraId="1B642913">
      <w:pPr>
        <w:widowControl/>
        <w:ind w:firstLine="560" w:firstLineChars="200"/>
        <w:jc w:val="left"/>
        <w:rPr>
          <w:color w:val="auto"/>
          <w:highlight w:val="none"/>
        </w:rPr>
      </w:pPr>
      <w:r>
        <w:rPr>
          <w:rFonts w:hint="eastAsia" w:ascii="宋体" w:hAnsi="宋体" w:eastAsia="宋体" w:cs="宋体"/>
          <w:color w:val="auto"/>
          <w:sz w:val="28"/>
          <w:szCs w:val="28"/>
          <w:highlight w:val="none"/>
        </w:rPr>
        <w:t>7.投诉人为自然人的，投诉书应当由本人签字；投诉人为法人或者其他组织的，投诉书应当由法定代表人、主要负责人，或者其授权代表签字或者盖章，并加盖公章。</w:t>
      </w:r>
    </w:p>
    <w:sectPr>
      <w:pgSz w:w="11906" w:h="16838"/>
      <w:pgMar w:top="1134" w:right="1800"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EC4C78-B88F-40B1-81D6-C778B5A3FA71}"/>
  </w:font>
  <w:font w:name="Courier New">
    <w:panose1 w:val="02070309020205020404"/>
    <w:charset w:val="01"/>
    <w:family w:val="modern"/>
    <w:pitch w:val="default"/>
    <w:sig w:usb0="E0002AFF" w:usb1="C0007843" w:usb2="00000009" w:usb3="00000000" w:csb0="400001FF" w:csb1="FFFF0000"/>
    <w:embedRegular r:id="rId2" w:fontKey="{CCA704F1-E2E3-4874-8B9A-A809A003D4F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EA6A88B-6CCA-4BF5-AA8A-F752DF98D02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4" w:fontKey="{9354ED15-63F8-4A3C-A3A9-F8618343D925}"/>
  </w:font>
  <w:font w:name="仿宋">
    <w:panose1 w:val="02010609060101010101"/>
    <w:charset w:val="86"/>
    <w:family w:val="auto"/>
    <w:pitch w:val="default"/>
    <w:sig w:usb0="800002BF" w:usb1="38CF7CFA" w:usb2="00000016" w:usb3="00000000" w:csb0="00040001" w:csb1="00000000"/>
    <w:embedRegular r:id="rId5" w:fontKey="{27739C13-4EAC-40B0-981D-E879516BD703}"/>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embedRegular r:id="rId6" w:fontKey="{3B1708DC-F4CC-4FED-BDBD-6ACFA1810C79}"/>
  </w:font>
  <w:font w:name="Arial Unicode MS">
    <w:altName w:val="宋体"/>
    <w:panose1 w:val="020B0604020202020204"/>
    <w:charset w:val="86"/>
    <w:family w:val="roman"/>
    <w:pitch w:val="default"/>
    <w:sig w:usb0="00000000" w:usb1="00000000" w:usb2="0000003F" w:usb3="00000000" w:csb0="603F01FF" w:csb1="FFFF0000"/>
    <w:embedRegular r:id="rId7" w:fontKey="{7CC7A65E-BE79-4379-907D-F19D9CF9F2FD}"/>
  </w:font>
  <w:font w:name="Wingdings 2">
    <w:altName w:val="Wingdings"/>
    <w:panose1 w:val="05020102010507070707"/>
    <w:charset w:val="02"/>
    <w:family w:val="roman"/>
    <w:pitch w:val="default"/>
    <w:sig w:usb0="00000000" w:usb1="00000000" w:usb2="00000000" w:usb3="00000000" w:csb0="80000000" w:csb1="00000000"/>
    <w:embedRegular r:id="rId8" w:fontKey="{63D7008D-8766-4698-ACAC-423F6362A6FF}"/>
  </w:font>
  <w:font w:name="方正小标宋简体">
    <w:panose1 w:val="02000000000000000000"/>
    <w:charset w:val="86"/>
    <w:family w:val="auto"/>
    <w:pitch w:val="default"/>
    <w:sig w:usb0="00000001" w:usb1="08000000" w:usb2="00000000" w:usb3="00000000" w:csb0="00040000" w:csb1="00000000"/>
    <w:embedRegular r:id="rId9" w:fontKey="{719BF86B-10BF-4E1B-86B0-6006760E6E06}"/>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FEBB">
    <w:pPr>
      <w:pStyle w:val="23"/>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3751">
    <w:pPr>
      <w:pStyle w:val="23"/>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3B934">
                          <w:pPr>
                            <w:pStyle w:val="23"/>
                            <w:jc w:val="center"/>
                          </w:pPr>
                          <w:r>
                            <w:fldChar w:fldCharType="begin"/>
                          </w:r>
                          <w:r>
                            <w:instrText xml:space="preserve"> PAGE   \* MERGEFORMAT </w:instrText>
                          </w:r>
                          <w:r>
                            <w:fldChar w:fldCharType="separate"/>
                          </w:r>
                          <w:r>
                            <w:rPr>
                              <w:lang w:val="zh-CN"/>
                            </w:rP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A23B934">
                    <w:pPr>
                      <w:pStyle w:val="23"/>
                      <w:jc w:val="center"/>
                    </w:pPr>
                    <w:r>
                      <w:fldChar w:fldCharType="begin"/>
                    </w:r>
                    <w:r>
                      <w:instrText xml:space="preserve"> PAGE   \* MERGEFORMAT </w:instrText>
                    </w:r>
                    <w:r>
                      <w:fldChar w:fldCharType="separate"/>
                    </w:r>
                    <w:r>
                      <w:rPr>
                        <w:lang w:val="zh-CN"/>
                      </w:rPr>
                      <w:t>105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4501C">
    <w:pPr>
      <w:pStyle w:val="23"/>
      <w:framePr w:wrap="around" w:vAnchor="text" w:hAnchor="margin" w:xAlign="center" w:y="1"/>
      <w:rPr>
        <w:rStyle w:val="36"/>
      </w:rPr>
    </w:pPr>
    <w:r>
      <w:fldChar w:fldCharType="begin"/>
    </w:r>
    <w:r>
      <w:rPr>
        <w:rStyle w:val="36"/>
      </w:rPr>
      <w:instrText xml:space="preserve">PAGE  </w:instrText>
    </w:r>
    <w:r>
      <w:fldChar w:fldCharType="end"/>
    </w:r>
  </w:p>
  <w:p w14:paraId="74F66B16">
    <w:pPr>
      <w:pStyle w:val="2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F3F5A">
    <w:pPr>
      <w:pStyle w:val="23"/>
      <w:framePr w:wrap="around" w:vAnchor="text" w:hAnchor="margin" w:xAlign="right" w:y="1"/>
      <w:rPr>
        <w:rStyle w:val="36"/>
      </w:rPr>
    </w:pPr>
    <w:r>
      <w:fldChar w:fldCharType="begin"/>
    </w:r>
    <w:r>
      <w:rPr>
        <w:rStyle w:val="36"/>
      </w:rPr>
      <w:instrText xml:space="preserve">PAGE  </w:instrText>
    </w:r>
    <w:r>
      <w:fldChar w:fldCharType="separate"/>
    </w:r>
    <w:r>
      <w:rPr>
        <w:rStyle w:val="36"/>
      </w:rPr>
      <w:t>122</w:t>
    </w:r>
    <w:r>
      <w:fldChar w:fldCharType="end"/>
    </w:r>
  </w:p>
  <w:p w14:paraId="3B6BF3DA">
    <w:pPr>
      <w:pStyle w:val="23"/>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D0E6A">
    <w:pPr>
      <w:pStyle w:val="23"/>
      <w:framePr w:wrap="around" w:vAnchor="text" w:hAnchor="margin" w:xAlign="center" w:y="1"/>
      <w:rPr>
        <w:rStyle w:val="36"/>
        <w:sz w:val="21"/>
      </w:rPr>
    </w:pPr>
    <w:r>
      <w:rPr>
        <w:sz w:val="21"/>
      </w:rPr>
      <w:fldChar w:fldCharType="begin"/>
    </w:r>
    <w:r>
      <w:rPr>
        <w:rStyle w:val="36"/>
        <w:sz w:val="21"/>
      </w:rPr>
      <w:instrText xml:space="preserve">PAGE  </w:instrText>
    </w:r>
    <w:r>
      <w:rPr>
        <w:sz w:val="21"/>
      </w:rPr>
      <w:fldChar w:fldCharType="separate"/>
    </w:r>
    <w:r>
      <w:rPr>
        <w:rStyle w:val="36"/>
        <w:sz w:val="21"/>
      </w:rPr>
      <w:t>0</w:t>
    </w:r>
    <w:r>
      <w:rPr>
        <w:sz w:val="21"/>
      </w:rPr>
      <w:fldChar w:fldCharType="end"/>
    </w:r>
  </w:p>
  <w:p w14:paraId="1ED64FD0">
    <w:pPr>
      <w:pStyle w:val="23"/>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A14D">
    <w:pPr>
      <w:pStyle w:val="23"/>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9D13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E9D13B">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8A03">
    <w:pPr>
      <w:pStyle w:val="2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25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4198B295">
                          <w:pPr>
                            <w:pStyle w:val="23"/>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dDvzo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WbSnc76grFtHeaF/Az0NTZLq3Q3IL55ZuG6E3agrROgaJSqil8eX2YOnA46PIOvuPVRUR2wD&#10;JKC+RhO9IzcYoVNr9qfWqD4wGUvms9fnF5xJusrP89nsIlUQ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HQ786CgIAAAIEAAAOAAAAAAAAAAEAIAAAAB8BAABk&#10;cnMvZTJvRG9jLnhtbFBLBQYAAAAABgAGAFkBAACbBQAAAAA=&#10;">
              <v:fill on="f" focussize="0,0"/>
              <v:stroke on="f"/>
              <v:imagedata o:title=""/>
              <o:lock v:ext="edit" aspectratio="f"/>
              <v:textbox inset="0mm,0mm,0mm,0mm" style="mso-fit-shape-to-text:t;">
                <w:txbxContent>
                  <w:p w14:paraId="4198B295">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2CE62">
    <w:pPr>
      <w:pStyle w:val="23"/>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499AE">
                          <w:pPr>
                            <w:pStyle w:val="23"/>
                            <w:jc w:val="center"/>
                          </w:pPr>
                          <w:r>
                            <w:fldChar w:fldCharType="begin"/>
                          </w:r>
                          <w:r>
                            <w:instrText xml:space="preserve"> PAGE   \* MERGEFORMAT </w:instrText>
                          </w:r>
                          <w:r>
                            <w:fldChar w:fldCharType="separate"/>
                          </w:r>
                          <w:r>
                            <w:rPr>
                              <w:lang w:val="zh-CN"/>
                            </w:rP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D499AE">
                    <w:pPr>
                      <w:pStyle w:val="23"/>
                      <w:jc w:val="center"/>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14:paraId="2C4570E4">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B23DF">
    <w:pPr>
      <w:pStyle w:val="23"/>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3B84B">
                          <w:pPr>
                            <w:pStyle w:val="23"/>
                            <w:jc w:val="center"/>
                          </w:pPr>
                          <w:r>
                            <w:fldChar w:fldCharType="begin"/>
                          </w:r>
                          <w:r>
                            <w:instrText xml:space="preserve"> PAGE   \* MERGEFORMAT </w:instrText>
                          </w:r>
                          <w:r>
                            <w:fldChar w:fldCharType="separate"/>
                          </w:r>
                          <w:r>
                            <w:rPr>
                              <w:lang w:val="zh-CN"/>
                            </w:rP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B3B84B">
                    <w:pPr>
                      <w:pStyle w:val="23"/>
                      <w:jc w:val="center"/>
                    </w:pPr>
                    <w:r>
                      <w:fldChar w:fldCharType="begin"/>
                    </w:r>
                    <w:r>
                      <w:instrText xml:space="preserve"> PAGE   \* MERGEFORMAT </w:instrText>
                    </w:r>
                    <w:r>
                      <w:fldChar w:fldCharType="separate"/>
                    </w:r>
                    <w:r>
                      <w:rPr>
                        <w:lang w:val="zh-CN"/>
                      </w:rP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91AC7">
    <w:pPr>
      <w:pStyle w:val="23"/>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6742C">
                          <w:pPr>
                            <w:pStyle w:val="23"/>
                            <w:jc w:val="center"/>
                          </w:pPr>
                          <w:r>
                            <w:fldChar w:fldCharType="begin"/>
                          </w:r>
                          <w:r>
                            <w:instrText xml:space="preserve"> PAGE   \* MERGEFORMAT </w:instrText>
                          </w:r>
                          <w:r>
                            <w:fldChar w:fldCharType="separate"/>
                          </w:r>
                          <w:r>
                            <w:rPr>
                              <w:lang w:val="zh-CN"/>
                            </w:rP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06742C">
                    <w:pPr>
                      <w:pStyle w:val="23"/>
                      <w:jc w:val="center"/>
                    </w:pPr>
                    <w:r>
                      <w:fldChar w:fldCharType="begin"/>
                    </w:r>
                    <w:r>
                      <w:instrText xml:space="preserve"> PAGE   \* MERGEFORMAT </w:instrText>
                    </w:r>
                    <w:r>
                      <w:fldChar w:fldCharType="separate"/>
                    </w:r>
                    <w:r>
                      <w:rPr>
                        <w:lang w:val="zh-CN"/>
                      </w:rPr>
                      <w:t>84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19F8">
    <w:pPr>
      <w:pStyle w:val="23"/>
      <w:framePr w:wrap="around" w:vAnchor="text" w:hAnchor="margin" w:xAlign="center" w:y="1"/>
      <w:rPr>
        <w:rStyle w:val="36"/>
      </w:rPr>
    </w:pPr>
    <w:r>
      <w:fldChar w:fldCharType="begin"/>
    </w:r>
    <w:r>
      <w:rPr>
        <w:rStyle w:val="36"/>
      </w:rPr>
      <w:instrText xml:space="preserve">PAGE  </w:instrText>
    </w:r>
    <w:r>
      <w:fldChar w:fldCharType="end"/>
    </w:r>
  </w:p>
  <w:p w14:paraId="776CA950">
    <w:pPr>
      <w:pStyle w:val="2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940E1">
    <w:pPr>
      <w:pStyle w:val="23"/>
      <w:framePr w:wrap="around" w:vAnchor="text" w:hAnchor="margin" w:xAlign="right" w:y="1"/>
      <w:rPr>
        <w:rStyle w:val="36"/>
      </w:rPr>
    </w:pPr>
    <w:r>
      <w:fldChar w:fldCharType="begin"/>
    </w:r>
    <w:r>
      <w:rPr>
        <w:rStyle w:val="36"/>
      </w:rPr>
      <w:instrText xml:space="preserve">PAGE  </w:instrText>
    </w:r>
    <w:r>
      <w:fldChar w:fldCharType="separate"/>
    </w:r>
    <w:r>
      <w:rPr>
        <w:rStyle w:val="36"/>
      </w:rPr>
      <w:t>122</w:t>
    </w:r>
    <w:r>
      <w:fldChar w:fldCharType="end"/>
    </w:r>
  </w:p>
  <w:p w14:paraId="5FA47D75">
    <w:pPr>
      <w:pStyle w:val="2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3359B">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44674">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5DCD">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A2E1">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E5345"/>
    <w:multiLevelType w:val="singleLevel"/>
    <w:tmpl w:val="A5BE5345"/>
    <w:lvl w:ilvl="0" w:tentative="0">
      <w:start w:val="1"/>
      <w:numFmt w:val="decimal"/>
      <w:lvlText w:val="%1."/>
      <w:lvlJc w:val="left"/>
      <w:pPr>
        <w:ind w:left="425" w:hanging="425"/>
      </w:pPr>
      <w:rPr>
        <w:rFonts w:hint="default"/>
      </w:rPr>
    </w:lvl>
  </w:abstractNum>
  <w:abstractNum w:abstractNumId="1">
    <w:nsid w:val="F51C84EA"/>
    <w:multiLevelType w:val="singleLevel"/>
    <w:tmpl w:val="F51C84EA"/>
    <w:lvl w:ilvl="0" w:tentative="0">
      <w:start w:val="1"/>
      <w:numFmt w:val="decimal"/>
      <w:lvlText w:val="%1."/>
      <w:lvlJc w:val="left"/>
      <w:pPr>
        <w:ind w:left="425" w:hanging="425"/>
      </w:pPr>
      <w:rPr>
        <w:rFonts w:hint="default"/>
      </w:r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392DEBC"/>
    <w:multiLevelType w:val="singleLevel"/>
    <w:tmpl w:val="0392DEBC"/>
    <w:lvl w:ilvl="0" w:tentative="0">
      <w:start w:val="1"/>
      <w:numFmt w:val="decimal"/>
      <w:lvlText w:val="%1."/>
      <w:lvlJc w:val="left"/>
      <w:pPr>
        <w:ind w:left="425" w:hanging="425"/>
      </w:pPr>
      <w:rPr>
        <w:rFonts w:hint="default"/>
      </w:rPr>
    </w:lvl>
  </w:abstractNum>
  <w:abstractNum w:abstractNumId="5">
    <w:nsid w:val="27B38C5E"/>
    <w:multiLevelType w:val="singleLevel"/>
    <w:tmpl w:val="27B38C5E"/>
    <w:lvl w:ilvl="0" w:tentative="0">
      <w:start w:val="1"/>
      <w:numFmt w:val="decimal"/>
      <w:lvlText w:val="%1."/>
      <w:lvlJc w:val="left"/>
      <w:pPr>
        <w:tabs>
          <w:tab w:val="left" w:pos="312"/>
        </w:tabs>
      </w:pPr>
    </w:lvl>
  </w:abstractNum>
  <w:abstractNum w:abstractNumId="6">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7">
    <w:nsid w:val="518FE3C1"/>
    <w:multiLevelType w:val="singleLevel"/>
    <w:tmpl w:val="518FE3C1"/>
    <w:lvl w:ilvl="0" w:tentative="0">
      <w:start w:val="1"/>
      <w:numFmt w:val="decimal"/>
      <w:lvlText w:val="%1."/>
      <w:lvlJc w:val="left"/>
      <w:pPr>
        <w:tabs>
          <w:tab w:val="left" w:pos="312"/>
        </w:tabs>
      </w:pPr>
    </w:lvl>
  </w:abstractNum>
  <w:abstractNum w:abstractNumId="8">
    <w:nsid w:val="6ED73B4A"/>
    <w:multiLevelType w:val="singleLevel"/>
    <w:tmpl w:val="6ED73B4A"/>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0"/>
  </w:num>
  <w:num w:numId="4">
    <w:abstractNumId w:val="4"/>
  </w:num>
  <w:num w:numId="5">
    <w:abstractNumId w:val="8"/>
  </w:num>
  <w:num w:numId="6">
    <w:abstractNumId w:val="7"/>
  </w:num>
  <w:num w:numId="7">
    <w:abstractNumId w:val="6"/>
  </w:num>
  <w:num w:numId="8">
    <w:abstractNumId w:val="3"/>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hideSpellingErrors/>
  <w:documentProtection w:enforcement="0"/>
  <w:defaultTabStop w:val="420"/>
  <w:drawingGridHorizontalSpacing w:val="118"/>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NTY4ZTBiZDgwODdlZWQ5NjRhZTcyNmZiMzdjM2EifQ=="/>
  </w:docVars>
  <w:rsids>
    <w:rsidRoot w:val="003151DD"/>
    <w:rsid w:val="002A1485"/>
    <w:rsid w:val="0030728B"/>
    <w:rsid w:val="003151DD"/>
    <w:rsid w:val="00323A7B"/>
    <w:rsid w:val="004216B2"/>
    <w:rsid w:val="0052291C"/>
    <w:rsid w:val="00607840"/>
    <w:rsid w:val="00691601"/>
    <w:rsid w:val="00717150"/>
    <w:rsid w:val="00771B80"/>
    <w:rsid w:val="007A4BB7"/>
    <w:rsid w:val="00A22069"/>
    <w:rsid w:val="00B95F69"/>
    <w:rsid w:val="00BD4782"/>
    <w:rsid w:val="00C2688A"/>
    <w:rsid w:val="00E16D20"/>
    <w:rsid w:val="00F800F2"/>
    <w:rsid w:val="00F8309D"/>
    <w:rsid w:val="00FA7790"/>
    <w:rsid w:val="02330CDF"/>
    <w:rsid w:val="0336323C"/>
    <w:rsid w:val="04365896"/>
    <w:rsid w:val="047C774D"/>
    <w:rsid w:val="04E17EDA"/>
    <w:rsid w:val="05223EBD"/>
    <w:rsid w:val="06DF7A73"/>
    <w:rsid w:val="082F0C1E"/>
    <w:rsid w:val="08CC4A1B"/>
    <w:rsid w:val="0900398F"/>
    <w:rsid w:val="09CF6DB9"/>
    <w:rsid w:val="0ADF52ED"/>
    <w:rsid w:val="0BF26AED"/>
    <w:rsid w:val="0D106006"/>
    <w:rsid w:val="0D5518B8"/>
    <w:rsid w:val="0E632BEA"/>
    <w:rsid w:val="0E751D1F"/>
    <w:rsid w:val="0EEC5483"/>
    <w:rsid w:val="0F0306ED"/>
    <w:rsid w:val="107E484D"/>
    <w:rsid w:val="11032051"/>
    <w:rsid w:val="12650CA7"/>
    <w:rsid w:val="15AA7E92"/>
    <w:rsid w:val="16611A92"/>
    <w:rsid w:val="16BA5754"/>
    <w:rsid w:val="16EC2195"/>
    <w:rsid w:val="18740FEA"/>
    <w:rsid w:val="191C2E55"/>
    <w:rsid w:val="19A838A8"/>
    <w:rsid w:val="1A6F1FEC"/>
    <w:rsid w:val="1A907CE6"/>
    <w:rsid w:val="1A9F7A14"/>
    <w:rsid w:val="1ACB751D"/>
    <w:rsid w:val="1BA60E40"/>
    <w:rsid w:val="1BF24C7D"/>
    <w:rsid w:val="1C8513AC"/>
    <w:rsid w:val="1D86518B"/>
    <w:rsid w:val="1DD16AB9"/>
    <w:rsid w:val="1DF36BBF"/>
    <w:rsid w:val="1DF54E96"/>
    <w:rsid w:val="210B5C89"/>
    <w:rsid w:val="21B33EB8"/>
    <w:rsid w:val="233B516A"/>
    <w:rsid w:val="23453D72"/>
    <w:rsid w:val="236A606F"/>
    <w:rsid w:val="24070957"/>
    <w:rsid w:val="259B3789"/>
    <w:rsid w:val="2682280D"/>
    <w:rsid w:val="26D34D87"/>
    <w:rsid w:val="27130D6B"/>
    <w:rsid w:val="273A33DC"/>
    <w:rsid w:val="276E04CD"/>
    <w:rsid w:val="27EB55D7"/>
    <w:rsid w:val="29466967"/>
    <w:rsid w:val="29926B90"/>
    <w:rsid w:val="2A1C6737"/>
    <w:rsid w:val="2AC35B85"/>
    <w:rsid w:val="2BA87CB0"/>
    <w:rsid w:val="2E121980"/>
    <w:rsid w:val="2EA35C6A"/>
    <w:rsid w:val="2ED21736"/>
    <w:rsid w:val="2F25208E"/>
    <w:rsid w:val="30502718"/>
    <w:rsid w:val="30B11C7D"/>
    <w:rsid w:val="30CD44C6"/>
    <w:rsid w:val="30DF1214"/>
    <w:rsid w:val="31144626"/>
    <w:rsid w:val="31A81446"/>
    <w:rsid w:val="321B625C"/>
    <w:rsid w:val="363A5F0F"/>
    <w:rsid w:val="364051FE"/>
    <w:rsid w:val="37010722"/>
    <w:rsid w:val="39CB75EB"/>
    <w:rsid w:val="3A0E18CF"/>
    <w:rsid w:val="3BA1621D"/>
    <w:rsid w:val="3BD63CC3"/>
    <w:rsid w:val="3C526090"/>
    <w:rsid w:val="3C5D16BE"/>
    <w:rsid w:val="3CC545F1"/>
    <w:rsid w:val="3E3B7B31"/>
    <w:rsid w:val="3EE2086B"/>
    <w:rsid w:val="40993E83"/>
    <w:rsid w:val="40D734D2"/>
    <w:rsid w:val="41724C5D"/>
    <w:rsid w:val="418F295E"/>
    <w:rsid w:val="419453CF"/>
    <w:rsid w:val="43A43D84"/>
    <w:rsid w:val="459A3F8A"/>
    <w:rsid w:val="45B573FD"/>
    <w:rsid w:val="461D7F3A"/>
    <w:rsid w:val="48086415"/>
    <w:rsid w:val="48D56369"/>
    <w:rsid w:val="49C7090E"/>
    <w:rsid w:val="4B903056"/>
    <w:rsid w:val="4DD13DE1"/>
    <w:rsid w:val="4EC830B3"/>
    <w:rsid w:val="4EFE3005"/>
    <w:rsid w:val="4F730D1A"/>
    <w:rsid w:val="5022399A"/>
    <w:rsid w:val="51867FF1"/>
    <w:rsid w:val="51A35C58"/>
    <w:rsid w:val="51B34B08"/>
    <w:rsid w:val="52A21FB9"/>
    <w:rsid w:val="53C10AFB"/>
    <w:rsid w:val="547D5FAB"/>
    <w:rsid w:val="54BD1A4F"/>
    <w:rsid w:val="554E5A5C"/>
    <w:rsid w:val="5601620D"/>
    <w:rsid w:val="56C13162"/>
    <w:rsid w:val="56D815F9"/>
    <w:rsid w:val="5705464D"/>
    <w:rsid w:val="576C5DA7"/>
    <w:rsid w:val="58053157"/>
    <w:rsid w:val="59E35498"/>
    <w:rsid w:val="5CF83C3D"/>
    <w:rsid w:val="5E6C2174"/>
    <w:rsid w:val="5E9A4D04"/>
    <w:rsid w:val="5FC5213F"/>
    <w:rsid w:val="61C65B0C"/>
    <w:rsid w:val="623E2731"/>
    <w:rsid w:val="63691A5E"/>
    <w:rsid w:val="6380470F"/>
    <w:rsid w:val="64BB575D"/>
    <w:rsid w:val="64DB6CED"/>
    <w:rsid w:val="65755C04"/>
    <w:rsid w:val="6646390B"/>
    <w:rsid w:val="66C94428"/>
    <w:rsid w:val="685C0145"/>
    <w:rsid w:val="69F20B35"/>
    <w:rsid w:val="6CB47841"/>
    <w:rsid w:val="6D551840"/>
    <w:rsid w:val="6D7F73F4"/>
    <w:rsid w:val="6EAF0CB6"/>
    <w:rsid w:val="6F333679"/>
    <w:rsid w:val="705E3DBB"/>
    <w:rsid w:val="713B4077"/>
    <w:rsid w:val="71991353"/>
    <w:rsid w:val="719E31DF"/>
    <w:rsid w:val="71ED530E"/>
    <w:rsid w:val="72104E4D"/>
    <w:rsid w:val="730E04B9"/>
    <w:rsid w:val="73DB5B6A"/>
    <w:rsid w:val="74EA165E"/>
    <w:rsid w:val="76455729"/>
    <w:rsid w:val="76C52C1B"/>
    <w:rsid w:val="78197E01"/>
    <w:rsid w:val="79497C31"/>
    <w:rsid w:val="79D01113"/>
    <w:rsid w:val="7ADB139D"/>
    <w:rsid w:val="7E35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42"/>
    <w:qFormat/>
    <w:uiPriority w:val="9"/>
    <w:pPr>
      <w:keepNext/>
      <w:keepLines/>
      <w:spacing w:line="600" w:lineRule="exact"/>
      <w:ind w:firstLine="643" w:firstLineChars="200"/>
      <w:outlineLvl w:val="2"/>
    </w:pPr>
    <w:rPr>
      <w:rFonts w:ascii="Times New Roman" w:hAnsi="Times New Roman" w:eastAsia="宋体" w:cs="Times New Roman"/>
      <w:b/>
      <w:bCs/>
      <w:sz w:val="32"/>
      <w:szCs w:val="32"/>
    </w:rPr>
  </w:style>
  <w:style w:type="paragraph" w:styleId="5">
    <w:name w:val="heading 4"/>
    <w:basedOn w:val="1"/>
    <w:next w:val="1"/>
    <w:link w:val="43"/>
    <w:qFormat/>
    <w:uiPriority w:val="9"/>
    <w:pPr>
      <w:tabs>
        <w:tab w:val="left" w:pos="2155"/>
      </w:tabs>
      <w:adjustRightInd w:val="0"/>
      <w:spacing w:before="120" w:line="360" w:lineRule="auto"/>
      <w:ind w:left="2155" w:hanging="1078"/>
      <w:textAlignment w:val="baseline"/>
      <w:outlineLvl w:val="3"/>
    </w:pPr>
    <w:rPr>
      <w:rFonts w:ascii="Arial" w:hAnsi="Times New Roman" w:eastAsia="黑体" w:cs="Times New Roman"/>
      <w:kern w:val="0"/>
      <w:sz w:val="28"/>
      <w:szCs w:val="20"/>
    </w:rPr>
  </w:style>
  <w:style w:type="paragraph" w:styleId="6">
    <w:name w:val="heading 5"/>
    <w:basedOn w:val="1"/>
    <w:next w:val="1"/>
    <w:link w:val="44"/>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45"/>
    <w:qFormat/>
    <w:uiPriority w:val="0"/>
    <w:pPr>
      <w:wordWrap w:val="0"/>
      <w:spacing w:after="160"/>
      <w:ind w:left="2000" w:hanging="400"/>
      <w:outlineLvl w:val="5"/>
    </w:pPr>
    <w:rPr>
      <w:rFonts w:ascii="Times New Roman" w:hAnsi="Times New Roman" w:eastAsia="宋体" w:cs="Times New Roman"/>
      <w:b/>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toc 7"/>
    <w:basedOn w:val="1"/>
    <w:next w:val="1"/>
    <w:unhideWhenUsed/>
    <w:qFormat/>
    <w:uiPriority w:val="39"/>
    <w:pPr>
      <w:jc w:val="left"/>
    </w:pPr>
    <w:rPr>
      <w:rFonts w:ascii="Calibri" w:hAnsi="Calibri" w:eastAsia="宋体" w:cs="Times New Roman"/>
      <w:sz w:val="22"/>
    </w:rPr>
  </w:style>
  <w:style w:type="paragraph" w:styleId="9">
    <w:name w:val="Normal Indent"/>
    <w:basedOn w:val="1"/>
    <w:unhideWhenUsed/>
    <w:qFormat/>
    <w:uiPriority w:val="99"/>
    <w:pPr>
      <w:ind w:firstLine="420"/>
    </w:pPr>
    <w:rPr>
      <w:rFonts w:ascii="Times New Roman" w:hAnsi="Times New Roman" w:eastAsia="宋体" w:cs="Times New Roman"/>
      <w:szCs w:val="20"/>
    </w:rPr>
  </w:style>
  <w:style w:type="paragraph" w:styleId="10">
    <w:name w:val="caption"/>
    <w:basedOn w:val="1"/>
    <w:next w:val="1"/>
    <w:qFormat/>
    <w:uiPriority w:val="35"/>
    <w:pPr>
      <w:spacing w:before="152" w:after="160"/>
    </w:pPr>
    <w:rPr>
      <w:rFonts w:ascii="Arial" w:hAnsi="Arial" w:eastAsia="黑体" w:cs="Arial"/>
      <w:sz w:val="20"/>
      <w:szCs w:val="20"/>
    </w:rPr>
  </w:style>
  <w:style w:type="paragraph" w:styleId="11">
    <w:name w:val="Document Map"/>
    <w:basedOn w:val="1"/>
    <w:link w:val="76"/>
    <w:unhideWhenUsed/>
    <w:qFormat/>
    <w:uiPriority w:val="0"/>
    <w:rPr>
      <w:rFonts w:ascii="宋体"/>
      <w:sz w:val="18"/>
      <w:szCs w:val="18"/>
    </w:rPr>
  </w:style>
  <w:style w:type="paragraph" w:styleId="12">
    <w:name w:val="annotation text"/>
    <w:basedOn w:val="1"/>
    <w:link w:val="47"/>
    <w:unhideWhenUsed/>
    <w:qFormat/>
    <w:uiPriority w:val="0"/>
    <w:pPr>
      <w:jc w:val="left"/>
    </w:pPr>
    <w:rPr>
      <w:szCs w:val="24"/>
    </w:rPr>
  </w:style>
  <w:style w:type="paragraph" w:styleId="13">
    <w:name w:val="Body Text 3"/>
    <w:basedOn w:val="1"/>
    <w:link w:val="93"/>
    <w:unhideWhenUsed/>
    <w:qFormat/>
    <w:uiPriority w:val="99"/>
    <w:pPr>
      <w:spacing w:after="120"/>
    </w:pPr>
    <w:rPr>
      <w:sz w:val="16"/>
      <w:szCs w:val="16"/>
    </w:rPr>
  </w:style>
  <w:style w:type="paragraph" w:styleId="14">
    <w:name w:val="Body Text"/>
    <w:basedOn w:val="1"/>
    <w:link w:val="82"/>
    <w:unhideWhenUsed/>
    <w:qFormat/>
    <w:uiPriority w:val="99"/>
    <w:pPr>
      <w:spacing w:after="120"/>
    </w:pPr>
    <w:rPr>
      <w:szCs w:val="24"/>
    </w:rPr>
  </w:style>
  <w:style w:type="paragraph" w:styleId="15">
    <w:name w:val="Body Text Indent"/>
    <w:basedOn w:val="1"/>
    <w:link w:val="71"/>
    <w:unhideWhenUsed/>
    <w:qFormat/>
    <w:uiPriority w:val="0"/>
    <w:pPr>
      <w:spacing w:line="200" w:lineRule="exact"/>
      <w:ind w:firstLine="301"/>
    </w:pPr>
    <w:rPr>
      <w:rFonts w:ascii="宋体" w:hAnsi="Courier New" w:eastAsia="宋体"/>
      <w:spacing w:val="-4"/>
      <w:sz w:val="18"/>
    </w:rPr>
  </w:style>
  <w:style w:type="paragraph" w:styleId="16">
    <w:name w:val="toc 5"/>
    <w:basedOn w:val="1"/>
    <w:next w:val="1"/>
    <w:unhideWhenUsed/>
    <w:qFormat/>
    <w:uiPriority w:val="39"/>
    <w:pPr>
      <w:jc w:val="left"/>
    </w:pPr>
    <w:rPr>
      <w:rFonts w:ascii="Calibri" w:hAnsi="Calibri" w:eastAsia="宋体" w:cs="Times New Roman"/>
      <w:sz w:val="22"/>
    </w:rPr>
  </w:style>
  <w:style w:type="paragraph" w:styleId="17">
    <w:name w:val="toc 3"/>
    <w:basedOn w:val="1"/>
    <w:next w:val="1"/>
    <w:unhideWhenUsed/>
    <w:qFormat/>
    <w:uiPriority w:val="39"/>
    <w:pPr>
      <w:jc w:val="left"/>
    </w:pPr>
    <w:rPr>
      <w:rFonts w:ascii="Calibri" w:hAnsi="Calibri" w:eastAsia="宋体" w:cs="Times New Roman"/>
      <w:smallCaps/>
      <w:sz w:val="22"/>
    </w:rPr>
  </w:style>
  <w:style w:type="paragraph" w:styleId="18">
    <w:name w:val="Plain Text"/>
    <w:basedOn w:val="1"/>
    <w:next w:val="1"/>
    <w:link w:val="84"/>
    <w:unhideWhenUsed/>
    <w:qFormat/>
    <w:uiPriority w:val="0"/>
    <w:rPr>
      <w:rFonts w:ascii="宋体" w:hAnsi="Courier New" w:eastAsia="宋体" w:cs="Times New Roman"/>
      <w:szCs w:val="20"/>
    </w:rPr>
  </w:style>
  <w:style w:type="paragraph" w:styleId="19">
    <w:name w:val="toc 8"/>
    <w:basedOn w:val="1"/>
    <w:next w:val="1"/>
    <w:unhideWhenUsed/>
    <w:qFormat/>
    <w:uiPriority w:val="39"/>
    <w:pPr>
      <w:jc w:val="left"/>
    </w:pPr>
    <w:rPr>
      <w:rFonts w:ascii="Calibri" w:hAnsi="Calibri" w:eastAsia="宋体" w:cs="Times New Roman"/>
      <w:sz w:val="22"/>
    </w:rPr>
  </w:style>
  <w:style w:type="paragraph" w:styleId="20">
    <w:name w:val="Date"/>
    <w:basedOn w:val="1"/>
    <w:next w:val="1"/>
    <w:link w:val="89"/>
    <w:unhideWhenUsed/>
    <w:qFormat/>
    <w:uiPriority w:val="0"/>
    <w:pPr>
      <w:ind w:left="100" w:leftChars="2500"/>
    </w:pPr>
    <w:rPr>
      <w:szCs w:val="24"/>
    </w:rPr>
  </w:style>
  <w:style w:type="paragraph" w:styleId="21">
    <w:name w:val="Body Text Indent 2"/>
    <w:basedOn w:val="1"/>
    <w:link w:val="95"/>
    <w:unhideWhenUsed/>
    <w:qFormat/>
    <w:uiPriority w:val="0"/>
    <w:pPr>
      <w:spacing w:after="120" w:line="480" w:lineRule="auto"/>
      <w:ind w:left="420" w:leftChars="200"/>
    </w:pPr>
    <w:rPr>
      <w:szCs w:val="24"/>
    </w:rPr>
  </w:style>
  <w:style w:type="paragraph" w:styleId="22">
    <w:name w:val="Balloon Text"/>
    <w:basedOn w:val="1"/>
    <w:link w:val="79"/>
    <w:unhideWhenUsed/>
    <w:qFormat/>
    <w:uiPriority w:val="0"/>
    <w:rPr>
      <w:sz w:val="18"/>
      <w:szCs w:val="18"/>
    </w:rPr>
  </w:style>
  <w:style w:type="paragraph" w:styleId="23">
    <w:name w:val="footer"/>
    <w:basedOn w:val="1"/>
    <w:link w:val="64"/>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74"/>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unhideWhenUsed/>
    <w:qFormat/>
    <w:uiPriority w:val="39"/>
    <w:pPr>
      <w:spacing w:before="360" w:after="360"/>
      <w:jc w:val="left"/>
    </w:pPr>
    <w:rPr>
      <w:rFonts w:ascii="Calibri" w:hAnsi="Calibri" w:eastAsia="宋体" w:cs="Times New Roman"/>
      <w:b/>
      <w:bCs/>
      <w:caps/>
      <w:sz w:val="22"/>
      <w:u w:val="single"/>
    </w:rPr>
  </w:style>
  <w:style w:type="paragraph" w:styleId="26">
    <w:name w:val="toc 4"/>
    <w:basedOn w:val="1"/>
    <w:next w:val="1"/>
    <w:unhideWhenUsed/>
    <w:qFormat/>
    <w:uiPriority w:val="39"/>
    <w:pPr>
      <w:jc w:val="left"/>
    </w:pPr>
    <w:rPr>
      <w:rFonts w:ascii="Calibri" w:hAnsi="Calibri" w:eastAsia="宋体" w:cs="Times New Roman"/>
      <w:sz w:val="22"/>
    </w:rPr>
  </w:style>
  <w:style w:type="paragraph" w:styleId="27">
    <w:name w:val="List"/>
    <w:basedOn w:val="1"/>
    <w:unhideWhenUsed/>
    <w:qFormat/>
    <w:uiPriority w:val="99"/>
    <w:pPr>
      <w:ind w:left="200" w:hanging="200" w:hangingChars="200"/>
    </w:pPr>
    <w:rPr>
      <w:rFonts w:ascii="Times New Roman" w:hAnsi="Times New Roman" w:eastAsia="宋体" w:cs="Times New Roman"/>
      <w:sz w:val="28"/>
      <w:szCs w:val="24"/>
    </w:rPr>
  </w:style>
  <w:style w:type="paragraph" w:styleId="28">
    <w:name w:val="toc 6"/>
    <w:basedOn w:val="1"/>
    <w:next w:val="1"/>
    <w:unhideWhenUsed/>
    <w:qFormat/>
    <w:uiPriority w:val="39"/>
    <w:pPr>
      <w:jc w:val="left"/>
    </w:pPr>
    <w:rPr>
      <w:rFonts w:ascii="Calibri" w:hAnsi="Calibri" w:eastAsia="宋体" w:cs="Times New Roman"/>
      <w:sz w:val="22"/>
    </w:rPr>
  </w:style>
  <w:style w:type="paragraph" w:styleId="29">
    <w:name w:val="table of figures"/>
    <w:basedOn w:val="1"/>
    <w:next w:val="1"/>
    <w:qFormat/>
    <w:uiPriority w:val="0"/>
    <w:pPr>
      <w:ind w:left="200" w:leftChars="200" w:hanging="200" w:hangingChars="200"/>
    </w:pPr>
  </w:style>
  <w:style w:type="paragraph" w:styleId="30">
    <w:name w:val="toc 2"/>
    <w:basedOn w:val="1"/>
    <w:next w:val="1"/>
    <w:unhideWhenUsed/>
    <w:qFormat/>
    <w:uiPriority w:val="39"/>
    <w:pPr>
      <w:jc w:val="left"/>
    </w:pPr>
    <w:rPr>
      <w:rFonts w:ascii="Calibri" w:hAnsi="Calibri" w:eastAsia="宋体" w:cs="Times New Roman"/>
      <w:b/>
      <w:bCs/>
      <w:smallCaps/>
      <w:sz w:val="22"/>
    </w:rPr>
  </w:style>
  <w:style w:type="paragraph" w:styleId="31">
    <w:name w:val="toc 9"/>
    <w:basedOn w:val="1"/>
    <w:next w:val="1"/>
    <w:unhideWhenUsed/>
    <w:qFormat/>
    <w:uiPriority w:val="39"/>
    <w:pPr>
      <w:jc w:val="left"/>
    </w:pPr>
    <w:rPr>
      <w:rFonts w:ascii="Calibri" w:hAnsi="Calibri" w:eastAsia="宋体" w:cs="Times New Roman"/>
      <w:sz w:val="22"/>
    </w:rPr>
  </w:style>
  <w:style w:type="paragraph" w:styleId="32">
    <w:name w:val="annotation subject"/>
    <w:basedOn w:val="12"/>
    <w:next w:val="12"/>
    <w:link w:val="46"/>
    <w:unhideWhenUsed/>
    <w:qFormat/>
    <w:uiPriority w:val="99"/>
    <w:rPr>
      <w:b/>
      <w:bCs/>
    </w:rPr>
  </w:style>
  <w:style w:type="table" w:styleId="34">
    <w:name w:val="Table Grid"/>
    <w:basedOn w:val="3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unhideWhenUsed/>
    <w:qFormat/>
    <w:uiPriority w:val="99"/>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unhideWhenUsed/>
    <w:qFormat/>
    <w:uiPriority w:val="99"/>
    <w:rPr>
      <w:sz w:val="21"/>
      <w:szCs w:val="21"/>
    </w:rPr>
  </w:style>
  <w:style w:type="character" w:customStyle="1" w:styleId="40">
    <w:name w:val="标题 2 Char"/>
    <w:basedOn w:val="35"/>
    <w:link w:val="3"/>
    <w:qFormat/>
    <w:uiPriority w:val="9"/>
    <w:rPr>
      <w:rFonts w:ascii="Arial" w:hAnsi="Arial" w:eastAsia="黑体" w:cs="Times New Roman"/>
      <w:b/>
      <w:bCs/>
      <w:sz w:val="32"/>
      <w:szCs w:val="32"/>
    </w:rPr>
  </w:style>
  <w:style w:type="character" w:customStyle="1" w:styleId="41">
    <w:name w:val="标题 1 Char"/>
    <w:basedOn w:val="35"/>
    <w:link w:val="2"/>
    <w:qFormat/>
    <w:uiPriority w:val="0"/>
    <w:rPr>
      <w:rFonts w:ascii="Times New Roman" w:hAnsi="Times New Roman" w:eastAsia="宋体" w:cs="Times New Roman"/>
      <w:b/>
      <w:bCs/>
      <w:kern w:val="44"/>
      <w:sz w:val="44"/>
      <w:szCs w:val="44"/>
    </w:rPr>
  </w:style>
  <w:style w:type="character" w:customStyle="1" w:styleId="42">
    <w:name w:val="标题 3 Char"/>
    <w:basedOn w:val="35"/>
    <w:link w:val="4"/>
    <w:qFormat/>
    <w:uiPriority w:val="9"/>
    <w:rPr>
      <w:rFonts w:ascii="Times New Roman" w:hAnsi="Times New Roman" w:eastAsia="宋体" w:cs="Times New Roman"/>
      <w:b/>
      <w:bCs/>
      <w:sz w:val="32"/>
      <w:szCs w:val="32"/>
    </w:rPr>
  </w:style>
  <w:style w:type="character" w:customStyle="1" w:styleId="43">
    <w:name w:val="标题 4 Char"/>
    <w:basedOn w:val="35"/>
    <w:link w:val="5"/>
    <w:qFormat/>
    <w:uiPriority w:val="9"/>
    <w:rPr>
      <w:rFonts w:ascii="Arial" w:hAnsi="Times New Roman" w:eastAsia="黑体" w:cs="Times New Roman"/>
      <w:kern w:val="0"/>
      <w:sz w:val="28"/>
      <w:szCs w:val="20"/>
    </w:rPr>
  </w:style>
  <w:style w:type="character" w:customStyle="1" w:styleId="44">
    <w:name w:val="标题 5 Char"/>
    <w:basedOn w:val="35"/>
    <w:link w:val="6"/>
    <w:qFormat/>
    <w:uiPriority w:val="9"/>
    <w:rPr>
      <w:rFonts w:ascii="Times New Roman" w:hAnsi="Times New Roman" w:eastAsia="宋体" w:cs="Times New Roman"/>
      <w:b/>
      <w:bCs/>
      <w:sz w:val="28"/>
      <w:szCs w:val="28"/>
    </w:rPr>
  </w:style>
  <w:style w:type="character" w:customStyle="1" w:styleId="45">
    <w:name w:val="标题 6 Char"/>
    <w:basedOn w:val="35"/>
    <w:link w:val="7"/>
    <w:qFormat/>
    <w:uiPriority w:val="0"/>
    <w:rPr>
      <w:rFonts w:ascii="Times New Roman" w:hAnsi="Times New Roman" w:eastAsia="宋体" w:cs="Times New Roman"/>
      <w:b/>
      <w:szCs w:val="24"/>
    </w:rPr>
  </w:style>
  <w:style w:type="character" w:customStyle="1" w:styleId="46">
    <w:name w:val="批注主题 Char"/>
    <w:link w:val="32"/>
    <w:qFormat/>
    <w:uiPriority w:val="99"/>
    <w:rPr>
      <w:b/>
      <w:bCs/>
      <w:szCs w:val="24"/>
    </w:rPr>
  </w:style>
  <w:style w:type="character" w:customStyle="1" w:styleId="47">
    <w:name w:val="批注文字 Char"/>
    <w:link w:val="12"/>
    <w:qFormat/>
    <w:uiPriority w:val="0"/>
    <w:rPr>
      <w:szCs w:val="24"/>
    </w:rPr>
  </w:style>
  <w:style w:type="character" w:customStyle="1" w:styleId="48">
    <w:name w:val="标题 1 Char1"/>
    <w:qFormat/>
    <w:uiPriority w:val="0"/>
    <w:rPr>
      <w:b/>
      <w:bCs/>
      <w:kern w:val="44"/>
      <w:sz w:val="44"/>
      <w:szCs w:val="44"/>
    </w:rPr>
  </w:style>
  <w:style w:type="character" w:customStyle="1" w:styleId="49">
    <w:name w:val="日期 字符"/>
    <w:qFormat/>
    <w:uiPriority w:val="0"/>
    <w:rPr>
      <w:kern w:val="2"/>
      <w:sz w:val="21"/>
      <w:szCs w:val="24"/>
    </w:rPr>
  </w:style>
  <w:style w:type="character" w:customStyle="1" w:styleId="50">
    <w:name w:val="正文文本缩进 2 字符"/>
    <w:qFormat/>
    <w:uiPriority w:val="0"/>
    <w:rPr>
      <w:kern w:val="2"/>
      <w:sz w:val="21"/>
      <w:szCs w:val="24"/>
    </w:rPr>
  </w:style>
  <w:style w:type="character" w:customStyle="1" w:styleId="51">
    <w:name w:val="纯文本 字符2"/>
    <w:qFormat/>
    <w:uiPriority w:val="0"/>
    <w:rPr>
      <w:rFonts w:ascii="宋体" w:hAnsi="Courier New" w:eastAsia="宋体" w:cs="Courier New"/>
      <w:szCs w:val="21"/>
    </w:rPr>
  </w:style>
  <w:style w:type="character" w:customStyle="1" w:styleId="52">
    <w:name w:val="纯文本 Char1"/>
    <w:link w:val="53"/>
    <w:qFormat/>
    <w:uiPriority w:val="0"/>
    <w:rPr>
      <w:rFonts w:ascii="宋体" w:hAnsi="Courier New" w:eastAsia="宋体"/>
    </w:rPr>
  </w:style>
  <w:style w:type="paragraph" w:customStyle="1" w:styleId="53">
    <w:name w:val="纯文本1"/>
    <w:basedOn w:val="1"/>
    <w:link w:val="52"/>
    <w:qFormat/>
    <w:uiPriority w:val="0"/>
    <w:rPr>
      <w:rFonts w:ascii="宋体" w:hAnsi="Courier New" w:eastAsia="宋体"/>
    </w:rPr>
  </w:style>
  <w:style w:type="character" w:customStyle="1" w:styleId="54">
    <w:name w:val="批注文字 字符1"/>
    <w:qFormat/>
    <w:uiPriority w:val="0"/>
    <w:rPr>
      <w:rFonts w:ascii="Times New Roman" w:hAnsi="Times New Roman"/>
      <w:kern w:val="2"/>
      <w:sz w:val="21"/>
      <w:szCs w:val="24"/>
    </w:rPr>
  </w:style>
  <w:style w:type="character" w:customStyle="1" w:styleId="55">
    <w:name w:val="纯文本 Char2"/>
    <w:qFormat/>
    <w:uiPriority w:val="0"/>
    <w:rPr>
      <w:rFonts w:ascii="宋体" w:hAnsi="Courier New" w:eastAsia="宋体"/>
      <w:kern w:val="2"/>
      <w:sz w:val="21"/>
      <w:lang w:val="en-US" w:eastAsia="zh-CN" w:bidi="ar-SA"/>
    </w:rPr>
  </w:style>
  <w:style w:type="character" w:customStyle="1" w:styleId="56">
    <w:name w:val="标题 2 字符"/>
    <w:qFormat/>
    <w:uiPriority w:val="0"/>
    <w:rPr>
      <w:rFonts w:ascii="Arial" w:hAnsi="Arial" w:eastAsia="黑体"/>
      <w:b/>
      <w:bCs/>
      <w:kern w:val="2"/>
      <w:sz w:val="32"/>
      <w:szCs w:val="32"/>
    </w:rPr>
  </w:style>
  <w:style w:type="character" w:customStyle="1" w:styleId="5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8">
    <w:name w:val="标题 3 字符"/>
    <w:qFormat/>
    <w:uiPriority w:val="0"/>
    <w:rPr>
      <w:b/>
      <w:bCs/>
      <w:kern w:val="2"/>
      <w:sz w:val="32"/>
      <w:szCs w:val="32"/>
    </w:rPr>
  </w:style>
  <w:style w:type="character" w:customStyle="1" w:styleId="59">
    <w:name w:val="纯文本 字符1"/>
    <w:semiHidden/>
    <w:qFormat/>
    <w:locked/>
    <w:uiPriority w:val="0"/>
    <w:rPr>
      <w:rFonts w:ascii="宋体" w:hAnsi="Courier New"/>
      <w:kern w:val="2"/>
      <w:sz w:val="21"/>
    </w:rPr>
  </w:style>
  <w:style w:type="character" w:customStyle="1" w:styleId="60">
    <w:name w:val="正文文本 字符"/>
    <w:qFormat/>
    <w:uiPriority w:val="99"/>
    <w:rPr>
      <w:kern w:val="2"/>
      <w:sz w:val="21"/>
      <w:szCs w:val="24"/>
    </w:rPr>
  </w:style>
  <w:style w:type="character" w:customStyle="1" w:styleId="61">
    <w:name w:val="标题 4 字符"/>
    <w:qFormat/>
    <w:uiPriority w:val="0"/>
    <w:rPr>
      <w:rFonts w:ascii="Arial" w:eastAsia="黑体"/>
      <w:sz w:val="28"/>
    </w:rPr>
  </w:style>
  <w:style w:type="character" w:customStyle="1" w:styleId="62">
    <w:name w:val="页脚 Char1"/>
    <w:qFormat/>
    <w:uiPriority w:val="99"/>
    <w:rPr>
      <w:kern w:val="2"/>
      <w:sz w:val="18"/>
      <w:szCs w:val="18"/>
    </w:rPr>
  </w:style>
  <w:style w:type="character" w:customStyle="1" w:styleId="63">
    <w:name w:val="页眉 Char1"/>
    <w:qFormat/>
    <w:uiPriority w:val="99"/>
    <w:rPr>
      <w:kern w:val="2"/>
      <w:sz w:val="18"/>
      <w:szCs w:val="18"/>
    </w:rPr>
  </w:style>
  <w:style w:type="character" w:customStyle="1" w:styleId="64">
    <w:name w:val="页脚 Char"/>
    <w:link w:val="23"/>
    <w:qFormat/>
    <w:uiPriority w:val="99"/>
    <w:rPr>
      <w:rFonts w:ascii="Calibri" w:hAnsi="Calibri" w:eastAsia="宋体" w:cs="Times New Roman"/>
      <w:sz w:val="18"/>
      <w:szCs w:val="18"/>
    </w:rPr>
  </w:style>
  <w:style w:type="character" w:customStyle="1" w:styleId="65">
    <w:name w:val="标题 5 字符"/>
    <w:qFormat/>
    <w:uiPriority w:val="9"/>
    <w:rPr>
      <w:b/>
      <w:bCs/>
      <w:kern w:val="2"/>
      <w:sz w:val="28"/>
      <w:szCs w:val="28"/>
    </w:rPr>
  </w:style>
  <w:style w:type="character" w:customStyle="1" w:styleId="66">
    <w:name w:val="纯文本 字符"/>
    <w:qFormat/>
    <w:uiPriority w:val="0"/>
    <w:rPr>
      <w:rFonts w:ascii="宋体" w:hAnsi="Courier New"/>
      <w:kern w:val="2"/>
      <w:sz w:val="21"/>
    </w:rPr>
  </w:style>
  <w:style w:type="character" w:customStyle="1" w:styleId="67">
    <w:name w:val="页脚 字符1"/>
    <w:qFormat/>
    <w:uiPriority w:val="99"/>
    <w:rPr>
      <w:kern w:val="2"/>
      <w:sz w:val="18"/>
      <w:szCs w:val="18"/>
    </w:rPr>
  </w:style>
  <w:style w:type="character" w:customStyle="1" w:styleId="68">
    <w:name w:val="批注文字 字符"/>
    <w:qFormat/>
    <w:uiPriority w:val="0"/>
    <w:rPr>
      <w:kern w:val="2"/>
      <w:sz w:val="21"/>
      <w:szCs w:val="24"/>
    </w:rPr>
  </w:style>
  <w:style w:type="character" w:customStyle="1" w:styleId="69">
    <w:name w:val="页眉 字符1"/>
    <w:qFormat/>
    <w:uiPriority w:val="99"/>
    <w:rPr>
      <w:kern w:val="2"/>
      <w:sz w:val="18"/>
      <w:szCs w:val="18"/>
    </w:rPr>
  </w:style>
  <w:style w:type="character" w:customStyle="1" w:styleId="70">
    <w:name w:val="标题 1 字符"/>
    <w:qFormat/>
    <w:uiPriority w:val="0"/>
    <w:rPr>
      <w:b/>
      <w:bCs/>
      <w:kern w:val="44"/>
      <w:sz w:val="44"/>
      <w:szCs w:val="44"/>
    </w:rPr>
  </w:style>
  <w:style w:type="character" w:customStyle="1" w:styleId="71">
    <w:name w:val="正文文本缩进 Char"/>
    <w:link w:val="15"/>
    <w:qFormat/>
    <w:uiPriority w:val="0"/>
    <w:rPr>
      <w:rFonts w:ascii="宋体" w:hAnsi="Courier New" w:eastAsia="宋体"/>
      <w:spacing w:val="-4"/>
      <w:sz w:val="18"/>
    </w:rPr>
  </w:style>
  <w:style w:type="character" w:customStyle="1" w:styleId="72">
    <w:name w:val="正文文本缩进 字符"/>
    <w:qFormat/>
    <w:uiPriority w:val="0"/>
    <w:rPr>
      <w:rFonts w:ascii="宋体" w:hAnsi="Courier New"/>
      <w:spacing w:val="-4"/>
      <w:kern w:val="2"/>
      <w:sz w:val="18"/>
    </w:rPr>
  </w:style>
  <w:style w:type="character" w:customStyle="1" w:styleId="73">
    <w:name w:val="正文文本 3 字符"/>
    <w:qFormat/>
    <w:uiPriority w:val="99"/>
    <w:rPr>
      <w:kern w:val="2"/>
      <w:sz w:val="16"/>
      <w:szCs w:val="16"/>
    </w:rPr>
  </w:style>
  <w:style w:type="character" w:customStyle="1" w:styleId="74">
    <w:name w:val="页眉 Char"/>
    <w:link w:val="24"/>
    <w:qFormat/>
    <w:uiPriority w:val="99"/>
    <w:rPr>
      <w:rFonts w:ascii="Calibri" w:hAnsi="Calibri" w:eastAsia="宋体" w:cs="Times New Roman"/>
      <w:sz w:val="18"/>
      <w:szCs w:val="18"/>
    </w:rPr>
  </w:style>
  <w:style w:type="character" w:customStyle="1" w:styleId="75">
    <w:name w:val="批注文字 Char1"/>
    <w:qFormat/>
    <w:uiPriority w:val="0"/>
    <w:rPr>
      <w:rFonts w:ascii="Times New Roman" w:hAnsi="Times New Roman"/>
      <w:kern w:val="2"/>
      <w:sz w:val="21"/>
      <w:szCs w:val="24"/>
    </w:rPr>
  </w:style>
  <w:style w:type="character" w:customStyle="1" w:styleId="76">
    <w:name w:val="文档结构图 Char"/>
    <w:link w:val="11"/>
    <w:qFormat/>
    <w:uiPriority w:val="0"/>
    <w:rPr>
      <w:rFonts w:ascii="宋体"/>
      <w:sz w:val="18"/>
      <w:szCs w:val="18"/>
    </w:rPr>
  </w:style>
  <w:style w:type="character" w:customStyle="1" w:styleId="77">
    <w:name w:val="正文文本_"/>
    <w:link w:val="78"/>
    <w:qFormat/>
    <w:uiPriority w:val="0"/>
    <w:rPr>
      <w:rFonts w:ascii="MingLiU" w:hAnsi="MingLiU" w:eastAsia="MingLiU" w:cs="MingLiU"/>
      <w:spacing w:val="9"/>
      <w:sz w:val="19"/>
      <w:szCs w:val="19"/>
      <w:shd w:val="clear" w:color="auto" w:fill="FFFFFF"/>
    </w:rPr>
  </w:style>
  <w:style w:type="paragraph" w:customStyle="1" w:styleId="78">
    <w:name w:val="正文文本1"/>
    <w:basedOn w:val="1"/>
    <w:link w:val="77"/>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79">
    <w:name w:val="批注框文本 Char"/>
    <w:link w:val="22"/>
    <w:qFormat/>
    <w:uiPriority w:val="0"/>
    <w:rPr>
      <w:sz w:val="18"/>
      <w:szCs w:val="18"/>
    </w:rPr>
  </w:style>
  <w:style w:type="character" w:customStyle="1" w:styleId="80">
    <w:name w:val="批注主题 字符"/>
    <w:qFormat/>
    <w:uiPriority w:val="99"/>
    <w:rPr>
      <w:b/>
      <w:bCs/>
      <w:kern w:val="2"/>
      <w:sz w:val="21"/>
      <w:szCs w:val="24"/>
    </w:rPr>
  </w:style>
  <w:style w:type="character" w:customStyle="1" w:styleId="81">
    <w:name w:val="批注框文本 字符"/>
    <w:qFormat/>
    <w:uiPriority w:val="0"/>
    <w:rPr>
      <w:kern w:val="2"/>
      <w:sz w:val="18"/>
      <w:szCs w:val="18"/>
    </w:rPr>
  </w:style>
  <w:style w:type="character" w:customStyle="1" w:styleId="82">
    <w:name w:val="正文文本 Char"/>
    <w:link w:val="14"/>
    <w:qFormat/>
    <w:uiPriority w:val="99"/>
    <w:rPr>
      <w:szCs w:val="24"/>
    </w:rPr>
  </w:style>
  <w:style w:type="character" w:customStyle="1" w:styleId="83">
    <w:name w:val="Char Char1"/>
    <w:qFormat/>
    <w:uiPriority w:val="0"/>
    <w:rPr>
      <w:rFonts w:ascii="宋体" w:hAnsi="Courier New" w:eastAsia="宋体"/>
      <w:kern w:val="2"/>
      <w:sz w:val="21"/>
      <w:lang w:val="en-US" w:eastAsia="zh-CN" w:bidi="ar-SA"/>
    </w:rPr>
  </w:style>
  <w:style w:type="character" w:customStyle="1" w:styleId="84">
    <w:name w:val="纯文本 Char"/>
    <w:link w:val="18"/>
    <w:qFormat/>
    <w:uiPriority w:val="0"/>
    <w:rPr>
      <w:rFonts w:ascii="宋体" w:hAnsi="Courier New" w:eastAsia="宋体" w:cs="Times New Roman"/>
      <w:szCs w:val="20"/>
    </w:rPr>
  </w:style>
  <w:style w:type="character" w:customStyle="1" w:styleId="85">
    <w:name w:val="纯文本 Char_0"/>
    <w:link w:val="86"/>
    <w:qFormat/>
    <w:uiPriority w:val="0"/>
    <w:rPr>
      <w:rFonts w:ascii="宋体" w:hAnsi="Courier New"/>
      <w:szCs w:val="21"/>
      <w:lang w:val="en-US" w:eastAsia="zh-CN"/>
    </w:rPr>
  </w:style>
  <w:style w:type="paragraph" w:customStyle="1" w:styleId="86">
    <w:name w:val="纯文本_0_0"/>
    <w:basedOn w:val="1"/>
    <w:link w:val="85"/>
    <w:qFormat/>
    <w:uiPriority w:val="0"/>
    <w:rPr>
      <w:rFonts w:ascii="宋体" w:hAnsi="Courier New"/>
      <w:szCs w:val="21"/>
    </w:rPr>
  </w:style>
  <w:style w:type="character" w:customStyle="1" w:styleId="87">
    <w:name w:val="正文2 Char Char"/>
    <w:link w:val="88"/>
    <w:qFormat/>
    <w:uiPriority w:val="0"/>
    <w:rPr>
      <w:sz w:val="24"/>
    </w:rPr>
  </w:style>
  <w:style w:type="paragraph" w:customStyle="1" w:styleId="88">
    <w:name w:val="正文2"/>
    <w:basedOn w:val="1"/>
    <w:link w:val="87"/>
    <w:qFormat/>
    <w:uiPriority w:val="0"/>
    <w:pPr>
      <w:adjustRightInd w:val="0"/>
      <w:spacing w:before="156" w:line="360" w:lineRule="auto"/>
      <w:ind w:firstLine="510" w:firstLineChars="200"/>
    </w:pPr>
    <w:rPr>
      <w:sz w:val="24"/>
    </w:rPr>
  </w:style>
  <w:style w:type="character" w:customStyle="1" w:styleId="89">
    <w:name w:val="日期 Char"/>
    <w:link w:val="20"/>
    <w:qFormat/>
    <w:uiPriority w:val="0"/>
    <w:rPr>
      <w:szCs w:val="24"/>
    </w:rPr>
  </w:style>
  <w:style w:type="character" w:customStyle="1" w:styleId="90">
    <w:name w:val="页脚 字符"/>
    <w:qFormat/>
    <w:uiPriority w:val="99"/>
    <w:rPr>
      <w:sz w:val="18"/>
      <w:szCs w:val="18"/>
    </w:rPr>
  </w:style>
  <w:style w:type="character" w:customStyle="1" w:styleId="91">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92">
    <w:name w:val="文档结构图 字符"/>
    <w:qFormat/>
    <w:uiPriority w:val="0"/>
    <w:rPr>
      <w:rFonts w:ascii="宋体"/>
      <w:kern w:val="2"/>
      <w:sz w:val="18"/>
      <w:szCs w:val="18"/>
    </w:rPr>
  </w:style>
  <w:style w:type="character" w:customStyle="1" w:styleId="93">
    <w:name w:val="正文文本 3 Char"/>
    <w:link w:val="13"/>
    <w:qFormat/>
    <w:uiPriority w:val="99"/>
    <w:rPr>
      <w:sz w:val="16"/>
      <w:szCs w:val="16"/>
    </w:rPr>
  </w:style>
  <w:style w:type="character" w:customStyle="1" w:styleId="94">
    <w:name w:val="页眉 字符"/>
    <w:qFormat/>
    <w:uiPriority w:val="99"/>
    <w:rPr>
      <w:rFonts w:ascii="Times New Roman" w:hAnsi="Times New Roman"/>
      <w:kern w:val="2"/>
      <w:sz w:val="18"/>
      <w:szCs w:val="18"/>
    </w:rPr>
  </w:style>
  <w:style w:type="character" w:customStyle="1" w:styleId="95">
    <w:name w:val="正文文本缩进 2 Char"/>
    <w:link w:val="21"/>
    <w:qFormat/>
    <w:uiPriority w:val="0"/>
    <w:rPr>
      <w:szCs w:val="24"/>
    </w:rPr>
  </w:style>
  <w:style w:type="paragraph" w:customStyle="1" w:styleId="96">
    <w:name w:val="Char"/>
    <w:basedOn w:val="1"/>
    <w:qFormat/>
    <w:uiPriority w:val="0"/>
    <w:rPr>
      <w:rFonts w:ascii="Times New Roman" w:hAnsi="Times New Roman" w:eastAsia="宋体" w:cs="Times New Roman"/>
      <w:szCs w:val="24"/>
    </w:rPr>
  </w:style>
  <w:style w:type="paragraph" w:customStyle="1" w:styleId="97">
    <w:name w:val="表格文字"/>
    <w:basedOn w:val="1"/>
    <w:next w:val="14"/>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98">
    <w:name w:val="批注文字 Char2"/>
    <w:basedOn w:val="35"/>
    <w:semiHidden/>
    <w:qFormat/>
    <w:uiPriority w:val="99"/>
  </w:style>
  <w:style w:type="paragraph" w:customStyle="1" w:styleId="9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100">
    <w:name w:val="p0"/>
    <w:basedOn w:val="1"/>
    <w:qFormat/>
    <w:uiPriority w:val="0"/>
    <w:pPr>
      <w:widowControl/>
    </w:pPr>
    <w:rPr>
      <w:rFonts w:ascii="Times New Roman" w:hAnsi="Times New Roman" w:eastAsia="宋体" w:cs="Times New Roman"/>
      <w:kern w:val="0"/>
      <w:szCs w:val="21"/>
    </w:rPr>
  </w:style>
  <w:style w:type="paragraph" w:customStyle="1" w:styleId="101">
    <w:name w:val="Table Paragraph"/>
    <w:basedOn w:val="1"/>
    <w:qFormat/>
    <w:uiPriority w:val="1"/>
    <w:pPr>
      <w:jc w:val="left"/>
    </w:pPr>
    <w:rPr>
      <w:rFonts w:ascii="Calibri" w:hAnsi="Calibri" w:eastAsia="宋体" w:cs="Times New Roman"/>
      <w:kern w:val="0"/>
      <w:sz w:val="22"/>
      <w:lang w:eastAsia="en-US"/>
    </w:rPr>
  </w:style>
  <w:style w:type="paragraph" w:customStyle="1" w:styleId="102">
    <w:name w:val="Char Char Char Char Char Char Char"/>
    <w:basedOn w:val="1"/>
    <w:qFormat/>
    <w:uiPriority w:val="0"/>
    <w:rPr>
      <w:rFonts w:ascii="Times New Roman" w:hAnsi="Times New Roman" w:eastAsia="宋体" w:cs="Times New Roman"/>
      <w:szCs w:val="24"/>
    </w:rPr>
  </w:style>
  <w:style w:type="character" w:customStyle="1" w:styleId="103">
    <w:name w:val="批注主题 Char1"/>
    <w:basedOn w:val="98"/>
    <w:semiHidden/>
    <w:qFormat/>
    <w:uiPriority w:val="99"/>
    <w:rPr>
      <w:b/>
      <w:bCs/>
    </w:rPr>
  </w:style>
  <w:style w:type="character" w:customStyle="1" w:styleId="104">
    <w:name w:val="批注框文本 Char1"/>
    <w:basedOn w:val="35"/>
    <w:semiHidden/>
    <w:qFormat/>
    <w:uiPriority w:val="99"/>
    <w:rPr>
      <w:sz w:val="18"/>
      <w:szCs w:val="18"/>
    </w:rPr>
  </w:style>
  <w:style w:type="character" w:customStyle="1" w:styleId="105">
    <w:name w:val="正文文本 Char1"/>
    <w:basedOn w:val="35"/>
    <w:semiHidden/>
    <w:qFormat/>
    <w:uiPriority w:val="99"/>
  </w:style>
  <w:style w:type="character" w:customStyle="1" w:styleId="106">
    <w:name w:val="文档结构图 Char1"/>
    <w:basedOn w:val="35"/>
    <w:semiHidden/>
    <w:qFormat/>
    <w:uiPriority w:val="99"/>
    <w:rPr>
      <w:rFonts w:ascii="宋体" w:eastAsia="宋体"/>
      <w:sz w:val="18"/>
      <w:szCs w:val="18"/>
    </w:rPr>
  </w:style>
  <w:style w:type="character" w:customStyle="1" w:styleId="107">
    <w:name w:val="页眉 Char2"/>
    <w:basedOn w:val="35"/>
    <w:semiHidden/>
    <w:qFormat/>
    <w:uiPriority w:val="99"/>
    <w:rPr>
      <w:sz w:val="18"/>
      <w:szCs w:val="18"/>
    </w:rPr>
  </w:style>
  <w:style w:type="character" w:customStyle="1" w:styleId="108">
    <w:name w:val="日期 Char1"/>
    <w:basedOn w:val="35"/>
    <w:semiHidden/>
    <w:qFormat/>
    <w:uiPriority w:val="99"/>
  </w:style>
  <w:style w:type="paragraph" w:customStyle="1" w:styleId="109">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110">
    <w:name w:val="Char1"/>
    <w:basedOn w:val="1"/>
    <w:qFormat/>
    <w:uiPriority w:val="0"/>
    <w:rPr>
      <w:rFonts w:ascii="Times New Roman" w:hAnsi="Times New Roman" w:eastAsia="宋体" w:cs="Times New Roman"/>
      <w:szCs w:val="21"/>
    </w:rPr>
  </w:style>
  <w:style w:type="paragraph" w:customStyle="1" w:styleId="111">
    <w:name w:val="Char Char Char"/>
    <w:basedOn w:val="1"/>
    <w:qFormat/>
    <w:uiPriority w:val="0"/>
    <w:rPr>
      <w:rFonts w:ascii="Times New Roman" w:hAnsi="Times New Roman" w:eastAsia="宋体" w:cs="Times New Roman"/>
      <w:szCs w:val="20"/>
    </w:rPr>
  </w:style>
  <w:style w:type="paragraph" w:customStyle="1" w:styleId="112">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13">
    <w:name w:val="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14">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15">
    <w:name w:val="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16">
    <w:name w:val="列出段落1"/>
    <w:basedOn w:val="1"/>
    <w:qFormat/>
    <w:uiPriority w:val="34"/>
    <w:pPr>
      <w:spacing w:before="100" w:beforeAutospacing="1" w:after="100" w:afterAutospacing="1" w:line="360" w:lineRule="auto"/>
      <w:ind w:firstLine="420" w:firstLineChars="200"/>
    </w:pPr>
    <w:rPr>
      <w:rFonts w:ascii="Times New Roman" w:hAnsi="Times New Roman" w:eastAsia="宋体" w:cs="Times New Roman"/>
      <w:szCs w:val="24"/>
    </w:rPr>
  </w:style>
  <w:style w:type="paragraph" w:customStyle="1" w:styleId="117">
    <w:name w:val="Char Char Char Char Char Char Char1"/>
    <w:basedOn w:val="1"/>
    <w:qFormat/>
    <w:uiPriority w:val="0"/>
    <w:rPr>
      <w:rFonts w:ascii="Times New Roman" w:hAnsi="Times New Roman" w:eastAsia="宋体" w:cs="Times New Roman"/>
      <w:szCs w:val="24"/>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character" w:customStyle="1" w:styleId="119">
    <w:name w:val="纯文本 Char3"/>
    <w:basedOn w:val="35"/>
    <w:semiHidden/>
    <w:qFormat/>
    <w:uiPriority w:val="99"/>
    <w:rPr>
      <w:rFonts w:ascii="宋体" w:hAnsi="Courier New" w:eastAsia="宋体" w:cs="Courier New"/>
      <w:szCs w:val="21"/>
    </w:rPr>
  </w:style>
  <w:style w:type="paragraph" w:customStyle="1" w:styleId="120">
    <w:name w:val="正文缩进1"/>
    <w:basedOn w:val="1"/>
    <w:next w:val="1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21">
    <w:name w:val="页脚 Char2"/>
    <w:basedOn w:val="35"/>
    <w:semiHidden/>
    <w:qFormat/>
    <w:uiPriority w:val="99"/>
    <w:rPr>
      <w:sz w:val="18"/>
      <w:szCs w:val="18"/>
    </w:rPr>
  </w:style>
  <w:style w:type="character" w:customStyle="1" w:styleId="122">
    <w:name w:val="正文文本缩进 2 Char1"/>
    <w:basedOn w:val="35"/>
    <w:semiHidden/>
    <w:qFormat/>
    <w:uiPriority w:val="99"/>
  </w:style>
  <w:style w:type="character" w:customStyle="1" w:styleId="123">
    <w:name w:val="正文文本缩进 Char1"/>
    <w:basedOn w:val="35"/>
    <w:semiHidden/>
    <w:qFormat/>
    <w:uiPriority w:val="99"/>
  </w:style>
  <w:style w:type="character" w:customStyle="1" w:styleId="124">
    <w:name w:val="正文文本 3 Char1"/>
    <w:basedOn w:val="35"/>
    <w:semiHidden/>
    <w:qFormat/>
    <w:uiPriority w:val="99"/>
    <w:rPr>
      <w:sz w:val="16"/>
      <w:szCs w:val="16"/>
    </w:rPr>
  </w:style>
  <w:style w:type="paragraph" w:customStyle="1" w:styleId="125">
    <w:name w:val="Char Char Char1 Char Char Char Char Char Char Char"/>
    <w:basedOn w:val="1"/>
    <w:qFormat/>
    <w:uiPriority w:val="0"/>
    <w:rPr>
      <w:rFonts w:ascii="Times New Roman" w:hAnsi="Times New Roman" w:eastAsia="宋体" w:cs="Times New Roman"/>
      <w:szCs w:val="24"/>
    </w:rPr>
  </w:style>
  <w:style w:type="paragraph" w:customStyle="1" w:styleId="126">
    <w:name w:val="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27">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2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
    <w:name w:val="Char Char Char Char Char Char Char Char 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30">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2">
    <w:name w:val="List Paragraph"/>
    <w:basedOn w:val="1"/>
    <w:qFormat/>
    <w:uiPriority w:val="34"/>
    <w:pPr>
      <w:ind w:firstLine="420" w:firstLineChars="200"/>
    </w:pPr>
    <w:rPr>
      <w:rFonts w:ascii="Times New Roman" w:hAnsi="Times New Roman" w:eastAsia="宋体" w:cs="Times New Roman"/>
      <w:szCs w:val="24"/>
    </w:rPr>
  </w:style>
  <w:style w:type="paragraph" w:customStyle="1" w:styleId="13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4">
    <w:name w:val="Table Text"/>
    <w:basedOn w:val="1"/>
    <w:semiHidden/>
    <w:qFormat/>
    <w:uiPriority w:val="0"/>
    <w:rPr>
      <w:rFonts w:ascii="宋体" w:hAnsi="宋体" w:eastAsia="宋体" w:cs="宋体"/>
      <w:sz w:val="20"/>
      <w:szCs w:val="20"/>
      <w:lang w:val="en-US" w:eastAsia="en-US" w:bidi="ar-SA"/>
    </w:rPr>
  </w:style>
  <w:style w:type="table" w:customStyle="1" w:styleId="1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121</Pages>
  <Words>7070</Words>
  <Characters>7576</Characters>
  <Lines>1</Lines>
  <Paragraphs>1</Paragraphs>
  <TotalTime>0</TotalTime>
  <ScaleCrop>false</ScaleCrop>
  <LinksUpToDate>false</LinksUpToDate>
  <CharactersWithSpaces>7743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2023-10-16T02:17:00Z</dcterms:created>
  <dc:creator>Administrator</dc:creator>
  <cp:lastModifiedBy>hqh474</cp:lastModifiedBy>
  <cp:lastPrinted>2024-09-12T01:05:00Z</cp:lastPrinted>
  <dcterms:modified xsi:type="dcterms:W3CDTF">2025-08-06T07:54:31Z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8B2CDC4AE2F243A7B1C0C2A81BA1F951_13</vt:lpwstr>
  </property>
  <property fmtid="{D5CDD505-2E9C-101B-9397-08002B2CF9AE}" pid="4" name="KSOTemplateDocerSaveRecord">
    <vt:lpwstr>eyJoZGlkIjoiYmM0Yzk3YjVmNWQyOTVmODk3ZGFiNTE1MzNkNDY0YTYiLCJ1c2VySWQiOiIxNzE2NjEzNSJ9</vt:lpwstr>
  </property>
</Properties>
</file>