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DA7EE">
      <w:pPr>
        <w:spacing w:line="360" w:lineRule="auto"/>
        <w:jc w:val="center"/>
        <w:rPr>
          <w:rFonts w:ascii="宋体" w:hAnsi="宋体" w:cs="宋体"/>
          <w:b/>
          <w:sz w:val="32"/>
          <w:szCs w:val="32"/>
          <w:highlight w:val="none"/>
        </w:rPr>
      </w:pPr>
    </w:p>
    <w:p w14:paraId="3DDFEDA6">
      <w:pPr>
        <w:snapToGrid w:val="0"/>
        <w:spacing w:before="156" w:beforeLines="50" w:line="360" w:lineRule="auto"/>
        <w:jc w:val="center"/>
        <w:rPr>
          <w:rFonts w:ascii="宋体" w:hAnsi="宋体" w:cs="宋体"/>
          <w:b/>
          <w:bCs/>
          <w:sz w:val="44"/>
          <w:szCs w:val="44"/>
          <w:highlight w:val="none"/>
        </w:rPr>
      </w:pPr>
      <w:r>
        <w:rPr>
          <w:rFonts w:hint="eastAsia" w:ascii="宋体" w:hAnsi="宋体" w:cs="宋体"/>
          <w:b/>
          <w:bCs/>
          <w:sz w:val="72"/>
          <w:szCs w:val="72"/>
          <w:highlight w:val="none"/>
        </w:rPr>
        <w:t>竞争性磋商文件</w:t>
      </w:r>
    </w:p>
    <w:p w14:paraId="2F8BAB57">
      <w:pPr>
        <w:spacing w:line="360" w:lineRule="auto"/>
        <w:jc w:val="center"/>
        <w:rPr>
          <w:rFonts w:ascii="宋体" w:hAnsi="宋体" w:cs="宋体"/>
          <w:b/>
          <w:sz w:val="32"/>
          <w:szCs w:val="32"/>
          <w:highlight w:val="none"/>
        </w:rPr>
      </w:pPr>
    </w:p>
    <w:p w14:paraId="3BAD9645">
      <w:pPr>
        <w:spacing w:line="360" w:lineRule="auto"/>
        <w:jc w:val="center"/>
        <w:rPr>
          <w:rFonts w:ascii="宋体" w:hAnsi="宋体" w:cs="宋体"/>
          <w:b/>
          <w:sz w:val="32"/>
          <w:szCs w:val="32"/>
          <w:highlight w:val="none"/>
        </w:rPr>
      </w:pPr>
    </w:p>
    <w:p w14:paraId="7DFD8A07">
      <w:pPr>
        <w:spacing w:line="360" w:lineRule="auto"/>
        <w:jc w:val="center"/>
        <w:rPr>
          <w:rFonts w:ascii="宋体" w:hAnsi="宋体" w:cs="宋体"/>
          <w:b/>
          <w:sz w:val="32"/>
          <w:szCs w:val="32"/>
          <w:highlight w:val="none"/>
        </w:rPr>
      </w:pPr>
    </w:p>
    <w:p w14:paraId="0AA9BB64">
      <w:pPr>
        <w:spacing w:line="360" w:lineRule="auto"/>
        <w:jc w:val="center"/>
        <w:rPr>
          <w:rFonts w:ascii="宋体" w:hAnsi="宋体" w:cs="宋体"/>
          <w:b/>
          <w:sz w:val="32"/>
          <w:szCs w:val="32"/>
          <w:highlight w:val="none"/>
        </w:rPr>
      </w:pPr>
    </w:p>
    <w:p w14:paraId="6DF50EE8">
      <w:pPr>
        <w:spacing w:line="360" w:lineRule="auto"/>
        <w:jc w:val="center"/>
        <w:rPr>
          <w:rFonts w:ascii="宋体" w:hAnsi="宋体" w:cs="宋体"/>
          <w:b/>
          <w:sz w:val="32"/>
          <w:szCs w:val="32"/>
          <w:highlight w:val="none"/>
        </w:rPr>
      </w:pPr>
    </w:p>
    <w:p w14:paraId="61AC7B4E">
      <w:pPr>
        <w:spacing w:line="360" w:lineRule="auto"/>
        <w:ind w:firstLine="964" w:firstLineChars="300"/>
        <w:rPr>
          <w:rFonts w:hint="eastAsia" w:ascii="宋体" w:hAnsi="宋体" w:cs="宋体"/>
          <w:b/>
          <w:sz w:val="32"/>
          <w:szCs w:val="32"/>
          <w:highlight w:val="none"/>
        </w:rPr>
      </w:pPr>
      <w:r>
        <w:rPr>
          <w:rFonts w:hint="eastAsia" w:ascii="宋体" w:hAnsi="宋体" w:cs="宋体"/>
          <w:b/>
          <w:sz w:val="32"/>
          <w:szCs w:val="32"/>
          <w:highlight w:val="none"/>
        </w:rPr>
        <w:t>项目名称：2025年钦州港片区规划及人防工程技术审查</w:t>
      </w:r>
    </w:p>
    <w:p w14:paraId="2427D68A">
      <w:pPr>
        <w:spacing w:line="360" w:lineRule="auto"/>
        <w:ind w:firstLine="2570" w:firstLineChars="800"/>
        <w:rPr>
          <w:rFonts w:ascii="宋体" w:hAnsi="宋体" w:cs="宋体"/>
          <w:b/>
          <w:sz w:val="32"/>
          <w:szCs w:val="32"/>
          <w:highlight w:val="none"/>
        </w:rPr>
      </w:pPr>
      <w:r>
        <w:rPr>
          <w:rFonts w:hint="eastAsia" w:ascii="宋体" w:hAnsi="宋体" w:cs="宋体"/>
          <w:b/>
          <w:sz w:val="32"/>
          <w:szCs w:val="32"/>
          <w:highlight w:val="none"/>
        </w:rPr>
        <w:t>服务项目采购</w:t>
      </w:r>
    </w:p>
    <w:p w14:paraId="3256EC54">
      <w:pPr>
        <w:spacing w:line="360" w:lineRule="auto"/>
        <w:ind w:firstLine="964" w:firstLineChars="300"/>
        <w:rPr>
          <w:rFonts w:hint="eastAsia" w:ascii="宋体" w:hAnsi="宋体" w:eastAsia="宋体" w:cs="宋体"/>
          <w:b/>
          <w:sz w:val="32"/>
          <w:szCs w:val="32"/>
          <w:highlight w:val="none"/>
          <w:lang w:eastAsia="zh-CN"/>
        </w:rPr>
      </w:pPr>
      <w:r>
        <w:rPr>
          <w:rFonts w:hint="eastAsia" w:ascii="宋体" w:hAnsi="宋体" w:cs="宋体"/>
          <w:b/>
          <w:sz w:val="32"/>
          <w:szCs w:val="32"/>
          <w:highlight w:val="none"/>
        </w:rPr>
        <w:t>项目编号：</w:t>
      </w:r>
      <w:r>
        <w:rPr>
          <w:rFonts w:hint="eastAsia" w:ascii="宋体" w:hAnsi="宋体" w:cs="宋体"/>
          <w:b/>
          <w:sz w:val="32"/>
          <w:szCs w:val="32"/>
          <w:highlight w:val="none"/>
          <w:lang w:eastAsia="zh-CN"/>
        </w:rPr>
        <w:t>QZZC2025-C3-980017-GXCJ</w:t>
      </w:r>
      <w:r>
        <w:rPr>
          <w:rFonts w:hint="eastAsia" w:ascii="宋体" w:hAnsi="宋体" w:cs="宋体"/>
          <w:b/>
          <w:sz w:val="32"/>
          <w:szCs w:val="32"/>
          <w:highlight w:val="none"/>
          <w:lang w:val="en-US" w:eastAsia="zh-CN"/>
        </w:rPr>
        <w:t xml:space="preserve"> </w:t>
      </w:r>
    </w:p>
    <w:p w14:paraId="07EA42C6">
      <w:pPr>
        <w:spacing w:line="360" w:lineRule="auto"/>
        <w:rPr>
          <w:rFonts w:ascii="宋体" w:hAnsi="宋体" w:cs="宋体"/>
          <w:b/>
          <w:sz w:val="32"/>
          <w:szCs w:val="32"/>
          <w:highlight w:val="none"/>
        </w:rPr>
      </w:pPr>
    </w:p>
    <w:p w14:paraId="77A55E80">
      <w:pPr>
        <w:spacing w:line="360" w:lineRule="auto"/>
        <w:jc w:val="center"/>
        <w:rPr>
          <w:rFonts w:ascii="宋体" w:hAnsi="宋体" w:cs="宋体"/>
          <w:b/>
          <w:sz w:val="32"/>
          <w:szCs w:val="32"/>
          <w:highlight w:val="none"/>
        </w:rPr>
      </w:pPr>
    </w:p>
    <w:p w14:paraId="3FA3EBCD">
      <w:pPr>
        <w:spacing w:line="360" w:lineRule="auto"/>
        <w:ind w:left="2519" w:leftChars="450" w:hanging="1574" w:hangingChars="490"/>
        <w:rPr>
          <w:rFonts w:ascii="宋体" w:hAnsi="宋体" w:cs="宋体"/>
          <w:b/>
          <w:sz w:val="32"/>
          <w:szCs w:val="32"/>
          <w:highlight w:val="none"/>
        </w:rPr>
      </w:pPr>
      <w:r>
        <w:rPr>
          <w:rFonts w:hint="eastAsia" w:ascii="宋体" w:hAnsi="宋体" w:cs="宋体"/>
          <w:b/>
          <w:sz w:val="32"/>
          <w:szCs w:val="32"/>
          <w:highlight w:val="none"/>
        </w:rPr>
        <w:t>采 购 人：中国—马来西亚钦州产业园区自然资源局</w:t>
      </w:r>
    </w:p>
    <w:p w14:paraId="646770FB">
      <w:pPr>
        <w:spacing w:line="360" w:lineRule="auto"/>
        <w:jc w:val="center"/>
        <w:rPr>
          <w:rFonts w:ascii="宋体" w:hAnsi="宋体" w:cs="宋体"/>
          <w:b/>
          <w:sz w:val="32"/>
          <w:szCs w:val="32"/>
          <w:highlight w:val="none"/>
        </w:rPr>
      </w:pPr>
    </w:p>
    <w:p w14:paraId="2082AAAC">
      <w:pPr>
        <w:spacing w:line="360" w:lineRule="auto"/>
        <w:ind w:firstLine="964" w:firstLineChars="300"/>
        <w:rPr>
          <w:rFonts w:ascii="宋体" w:hAnsi="宋体" w:cs="宋体"/>
          <w:b/>
          <w:sz w:val="32"/>
          <w:szCs w:val="32"/>
          <w:highlight w:val="none"/>
        </w:rPr>
      </w:pPr>
      <w:r>
        <w:rPr>
          <w:rFonts w:hint="eastAsia" w:ascii="宋体" w:hAnsi="宋体" w:cs="宋体"/>
          <w:b/>
          <w:sz w:val="32"/>
          <w:szCs w:val="32"/>
          <w:highlight w:val="none"/>
        </w:rPr>
        <w:t>采购代理机构：广西城建咨询设计有限公司</w:t>
      </w:r>
    </w:p>
    <w:p w14:paraId="356436F9">
      <w:pPr>
        <w:spacing w:line="360" w:lineRule="auto"/>
        <w:jc w:val="center"/>
        <w:rPr>
          <w:rFonts w:ascii="宋体" w:hAnsi="宋体" w:cs="宋体"/>
          <w:b/>
          <w:sz w:val="32"/>
          <w:szCs w:val="32"/>
          <w:highlight w:val="none"/>
        </w:rPr>
      </w:pPr>
    </w:p>
    <w:p w14:paraId="3AB5D54A">
      <w:pPr>
        <w:spacing w:line="360" w:lineRule="auto"/>
        <w:jc w:val="center"/>
        <w:rPr>
          <w:rFonts w:ascii="宋体" w:hAnsi="宋体" w:cs="宋体"/>
          <w:b/>
          <w:sz w:val="32"/>
          <w:szCs w:val="32"/>
          <w:highlight w:val="none"/>
        </w:rPr>
      </w:pPr>
      <w:r>
        <w:rPr>
          <w:rFonts w:hint="eastAsia" w:ascii="宋体" w:hAnsi="宋体" w:cs="宋体"/>
          <w:b/>
          <w:sz w:val="32"/>
          <w:szCs w:val="32"/>
          <w:highlight w:val="none"/>
        </w:rPr>
        <w:t>2025年</w:t>
      </w:r>
      <w:r>
        <w:rPr>
          <w:rFonts w:hint="eastAsia" w:ascii="宋体" w:hAnsi="宋体" w:cs="宋体"/>
          <w:b/>
          <w:sz w:val="32"/>
          <w:szCs w:val="32"/>
          <w:highlight w:val="none"/>
          <w:lang w:val="en-US" w:eastAsia="zh-CN"/>
        </w:rPr>
        <w:t>9</w:t>
      </w:r>
      <w:r>
        <w:rPr>
          <w:rFonts w:hint="eastAsia" w:ascii="宋体" w:hAnsi="宋体" w:cs="宋体"/>
          <w:b/>
          <w:sz w:val="32"/>
          <w:szCs w:val="32"/>
          <w:highlight w:val="none"/>
        </w:rPr>
        <w:t>月</w:t>
      </w:r>
      <w:r>
        <w:rPr>
          <w:rFonts w:hint="eastAsia" w:ascii="宋体" w:hAnsi="宋体" w:cs="宋体"/>
          <w:b/>
          <w:sz w:val="32"/>
          <w:szCs w:val="32"/>
          <w:highlight w:val="none"/>
          <w:lang w:val="en-US" w:eastAsia="zh-CN"/>
        </w:rPr>
        <w:t>24</w:t>
      </w:r>
      <w:r>
        <w:rPr>
          <w:rFonts w:hint="eastAsia" w:ascii="宋体" w:hAnsi="宋体" w:cs="宋体"/>
          <w:b/>
          <w:sz w:val="32"/>
          <w:szCs w:val="32"/>
          <w:highlight w:val="none"/>
        </w:rPr>
        <w:t>日</w:t>
      </w:r>
    </w:p>
    <w:p w14:paraId="6580B36B">
      <w:pPr>
        <w:spacing w:line="360" w:lineRule="auto"/>
        <w:jc w:val="center"/>
        <w:rPr>
          <w:rFonts w:hint="eastAsia" w:ascii="宋体" w:hAnsi="宋体" w:cs="宋体"/>
          <w:b/>
          <w:sz w:val="44"/>
          <w:szCs w:val="44"/>
          <w:highlight w:val="none"/>
        </w:rPr>
        <w:sectPr>
          <w:headerReference r:id="rId3" w:type="default"/>
          <w:pgSz w:w="11906" w:h="16838"/>
          <w:pgMar w:top="1440" w:right="1440" w:bottom="1440" w:left="1587" w:header="851" w:footer="992" w:gutter="0"/>
          <w:pgNumType w:start="2"/>
          <w:cols w:space="720" w:num="1"/>
          <w:titlePg/>
          <w:docGrid w:type="lines" w:linePitch="312" w:charSpace="0"/>
        </w:sectPr>
      </w:pPr>
    </w:p>
    <w:p w14:paraId="4E604099">
      <w:pPr>
        <w:spacing w:line="360" w:lineRule="auto"/>
        <w:jc w:val="center"/>
        <w:rPr>
          <w:rFonts w:ascii="宋体" w:hAnsi="宋体" w:cs="宋体"/>
          <w:b/>
          <w:sz w:val="44"/>
          <w:szCs w:val="44"/>
          <w:highlight w:val="none"/>
        </w:rPr>
      </w:pPr>
      <w:r>
        <w:rPr>
          <w:rFonts w:hint="eastAsia" w:ascii="宋体" w:hAnsi="宋体" w:cs="宋体"/>
          <w:b/>
          <w:sz w:val="44"/>
          <w:szCs w:val="44"/>
          <w:highlight w:val="none"/>
        </w:rPr>
        <w:t>目   录</w:t>
      </w:r>
    </w:p>
    <w:p w14:paraId="27E2B624">
      <w:pPr>
        <w:spacing w:line="400" w:lineRule="exact"/>
        <w:jc w:val="center"/>
        <w:rPr>
          <w:rFonts w:ascii="宋体" w:hAnsi="宋体" w:cs="宋体"/>
          <w:b/>
          <w:sz w:val="24"/>
          <w:szCs w:val="24"/>
          <w:highlight w:val="none"/>
        </w:rPr>
      </w:pPr>
    </w:p>
    <w:p w14:paraId="4837D4EC">
      <w:pPr>
        <w:pStyle w:val="25"/>
        <w:tabs>
          <w:tab w:val="right" w:leader="dot" w:pos="8879"/>
        </w:tabs>
        <w:rPr>
          <w:sz w:val="24"/>
          <w:szCs w:val="24"/>
        </w:rPr>
      </w:pPr>
      <w:r>
        <w:rPr>
          <w:rFonts w:hint="eastAsia" w:ascii="宋体" w:hAnsi="宋体" w:cs="宋体"/>
          <w:b/>
          <w:sz w:val="24"/>
          <w:szCs w:val="24"/>
          <w:highlight w:val="none"/>
        </w:rPr>
        <w:fldChar w:fldCharType="begin"/>
      </w:r>
      <w:r>
        <w:rPr>
          <w:rFonts w:hint="eastAsia" w:ascii="宋体" w:hAnsi="宋体" w:cs="宋体"/>
          <w:b/>
          <w:sz w:val="24"/>
          <w:szCs w:val="24"/>
          <w:highlight w:val="none"/>
        </w:rPr>
        <w:instrText xml:space="preserve"> TOC \o "1-3" \h \z \u </w:instrText>
      </w:r>
      <w:r>
        <w:rPr>
          <w:rFonts w:hint="eastAsia" w:ascii="宋体" w:hAnsi="宋体" w:cs="宋体"/>
          <w:b/>
          <w:sz w:val="24"/>
          <w:szCs w:val="24"/>
          <w:highlight w:val="none"/>
        </w:rPr>
        <w:fldChar w:fldCharType="separate"/>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_Toc970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第一章 竞争性磋商公告</w:t>
      </w:r>
      <w:r>
        <w:rPr>
          <w:sz w:val="24"/>
          <w:szCs w:val="24"/>
        </w:rPr>
        <w:tab/>
      </w:r>
      <w:r>
        <w:rPr>
          <w:sz w:val="24"/>
          <w:szCs w:val="24"/>
        </w:rPr>
        <w:fldChar w:fldCharType="begin"/>
      </w:r>
      <w:r>
        <w:rPr>
          <w:sz w:val="24"/>
          <w:szCs w:val="24"/>
        </w:rPr>
        <w:instrText xml:space="preserve"> PAGEREF _Toc970 \h </w:instrText>
      </w:r>
      <w:r>
        <w:rPr>
          <w:sz w:val="24"/>
          <w:szCs w:val="24"/>
        </w:rPr>
        <w:fldChar w:fldCharType="separate"/>
      </w:r>
      <w:r>
        <w:rPr>
          <w:sz w:val="24"/>
          <w:szCs w:val="24"/>
        </w:rPr>
        <w:t>3</w:t>
      </w:r>
      <w:r>
        <w:rPr>
          <w:sz w:val="24"/>
          <w:szCs w:val="24"/>
        </w:rPr>
        <w:fldChar w:fldCharType="end"/>
      </w:r>
      <w:r>
        <w:rPr>
          <w:rFonts w:hint="eastAsia" w:ascii="宋体" w:hAnsi="宋体" w:cs="宋体"/>
          <w:sz w:val="24"/>
          <w:szCs w:val="24"/>
          <w:highlight w:val="none"/>
        </w:rPr>
        <w:fldChar w:fldCharType="end"/>
      </w:r>
    </w:p>
    <w:p w14:paraId="79FE83B4">
      <w:pPr>
        <w:pStyle w:val="25"/>
        <w:tabs>
          <w:tab w:val="right" w:leader="dot" w:pos="8879"/>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_Toc18958 </w:instrText>
      </w:r>
      <w:r>
        <w:rPr>
          <w:rFonts w:hint="eastAsia" w:ascii="宋体" w:hAnsi="宋体" w:cs="宋体"/>
          <w:sz w:val="24"/>
          <w:szCs w:val="24"/>
          <w:highlight w:val="none"/>
        </w:rPr>
        <w:fldChar w:fldCharType="separate"/>
      </w:r>
      <w:r>
        <w:rPr>
          <w:rFonts w:hint="eastAsia"/>
          <w:sz w:val="24"/>
          <w:szCs w:val="24"/>
          <w:highlight w:val="none"/>
        </w:rPr>
        <w:t>第二章 供应商须知</w:t>
      </w:r>
      <w:r>
        <w:rPr>
          <w:sz w:val="24"/>
          <w:szCs w:val="24"/>
        </w:rPr>
        <w:tab/>
      </w:r>
      <w:r>
        <w:rPr>
          <w:sz w:val="24"/>
          <w:szCs w:val="24"/>
        </w:rPr>
        <w:fldChar w:fldCharType="begin"/>
      </w:r>
      <w:r>
        <w:rPr>
          <w:sz w:val="24"/>
          <w:szCs w:val="24"/>
        </w:rPr>
        <w:instrText xml:space="preserve"> PAGEREF _Toc18958 \h </w:instrText>
      </w:r>
      <w:r>
        <w:rPr>
          <w:sz w:val="24"/>
          <w:szCs w:val="24"/>
        </w:rPr>
        <w:fldChar w:fldCharType="separate"/>
      </w:r>
      <w:r>
        <w:rPr>
          <w:sz w:val="24"/>
          <w:szCs w:val="24"/>
        </w:rPr>
        <w:t>7</w:t>
      </w:r>
      <w:r>
        <w:rPr>
          <w:sz w:val="24"/>
          <w:szCs w:val="24"/>
        </w:rPr>
        <w:fldChar w:fldCharType="end"/>
      </w:r>
      <w:r>
        <w:rPr>
          <w:rFonts w:hint="eastAsia" w:ascii="宋体" w:hAnsi="宋体" w:cs="宋体"/>
          <w:sz w:val="24"/>
          <w:szCs w:val="24"/>
          <w:highlight w:val="none"/>
        </w:rPr>
        <w:fldChar w:fldCharType="end"/>
      </w:r>
    </w:p>
    <w:p w14:paraId="6D4D1BE9">
      <w:pPr>
        <w:pStyle w:val="25"/>
        <w:tabs>
          <w:tab w:val="right" w:leader="dot" w:pos="8879"/>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_Toc9928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第三章 采购需求</w:t>
      </w:r>
      <w:r>
        <w:rPr>
          <w:sz w:val="24"/>
          <w:szCs w:val="24"/>
        </w:rPr>
        <w:tab/>
      </w:r>
      <w:r>
        <w:rPr>
          <w:sz w:val="24"/>
          <w:szCs w:val="24"/>
        </w:rPr>
        <w:fldChar w:fldCharType="begin"/>
      </w:r>
      <w:r>
        <w:rPr>
          <w:sz w:val="24"/>
          <w:szCs w:val="24"/>
        </w:rPr>
        <w:instrText xml:space="preserve"> PAGEREF _Toc9928 \h </w:instrText>
      </w:r>
      <w:r>
        <w:rPr>
          <w:sz w:val="24"/>
          <w:szCs w:val="24"/>
        </w:rPr>
        <w:fldChar w:fldCharType="separate"/>
      </w:r>
      <w:r>
        <w:rPr>
          <w:sz w:val="24"/>
          <w:szCs w:val="24"/>
        </w:rPr>
        <w:t>28</w:t>
      </w:r>
      <w:r>
        <w:rPr>
          <w:sz w:val="24"/>
          <w:szCs w:val="24"/>
        </w:rPr>
        <w:fldChar w:fldCharType="end"/>
      </w:r>
      <w:r>
        <w:rPr>
          <w:rFonts w:hint="eastAsia" w:ascii="宋体" w:hAnsi="宋体" w:cs="宋体"/>
          <w:sz w:val="24"/>
          <w:szCs w:val="24"/>
          <w:highlight w:val="none"/>
        </w:rPr>
        <w:fldChar w:fldCharType="end"/>
      </w:r>
    </w:p>
    <w:p w14:paraId="377CEEC2">
      <w:pPr>
        <w:pStyle w:val="25"/>
        <w:tabs>
          <w:tab w:val="right" w:leader="dot" w:pos="8879"/>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_Toc21637 </w:instrText>
      </w:r>
      <w:r>
        <w:rPr>
          <w:rFonts w:hint="eastAsia" w:ascii="宋体" w:hAnsi="宋体" w:cs="宋体"/>
          <w:sz w:val="24"/>
          <w:szCs w:val="24"/>
          <w:highlight w:val="none"/>
        </w:rPr>
        <w:fldChar w:fldCharType="separate"/>
      </w:r>
      <w:r>
        <w:rPr>
          <w:rFonts w:hint="eastAsia"/>
          <w:sz w:val="24"/>
          <w:szCs w:val="24"/>
          <w:highlight w:val="none"/>
        </w:rPr>
        <w:t>第四章 评审程序、评审方法和评审标准</w:t>
      </w:r>
      <w:r>
        <w:rPr>
          <w:sz w:val="24"/>
          <w:szCs w:val="24"/>
        </w:rPr>
        <w:tab/>
      </w:r>
      <w:r>
        <w:rPr>
          <w:sz w:val="24"/>
          <w:szCs w:val="24"/>
        </w:rPr>
        <w:fldChar w:fldCharType="begin"/>
      </w:r>
      <w:r>
        <w:rPr>
          <w:sz w:val="24"/>
          <w:szCs w:val="24"/>
        </w:rPr>
        <w:instrText xml:space="preserve"> PAGEREF _Toc21637 \h </w:instrText>
      </w:r>
      <w:r>
        <w:rPr>
          <w:sz w:val="24"/>
          <w:szCs w:val="24"/>
        </w:rPr>
        <w:fldChar w:fldCharType="separate"/>
      </w:r>
      <w:r>
        <w:rPr>
          <w:sz w:val="24"/>
          <w:szCs w:val="24"/>
        </w:rPr>
        <w:t>36</w:t>
      </w:r>
      <w:r>
        <w:rPr>
          <w:sz w:val="24"/>
          <w:szCs w:val="24"/>
        </w:rPr>
        <w:fldChar w:fldCharType="end"/>
      </w:r>
      <w:r>
        <w:rPr>
          <w:rFonts w:hint="eastAsia" w:ascii="宋体" w:hAnsi="宋体" w:cs="宋体"/>
          <w:sz w:val="24"/>
          <w:szCs w:val="24"/>
          <w:highlight w:val="none"/>
        </w:rPr>
        <w:fldChar w:fldCharType="end"/>
      </w:r>
    </w:p>
    <w:p w14:paraId="68FC9021">
      <w:pPr>
        <w:pStyle w:val="25"/>
        <w:tabs>
          <w:tab w:val="right" w:leader="dot" w:pos="8879"/>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_Toc21386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第五章 响应文件格式</w:t>
      </w:r>
      <w:r>
        <w:rPr>
          <w:sz w:val="24"/>
          <w:szCs w:val="24"/>
        </w:rPr>
        <w:tab/>
      </w:r>
      <w:r>
        <w:rPr>
          <w:sz w:val="24"/>
          <w:szCs w:val="24"/>
        </w:rPr>
        <w:fldChar w:fldCharType="begin"/>
      </w:r>
      <w:r>
        <w:rPr>
          <w:sz w:val="24"/>
          <w:szCs w:val="24"/>
        </w:rPr>
        <w:instrText xml:space="preserve"> PAGEREF _Toc21386 \h </w:instrText>
      </w:r>
      <w:r>
        <w:rPr>
          <w:sz w:val="24"/>
          <w:szCs w:val="24"/>
        </w:rPr>
        <w:fldChar w:fldCharType="separate"/>
      </w:r>
      <w:r>
        <w:rPr>
          <w:sz w:val="24"/>
          <w:szCs w:val="24"/>
        </w:rPr>
        <w:t>48</w:t>
      </w:r>
      <w:r>
        <w:rPr>
          <w:sz w:val="24"/>
          <w:szCs w:val="24"/>
        </w:rPr>
        <w:fldChar w:fldCharType="end"/>
      </w:r>
      <w:r>
        <w:rPr>
          <w:rFonts w:hint="eastAsia" w:ascii="宋体" w:hAnsi="宋体" w:cs="宋体"/>
          <w:sz w:val="24"/>
          <w:szCs w:val="24"/>
          <w:highlight w:val="none"/>
        </w:rPr>
        <w:fldChar w:fldCharType="end"/>
      </w:r>
    </w:p>
    <w:p w14:paraId="25F87466">
      <w:pPr>
        <w:pStyle w:val="25"/>
        <w:tabs>
          <w:tab w:val="right" w:leader="dot" w:pos="8879"/>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_Toc9980 </w:instrText>
      </w:r>
      <w:r>
        <w:rPr>
          <w:rFonts w:hint="eastAsia" w:ascii="宋体" w:hAnsi="宋体" w:cs="宋体"/>
          <w:sz w:val="24"/>
          <w:szCs w:val="24"/>
          <w:highlight w:val="none"/>
        </w:rPr>
        <w:fldChar w:fldCharType="separate"/>
      </w:r>
      <w:r>
        <w:rPr>
          <w:rFonts w:hint="eastAsia" w:ascii="宋体" w:hAnsi="宋体" w:cs="宋体"/>
          <w:sz w:val="24"/>
          <w:szCs w:val="24"/>
        </w:rPr>
        <w:t>第六章 合同文本</w:t>
      </w:r>
      <w:r>
        <w:rPr>
          <w:sz w:val="24"/>
          <w:szCs w:val="24"/>
        </w:rPr>
        <w:tab/>
      </w:r>
      <w:r>
        <w:rPr>
          <w:sz w:val="24"/>
          <w:szCs w:val="24"/>
        </w:rPr>
        <w:fldChar w:fldCharType="begin"/>
      </w:r>
      <w:r>
        <w:rPr>
          <w:sz w:val="24"/>
          <w:szCs w:val="24"/>
        </w:rPr>
        <w:instrText xml:space="preserve"> PAGEREF _Toc9980 \h </w:instrText>
      </w:r>
      <w:r>
        <w:rPr>
          <w:sz w:val="24"/>
          <w:szCs w:val="24"/>
        </w:rPr>
        <w:fldChar w:fldCharType="separate"/>
      </w:r>
      <w:r>
        <w:rPr>
          <w:sz w:val="24"/>
          <w:szCs w:val="24"/>
        </w:rPr>
        <w:t>68</w:t>
      </w:r>
      <w:r>
        <w:rPr>
          <w:sz w:val="24"/>
          <w:szCs w:val="24"/>
        </w:rPr>
        <w:fldChar w:fldCharType="end"/>
      </w:r>
      <w:r>
        <w:rPr>
          <w:rFonts w:hint="eastAsia" w:ascii="宋体" w:hAnsi="宋体" w:cs="宋体"/>
          <w:sz w:val="24"/>
          <w:szCs w:val="24"/>
          <w:highlight w:val="none"/>
        </w:rPr>
        <w:fldChar w:fldCharType="end"/>
      </w:r>
    </w:p>
    <w:p w14:paraId="07C80266">
      <w:pPr>
        <w:pStyle w:val="26"/>
        <w:spacing w:line="360" w:lineRule="auto"/>
        <w:rPr>
          <w:rFonts w:ascii="宋体" w:hAnsi="宋体" w:cs="宋体"/>
          <w:b/>
          <w:sz w:val="32"/>
          <w:szCs w:val="32"/>
          <w:highlight w:val="none"/>
        </w:rPr>
      </w:pPr>
      <w:r>
        <w:rPr>
          <w:rFonts w:hint="eastAsia" w:ascii="宋体" w:hAnsi="宋体" w:cs="宋体"/>
          <w:sz w:val="24"/>
          <w:szCs w:val="24"/>
          <w:highlight w:val="none"/>
        </w:rPr>
        <w:fldChar w:fldCharType="end"/>
      </w:r>
    </w:p>
    <w:p w14:paraId="063E9989">
      <w:pPr>
        <w:spacing w:line="400" w:lineRule="exact"/>
        <w:rPr>
          <w:rFonts w:ascii="宋体" w:hAnsi="宋体" w:cs="宋体"/>
          <w:b/>
          <w:sz w:val="32"/>
          <w:szCs w:val="32"/>
          <w:highlight w:val="none"/>
        </w:rPr>
      </w:pPr>
    </w:p>
    <w:p w14:paraId="58CD5BD8">
      <w:pPr>
        <w:spacing w:line="400" w:lineRule="exact"/>
        <w:rPr>
          <w:rFonts w:ascii="宋体" w:hAnsi="宋体" w:cs="宋体"/>
          <w:b/>
          <w:sz w:val="32"/>
          <w:szCs w:val="32"/>
          <w:highlight w:val="none"/>
        </w:rPr>
      </w:pPr>
    </w:p>
    <w:p w14:paraId="688BAB21">
      <w:pPr>
        <w:spacing w:line="400" w:lineRule="exact"/>
        <w:rPr>
          <w:rFonts w:ascii="宋体" w:hAnsi="宋体" w:cs="宋体"/>
          <w:b/>
          <w:sz w:val="32"/>
          <w:szCs w:val="32"/>
          <w:highlight w:val="none"/>
        </w:rPr>
        <w:sectPr>
          <w:footerReference r:id="rId5" w:type="first"/>
          <w:footerReference r:id="rId4" w:type="default"/>
          <w:pgSz w:w="11906" w:h="16838"/>
          <w:pgMar w:top="1440" w:right="1440" w:bottom="1440" w:left="1587" w:header="851" w:footer="992" w:gutter="0"/>
          <w:pgNumType w:fmt="decimal" w:start="2"/>
          <w:cols w:space="720" w:num="1"/>
          <w:titlePg/>
          <w:docGrid w:type="lines" w:linePitch="312" w:charSpace="0"/>
        </w:sectPr>
      </w:pPr>
    </w:p>
    <w:p w14:paraId="1008213E">
      <w:pPr>
        <w:pStyle w:val="4"/>
        <w:spacing w:line="460" w:lineRule="exact"/>
        <w:jc w:val="center"/>
        <w:rPr>
          <w:rFonts w:hint="eastAsia" w:ascii="宋体" w:hAnsi="宋体" w:cs="宋体"/>
          <w:highlight w:val="none"/>
        </w:rPr>
      </w:pPr>
      <w:bookmarkStart w:id="0" w:name="_Toc970"/>
      <w:r>
        <w:rPr>
          <w:rFonts w:hint="eastAsia" w:ascii="宋体" w:hAnsi="宋体" w:cs="宋体"/>
          <w:highlight w:val="none"/>
        </w:rPr>
        <w:t>第一章 竞争性磋商公告</w:t>
      </w:r>
      <w:bookmarkEnd w:id="0"/>
    </w:p>
    <w:p w14:paraId="137313EA">
      <w:pPr>
        <w:jc w:val="center"/>
        <w:rPr>
          <w:sz w:val="30"/>
          <w:szCs w:val="30"/>
          <w:u w:val="none"/>
        </w:rPr>
      </w:pPr>
      <w:r>
        <w:rPr>
          <w:rFonts w:hint="eastAsia" w:ascii="宋体" w:hAnsi="宋体" w:cs="宋体"/>
          <w:sz w:val="30"/>
          <w:szCs w:val="30"/>
          <w:highlight w:val="none"/>
          <w:u w:val="none"/>
        </w:rPr>
        <w:t>2025年钦州港片区规划及人防工程技术审查服务项目采购竞争性磋商公告</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5"/>
      </w:tblGrid>
      <w:tr w14:paraId="431C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5" w:type="dxa"/>
          </w:tcPr>
          <w:p w14:paraId="4DD5F909">
            <w:pPr>
              <w:spacing w:line="360" w:lineRule="auto"/>
              <w:ind w:firstLine="420" w:firstLineChars="200"/>
              <w:rPr>
                <w:rFonts w:ascii="宋体" w:hAnsi="宋体" w:cs="宋体"/>
                <w:szCs w:val="21"/>
                <w:highlight w:val="none"/>
              </w:rPr>
            </w:pPr>
            <w:bookmarkStart w:id="1" w:name="_Toc35393629"/>
            <w:bookmarkStart w:id="2" w:name="_Toc35393798"/>
            <w:bookmarkStart w:id="3" w:name="_Toc28359012"/>
            <w:bookmarkStart w:id="4" w:name="_Toc28359089"/>
            <w:bookmarkStart w:id="5" w:name="_Toc44229878"/>
            <w:bookmarkStart w:id="6" w:name="_Hlk37430271"/>
            <w:r>
              <w:rPr>
                <w:rFonts w:hint="eastAsia" w:ascii="宋体" w:hAnsi="宋体" w:cs="宋体"/>
                <w:szCs w:val="21"/>
                <w:highlight w:val="none"/>
              </w:rPr>
              <w:t>项目概况</w:t>
            </w:r>
          </w:p>
          <w:p w14:paraId="611FB57D">
            <w:pPr>
              <w:spacing w:line="360" w:lineRule="auto"/>
              <w:ind w:firstLine="420" w:firstLineChars="200"/>
              <w:rPr>
                <w:rFonts w:ascii="宋体" w:hAnsi="宋体" w:cs="宋体"/>
                <w:szCs w:val="21"/>
                <w:highlight w:val="none"/>
              </w:rPr>
            </w:pPr>
            <w:r>
              <w:rPr>
                <w:rFonts w:hint="eastAsia" w:ascii="宋体" w:hAnsi="宋体" w:cs="宋体"/>
                <w:szCs w:val="21"/>
                <w:highlight w:val="none"/>
                <w:u w:val="single"/>
              </w:rPr>
              <w:t>2025年钦州港片区规划及人防工程技术审查服务项目采购</w:t>
            </w:r>
            <w:r>
              <w:rPr>
                <w:rFonts w:hint="eastAsia" w:ascii="宋体" w:hAnsi="宋体" w:cs="宋体"/>
                <w:szCs w:val="21"/>
                <w:highlight w:val="none"/>
              </w:rPr>
              <w:t>的潜在供应商应在广西政府采购云平台线上获取采购文件，并于2025年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11</w:t>
            </w:r>
            <w:r>
              <w:rPr>
                <w:rFonts w:hint="eastAsia" w:ascii="宋体" w:hAnsi="宋体" w:cs="宋体"/>
                <w:szCs w:val="21"/>
                <w:highlight w:val="none"/>
              </w:rPr>
              <w:t xml:space="preserve">日 </w:t>
            </w:r>
            <w:r>
              <w:rPr>
                <w:rFonts w:hint="eastAsia" w:ascii="宋体" w:hAnsi="宋体" w:cs="宋体"/>
                <w:szCs w:val="21"/>
                <w:highlight w:val="none"/>
                <w:lang w:val="en-US" w:eastAsia="zh-CN"/>
              </w:rPr>
              <w:t>15</w:t>
            </w:r>
            <w:r>
              <w:rPr>
                <w:rFonts w:hint="eastAsia" w:ascii="宋体" w:hAnsi="宋体" w:cs="宋体"/>
                <w:szCs w:val="21"/>
                <w:highlight w:val="none"/>
              </w:rPr>
              <w:t>:</w:t>
            </w:r>
            <w:r>
              <w:rPr>
                <w:rFonts w:hint="eastAsia" w:ascii="宋体" w:hAnsi="宋体" w:cs="宋体"/>
                <w:szCs w:val="21"/>
                <w:highlight w:val="none"/>
                <w:lang w:val="en-US" w:eastAsia="zh-CN"/>
              </w:rPr>
              <w:t>0</w:t>
            </w:r>
            <w:r>
              <w:rPr>
                <w:rFonts w:hint="eastAsia" w:ascii="宋体" w:hAnsi="宋体" w:cs="宋体"/>
                <w:szCs w:val="21"/>
                <w:highlight w:val="none"/>
              </w:rPr>
              <w:t>0（北京时间）前提交响应文件。</w:t>
            </w:r>
          </w:p>
        </w:tc>
      </w:tr>
    </w:tbl>
    <w:p w14:paraId="5A81BFE2">
      <w:pPr>
        <w:spacing w:line="360" w:lineRule="auto"/>
        <w:rPr>
          <w:rFonts w:ascii="宋体" w:hAnsi="宋体" w:cs="宋体"/>
          <w:b/>
          <w:bCs/>
          <w:sz w:val="24"/>
          <w:highlight w:val="none"/>
        </w:rPr>
      </w:pPr>
      <w:r>
        <w:rPr>
          <w:rFonts w:hint="eastAsia" w:ascii="宋体" w:hAnsi="宋体" w:cs="宋体"/>
          <w:b/>
          <w:bCs/>
          <w:sz w:val="24"/>
          <w:highlight w:val="none"/>
        </w:rPr>
        <w:t>一、项目基本情况</w:t>
      </w:r>
      <w:bookmarkEnd w:id="1"/>
      <w:bookmarkEnd w:id="2"/>
      <w:bookmarkEnd w:id="3"/>
      <w:bookmarkEnd w:id="4"/>
      <w:bookmarkEnd w:id="5"/>
    </w:p>
    <w:p w14:paraId="3A971453">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项目编号：</w:t>
      </w:r>
      <w:r>
        <w:rPr>
          <w:rFonts w:hint="eastAsia" w:ascii="宋体" w:hAnsi="宋体" w:cs="宋体"/>
          <w:szCs w:val="21"/>
          <w:highlight w:val="none"/>
          <w:lang w:eastAsia="zh-CN"/>
        </w:rPr>
        <w:t>QZZC2025-C3-980017-GXCJ</w:t>
      </w:r>
      <w:r>
        <w:rPr>
          <w:rFonts w:hint="eastAsia" w:ascii="宋体" w:hAnsi="宋体" w:cs="宋体"/>
          <w:szCs w:val="21"/>
          <w:highlight w:val="none"/>
          <w:lang w:val="en-US" w:eastAsia="zh-CN"/>
        </w:rPr>
        <w:t xml:space="preserve"> </w:t>
      </w:r>
    </w:p>
    <w:p w14:paraId="01DE73C4">
      <w:pPr>
        <w:spacing w:line="360" w:lineRule="auto"/>
        <w:ind w:firstLine="420" w:firstLineChars="200"/>
        <w:rPr>
          <w:rFonts w:ascii="宋体" w:hAnsi="宋体" w:cs="宋体"/>
          <w:szCs w:val="21"/>
          <w:highlight w:val="none"/>
        </w:rPr>
      </w:pPr>
      <w:r>
        <w:rPr>
          <w:rFonts w:hint="eastAsia" w:ascii="宋体" w:hAnsi="宋体" w:cs="宋体"/>
          <w:szCs w:val="21"/>
          <w:highlight w:val="none"/>
        </w:rPr>
        <w:t>项目名称：2025年钦州港片区规划及人防工程技术审查服务项目采购</w:t>
      </w:r>
    </w:p>
    <w:p w14:paraId="4BB2B2E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采购方式：竞争性磋商</w:t>
      </w:r>
    </w:p>
    <w:p w14:paraId="4ECF6212">
      <w:pPr>
        <w:spacing w:line="360" w:lineRule="auto"/>
        <w:ind w:firstLine="420" w:firstLineChars="200"/>
        <w:rPr>
          <w:rFonts w:ascii="宋体" w:hAnsi="宋体" w:cs="宋体"/>
          <w:szCs w:val="21"/>
          <w:highlight w:val="none"/>
        </w:rPr>
      </w:pPr>
      <w:r>
        <w:rPr>
          <w:rFonts w:hint="eastAsia" w:ascii="宋体" w:hAnsi="宋体" w:cs="宋体"/>
          <w:szCs w:val="21"/>
          <w:highlight w:val="none"/>
        </w:rPr>
        <w:t>预算总金额（元）：</w:t>
      </w:r>
      <w:r>
        <w:rPr>
          <w:rFonts w:hint="eastAsia" w:ascii="宋体" w:hAnsi="宋体" w:cs="宋体"/>
          <w:szCs w:val="21"/>
          <w:highlight w:val="none"/>
          <w:lang w:val="en-US" w:eastAsia="zh-CN"/>
        </w:rPr>
        <w:t>75</w:t>
      </w:r>
      <w:r>
        <w:rPr>
          <w:rFonts w:hint="eastAsia" w:ascii="宋体" w:hAnsi="宋体" w:cs="宋体"/>
          <w:szCs w:val="21"/>
          <w:highlight w:val="none"/>
        </w:rPr>
        <w:t>0000.00</w:t>
      </w:r>
    </w:p>
    <w:p w14:paraId="2668CAE0">
      <w:pPr>
        <w:spacing w:line="360" w:lineRule="auto"/>
        <w:ind w:firstLine="420" w:firstLineChars="200"/>
        <w:rPr>
          <w:rFonts w:ascii="宋体" w:hAnsi="宋体" w:cs="宋体"/>
          <w:szCs w:val="21"/>
          <w:highlight w:val="none"/>
        </w:rPr>
      </w:pPr>
      <w:r>
        <w:rPr>
          <w:rFonts w:hint="eastAsia" w:ascii="宋体" w:hAnsi="宋体" w:cs="宋体"/>
          <w:szCs w:val="21"/>
          <w:highlight w:val="none"/>
        </w:rPr>
        <w:t>采购需求：</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5"/>
      </w:tblGrid>
      <w:tr w14:paraId="13A0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5" w:type="dxa"/>
          </w:tcPr>
          <w:p w14:paraId="2F169762">
            <w:pPr>
              <w:spacing w:line="360" w:lineRule="auto"/>
              <w:ind w:firstLine="420" w:firstLineChars="200"/>
              <w:rPr>
                <w:rFonts w:ascii="宋体" w:hAnsi="宋体" w:cs="宋体"/>
                <w:szCs w:val="21"/>
                <w:highlight w:val="none"/>
              </w:rPr>
            </w:pPr>
            <w:r>
              <w:rPr>
                <w:rFonts w:hint="eastAsia" w:ascii="宋体" w:hAnsi="宋体" w:cs="宋体"/>
                <w:szCs w:val="21"/>
                <w:highlight w:val="none"/>
              </w:rPr>
              <w:t>标项名称：2025年钦州港片区规划及人防工程技术审查服务项目采购</w:t>
            </w:r>
          </w:p>
          <w:p w14:paraId="0DAC70D8">
            <w:pPr>
              <w:spacing w:line="360" w:lineRule="auto"/>
              <w:ind w:firstLine="420" w:firstLineChars="200"/>
              <w:rPr>
                <w:rFonts w:ascii="宋体" w:hAnsi="宋体" w:cs="宋体"/>
                <w:szCs w:val="21"/>
                <w:highlight w:val="none"/>
              </w:rPr>
            </w:pPr>
            <w:r>
              <w:rPr>
                <w:rFonts w:hint="eastAsia" w:ascii="宋体" w:hAnsi="宋体" w:cs="宋体"/>
                <w:szCs w:val="21"/>
                <w:highlight w:val="none"/>
              </w:rPr>
              <w:t>数量：1</w:t>
            </w:r>
          </w:p>
          <w:p w14:paraId="3735C7F0">
            <w:pPr>
              <w:spacing w:line="360" w:lineRule="auto"/>
              <w:ind w:firstLine="420" w:firstLineChars="200"/>
              <w:rPr>
                <w:rFonts w:ascii="宋体" w:hAnsi="宋体" w:cs="宋体"/>
                <w:szCs w:val="21"/>
                <w:highlight w:val="none"/>
              </w:rPr>
            </w:pPr>
            <w:r>
              <w:rPr>
                <w:rFonts w:hint="eastAsia" w:ascii="宋体" w:hAnsi="宋体" w:cs="宋体"/>
                <w:szCs w:val="21"/>
                <w:highlight w:val="none"/>
              </w:rPr>
              <w:t>预算金额（元）：</w:t>
            </w:r>
            <w:r>
              <w:rPr>
                <w:rFonts w:hint="eastAsia" w:ascii="宋体" w:hAnsi="宋体" w:cs="宋体"/>
                <w:szCs w:val="21"/>
                <w:highlight w:val="none"/>
                <w:lang w:val="en-US" w:eastAsia="zh-CN"/>
              </w:rPr>
              <w:t>75</w:t>
            </w:r>
            <w:r>
              <w:rPr>
                <w:rFonts w:hint="eastAsia" w:ascii="宋体" w:hAnsi="宋体" w:cs="宋体"/>
                <w:szCs w:val="21"/>
                <w:highlight w:val="none"/>
              </w:rPr>
              <w:t>0000.00</w:t>
            </w:r>
          </w:p>
          <w:p w14:paraId="191AEF1E">
            <w:pPr>
              <w:spacing w:line="360" w:lineRule="auto"/>
              <w:ind w:firstLine="420" w:firstLineChars="200"/>
              <w:rPr>
                <w:rFonts w:ascii="宋体" w:hAnsi="宋体" w:cs="宋体"/>
                <w:szCs w:val="21"/>
                <w:highlight w:val="none"/>
              </w:rPr>
            </w:pPr>
            <w:r>
              <w:rPr>
                <w:rFonts w:hint="eastAsia" w:ascii="宋体" w:hAnsi="宋体" w:cs="宋体"/>
                <w:szCs w:val="21"/>
                <w:highlight w:val="none"/>
              </w:rPr>
              <w:t>简要规格描述或项目基本概况介绍、用途：本次采购主要内容主要包含2025年钦州港片区人防工程防护设计(规划)审查、人防工程防护设计(施工)审查等人防工程防护设计技术咨询、项目用地节约集约论证、建设工程规划设计方案合规性技术审查等。钦州港片区用地规模260平方公里，包含中马钦州产业园区55平方公里、钦州港经济技术开发区和钦州保税港区。《具体详见采购文件第三章 采购需求》</w:t>
            </w:r>
          </w:p>
          <w:p w14:paraId="62232809">
            <w:pPr>
              <w:spacing w:line="360" w:lineRule="auto"/>
              <w:ind w:firstLine="420" w:firstLineChars="200"/>
              <w:rPr>
                <w:rFonts w:ascii="宋体" w:hAnsi="宋体" w:cs="宋体"/>
                <w:szCs w:val="21"/>
                <w:highlight w:val="none"/>
              </w:rPr>
            </w:pPr>
            <w:r>
              <w:rPr>
                <w:rFonts w:hint="eastAsia" w:ascii="宋体" w:hAnsi="宋体" w:cs="宋体"/>
                <w:szCs w:val="21"/>
                <w:highlight w:val="none"/>
              </w:rPr>
              <w:t>最高限价（如有）：</w:t>
            </w:r>
            <w:r>
              <w:rPr>
                <w:rFonts w:hint="eastAsia" w:ascii="宋体" w:hAnsi="宋体" w:cs="宋体"/>
                <w:szCs w:val="21"/>
                <w:highlight w:val="none"/>
                <w:lang w:val="en-US" w:eastAsia="zh-CN"/>
              </w:rPr>
              <w:t>75</w:t>
            </w:r>
            <w:r>
              <w:rPr>
                <w:rFonts w:hint="eastAsia" w:ascii="宋体" w:hAnsi="宋体" w:cs="宋体"/>
                <w:szCs w:val="21"/>
                <w:highlight w:val="none"/>
              </w:rPr>
              <w:t>0000.00元</w:t>
            </w:r>
          </w:p>
          <w:p w14:paraId="68057CDD">
            <w:pPr>
              <w:spacing w:line="390" w:lineRule="exact"/>
              <w:ind w:firstLine="420" w:firstLineChars="200"/>
              <w:rPr>
                <w:rFonts w:ascii="宋体" w:hAnsi="宋体" w:cs="宋体"/>
                <w:szCs w:val="21"/>
              </w:rPr>
            </w:pPr>
            <w:r>
              <w:rPr>
                <w:rFonts w:hint="eastAsia" w:ascii="宋体" w:hAnsi="宋体" w:cs="宋体"/>
                <w:szCs w:val="21"/>
                <w:highlight w:val="none"/>
              </w:rPr>
              <w:t>合同履约期限：</w:t>
            </w:r>
            <w:r>
              <w:rPr>
                <w:rFonts w:hint="eastAsia" w:ascii="宋体" w:hAnsi="宋体" w:cs="宋体"/>
                <w:szCs w:val="21"/>
              </w:rPr>
              <w:t>自合同签订之日起1年。</w:t>
            </w:r>
          </w:p>
          <w:p w14:paraId="726C262F">
            <w:pPr>
              <w:spacing w:line="360" w:lineRule="auto"/>
              <w:ind w:firstLine="420" w:firstLineChars="200"/>
              <w:rPr>
                <w:rFonts w:ascii="宋体" w:hAnsi="宋体" w:cs="宋体"/>
                <w:szCs w:val="21"/>
                <w:highlight w:val="none"/>
              </w:rPr>
            </w:pPr>
            <w:r>
              <w:rPr>
                <w:rFonts w:hint="eastAsia" w:ascii="宋体" w:hAnsi="宋体" w:cs="宋体"/>
                <w:szCs w:val="21"/>
                <w:highlight w:val="none"/>
              </w:rPr>
              <w:t>本标项（否）接受联合体投标</w:t>
            </w:r>
          </w:p>
          <w:p w14:paraId="681066D5">
            <w:pPr>
              <w:spacing w:line="360" w:lineRule="auto"/>
              <w:ind w:firstLine="420" w:firstLineChars="200"/>
              <w:rPr>
                <w:rFonts w:ascii="宋体" w:hAnsi="宋体" w:cs="宋体"/>
                <w:szCs w:val="21"/>
                <w:highlight w:val="none"/>
              </w:rPr>
            </w:pPr>
            <w:r>
              <w:rPr>
                <w:rFonts w:hint="eastAsia" w:ascii="宋体" w:hAnsi="宋体" w:cs="宋体"/>
                <w:szCs w:val="21"/>
                <w:highlight w:val="none"/>
              </w:rPr>
              <w:t>备注：/</w:t>
            </w:r>
          </w:p>
        </w:tc>
      </w:tr>
    </w:tbl>
    <w:p w14:paraId="7D7719ED">
      <w:pPr>
        <w:spacing w:line="360" w:lineRule="auto"/>
        <w:rPr>
          <w:rFonts w:ascii="宋体" w:hAnsi="宋体" w:cs="宋体"/>
          <w:b/>
          <w:sz w:val="24"/>
          <w:highlight w:val="none"/>
        </w:rPr>
      </w:pPr>
      <w:bookmarkStart w:id="7" w:name="_Toc28359090"/>
      <w:bookmarkStart w:id="8" w:name="_Toc28359013"/>
      <w:bookmarkStart w:id="9" w:name="_Toc35393630"/>
      <w:bookmarkStart w:id="10" w:name="_Toc44229879"/>
      <w:bookmarkStart w:id="11" w:name="_Toc35393799"/>
      <w:r>
        <w:rPr>
          <w:rFonts w:hint="eastAsia" w:ascii="宋体" w:hAnsi="宋体" w:cs="宋体"/>
          <w:b/>
          <w:sz w:val="24"/>
          <w:highlight w:val="none"/>
        </w:rPr>
        <w:t>二、</w:t>
      </w:r>
      <w:bookmarkEnd w:id="7"/>
      <w:bookmarkEnd w:id="8"/>
      <w:bookmarkEnd w:id="9"/>
      <w:bookmarkEnd w:id="10"/>
      <w:bookmarkEnd w:id="11"/>
      <w:r>
        <w:rPr>
          <w:rFonts w:hint="eastAsia" w:ascii="宋体" w:hAnsi="宋体" w:cs="宋体"/>
          <w:b/>
          <w:sz w:val="24"/>
          <w:highlight w:val="none"/>
        </w:rPr>
        <w:t>申请人的资格要求：</w:t>
      </w:r>
    </w:p>
    <w:p w14:paraId="4DF040F0">
      <w:pPr>
        <w:spacing w:line="360" w:lineRule="auto"/>
        <w:ind w:firstLine="420" w:firstLineChars="200"/>
        <w:rPr>
          <w:rFonts w:ascii="宋体" w:hAnsi="宋体" w:cs="宋体"/>
          <w:szCs w:val="21"/>
          <w:highlight w:val="none"/>
        </w:rPr>
      </w:pPr>
      <w:bookmarkStart w:id="12" w:name="_Toc44229880"/>
      <w:bookmarkStart w:id="13" w:name="_Toc35393800"/>
      <w:bookmarkStart w:id="14" w:name="_Toc35393631"/>
      <w:bookmarkStart w:id="15" w:name="_Toc28359014"/>
      <w:bookmarkStart w:id="16" w:name="_Toc28359091"/>
      <w:r>
        <w:rPr>
          <w:rFonts w:hint="eastAsia" w:ascii="宋体" w:hAnsi="宋体" w:cs="宋体"/>
          <w:szCs w:val="21"/>
          <w:highlight w:val="none"/>
        </w:rPr>
        <w:t>1.满足《中华人民共和国政府采购法》第二十二条规定；</w:t>
      </w:r>
    </w:p>
    <w:p w14:paraId="32A7C86C">
      <w:pPr>
        <w:spacing w:line="390" w:lineRule="exact"/>
        <w:ind w:firstLine="420" w:firstLineChars="200"/>
        <w:rPr>
          <w:rFonts w:ascii="宋体" w:hAnsi="宋体" w:cs="宋体"/>
          <w:szCs w:val="21"/>
        </w:rPr>
      </w:pPr>
      <w:r>
        <w:rPr>
          <w:rFonts w:hint="eastAsia" w:ascii="宋体" w:hAnsi="宋体" w:cs="宋体"/>
          <w:szCs w:val="21"/>
          <w:highlight w:val="none"/>
        </w:rPr>
        <w:t>2.落实政府采购政策需满足的资格要求：</w:t>
      </w:r>
      <w:r>
        <w:rPr>
          <w:rFonts w:hint="eastAsia" w:ascii="宋体" w:hAnsi="宋体" w:cs="宋体"/>
          <w:szCs w:val="21"/>
        </w:rPr>
        <w:t>本项目属于专门面向中小企业采购的项目（供应商应为中小微企业、监狱企业、残疾人福利性单位）；</w:t>
      </w:r>
    </w:p>
    <w:p w14:paraId="57551D91">
      <w:pPr>
        <w:spacing w:line="360" w:lineRule="auto"/>
        <w:ind w:firstLine="420" w:firstLineChars="200"/>
        <w:rPr>
          <w:rFonts w:ascii="宋体" w:hAnsi="宋体" w:cs="宋体"/>
          <w:szCs w:val="21"/>
          <w:highlight w:val="none"/>
        </w:rPr>
      </w:pPr>
      <w:r>
        <w:rPr>
          <w:rFonts w:hint="eastAsia" w:ascii="宋体" w:hAnsi="宋体" w:cs="宋体"/>
          <w:szCs w:val="21"/>
          <w:highlight w:val="none"/>
        </w:rPr>
        <w:t>3.本项目的特定资格要求：</w:t>
      </w:r>
      <w:r>
        <w:rPr>
          <w:rFonts w:hint="eastAsia" w:ascii="宋体" w:hAnsi="宋体" w:cs="宋体"/>
          <w:szCs w:val="21"/>
          <w:highlight w:val="none"/>
          <w:lang w:eastAsia="zh-CN"/>
        </w:rPr>
        <w:t>无</w:t>
      </w:r>
      <w:r>
        <w:rPr>
          <w:rFonts w:hint="eastAsia" w:ascii="宋体" w:hAnsi="宋体" w:cs="宋体"/>
          <w:szCs w:val="21"/>
          <w:highlight w:val="none"/>
        </w:rPr>
        <w:t>。</w:t>
      </w:r>
    </w:p>
    <w:p w14:paraId="60100393">
      <w:pPr>
        <w:spacing w:line="360" w:lineRule="auto"/>
        <w:rPr>
          <w:rFonts w:ascii="宋体" w:hAnsi="宋体" w:cs="宋体"/>
          <w:b/>
          <w:sz w:val="24"/>
          <w:highlight w:val="none"/>
        </w:rPr>
      </w:pPr>
      <w:r>
        <w:rPr>
          <w:rFonts w:hint="eastAsia" w:ascii="宋体" w:hAnsi="宋体" w:cs="宋体"/>
          <w:b/>
          <w:sz w:val="24"/>
          <w:highlight w:val="none"/>
        </w:rPr>
        <w:t>三、</w:t>
      </w:r>
      <w:bookmarkEnd w:id="12"/>
      <w:bookmarkEnd w:id="13"/>
      <w:bookmarkEnd w:id="14"/>
      <w:bookmarkEnd w:id="15"/>
      <w:bookmarkEnd w:id="16"/>
      <w:r>
        <w:rPr>
          <w:rFonts w:hint="eastAsia" w:ascii="宋体" w:hAnsi="宋体" w:cs="宋体"/>
          <w:b/>
          <w:sz w:val="24"/>
          <w:highlight w:val="none"/>
        </w:rPr>
        <w:t>获取采购文件</w:t>
      </w:r>
    </w:p>
    <w:p w14:paraId="292BCAE3">
      <w:pPr>
        <w:spacing w:line="360" w:lineRule="auto"/>
        <w:ind w:firstLine="420" w:firstLineChars="200"/>
        <w:rPr>
          <w:rFonts w:ascii="宋体" w:hAnsi="宋体" w:cs="宋体"/>
          <w:bCs/>
          <w:kern w:val="0"/>
          <w:szCs w:val="21"/>
          <w:highlight w:val="none"/>
        </w:rPr>
      </w:pPr>
      <w:bookmarkStart w:id="17" w:name="_Toc35393801"/>
      <w:bookmarkStart w:id="18" w:name="_Toc35393632"/>
      <w:bookmarkStart w:id="19" w:name="_Toc28359015"/>
      <w:bookmarkStart w:id="20" w:name="_Toc28359092"/>
      <w:bookmarkStart w:id="21" w:name="_Toc44229881"/>
      <w:r>
        <w:rPr>
          <w:rFonts w:hint="eastAsia" w:ascii="宋体" w:hAnsi="宋体" w:cs="宋体"/>
          <w:bCs/>
          <w:kern w:val="0"/>
          <w:szCs w:val="21"/>
          <w:highlight w:val="none"/>
        </w:rPr>
        <w:t>时间：2025年</w:t>
      </w:r>
      <w:r>
        <w:rPr>
          <w:rFonts w:hint="eastAsia" w:ascii="宋体" w:hAnsi="宋体" w:cs="宋体"/>
          <w:bCs/>
          <w:kern w:val="0"/>
          <w:szCs w:val="21"/>
          <w:highlight w:val="none"/>
          <w:lang w:val="en-US" w:eastAsia="zh-CN"/>
        </w:rPr>
        <w:t>9</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24</w:t>
      </w:r>
      <w:r>
        <w:rPr>
          <w:rFonts w:hint="eastAsia" w:ascii="宋体" w:hAnsi="宋体" w:cs="宋体"/>
          <w:bCs/>
          <w:kern w:val="0"/>
          <w:szCs w:val="21"/>
          <w:highlight w:val="none"/>
        </w:rPr>
        <w:t>日至2025年</w:t>
      </w:r>
      <w:r>
        <w:rPr>
          <w:rFonts w:hint="eastAsia" w:ascii="宋体" w:hAnsi="宋体" w:cs="宋体"/>
          <w:bCs/>
          <w:kern w:val="0"/>
          <w:szCs w:val="21"/>
          <w:highlight w:val="none"/>
          <w:lang w:val="en-US" w:eastAsia="zh-CN"/>
        </w:rPr>
        <w:t>9</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30</w:t>
      </w:r>
      <w:r>
        <w:rPr>
          <w:rFonts w:hint="eastAsia" w:ascii="宋体" w:hAnsi="宋体" w:cs="宋体"/>
          <w:bCs/>
          <w:kern w:val="0"/>
          <w:szCs w:val="21"/>
          <w:highlight w:val="none"/>
        </w:rPr>
        <w:t>日，每天上午00:00至11:59，下午12:00至23:59（北京时间，法定节假日除外）</w:t>
      </w:r>
    </w:p>
    <w:p w14:paraId="5A88F834">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地点（网址）：广西政府采购云平台线上获取</w:t>
      </w:r>
    </w:p>
    <w:p w14:paraId="0ADE8784">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方式：供应商登录广西政府采购云平台https://www.gcy.zfcg.gxzf.gov.cn/在线申请获取采购文件（进入“项目采购”应用，在获取采购文件菜单中选择项目，申请获取采购文件）</w:t>
      </w:r>
    </w:p>
    <w:p w14:paraId="0F006664">
      <w:pPr>
        <w:spacing w:line="360" w:lineRule="auto"/>
        <w:ind w:firstLine="420" w:firstLineChars="200"/>
        <w:rPr>
          <w:rFonts w:ascii="宋体" w:hAnsi="宋体" w:cs="宋体"/>
          <w:szCs w:val="21"/>
          <w:highlight w:val="none"/>
        </w:rPr>
      </w:pPr>
      <w:r>
        <w:rPr>
          <w:rFonts w:hint="eastAsia" w:ascii="宋体" w:hAnsi="宋体" w:cs="宋体"/>
          <w:bCs/>
          <w:kern w:val="0"/>
          <w:szCs w:val="21"/>
          <w:highlight w:val="none"/>
        </w:rPr>
        <w:t>售价（元）：0</w:t>
      </w:r>
    </w:p>
    <w:p w14:paraId="78A4A17A">
      <w:pPr>
        <w:spacing w:line="360" w:lineRule="auto"/>
        <w:rPr>
          <w:rFonts w:ascii="宋体" w:hAnsi="宋体" w:cs="宋体"/>
          <w:b/>
          <w:sz w:val="24"/>
          <w:highlight w:val="none"/>
        </w:rPr>
      </w:pPr>
      <w:r>
        <w:rPr>
          <w:rFonts w:hint="eastAsia" w:ascii="宋体" w:hAnsi="宋体" w:cs="宋体"/>
          <w:b/>
          <w:sz w:val="24"/>
          <w:highlight w:val="none"/>
        </w:rPr>
        <w:t>四、响应文件提交</w:t>
      </w:r>
      <w:bookmarkEnd w:id="17"/>
      <w:bookmarkEnd w:id="18"/>
      <w:bookmarkEnd w:id="19"/>
      <w:bookmarkEnd w:id="20"/>
      <w:bookmarkEnd w:id="21"/>
    </w:p>
    <w:p w14:paraId="7A193504">
      <w:pPr>
        <w:spacing w:line="360" w:lineRule="auto"/>
        <w:ind w:firstLine="420" w:firstLineChars="200"/>
        <w:rPr>
          <w:rFonts w:ascii="宋体" w:hAnsi="宋体" w:cs="宋体"/>
          <w:bCs/>
          <w:szCs w:val="21"/>
          <w:highlight w:val="none"/>
        </w:rPr>
      </w:pPr>
      <w:bookmarkStart w:id="22" w:name="_Toc44229882"/>
      <w:bookmarkStart w:id="23" w:name="_Toc28359093"/>
      <w:bookmarkStart w:id="24" w:name="_Toc35393802"/>
      <w:bookmarkStart w:id="25" w:name="_Toc35393633"/>
      <w:bookmarkStart w:id="26" w:name="_Toc28359016"/>
      <w:r>
        <w:rPr>
          <w:rFonts w:hint="eastAsia" w:ascii="宋体" w:hAnsi="宋体" w:cs="宋体"/>
          <w:bCs/>
          <w:szCs w:val="21"/>
          <w:highlight w:val="none"/>
        </w:rPr>
        <w:t>截止时间：</w:t>
      </w:r>
      <w:r>
        <w:rPr>
          <w:rFonts w:hint="eastAsia" w:ascii="宋体" w:hAnsi="宋体" w:cs="宋体"/>
          <w:szCs w:val="21"/>
          <w:highlight w:val="none"/>
        </w:rPr>
        <w:t>2025年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11</w:t>
      </w:r>
      <w:r>
        <w:rPr>
          <w:rFonts w:hint="eastAsia" w:ascii="宋体" w:hAnsi="宋体" w:cs="宋体"/>
          <w:szCs w:val="21"/>
          <w:highlight w:val="none"/>
        </w:rPr>
        <w:t xml:space="preserve">日 </w:t>
      </w:r>
      <w:r>
        <w:rPr>
          <w:rFonts w:hint="eastAsia" w:ascii="宋体" w:hAnsi="宋体" w:cs="宋体"/>
          <w:szCs w:val="21"/>
          <w:highlight w:val="none"/>
          <w:lang w:val="en-US" w:eastAsia="zh-CN"/>
        </w:rPr>
        <w:t>15</w:t>
      </w:r>
      <w:r>
        <w:rPr>
          <w:rFonts w:hint="eastAsia" w:ascii="宋体" w:hAnsi="宋体" w:cs="宋体"/>
          <w:szCs w:val="21"/>
          <w:highlight w:val="none"/>
        </w:rPr>
        <w:t>:</w:t>
      </w:r>
      <w:r>
        <w:rPr>
          <w:rFonts w:hint="eastAsia" w:ascii="宋体" w:hAnsi="宋体" w:cs="宋体"/>
          <w:szCs w:val="21"/>
          <w:highlight w:val="none"/>
          <w:lang w:val="en-US" w:eastAsia="zh-CN"/>
        </w:rPr>
        <w:t>0</w:t>
      </w:r>
      <w:r>
        <w:rPr>
          <w:rFonts w:hint="eastAsia" w:ascii="宋体" w:hAnsi="宋体" w:cs="宋体"/>
          <w:szCs w:val="21"/>
          <w:highlight w:val="none"/>
        </w:rPr>
        <w:t>0</w:t>
      </w:r>
      <w:r>
        <w:rPr>
          <w:rFonts w:hint="eastAsia" w:ascii="宋体" w:hAnsi="宋体" w:cs="宋体"/>
          <w:bCs/>
          <w:szCs w:val="21"/>
          <w:highlight w:val="none"/>
        </w:rPr>
        <w:t>（北京时间）</w:t>
      </w:r>
    </w:p>
    <w:p w14:paraId="0D1D440F">
      <w:pPr>
        <w:spacing w:line="360" w:lineRule="auto"/>
        <w:ind w:firstLine="420" w:firstLineChars="200"/>
        <w:rPr>
          <w:rFonts w:ascii="宋体" w:hAnsi="宋体" w:cs="宋体"/>
          <w:bCs/>
          <w:szCs w:val="21"/>
          <w:highlight w:val="none"/>
          <w:u w:val="single"/>
        </w:rPr>
      </w:pPr>
      <w:r>
        <w:rPr>
          <w:rFonts w:hint="eastAsia" w:ascii="宋体" w:hAnsi="宋体" w:cs="宋体"/>
          <w:bCs/>
          <w:szCs w:val="21"/>
          <w:highlight w:val="none"/>
        </w:rPr>
        <w:t>地点（网址）：请登录广西政府采购云平台投标客户端投标</w:t>
      </w:r>
    </w:p>
    <w:p w14:paraId="73419D94">
      <w:pPr>
        <w:spacing w:line="360" w:lineRule="auto"/>
        <w:rPr>
          <w:rFonts w:ascii="宋体" w:hAnsi="宋体" w:cs="宋体"/>
          <w:b/>
          <w:sz w:val="24"/>
          <w:highlight w:val="none"/>
        </w:rPr>
      </w:pPr>
      <w:r>
        <w:rPr>
          <w:rFonts w:hint="eastAsia" w:ascii="宋体" w:hAnsi="宋体" w:cs="宋体"/>
          <w:b/>
          <w:sz w:val="24"/>
          <w:highlight w:val="none"/>
        </w:rPr>
        <w:t>五、</w:t>
      </w:r>
      <w:bookmarkEnd w:id="22"/>
      <w:bookmarkEnd w:id="23"/>
      <w:bookmarkEnd w:id="24"/>
      <w:bookmarkEnd w:id="25"/>
      <w:bookmarkEnd w:id="26"/>
      <w:r>
        <w:rPr>
          <w:rFonts w:hint="eastAsia" w:ascii="宋体" w:hAnsi="宋体" w:cs="宋体"/>
          <w:b/>
          <w:sz w:val="24"/>
          <w:highlight w:val="none"/>
        </w:rPr>
        <w:t>响应文件开启</w:t>
      </w:r>
    </w:p>
    <w:p w14:paraId="5BEDB46A">
      <w:pPr>
        <w:spacing w:line="360" w:lineRule="auto"/>
        <w:ind w:firstLine="420" w:firstLineChars="200"/>
        <w:rPr>
          <w:rFonts w:ascii="宋体" w:hAnsi="宋体" w:cs="宋体"/>
          <w:szCs w:val="21"/>
          <w:highlight w:val="none"/>
        </w:rPr>
      </w:pPr>
      <w:bookmarkStart w:id="27" w:name="_Toc35393634"/>
      <w:bookmarkStart w:id="28" w:name="_Toc28359094"/>
      <w:bookmarkStart w:id="29" w:name="_Toc28359017"/>
      <w:bookmarkStart w:id="30" w:name="_Toc35393803"/>
      <w:bookmarkStart w:id="31" w:name="_Toc44229883"/>
      <w:r>
        <w:rPr>
          <w:rFonts w:hint="eastAsia" w:ascii="宋体" w:hAnsi="宋体" w:cs="宋体"/>
          <w:szCs w:val="21"/>
          <w:highlight w:val="none"/>
        </w:rPr>
        <w:t>开启时间：2025年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11</w:t>
      </w:r>
      <w:r>
        <w:rPr>
          <w:rFonts w:hint="eastAsia" w:ascii="宋体" w:hAnsi="宋体" w:cs="宋体"/>
          <w:szCs w:val="21"/>
          <w:highlight w:val="none"/>
        </w:rPr>
        <w:t xml:space="preserve">日 </w:t>
      </w:r>
      <w:r>
        <w:rPr>
          <w:rFonts w:hint="eastAsia" w:ascii="宋体" w:hAnsi="宋体" w:cs="宋体"/>
          <w:szCs w:val="21"/>
          <w:highlight w:val="none"/>
          <w:lang w:val="en-US" w:eastAsia="zh-CN"/>
        </w:rPr>
        <w:t>15</w:t>
      </w:r>
      <w:r>
        <w:rPr>
          <w:rFonts w:hint="eastAsia" w:ascii="宋体" w:hAnsi="宋体" w:cs="宋体"/>
          <w:szCs w:val="21"/>
          <w:highlight w:val="none"/>
        </w:rPr>
        <w:t>:</w:t>
      </w:r>
      <w:r>
        <w:rPr>
          <w:rFonts w:hint="eastAsia" w:ascii="宋体" w:hAnsi="宋体" w:cs="宋体"/>
          <w:szCs w:val="21"/>
          <w:highlight w:val="none"/>
          <w:lang w:val="en-US" w:eastAsia="zh-CN"/>
        </w:rPr>
        <w:t>0</w:t>
      </w:r>
      <w:r>
        <w:rPr>
          <w:rFonts w:hint="eastAsia" w:ascii="宋体" w:hAnsi="宋体" w:cs="宋体"/>
          <w:szCs w:val="21"/>
          <w:highlight w:val="none"/>
        </w:rPr>
        <w:t>0（北京时间）</w:t>
      </w:r>
    </w:p>
    <w:p w14:paraId="6AA64C0C">
      <w:pPr>
        <w:spacing w:line="360" w:lineRule="auto"/>
        <w:ind w:firstLine="420" w:firstLineChars="200"/>
        <w:rPr>
          <w:rFonts w:ascii="宋体" w:hAnsi="宋体" w:cs="宋体"/>
          <w:bCs/>
          <w:szCs w:val="21"/>
          <w:highlight w:val="none"/>
          <w:u w:val="single"/>
        </w:rPr>
      </w:pPr>
      <w:r>
        <w:rPr>
          <w:rFonts w:hint="eastAsia" w:ascii="宋体" w:hAnsi="宋体" w:cs="宋体"/>
          <w:szCs w:val="21"/>
          <w:highlight w:val="none"/>
        </w:rPr>
        <w:t>地点：广西政府采购云平台https://www.gcy.zfcg.gxzf.gov.cn/</w:t>
      </w:r>
    </w:p>
    <w:p w14:paraId="74E2B631">
      <w:pPr>
        <w:spacing w:line="360" w:lineRule="auto"/>
        <w:rPr>
          <w:rFonts w:ascii="宋体" w:hAnsi="宋体" w:cs="宋体"/>
          <w:b/>
          <w:sz w:val="24"/>
          <w:highlight w:val="none"/>
        </w:rPr>
      </w:pPr>
      <w:r>
        <w:rPr>
          <w:rFonts w:hint="eastAsia" w:ascii="宋体" w:hAnsi="宋体" w:cs="宋体"/>
          <w:b/>
          <w:sz w:val="24"/>
          <w:highlight w:val="none"/>
        </w:rPr>
        <w:t>六、公告期限</w:t>
      </w:r>
      <w:bookmarkEnd w:id="27"/>
      <w:bookmarkEnd w:id="28"/>
      <w:bookmarkEnd w:id="29"/>
      <w:bookmarkEnd w:id="30"/>
      <w:bookmarkEnd w:id="31"/>
    </w:p>
    <w:p w14:paraId="5ED3AFB8">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自本公告发布之日起</w:t>
      </w:r>
      <w:r>
        <w:rPr>
          <w:rFonts w:hint="eastAsia" w:ascii="宋体" w:hAnsi="宋体" w:cs="宋体"/>
          <w:kern w:val="0"/>
          <w:szCs w:val="21"/>
          <w:highlight w:val="none"/>
          <w:lang w:val="en-US" w:eastAsia="zh-CN"/>
        </w:rPr>
        <w:t>5</w:t>
      </w:r>
      <w:r>
        <w:rPr>
          <w:rFonts w:hint="eastAsia" w:ascii="宋体" w:hAnsi="宋体" w:cs="宋体"/>
          <w:kern w:val="0"/>
          <w:szCs w:val="21"/>
          <w:highlight w:val="none"/>
        </w:rPr>
        <w:t>个工作日。</w:t>
      </w:r>
    </w:p>
    <w:p w14:paraId="54D18C10">
      <w:pPr>
        <w:spacing w:line="360" w:lineRule="auto"/>
        <w:rPr>
          <w:rFonts w:ascii="宋体" w:hAnsi="宋体" w:cs="宋体"/>
          <w:b/>
          <w:sz w:val="24"/>
          <w:highlight w:val="none"/>
        </w:rPr>
      </w:pPr>
      <w:bookmarkStart w:id="32" w:name="_Toc35393804"/>
      <w:bookmarkStart w:id="33" w:name="_Toc35393635"/>
      <w:bookmarkStart w:id="34" w:name="_Toc44229884"/>
      <w:r>
        <w:rPr>
          <w:rFonts w:hint="eastAsia" w:ascii="宋体" w:hAnsi="宋体" w:cs="宋体"/>
          <w:b/>
          <w:sz w:val="24"/>
          <w:highlight w:val="none"/>
        </w:rPr>
        <w:t>七、其他补充事宜</w:t>
      </w:r>
      <w:bookmarkEnd w:id="32"/>
      <w:bookmarkEnd w:id="33"/>
      <w:bookmarkEnd w:id="34"/>
    </w:p>
    <w:p w14:paraId="17596AF6">
      <w:pPr>
        <w:spacing w:line="360" w:lineRule="auto"/>
        <w:ind w:firstLine="420" w:firstLineChars="200"/>
        <w:rPr>
          <w:rFonts w:ascii="宋体" w:hAnsi="宋体" w:cs="宋体"/>
          <w:kern w:val="0"/>
          <w:szCs w:val="21"/>
          <w:highlight w:val="none"/>
        </w:rPr>
      </w:pPr>
      <w:bookmarkStart w:id="35" w:name="_Toc28359095"/>
      <w:bookmarkStart w:id="36" w:name="_Toc35393805"/>
      <w:bookmarkStart w:id="37" w:name="_Toc28359018"/>
      <w:bookmarkStart w:id="38" w:name="_Toc44229885"/>
      <w:bookmarkStart w:id="39" w:name="_Toc35393636"/>
      <w:r>
        <w:rPr>
          <w:rFonts w:hint="eastAsia" w:ascii="宋体" w:hAnsi="宋体" w:cs="宋体"/>
          <w:kern w:val="0"/>
          <w:szCs w:val="21"/>
          <w:highlight w:val="none"/>
        </w:rPr>
        <w:t>1.磋商保证金：人民币壹仟元整（</w:t>
      </w:r>
      <w:r>
        <w:rPr>
          <w:rFonts w:ascii="Arial" w:hAnsi="Arial" w:cs="Arial"/>
          <w:kern w:val="0"/>
          <w:szCs w:val="21"/>
          <w:highlight w:val="none"/>
        </w:rPr>
        <w:t>¥</w:t>
      </w:r>
      <w:r>
        <w:rPr>
          <w:rFonts w:hint="eastAsia" w:ascii="宋体" w:hAnsi="宋体" w:cs="宋体"/>
          <w:kern w:val="0"/>
          <w:szCs w:val="21"/>
          <w:highlight w:val="none"/>
        </w:rPr>
        <w:t>1000.00）。</w:t>
      </w:r>
    </w:p>
    <w:p w14:paraId="7EF2471B">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磋商供应商可自主选择以银行转账、电汇、支票、汇票、本票或者金融机构、担保机构出具的保函等非现金形式提交。采用银行转账、电汇形式的，磋商保证金必须从供应商银行账户转出，并于响应文件递交截止时间前到达广西城建咨询设计有限公司指定账户【开户银行：中国建设银行股份有限公司南宁民族大道东支行，收款户名：广西城建咨询设计有限公司，收款账号：4500 1604 6530 5070 3663】；采用支票、汇票、本票、保函形式的，磋商供应商应于响应文件递交截止时间前递交单独密封的支票、汇票、本票、保函原件；否则视为无效磋商保证金。本项目不接受现金形式或从个人账户转出的保证金。</w:t>
      </w:r>
    </w:p>
    <w:p w14:paraId="6A0B2C92">
      <w:pPr>
        <w:spacing w:line="360" w:lineRule="auto"/>
        <w:ind w:firstLine="420" w:firstLineChars="200"/>
        <w:rPr>
          <w:rFonts w:ascii="宋体" w:hAnsi="宋体" w:cs="宋体"/>
          <w:szCs w:val="21"/>
          <w:highlight w:val="none"/>
        </w:rPr>
      </w:pPr>
      <w:r>
        <w:rPr>
          <w:rFonts w:hint="eastAsia" w:ascii="宋体" w:hAnsi="宋体" w:cs="宋体"/>
          <w:kern w:val="0"/>
          <w:szCs w:val="21"/>
          <w:highlight w:val="none"/>
        </w:rPr>
        <w:t>2.网上查询地址：</w:t>
      </w:r>
      <w:r>
        <w:rPr>
          <w:rFonts w:hint="eastAsia" w:ascii="宋体" w:hAnsi="宋体" w:cs="宋体"/>
          <w:szCs w:val="21"/>
          <w:highlight w:val="none"/>
        </w:rPr>
        <w:t>中国政府采购网（http://www.ccgp.gov.cn/）、广西壮族自治区政府采购网（www.zfcg.gxzf.gov.cn）。</w:t>
      </w:r>
    </w:p>
    <w:p w14:paraId="0F1B3A23">
      <w:pPr>
        <w:spacing w:line="360" w:lineRule="auto"/>
        <w:ind w:firstLine="420" w:firstLineChars="200"/>
        <w:rPr>
          <w:rFonts w:ascii="宋体" w:hAnsi="宋体" w:cs="宋体"/>
          <w:szCs w:val="21"/>
          <w:highlight w:val="none"/>
        </w:rPr>
      </w:pPr>
      <w:r>
        <w:rPr>
          <w:rFonts w:hint="eastAsia" w:ascii="宋体" w:hAnsi="宋体" w:cs="宋体"/>
          <w:szCs w:val="21"/>
          <w:highlight w:val="none"/>
        </w:rPr>
        <w:t>3.本项目需要落实的政府采购政策：</w:t>
      </w:r>
    </w:p>
    <w:p w14:paraId="4FB1C6FC">
      <w:pPr>
        <w:spacing w:line="360" w:lineRule="auto"/>
        <w:ind w:firstLine="420" w:firstLineChars="200"/>
        <w:rPr>
          <w:rFonts w:ascii="宋体" w:hAnsi="宋体" w:cs="宋体"/>
          <w:szCs w:val="21"/>
          <w:highlight w:val="none"/>
        </w:rPr>
      </w:pPr>
      <w:r>
        <w:rPr>
          <w:rFonts w:hint="eastAsia" w:ascii="宋体" w:hAnsi="宋体" w:cs="宋体"/>
          <w:szCs w:val="21"/>
          <w:highlight w:val="none"/>
        </w:rPr>
        <w:t>（1）政府采购促进中小企业发展。</w:t>
      </w:r>
    </w:p>
    <w:p w14:paraId="48401CA0">
      <w:pPr>
        <w:spacing w:line="360" w:lineRule="auto"/>
        <w:ind w:firstLine="420" w:firstLineChars="200"/>
        <w:rPr>
          <w:rFonts w:ascii="宋体" w:hAnsi="宋体" w:cs="宋体"/>
          <w:szCs w:val="21"/>
          <w:highlight w:val="none"/>
        </w:rPr>
      </w:pPr>
      <w:r>
        <w:rPr>
          <w:rFonts w:hint="eastAsia" w:ascii="宋体" w:hAnsi="宋体" w:cs="宋体"/>
          <w:szCs w:val="21"/>
          <w:highlight w:val="none"/>
        </w:rPr>
        <w:t>（2）政府采购支持采用本国产品的政策。</w:t>
      </w:r>
    </w:p>
    <w:p w14:paraId="6F089702">
      <w:pPr>
        <w:spacing w:line="360" w:lineRule="auto"/>
        <w:ind w:firstLine="420" w:firstLineChars="200"/>
        <w:rPr>
          <w:rFonts w:ascii="宋体" w:hAnsi="宋体" w:cs="宋体"/>
          <w:szCs w:val="21"/>
          <w:highlight w:val="none"/>
        </w:rPr>
      </w:pPr>
      <w:r>
        <w:rPr>
          <w:rFonts w:hint="eastAsia" w:ascii="宋体" w:hAnsi="宋体" w:cs="宋体"/>
          <w:szCs w:val="21"/>
          <w:highlight w:val="none"/>
        </w:rPr>
        <w:t>（3）强制采购节能产品；优先采购节能产品、环境标志产品。</w:t>
      </w:r>
    </w:p>
    <w:p w14:paraId="4728A12C">
      <w:pPr>
        <w:spacing w:line="360" w:lineRule="auto"/>
        <w:ind w:firstLine="420" w:firstLineChars="200"/>
        <w:rPr>
          <w:rFonts w:ascii="宋体" w:hAnsi="宋体" w:cs="宋体"/>
          <w:szCs w:val="21"/>
          <w:highlight w:val="none"/>
        </w:rPr>
      </w:pPr>
      <w:r>
        <w:rPr>
          <w:rFonts w:hint="eastAsia" w:ascii="宋体" w:hAnsi="宋体" w:cs="宋体"/>
          <w:szCs w:val="21"/>
          <w:highlight w:val="none"/>
        </w:rPr>
        <w:t>（4）政府采购促进残疾人就业政策。</w:t>
      </w:r>
    </w:p>
    <w:p w14:paraId="6E7982CA">
      <w:pPr>
        <w:spacing w:line="360" w:lineRule="auto"/>
        <w:ind w:firstLine="420" w:firstLineChars="200"/>
        <w:rPr>
          <w:rFonts w:ascii="宋体" w:hAnsi="宋体" w:cs="宋体"/>
          <w:szCs w:val="21"/>
          <w:highlight w:val="none"/>
        </w:rPr>
      </w:pPr>
      <w:r>
        <w:rPr>
          <w:rFonts w:hint="eastAsia" w:ascii="宋体" w:hAnsi="宋体" w:cs="宋体"/>
          <w:szCs w:val="21"/>
          <w:highlight w:val="none"/>
        </w:rPr>
        <w:t>（5）政府采购支持监狱企业发展。</w:t>
      </w:r>
    </w:p>
    <w:p w14:paraId="1A66BB16">
      <w:pPr>
        <w:spacing w:line="360" w:lineRule="auto"/>
        <w:ind w:firstLine="420" w:firstLineChars="200"/>
        <w:rPr>
          <w:rFonts w:ascii="宋体" w:hAnsi="宋体" w:cs="宋体"/>
          <w:szCs w:val="21"/>
          <w:highlight w:val="none"/>
        </w:rPr>
      </w:pPr>
      <w:r>
        <w:rPr>
          <w:rFonts w:hint="eastAsia" w:ascii="宋体" w:hAnsi="宋体" w:cs="宋体"/>
          <w:szCs w:val="21"/>
          <w:highlight w:val="none"/>
        </w:rPr>
        <w:t>4.磋商注意事项：</w:t>
      </w:r>
    </w:p>
    <w:p w14:paraId="275C1F90">
      <w:pPr>
        <w:spacing w:line="360" w:lineRule="auto"/>
        <w:ind w:firstLine="420" w:firstLineChars="200"/>
        <w:rPr>
          <w:rFonts w:ascii="宋体" w:hAnsi="宋体" w:cs="宋体"/>
          <w:szCs w:val="21"/>
          <w:highlight w:val="none"/>
        </w:rPr>
      </w:pPr>
      <w:r>
        <w:rPr>
          <w:rFonts w:hint="eastAsia" w:ascii="宋体" w:hAnsi="宋体" w:cs="宋体"/>
          <w:szCs w:val="21"/>
          <w:highlight w:val="none"/>
        </w:rPr>
        <w:t>（1）响应文件提交方式：本项目为全流程电子化政府采购项目，通过“广西政府采购云平台”平台（https://www.gcy.zfcg.gxzf.gov.cn/）实行在线电子磋商采购，供应商应先安装“广西政府采购云平台电子交易客户端”（请自行前往“广西政府采购云平台”平台进行下载），并按照本项目竞争性磋商文件和“广西政府采购云平台”平台的要求编制、加密后在首次响应文件提交截止时间前通过网络上传至“广西政府采购云平台”平台，供应商在“广西政府采购云平台”平台提交电子版响应文件时，请填写参加远程开标活动经办人联系方式。</w:t>
      </w:r>
    </w:p>
    <w:p w14:paraId="1DCB3719">
      <w:pPr>
        <w:spacing w:line="360" w:lineRule="auto"/>
        <w:ind w:firstLine="420" w:firstLineChars="200"/>
        <w:rPr>
          <w:rFonts w:ascii="宋体" w:hAnsi="宋体" w:cs="宋体"/>
          <w:szCs w:val="21"/>
          <w:highlight w:val="none"/>
        </w:rPr>
      </w:pPr>
      <w:r>
        <w:rPr>
          <w:rFonts w:hint="eastAsia" w:ascii="宋体" w:hAnsi="宋体" w:cs="宋体"/>
          <w:szCs w:val="21"/>
          <w:highlight w:val="none"/>
        </w:rPr>
        <w:t>（2）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14:paraId="351DF535">
      <w:pPr>
        <w:spacing w:line="360" w:lineRule="auto"/>
        <w:ind w:firstLine="420" w:firstLineChars="200"/>
        <w:rPr>
          <w:rFonts w:ascii="宋体" w:hAnsi="宋体" w:cs="宋体"/>
          <w:szCs w:val="21"/>
          <w:highlight w:val="none"/>
        </w:rPr>
      </w:pPr>
      <w:r>
        <w:rPr>
          <w:rFonts w:hint="eastAsia" w:ascii="宋体" w:hAnsi="宋体" w:cs="宋体"/>
          <w:szCs w:val="21"/>
          <w:highlight w:val="none"/>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0992676E">
      <w:pPr>
        <w:spacing w:line="360" w:lineRule="auto"/>
        <w:ind w:firstLine="420" w:firstLineChars="200"/>
        <w:rPr>
          <w:rFonts w:ascii="宋体" w:hAnsi="宋体" w:cs="宋体"/>
          <w:szCs w:val="21"/>
          <w:highlight w:val="none"/>
        </w:rPr>
      </w:pPr>
      <w:r>
        <w:rPr>
          <w:rFonts w:hint="eastAsia" w:ascii="宋体" w:hAnsi="宋体" w:cs="宋体"/>
          <w:szCs w:val="21"/>
          <w:highlight w:val="none"/>
        </w:rPr>
        <w:t>（4）为确保网上操作合法、有效和安全，请供应商确保在电子竞标过程中能够对相关数据电文进行加密和使用电子签章，妥善保管CA数字证书并使用有效的CA数字证书参与整个采购活动。</w:t>
      </w:r>
    </w:p>
    <w:p w14:paraId="37E158FC">
      <w:pPr>
        <w:spacing w:line="360" w:lineRule="auto"/>
        <w:ind w:firstLine="420" w:firstLineChars="200"/>
        <w:rPr>
          <w:rFonts w:ascii="宋体" w:hAnsi="宋体" w:cs="宋体"/>
          <w:szCs w:val="21"/>
          <w:highlight w:val="none"/>
        </w:rPr>
      </w:pPr>
      <w:r>
        <w:rPr>
          <w:rFonts w:hint="eastAsia" w:ascii="宋体" w:hAnsi="宋体" w:cs="宋体"/>
          <w:szCs w:val="21"/>
          <w:highlight w:val="none"/>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平台将予以拒收。</w:t>
      </w:r>
    </w:p>
    <w:p w14:paraId="514BE53D">
      <w:pPr>
        <w:spacing w:line="360" w:lineRule="auto"/>
        <w:ind w:firstLine="420" w:firstLineChars="200"/>
        <w:rPr>
          <w:rFonts w:ascii="宋体" w:hAnsi="宋体" w:cs="宋体"/>
          <w:szCs w:val="21"/>
          <w:highlight w:val="none"/>
        </w:rPr>
      </w:pPr>
      <w:r>
        <w:rPr>
          <w:rFonts w:hint="eastAsia" w:ascii="宋体" w:hAnsi="宋体" w:cs="宋体"/>
          <w:szCs w:val="21"/>
          <w:highlight w:val="none"/>
        </w:rPr>
        <w:t>5.CA证书在线解密：首次响应文件开启时，须要供应商携带制作响应文件时用来加密的有效数字证书（CA认证）登录“广西政府采购云平台”平台电子开标大厅现场按规定时间对加密的响应文件进行解密，否则后果自负。</w:t>
      </w:r>
    </w:p>
    <w:p w14:paraId="2C2D4EFC">
      <w:pPr>
        <w:spacing w:line="360" w:lineRule="auto"/>
        <w:ind w:firstLine="420" w:firstLineChars="200"/>
        <w:rPr>
          <w:rFonts w:ascii="宋体" w:hAnsi="宋体" w:cs="宋体"/>
          <w:szCs w:val="21"/>
          <w:highlight w:val="none"/>
        </w:rPr>
      </w:pPr>
      <w:r>
        <w:rPr>
          <w:rFonts w:hint="eastAsia" w:ascii="宋体" w:hAnsi="宋体" w:cs="宋体"/>
          <w:szCs w:val="21"/>
          <w:highlight w:val="none"/>
        </w:rPr>
        <w:t>6.供应商需要在具备有摄像头及语音功能且互联网网络状况良好的电脑登录“广西政府采购云平台”平台远程开标大厅参与本次磋商，否则后果自负。</w:t>
      </w:r>
    </w:p>
    <w:p w14:paraId="772FB91D">
      <w:pPr>
        <w:spacing w:line="360" w:lineRule="auto"/>
        <w:ind w:firstLine="420" w:firstLineChars="200"/>
        <w:rPr>
          <w:rFonts w:ascii="宋体" w:hAnsi="宋体" w:cs="宋体"/>
          <w:szCs w:val="21"/>
          <w:highlight w:val="none"/>
        </w:rPr>
      </w:pPr>
      <w:r>
        <w:rPr>
          <w:rFonts w:hint="eastAsia" w:ascii="宋体" w:hAnsi="宋体" w:cs="宋体"/>
          <w:szCs w:val="21"/>
          <w:highlight w:val="none"/>
        </w:rPr>
        <w:t>7.若对项目采购电子交易系统操作有疑问，可登录“广西政府采购云平台”平台，点击右侧咨询小采，获取采小蜜智能服务管家帮助，或拨打广西政府采购云平台服务热线95763获取热线服务帮助。</w:t>
      </w:r>
    </w:p>
    <w:p w14:paraId="5D6C8D0F">
      <w:pPr>
        <w:spacing w:line="360" w:lineRule="auto"/>
        <w:rPr>
          <w:rFonts w:ascii="宋体" w:hAnsi="宋体" w:cs="宋体"/>
          <w:b/>
          <w:bCs/>
          <w:sz w:val="24"/>
          <w:highlight w:val="none"/>
        </w:rPr>
      </w:pPr>
      <w:r>
        <w:rPr>
          <w:rFonts w:hint="eastAsia" w:ascii="宋体" w:hAnsi="宋体" w:cs="宋体"/>
          <w:b/>
          <w:bCs/>
          <w:sz w:val="24"/>
          <w:highlight w:val="none"/>
        </w:rPr>
        <w:t>八、</w:t>
      </w:r>
      <w:bookmarkEnd w:id="35"/>
      <w:bookmarkEnd w:id="36"/>
      <w:bookmarkEnd w:id="37"/>
      <w:bookmarkEnd w:id="38"/>
      <w:bookmarkEnd w:id="39"/>
      <w:r>
        <w:rPr>
          <w:rFonts w:hint="eastAsia" w:ascii="宋体" w:hAnsi="宋体" w:cs="宋体"/>
          <w:b/>
          <w:bCs/>
          <w:sz w:val="24"/>
          <w:highlight w:val="none"/>
        </w:rPr>
        <w:t>凡对本次招标提出询问，请按以下方式联系</w:t>
      </w:r>
    </w:p>
    <w:p w14:paraId="2B0565CA">
      <w:pPr>
        <w:spacing w:line="360" w:lineRule="auto"/>
        <w:ind w:firstLine="420" w:firstLineChars="200"/>
        <w:rPr>
          <w:rFonts w:ascii="宋体" w:hAnsi="宋体" w:cs="宋体"/>
          <w:kern w:val="0"/>
          <w:szCs w:val="21"/>
          <w:highlight w:val="none"/>
        </w:rPr>
      </w:pPr>
      <w:bookmarkStart w:id="40" w:name="_Toc35393637"/>
      <w:bookmarkStart w:id="41" w:name="_Toc28359096"/>
      <w:bookmarkStart w:id="42" w:name="_Toc35393806"/>
      <w:bookmarkStart w:id="43" w:name="_Toc28359019"/>
      <w:r>
        <w:rPr>
          <w:rFonts w:hint="eastAsia" w:ascii="宋体" w:hAnsi="宋体" w:cs="宋体"/>
          <w:kern w:val="0"/>
          <w:szCs w:val="21"/>
          <w:highlight w:val="none"/>
        </w:rPr>
        <w:t>1.采购人信息</w:t>
      </w:r>
      <w:bookmarkEnd w:id="40"/>
      <w:bookmarkEnd w:id="41"/>
      <w:bookmarkEnd w:id="42"/>
      <w:bookmarkEnd w:id="43"/>
    </w:p>
    <w:p w14:paraId="0421055C">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名    称： 中国—马来西亚钦州产业园区自然资源局</w:t>
      </w:r>
    </w:p>
    <w:p w14:paraId="1E002D94">
      <w:pPr>
        <w:spacing w:line="360" w:lineRule="auto"/>
        <w:ind w:firstLine="420" w:firstLineChars="200"/>
        <w:rPr>
          <w:rFonts w:ascii="宋体" w:hAnsi="宋体" w:cs="宋体"/>
          <w:kern w:val="0"/>
          <w:szCs w:val="21"/>
          <w:highlight w:val="none"/>
        </w:rPr>
      </w:pPr>
      <w:bookmarkStart w:id="44" w:name="_Toc35393807"/>
      <w:bookmarkStart w:id="45" w:name="_Toc35393638"/>
      <w:bookmarkStart w:id="46" w:name="_Toc28359097"/>
      <w:bookmarkStart w:id="47" w:name="_Toc28359020"/>
      <w:r>
        <w:rPr>
          <w:rFonts w:hint="eastAsia" w:ascii="宋体" w:hAnsi="宋体" w:cs="宋体"/>
          <w:kern w:val="0"/>
          <w:szCs w:val="21"/>
          <w:highlight w:val="none"/>
        </w:rPr>
        <w:t>地    址：中国(广西)自由贸易试验区钦州港片区中马北一街中马产业园区智慧园二号楼</w:t>
      </w:r>
    </w:p>
    <w:p w14:paraId="1F203345">
      <w:pPr>
        <w:spacing w:line="360" w:lineRule="auto"/>
        <w:ind w:firstLine="420" w:firstLineChars="200"/>
        <w:rPr>
          <w:rFonts w:hint="eastAsia" w:ascii="宋体" w:hAnsi="宋体" w:eastAsia="宋体" w:cs="宋体"/>
          <w:kern w:val="0"/>
          <w:szCs w:val="21"/>
          <w:highlight w:val="none"/>
          <w:lang w:eastAsia="zh-CN"/>
        </w:rPr>
      </w:pPr>
      <w:r>
        <w:rPr>
          <w:rFonts w:hint="eastAsia" w:ascii="宋体" w:hAnsi="宋体" w:cs="宋体"/>
          <w:kern w:val="0"/>
          <w:szCs w:val="21"/>
          <w:highlight w:val="none"/>
        </w:rPr>
        <w:t>项目联系人：</w:t>
      </w:r>
      <w:r>
        <w:rPr>
          <w:rFonts w:hint="eastAsia" w:ascii="宋体" w:hAnsi="宋体" w:cs="宋体"/>
          <w:kern w:val="0"/>
          <w:szCs w:val="21"/>
          <w:highlight w:val="none"/>
          <w:lang w:eastAsia="zh-CN"/>
        </w:rPr>
        <w:t>邓生青</w:t>
      </w:r>
    </w:p>
    <w:p w14:paraId="7E1883DF">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项目联系方式：</w:t>
      </w:r>
      <w:r>
        <w:rPr>
          <w:rFonts w:hint="eastAsia" w:ascii="宋体" w:hAnsi="宋体" w:cs="宋体"/>
          <w:kern w:val="0"/>
          <w:szCs w:val="21"/>
        </w:rPr>
        <w:t>0777-5988180</w:t>
      </w:r>
    </w:p>
    <w:p w14:paraId="0C6A4C49">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2.采购代理机构信息</w:t>
      </w:r>
      <w:bookmarkEnd w:id="44"/>
      <w:bookmarkEnd w:id="45"/>
      <w:bookmarkEnd w:id="46"/>
      <w:bookmarkEnd w:id="47"/>
    </w:p>
    <w:p w14:paraId="4C0CF2F1">
      <w:pPr>
        <w:spacing w:line="360" w:lineRule="auto"/>
        <w:ind w:firstLine="420" w:firstLineChars="200"/>
        <w:rPr>
          <w:rFonts w:ascii="宋体" w:hAnsi="宋体" w:cs="宋体"/>
          <w:szCs w:val="21"/>
          <w:highlight w:val="none"/>
        </w:rPr>
      </w:pPr>
      <w:r>
        <w:rPr>
          <w:rFonts w:hint="eastAsia" w:ascii="宋体" w:hAnsi="宋体" w:cs="宋体"/>
          <w:szCs w:val="21"/>
          <w:highlight w:val="none"/>
        </w:rPr>
        <w:t>名    称：</w:t>
      </w:r>
      <w:r>
        <w:rPr>
          <w:rFonts w:hint="eastAsia" w:ascii="宋体" w:hAnsi="宋体" w:cs="宋体"/>
          <w:highlight w:val="none"/>
        </w:rPr>
        <w:t>广西城建咨询设计有限公司</w:t>
      </w:r>
    </w:p>
    <w:p w14:paraId="4BC944F0">
      <w:pPr>
        <w:spacing w:line="360" w:lineRule="auto"/>
        <w:ind w:firstLine="420" w:firstLineChars="200"/>
        <w:rPr>
          <w:rFonts w:ascii="宋体" w:hAnsi="宋体" w:cs="宋体"/>
          <w:szCs w:val="21"/>
          <w:highlight w:val="none"/>
        </w:rPr>
      </w:pPr>
      <w:r>
        <w:rPr>
          <w:rFonts w:hint="eastAsia" w:ascii="宋体" w:hAnsi="宋体" w:cs="宋体"/>
          <w:szCs w:val="21"/>
          <w:highlight w:val="none"/>
        </w:rPr>
        <w:t>地    址</w:t>
      </w:r>
      <w:r>
        <w:rPr>
          <w:rFonts w:hint="eastAsia" w:ascii="宋体" w:hAnsi="宋体" w:cs="宋体"/>
          <w:highlight w:val="none"/>
        </w:rPr>
        <w:t>：钦州市钦南区子材东大街4号阳光曼哈顿3座4楼3A07室广西城建咨询设计有限公司钦州分公司</w:t>
      </w:r>
    </w:p>
    <w:p w14:paraId="5D75023E">
      <w:pPr>
        <w:pStyle w:val="19"/>
        <w:spacing w:line="360" w:lineRule="auto"/>
        <w:ind w:firstLine="420" w:firstLineChars="200"/>
        <w:rPr>
          <w:rFonts w:hAnsi="宋体" w:cs="宋体"/>
          <w:sz w:val="21"/>
          <w:highlight w:val="none"/>
        </w:rPr>
      </w:pPr>
      <w:r>
        <w:rPr>
          <w:rFonts w:hint="eastAsia" w:hAnsi="宋体" w:cs="宋体"/>
          <w:sz w:val="21"/>
          <w:highlight w:val="none"/>
        </w:rPr>
        <w:t>项目联系人：庞东</w:t>
      </w:r>
    </w:p>
    <w:p w14:paraId="73DF4A0C">
      <w:pPr>
        <w:spacing w:line="360" w:lineRule="auto"/>
        <w:ind w:firstLine="420" w:firstLineChars="200"/>
        <w:rPr>
          <w:rFonts w:hint="default" w:ascii="宋体" w:hAnsi="宋体" w:eastAsia="宋体" w:cs="宋体"/>
          <w:highlight w:val="none"/>
          <w:lang w:val="en-US" w:eastAsia="zh-CN"/>
        </w:rPr>
      </w:pPr>
      <w:r>
        <w:rPr>
          <w:rFonts w:hint="eastAsia" w:ascii="宋体" w:hAnsi="宋体" w:cs="宋体"/>
          <w:szCs w:val="21"/>
          <w:highlight w:val="none"/>
        </w:rPr>
        <w:t>项目联系方式：077</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3882166</w:t>
      </w:r>
    </w:p>
    <w:p w14:paraId="7FF2F3AC">
      <w:pPr>
        <w:spacing w:line="460" w:lineRule="exact"/>
        <w:ind w:firstLine="630" w:firstLineChars="300"/>
        <w:jc w:val="right"/>
        <w:rPr>
          <w:rFonts w:ascii="宋体" w:hAnsi="宋体" w:cs="宋体"/>
          <w:szCs w:val="21"/>
          <w:highlight w:val="none"/>
        </w:rPr>
      </w:pPr>
    </w:p>
    <w:p w14:paraId="010DBAD5">
      <w:pPr>
        <w:spacing w:line="460" w:lineRule="exact"/>
        <w:ind w:firstLine="630" w:firstLineChars="300"/>
        <w:jc w:val="right"/>
        <w:rPr>
          <w:rFonts w:ascii="宋体" w:hAnsi="宋体" w:cs="宋体"/>
          <w:szCs w:val="21"/>
          <w:highlight w:val="none"/>
        </w:rPr>
      </w:pPr>
      <w:r>
        <w:rPr>
          <w:rFonts w:hint="eastAsia" w:ascii="宋体" w:hAnsi="宋体" w:cs="宋体"/>
          <w:szCs w:val="21"/>
          <w:highlight w:val="none"/>
        </w:rPr>
        <w:t>广西城建咨询设计有限公司</w:t>
      </w:r>
    </w:p>
    <w:p w14:paraId="2FB98939">
      <w:pPr>
        <w:spacing w:line="460" w:lineRule="exact"/>
        <w:jc w:val="center"/>
        <w:rPr>
          <w:rFonts w:ascii="宋体" w:hAnsi="宋体" w:cs="宋体"/>
          <w:szCs w:val="21"/>
          <w:highlight w:val="none"/>
        </w:rPr>
      </w:pPr>
      <w:r>
        <w:rPr>
          <w:rFonts w:hint="eastAsia" w:ascii="宋体" w:hAnsi="宋体" w:cs="宋体"/>
          <w:szCs w:val="21"/>
          <w:highlight w:val="none"/>
        </w:rPr>
        <w:t xml:space="preserve">                                                           2025年</w:t>
      </w:r>
      <w:r>
        <w:rPr>
          <w:rFonts w:hint="eastAsia" w:ascii="宋体" w:hAnsi="宋体" w:cs="宋体"/>
          <w:szCs w:val="21"/>
          <w:highlight w:val="none"/>
          <w:lang w:val="en-US" w:eastAsia="zh-CN"/>
        </w:rPr>
        <w:t>9</w:t>
      </w:r>
      <w:r>
        <w:rPr>
          <w:rFonts w:hint="eastAsia" w:ascii="宋体" w:hAnsi="宋体" w:cs="宋体"/>
          <w:szCs w:val="21"/>
          <w:highlight w:val="none"/>
        </w:rPr>
        <w:t>月</w:t>
      </w:r>
      <w:r>
        <w:rPr>
          <w:rFonts w:hint="eastAsia" w:ascii="宋体" w:hAnsi="宋体" w:cs="宋体"/>
          <w:szCs w:val="21"/>
          <w:highlight w:val="none"/>
          <w:lang w:val="en-US" w:eastAsia="zh-CN"/>
        </w:rPr>
        <w:t>24</w:t>
      </w:r>
      <w:r>
        <w:rPr>
          <w:rFonts w:hint="eastAsia" w:ascii="宋体" w:hAnsi="宋体" w:cs="宋体"/>
          <w:szCs w:val="21"/>
          <w:highlight w:val="none"/>
        </w:rPr>
        <w:t>日</w:t>
      </w:r>
      <w:bookmarkEnd w:id="6"/>
    </w:p>
    <w:p w14:paraId="252AD70E">
      <w:pPr>
        <w:pStyle w:val="4"/>
        <w:spacing w:line="360" w:lineRule="auto"/>
        <w:jc w:val="center"/>
        <w:rPr>
          <w:rFonts w:ascii="宋体" w:hAnsi="宋体" w:cs="宋体"/>
          <w:highlight w:val="none"/>
        </w:rPr>
      </w:pPr>
      <w:r>
        <w:rPr>
          <w:rFonts w:hint="eastAsia" w:ascii="宋体" w:hAnsi="宋体" w:cs="宋体"/>
          <w:highlight w:val="none"/>
        </w:rPr>
        <w:br w:type="page"/>
      </w:r>
      <w:bookmarkStart w:id="48" w:name="_Toc18958"/>
      <w:r>
        <w:rPr>
          <w:rFonts w:hint="eastAsia"/>
          <w:highlight w:val="none"/>
        </w:rPr>
        <w:t>第二章 供应商须知</w:t>
      </w:r>
      <w:bookmarkEnd w:id="48"/>
    </w:p>
    <w:p w14:paraId="7F43FCD2">
      <w:pPr>
        <w:spacing w:line="400" w:lineRule="exact"/>
        <w:jc w:val="center"/>
        <w:rPr>
          <w:rFonts w:ascii="宋体" w:hAnsi="宋体" w:cs="宋体"/>
          <w:b/>
          <w:sz w:val="32"/>
          <w:szCs w:val="32"/>
          <w:highlight w:val="none"/>
        </w:rPr>
      </w:pPr>
      <w:r>
        <w:rPr>
          <w:rFonts w:hint="eastAsia" w:ascii="宋体" w:hAnsi="宋体" w:cs="宋体"/>
          <w:b/>
          <w:sz w:val="32"/>
          <w:szCs w:val="32"/>
          <w:highlight w:val="none"/>
        </w:rPr>
        <w:t>供应商须知前附表</w:t>
      </w:r>
    </w:p>
    <w:p w14:paraId="72D162E4">
      <w:pPr>
        <w:spacing w:line="400" w:lineRule="exact"/>
        <w:jc w:val="center"/>
        <w:rPr>
          <w:rFonts w:ascii="宋体" w:hAnsi="宋体" w:cs="宋体"/>
          <w:b/>
          <w:sz w:val="32"/>
          <w:szCs w:val="32"/>
          <w:highlight w:val="none"/>
        </w:rPr>
      </w:pP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51EB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6256BE1B">
            <w:pPr>
              <w:spacing w:line="360" w:lineRule="auto"/>
              <w:jc w:val="center"/>
              <w:rPr>
                <w:rFonts w:ascii="宋体" w:hAnsi="宋体" w:cs="宋体"/>
                <w:b/>
                <w:szCs w:val="21"/>
                <w:highlight w:val="none"/>
              </w:rPr>
            </w:pPr>
            <w:r>
              <w:rPr>
                <w:rFonts w:hint="eastAsia" w:ascii="宋体" w:hAnsi="宋体" w:cs="宋体"/>
                <w:b/>
                <w:szCs w:val="21"/>
                <w:highlight w:val="none"/>
              </w:rPr>
              <w:t>条款号</w:t>
            </w:r>
          </w:p>
        </w:tc>
        <w:tc>
          <w:tcPr>
            <w:tcW w:w="7912" w:type="dxa"/>
          </w:tcPr>
          <w:p w14:paraId="08513320">
            <w:pPr>
              <w:spacing w:line="360" w:lineRule="auto"/>
              <w:jc w:val="center"/>
              <w:rPr>
                <w:rFonts w:ascii="宋体" w:hAnsi="宋体" w:cs="宋体"/>
                <w:b/>
                <w:szCs w:val="21"/>
                <w:highlight w:val="none"/>
              </w:rPr>
            </w:pPr>
            <w:r>
              <w:rPr>
                <w:rFonts w:hint="eastAsia" w:ascii="宋体" w:hAnsi="宋体" w:cs="宋体"/>
                <w:b/>
                <w:szCs w:val="21"/>
                <w:highlight w:val="none"/>
              </w:rPr>
              <w:t>内    容</w:t>
            </w:r>
          </w:p>
        </w:tc>
      </w:tr>
      <w:tr w14:paraId="1A8EE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F64D54D">
            <w:pPr>
              <w:spacing w:line="360" w:lineRule="auto"/>
              <w:jc w:val="center"/>
              <w:rPr>
                <w:rFonts w:ascii="宋体" w:hAnsi="宋体" w:cs="宋体"/>
                <w:szCs w:val="21"/>
                <w:highlight w:val="none"/>
              </w:rPr>
            </w:pPr>
            <w:r>
              <w:rPr>
                <w:rFonts w:hint="eastAsia" w:ascii="宋体" w:hAnsi="宋体" w:cs="宋体"/>
                <w:szCs w:val="21"/>
                <w:highlight w:val="none"/>
              </w:rPr>
              <w:t>3</w:t>
            </w:r>
          </w:p>
        </w:tc>
        <w:tc>
          <w:tcPr>
            <w:tcW w:w="7912" w:type="dxa"/>
            <w:vAlign w:val="center"/>
          </w:tcPr>
          <w:p w14:paraId="396E5F96">
            <w:pPr>
              <w:spacing w:line="360" w:lineRule="auto"/>
              <w:rPr>
                <w:rFonts w:ascii="宋体" w:hAnsi="宋体" w:cs="宋体"/>
                <w:szCs w:val="21"/>
                <w:highlight w:val="none"/>
              </w:rPr>
            </w:pPr>
            <w:r>
              <w:rPr>
                <w:rFonts w:hint="eastAsia" w:ascii="宋体" w:hAnsi="宋体" w:cs="宋体"/>
                <w:bCs/>
                <w:szCs w:val="21"/>
                <w:highlight w:val="none"/>
              </w:rPr>
              <w:t>1.供应商的资格条件</w:t>
            </w:r>
            <w:r>
              <w:rPr>
                <w:rFonts w:hint="eastAsia" w:ascii="宋体" w:hAnsi="宋体" w:cs="宋体"/>
                <w:szCs w:val="21"/>
                <w:highlight w:val="none"/>
              </w:rPr>
              <w:t>：详见竞争性磋商公告。</w:t>
            </w:r>
          </w:p>
          <w:p w14:paraId="5D1B95CA">
            <w:pPr>
              <w:spacing w:line="360" w:lineRule="auto"/>
              <w:rPr>
                <w:rFonts w:ascii="宋体" w:hAnsi="宋体" w:cs="宋体"/>
                <w:szCs w:val="21"/>
                <w:highlight w:val="none"/>
              </w:rPr>
            </w:pPr>
            <w:r>
              <w:rPr>
                <w:rFonts w:hint="eastAsia" w:ascii="宋体" w:hAnsi="宋体" w:cs="宋体"/>
                <w:szCs w:val="21"/>
                <w:highlight w:val="none"/>
              </w:rPr>
              <w:t>2.供应商出现下列情形之一的，不得参加政府采购活动：</w:t>
            </w:r>
          </w:p>
          <w:p w14:paraId="7810F877">
            <w:pPr>
              <w:spacing w:line="360" w:lineRule="auto"/>
              <w:rPr>
                <w:rFonts w:ascii="宋体" w:hAnsi="宋体" w:cs="宋体"/>
                <w:szCs w:val="21"/>
                <w:highlight w:val="none"/>
              </w:rPr>
            </w:pPr>
            <w:r>
              <w:rPr>
                <w:rFonts w:hint="eastAsia" w:ascii="宋体" w:hAnsi="宋体" w:cs="宋体"/>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32D8BA8">
            <w:pPr>
              <w:spacing w:line="360" w:lineRule="auto"/>
              <w:rPr>
                <w:rFonts w:ascii="宋体" w:hAnsi="宋体" w:cs="宋体"/>
                <w:szCs w:val="21"/>
                <w:highlight w:val="none"/>
              </w:rPr>
            </w:pPr>
            <w:r>
              <w:rPr>
                <w:rFonts w:hint="eastAsia" w:ascii="宋体" w:hAnsi="宋体" w:cs="宋体"/>
                <w:szCs w:val="21"/>
                <w:highlight w:val="none"/>
              </w:rPr>
              <w:t>2.2对在“信用中国”网站（www.creditchina.gov.cn)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6B478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E444069">
            <w:pPr>
              <w:spacing w:line="360" w:lineRule="auto"/>
              <w:jc w:val="center"/>
              <w:rPr>
                <w:rFonts w:ascii="宋体" w:hAnsi="宋体" w:cs="宋体"/>
                <w:szCs w:val="21"/>
                <w:highlight w:val="none"/>
              </w:rPr>
            </w:pPr>
            <w:r>
              <w:rPr>
                <w:rFonts w:hint="eastAsia" w:ascii="宋体" w:hAnsi="宋体" w:cs="宋体"/>
                <w:szCs w:val="21"/>
                <w:highlight w:val="none"/>
              </w:rPr>
              <w:t>5.1</w:t>
            </w:r>
          </w:p>
        </w:tc>
        <w:tc>
          <w:tcPr>
            <w:tcW w:w="7912" w:type="dxa"/>
            <w:vAlign w:val="center"/>
          </w:tcPr>
          <w:p w14:paraId="2F7C99A7">
            <w:pPr>
              <w:spacing w:line="360" w:lineRule="auto"/>
              <w:rPr>
                <w:rFonts w:ascii="宋体" w:hAnsi="宋体" w:cs="宋体"/>
                <w:szCs w:val="21"/>
                <w:highlight w:val="none"/>
              </w:rPr>
            </w:pPr>
            <w:r>
              <w:rPr>
                <w:rFonts w:hint="eastAsia" w:ascii="宋体" w:hAnsi="宋体" w:cs="宋体"/>
                <w:szCs w:val="21"/>
                <w:highlight w:val="none"/>
              </w:rPr>
              <w:t>是否接受联合体竞标：否。</w:t>
            </w:r>
          </w:p>
        </w:tc>
      </w:tr>
      <w:tr w14:paraId="54C83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1632EBE">
            <w:pPr>
              <w:spacing w:line="360" w:lineRule="auto"/>
              <w:jc w:val="center"/>
              <w:rPr>
                <w:rFonts w:ascii="宋体" w:hAnsi="宋体" w:cs="宋体"/>
                <w:szCs w:val="21"/>
                <w:highlight w:val="none"/>
              </w:rPr>
            </w:pPr>
            <w:r>
              <w:rPr>
                <w:rFonts w:hint="eastAsia" w:ascii="宋体" w:hAnsi="宋体" w:cs="宋体"/>
                <w:szCs w:val="21"/>
                <w:highlight w:val="none"/>
              </w:rPr>
              <w:t>5.2</w:t>
            </w:r>
          </w:p>
        </w:tc>
        <w:tc>
          <w:tcPr>
            <w:tcW w:w="7912" w:type="dxa"/>
            <w:vAlign w:val="center"/>
          </w:tcPr>
          <w:p w14:paraId="1E719D0B">
            <w:pPr>
              <w:spacing w:line="360" w:lineRule="auto"/>
              <w:rPr>
                <w:rFonts w:ascii="宋体" w:hAnsi="宋体" w:cs="宋体"/>
                <w:szCs w:val="21"/>
                <w:highlight w:val="none"/>
              </w:rPr>
            </w:pPr>
            <w:r>
              <w:rPr>
                <w:rFonts w:hint="eastAsia" w:ascii="宋体" w:hAnsi="宋体" w:cs="宋体"/>
                <w:szCs w:val="21"/>
                <w:highlight w:val="none"/>
              </w:rPr>
              <w:t>如接受联合体竞标，联合体竞标要求如下：无。</w:t>
            </w:r>
          </w:p>
        </w:tc>
      </w:tr>
      <w:tr w14:paraId="2E26D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CA8F72A">
            <w:pPr>
              <w:spacing w:line="360" w:lineRule="auto"/>
              <w:jc w:val="center"/>
              <w:rPr>
                <w:rFonts w:ascii="宋体" w:hAnsi="宋体" w:cs="宋体"/>
                <w:szCs w:val="21"/>
                <w:highlight w:val="none"/>
              </w:rPr>
            </w:pPr>
            <w:r>
              <w:rPr>
                <w:rFonts w:hint="eastAsia" w:ascii="宋体" w:hAnsi="宋体" w:cs="宋体"/>
                <w:szCs w:val="21"/>
                <w:highlight w:val="none"/>
              </w:rPr>
              <w:t>6.2</w:t>
            </w:r>
          </w:p>
        </w:tc>
        <w:tc>
          <w:tcPr>
            <w:tcW w:w="7912" w:type="dxa"/>
            <w:vAlign w:val="center"/>
          </w:tcPr>
          <w:p w14:paraId="6782B220">
            <w:pPr>
              <w:spacing w:line="360" w:lineRule="auto"/>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不允许分包</w:t>
            </w:r>
          </w:p>
          <w:p w14:paraId="605804DC">
            <w:pPr>
              <w:spacing w:line="360" w:lineRule="auto"/>
              <w:rPr>
                <w:rFonts w:ascii="宋体" w:hAnsi="宋体" w:cs="宋体"/>
                <w:szCs w:val="21"/>
                <w:highlight w:val="none"/>
              </w:rPr>
            </w:pPr>
            <w:r>
              <w:rPr>
                <w:rFonts w:hint="eastAsia" w:ascii="宋体" w:hAnsi="宋体" w:cs="宋体"/>
                <w:szCs w:val="21"/>
                <w:highlight w:val="none"/>
              </w:rPr>
              <w:sym w:font="Wingdings 2" w:char="00A3"/>
            </w:r>
            <w:r>
              <w:rPr>
                <w:rFonts w:hint="eastAsia" w:ascii="宋体" w:hAnsi="宋体" w:cs="宋体"/>
                <w:szCs w:val="21"/>
                <w:highlight w:val="none"/>
              </w:rPr>
              <w:t>允许分包</w:t>
            </w:r>
          </w:p>
          <w:p w14:paraId="2B8262BA">
            <w:pPr>
              <w:spacing w:line="360" w:lineRule="auto"/>
              <w:rPr>
                <w:rFonts w:ascii="宋体" w:hAnsi="宋体" w:cs="宋体"/>
                <w:szCs w:val="21"/>
                <w:highlight w:val="none"/>
              </w:rPr>
            </w:pPr>
            <w:r>
              <w:rPr>
                <w:rFonts w:hint="eastAsia" w:ascii="宋体" w:hAnsi="宋体" w:cs="宋体"/>
                <w:szCs w:val="21"/>
                <w:highlight w:val="none"/>
              </w:rPr>
              <w:t>分包内容：</w:t>
            </w:r>
            <w:r>
              <w:rPr>
                <w:rFonts w:hint="eastAsia" w:ascii="宋体" w:hAnsi="宋体" w:cs="宋体"/>
                <w:szCs w:val="21"/>
                <w:highlight w:val="none"/>
                <w:u w:val="single"/>
              </w:rPr>
              <w:t xml:space="preserve">      </w:t>
            </w:r>
            <w:r>
              <w:rPr>
                <w:rFonts w:hint="eastAsia" w:ascii="宋体" w:hAnsi="宋体" w:cs="宋体"/>
                <w:szCs w:val="21"/>
                <w:highlight w:val="none"/>
              </w:rPr>
              <w:t>。</w:t>
            </w:r>
          </w:p>
          <w:p w14:paraId="5DE297DD">
            <w:pPr>
              <w:spacing w:line="360" w:lineRule="auto"/>
              <w:rPr>
                <w:rFonts w:ascii="宋体" w:hAnsi="宋体" w:cs="宋体"/>
                <w:szCs w:val="21"/>
                <w:highlight w:val="none"/>
              </w:rPr>
            </w:pPr>
            <w:r>
              <w:rPr>
                <w:rFonts w:hint="eastAsia" w:ascii="宋体" w:hAnsi="宋体" w:cs="宋体"/>
                <w:szCs w:val="21"/>
                <w:highlight w:val="none"/>
              </w:rPr>
              <w:t>分包金额或者比例：</w:t>
            </w:r>
            <w:r>
              <w:rPr>
                <w:rFonts w:hint="eastAsia" w:ascii="宋体" w:hAnsi="宋体" w:cs="宋体"/>
                <w:szCs w:val="21"/>
                <w:highlight w:val="none"/>
                <w:u w:val="single"/>
              </w:rPr>
              <w:t xml:space="preserve">      </w:t>
            </w:r>
            <w:r>
              <w:rPr>
                <w:rFonts w:hint="eastAsia" w:ascii="宋体" w:hAnsi="宋体" w:cs="宋体"/>
                <w:szCs w:val="21"/>
                <w:highlight w:val="none"/>
              </w:rPr>
              <w:t>。</w:t>
            </w:r>
          </w:p>
        </w:tc>
      </w:tr>
      <w:tr w14:paraId="180FE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F870FDF">
            <w:pPr>
              <w:spacing w:line="360" w:lineRule="auto"/>
              <w:jc w:val="center"/>
              <w:rPr>
                <w:rFonts w:ascii="宋体" w:hAnsi="宋体" w:cs="宋体"/>
                <w:szCs w:val="21"/>
                <w:highlight w:val="none"/>
              </w:rPr>
            </w:pPr>
            <w:r>
              <w:rPr>
                <w:rFonts w:hint="eastAsia" w:ascii="宋体" w:hAnsi="宋体" w:cs="宋体"/>
                <w:szCs w:val="21"/>
                <w:highlight w:val="none"/>
              </w:rPr>
              <w:t>12.1.1</w:t>
            </w:r>
          </w:p>
        </w:tc>
        <w:tc>
          <w:tcPr>
            <w:tcW w:w="7912" w:type="dxa"/>
            <w:vAlign w:val="center"/>
          </w:tcPr>
          <w:p w14:paraId="3A7EE55F">
            <w:pPr>
              <w:spacing w:line="360" w:lineRule="auto"/>
              <w:jc w:val="left"/>
              <w:rPr>
                <w:rFonts w:ascii="宋体" w:hAnsi="宋体" w:cs="宋体"/>
                <w:b/>
                <w:bCs/>
                <w:szCs w:val="21"/>
                <w:highlight w:val="none"/>
              </w:rPr>
            </w:pPr>
            <w:r>
              <w:rPr>
                <w:rFonts w:hint="eastAsia" w:ascii="宋体" w:hAnsi="宋体" w:cs="宋体"/>
                <w:b/>
                <w:bCs/>
                <w:szCs w:val="21"/>
                <w:highlight w:val="none"/>
              </w:rPr>
              <w:t>资格证明文件</w:t>
            </w:r>
          </w:p>
          <w:p w14:paraId="5881CD70">
            <w:pPr>
              <w:numPr>
                <w:ilvl w:val="0"/>
                <w:numId w:val="1"/>
              </w:numPr>
              <w:spacing w:line="360" w:lineRule="auto"/>
              <w:jc w:val="left"/>
              <w:rPr>
                <w:rFonts w:ascii="宋体" w:hAnsi="宋体" w:cs="宋体"/>
                <w:szCs w:val="21"/>
                <w:highlight w:val="none"/>
              </w:rPr>
            </w:pPr>
            <w:r>
              <w:rPr>
                <w:rFonts w:hint="eastAsia" w:ascii="宋体" w:hAnsi="宋体" w:cs="宋体"/>
                <w:szCs w:val="21"/>
                <w:highlight w:val="none"/>
              </w:rPr>
              <w:t>供应商为法人或者其他组织的提供其营业执照等证明文件（如营业执照或者事业单位法人证书或者执业许可证或者登记证书等）；</w:t>
            </w:r>
            <w:r>
              <w:rPr>
                <w:rFonts w:hint="eastAsia" w:ascii="宋体" w:hAnsi="宋体" w:cs="宋体"/>
                <w:b/>
                <w:bCs/>
                <w:szCs w:val="21"/>
                <w:highlight w:val="none"/>
              </w:rPr>
              <w:t>（必须提供，否则响应文件按无效响应处理）</w:t>
            </w:r>
          </w:p>
          <w:p w14:paraId="7C51051A">
            <w:pPr>
              <w:numPr>
                <w:ilvl w:val="0"/>
                <w:numId w:val="1"/>
              </w:numPr>
              <w:spacing w:line="360" w:lineRule="auto"/>
              <w:contextualSpacing/>
              <w:jc w:val="left"/>
              <w:rPr>
                <w:rFonts w:ascii="宋体" w:hAnsi="宋体" w:cs="宋体"/>
                <w:szCs w:val="21"/>
                <w:highlight w:val="none"/>
              </w:rPr>
            </w:pPr>
            <w:r>
              <w:rPr>
                <w:rFonts w:hint="eastAsia" w:ascii="宋体" w:hAnsi="宋体" w:cs="宋体"/>
                <w:szCs w:val="21"/>
                <w:highlight w:val="none"/>
              </w:rPr>
              <w:t>供应商依法缴纳税收的相关材料（2025年</w:t>
            </w:r>
            <w:r>
              <w:rPr>
                <w:rFonts w:hint="eastAsia" w:ascii="宋体" w:hAnsi="宋体" w:cs="宋体"/>
                <w:szCs w:val="21"/>
                <w:highlight w:val="none"/>
                <w:lang w:val="en-US" w:eastAsia="zh-CN"/>
              </w:rPr>
              <w:t>3</w:t>
            </w:r>
            <w:r>
              <w:rPr>
                <w:rFonts w:hint="eastAsia" w:ascii="宋体" w:hAnsi="宋体" w:cs="宋体"/>
                <w:szCs w:val="21"/>
                <w:highlight w:val="none"/>
              </w:rPr>
              <w:t>月至响应文件提交</w:t>
            </w:r>
            <w:r>
              <w:rPr>
                <w:rFonts w:hint="eastAsia" w:ascii="宋体" w:hAnsi="宋体" w:cs="宋体"/>
                <w:szCs w:val="21"/>
                <w:highlight w:val="none"/>
                <w:lang w:eastAsia="zh-CN"/>
              </w:rPr>
              <w:t>截止时间止</w:t>
            </w:r>
            <w:r>
              <w:rPr>
                <w:rFonts w:hint="eastAsia" w:ascii="宋体" w:hAnsi="宋体" w:cs="宋体"/>
                <w:szCs w:val="21"/>
                <w:highlight w:val="none"/>
              </w:rPr>
              <w:t>内任意连续3个月的依法缴纳税收的凭据；依法免税的，必须提供相应文件证明其依法免税。从成立之日起到响应文件提交截止时间止不足要求月数的，只需提供从成立之日起的依法缴纳税收相应证明文件）；</w:t>
            </w:r>
            <w:r>
              <w:rPr>
                <w:rFonts w:hint="eastAsia" w:ascii="宋体" w:hAnsi="宋体" w:cs="宋体"/>
                <w:b/>
                <w:bCs/>
                <w:szCs w:val="21"/>
                <w:highlight w:val="none"/>
              </w:rPr>
              <w:t>（必须提供，否则响应文件按无效响应处理）</w:t>
            </w:r>
          </w:p>
          <w:p w14:paraId="0DDB36A3">
            <w:pPr>
              <w:numPr>
                <w:ilvl w:val="0"/>
                <w:numId w:val="1"/>
              </w:numPr>
              <w:spacing w:line="360" w:lineRule="auto"/>
              <w:contextualSpacing/>
              <w:jc w:val="left"/>
              <w:rPr>
                <w:rFonts w:ascii="宋体" w:hAnsi="宋体" w:cs="宋体"/>
                <w:szCs w:val="21"/>
                <w:highlight w:val="none"/>
              </w:rPr>
            </w:pPr>
            <w:r>
              <w:rPr>
                <w:rFonts w:hint="eastAsia" w:ascii="宋体" w:hAnsi="宋体" w:cs="宋体"/>
                <w:szCs w:val="21"/>
                <w:highlight w:val="none"/>
              </w:rPr>
              <w:t>供应商依法缴纳社会保障资金的相关材料[2025年</w:t>
            </w:r>
            <w:r>
              <w:rPr>
                <w:rFonts w:hint="eastAsia" w:ascii="宋体" w:hAnsi="宋体" w:cs="宋体"/>
                <w:szCs w:val="21"/>
                <w:highlight w:val="none"/>
                <w:lang w:val="en-US" w:eastAsia="zh-CN"/>
              </w:rPr>
              <w:t>3</w:t>
            </w:r>
            <w:r>
              <w:rPr>
                <w:rFonts w:hint="eastAsia" w:ascii="宋体" w:hAnsi="宋体" w:cs="宋体"/>
                <w:szCs w:val="21"/>
                <w:highlight w:val="none"/>
              </w:rPr>
              <w:t>月至响应文件提交</w:t>
            </w:r>
            <w:r>
              <w:rPr>
                <w:rFonts w:hint="eastAsia" w:ascii="宋体" w:hAnsi="宋体" w:cs="宋体"/>
                <w:szCs w:val="21"/>
                <w:highlight w:val="none"/>
                <w:lang w:eastAsia="zh-CN"/>
              </w:rPr>
              <w:t>截止时间止</w:t>
            </w:r>
            <w:r>
              <w:rPr>
                <w:rFonts w:hint="eastAsia" w:ascii="宋体" w:hAnsi="宋体" w:cs="宋体"/>
                <w:szCs w:val="21"/>
                <w:highlight w:val="none"/>
              </w:rPr>
              <w:t>内任意连续3个月的依法缴纳社会保障资金的缴费凭证（专用收据或者社会保险缴纳清单）扫描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cs="宋体"/>
                <w:b/>
                <w:bCs/>
                <w:szCs w:val="21"/>
                <w:highlight w:val="none"/>
              </w:rPr>
              <w:t>（必须提供，否则响应文件按无效响应处理）</w:t>
            </w:r>
          </w:p>
          <w:p w14:paraId="5AFF3A08">
            <w:pPr>
              <w:numPr>
                <w:ilvl w:val="0"/>
                <w:numId w:val="1"/>
              </w:numPr>
              <w:spacing w:line="360" w:lineRule="auto"/>
              <w:contextualSpacing/>
              <w:jc w:val="left"/>
              <w:rPr>
                <w:rFonts w:ascii="宋体" w:hAnsi="宋体" w:cs="宋体"/>
                <w:szCs w:val="21"/>
                <w:highlight w:val="none"/>
              </w:rPr>
            </w:pPr>
            <w:r>
              <w:rPr>
                <w:rFonts w:hint="eastAsia" w:ascii="宋体" w:hAnsi="宋体" w:cs="宋体"/>
                <w:szCs w:val="21"/>
                <w:highlight w:val="none"/>
              </w:rPr>
              <w:t>供应商上一年度（2024年）的年度财务报告，包括资产负债表、现金流量表、利润表（如供应商为磋商当年新成立公司的，应提供于公司成立之日后的财务报表）；</w:t>
            </w:r>
            <w:r>
              <w:rPr>
                <w:rFonts w:hint="eastAsia" w:ascii="宋体" w:hAnsi="宋体" w:cs="宋体"/>
                <w:b/>
                <w:bCs/>
                <w:szCs w:val="21"/>
                <w:highlight w:val="none"/>
              </w:rPr>
              <w:t>（必须提供，否则响应文件按无效响应处理）</w:t>
            </w:r>
          </w:p>
          <w:p w14:paraId="45C7246C">
            <w:pPr>
              <w:numPr>
                <w:ilvl w:val="0"/>
                <w:numId w:val="1"/>
              </w:numPr>
              <w:spacing w:line="360" w:lineRule="auto"/>
              <w:contextualSpacing/>
              <w:jc w:val="left"/>
              <w:rPr>
                <w:rFonts w:ascii="宋体" w:hAnsi="宋体" w:cs="宋体"/>
                <w:szCs w:val="21"/>
                <w:highlight w:val="none"/>
              </w:rPr>
            </w:pPr>
            <w:r>
              <w:rPr>
                <w:rFonts w:hint="eastAsia" w:ascii="宋体" w:hAnsi="宋体" w:cs="宋体"/>
                <w:szCs w:val="21"/>
                <w:highlight w:val="none"/>
              </w:rPr>
              <w:t>供应商基本情况表（格式后附）；</w:t>
            </w:r>
            <w:r>
              <w:rPr>
                <w:rFonts w:hint="eastAsia" w:ascii="宋体" w:hAnsi="宋体" w:cs="宋体"/>
                <w:b/>
                <w:bCs/>
                <w:szCs w:val="21"/>
                <w:highlight w:val="none"/>
              </w:rPr>
              <w:t>（必须提供，否则响应文件按无效响应处理）</w:t>
            </w:r>
          </w:p>
          <w:p w14:paraId="2A2421D2">
            <w:pPr>
              <w:numPr>
                <w:ilvl w:val="0"/>
                <w:numId w:val="1"/>
              </w:numPr>
              <w:spacing w:line="360" w:lineRule="auto"/>
              <w:contextualSpacing/>
              <w:jc w:val="left"/>
              <w:rPr>
                <w:rFonts w:ascii="宋体" w:hAnsi="宋体" w:cs="宋体"/>
                <w:szCs w:val="21"/>
                <w:highlight w:val="none"/>
              </w:rPr>
            </w:pPr>
            <w:r>
              <w:rPr>
                <w:rFonts w:hint="eastAsia" w:ascii="宋体" w:hAnsi="宋体" w:cs="宋体"/>
                <w:szCs w:val="21"/>
                <w:highlight w:val="none"/>
              </w:rPr>
              <w:t>供应商直接控股、管理关系信息表（格式后附）</w:t>
            </w:r>
            <w:r>
              <w:rPr>
                <w:rFonts w:hint="eastAsia" w:ascii="宋体" w:hAnsi="宋体" w:cs="宋体"/>
                <w:b/>
                <w:bCs/>
                <w:szCs w:val="21"/>
                <w:highlight w:val="none"/>
              </w:rPr>
              <w:t>；（必须提供，否则响应文件按无效响应处理）</w:t>
            </w:r>
          </w:p>
          <w:p w14:paraId="0352F883">
            <w:pPr>
              <w:numPr>
                <w:ilvl w:val="0"/>
                <w:numId w:val="1"/>
              </w:numPr>
              <w:spacing w:line="360" w:lineRule="auto"/>
              <w:contextualSpacing/>
              <w:jc w:val="left"/>
            </w:pPr>
            <w:r>
              <w:rPr>
                <w:rFonts w:hint="eastAsia"/>
              </w:rPr>
              <w:t>中小企业声明函或者残疾人福利性单位声明函或者供应商属于监狱企业的证明材料（格式后附）；</w:t>
            </w:r>
            <w:r>
              <w:rPr>
                <w:rFonts w:hint="eastAsia" w:ascii="宋体" w:hAnsi="宋体" w:cs="宋体"/>
                <w:b/>
                <w:bCs/>
                <w:szCs w:val="21"/>
                <w:highlight w:val="none"/>
              </w:rPr>
              <w:t>（必须提供，否则响应文件按无效响应处理）</w:t>
            </w:r>
          </w:p>
          <w:p w14:paraId="4164968B">
            <w:pPr>
              <w:numPr>
                <w:ilvl w:val="0"/>
                <w:numId w:val="1"/>
              </w:numPr>
              <w:spacing w:line="360" w:lineRule="auto"/>
              <w:contextualSpacing/>
              <w:jc w:val="left"/>
              <w:rPr>
                <w:rFonts w:ascii="宋体" w:hAnsi="宋体" w:cs="宋体"/>
                <w:szCs w:val="21"/>
                <w:highlight w:val="none"/>
              </w:rPr>
            </w:pPr>
            <w:r>
              <w:rPr>
                <w:rFonts w:hint="eastAsia" w:ascii="宋体" w:hAnsi="宋体" w:cs="宋体"/>
                <w:szCs w:val="21"/>
                <w:highlight w:val="none"/>
              </w:rPr>
              <w:t>竞标声明（格式后附）；</w:t>
            </w:r>
            <w:r>
              <w:rPr>
                <w:rFonts w:hint="eastAsia" w:ascii="宋体" w:hAnsi="宋体" w:cs="宋体"/>
                <w:b/>
                <w:bCs/>
                <w:szCs w:val="21"/>
                <w:highlight w:val="none"/>
              </w:rPr>
              <w:t>（必须提供，否则响应文件按无效响应处理）</w:t>
            </w:r>
          </w:p>
          <w:p w14:paraId="7507AC96">
            <w:pPr>
              <w:numPr>
                <w:ilvl w:val="0"/>
                <w:numId w:val="1"/>
              </w:numPr>
              <w:spacing w:line="360" w:lineRule="auto"/>
              <w:contextualSpacing/>
              <w:jc w:val="left"/>
              <w:rPr>
                <w:rFonts w:ascii="宋体" w:hAnsi="宋体" w:cs="宋体"/>
                <w:szCs w:val="21"/>
                <w:highlight w:val="none"/>
              </w:rPr>
            </w:pPr>
            <w:r>
              <w:rPr>
                <w:rFonts w:hint="eastAsia" w:ascii="宋体" w:hAnsi="宋体" w:cs="宋体"/>
                <w:szCs w:val="21"/>
                <w:highlight w:val="none"/>
              </w:rPr>
              <w:t>政府采购项目竞标资格承诺函（格式后附）；</w:t>
            </w:r>
            <w:r>
              <w:rPr>
                <w:rFonts w:hint="eastAsia" w:ascii="宋体" w:hAnsi="宋体" w:cs="宋体"/>
                <w:b/>
                <w:bCs/>
                <w:szCs w:val="21"/>
                <w:highlight w:val="none"/>
              </w:rPr>
              <w:t>（必须提供，否则响应文件按无效响应处理）</w:t>
            </w:r>
          </w:p>
          <w:p w14:paraId="4B530201">
            <w:pPr>
              <w:numPr>
                <w:ilvl w:val="0"/>
                <w:numId w:val="1"/>
              </w:numPr>
              <w:spacing w:line="360" w:lineRule="auto"/>
              <w:jc w:val="left"/>
              <w:rPr>
                <w:rFonts w:ascii="宋体" w:hAnsi="宋体" w:cs="宋体"/>
                <w:szCs w:val="21"/>
                <w:highlight w:val="none"/>
              </w:rPr>
            </w:pPr>
            <w:r>
              <w:rPr>
                <w:rFonts w:hint="eastAsia" w:ascii="宋体" w:hAnsi="宋体" w:cs="宋体"/>
                <w:szCs w:val="21"/>
                <w:highlight w:val="none"/>
              </w:rPr>
              <w:t>其他资格证明文件（编制时应与公告的特定资格要求相对应）；</w:t>
            </w:r>
          </w:p>
          <w:p w14:paraId="3A98DB4A">
            <w:pPr>
              <w:numPr>
                <w:ilvl w:val="0"/>
                <w:numId w:val="1"/>
              </w:numPr>
              <w:spacing w:line="360" w:lineRule="auto"/>
              <w:jc w:val="left"/>
              <w:rPr>
                <w:rFonts w:ascii="宋体" w:hAnsi="宋体" w:cs="宋体"/>
                <w:szCs w:val="21"/>
                <w:highlight w:val="none"/>
              </w:rPr>
            </w:pPr>
            <w:r>
              <w:rPr>
                <w:rFonts w:hint="eastAsia" w:ascii="宋体" w:hAnsi="宋体" w:cs="宋体"/>
                <w:szCs w:val="21"/>
                <w:highlight w:val="none"/>
              </w:rPr>
              <w:t>除磋商文件规定必须提供以外，供应商认为需要提供的其他证明材料。</w:t>
            </w:r>
          </w:p>
          <w:p w14:paraId="4CDC4770">
            <w:pPr>
              <w:spacing w:line="360" w:lineRule="auto"/>
              <w:rPr>
                <w:rFonts w:ascii="宋体" w:hAnsi="宋体" w:cs="宋体"/>
                <w:b/>
                <w:bCs/>
                <w:szCs w:val="21"/>
                <w:highlight w:val="none"/>
              </w:rPr>
            </w:pPr>
            <w:r>
              <w:rPr>
                <w:rFonts w:hint="eastAsia" w:ascii="宋体" w:hAnsi="宋体" w:cs="宋体"/>
                <w:b/>
                <w:bCs/>
                <w:szCs w:val="21"/>
                <w:highlight w:val="none"/>
              </w:rPr>
              <w:t>注：1.以上标明“必须提供”的材料属于复印件或扫描件的，必须加盖供应商电子签章，否则响应文件按无效处理。</w:t>
            </w:r>
          </w:p>
          <w:p w14:paraId="16A6C9A5">
            <w:pPr>
              <w:spacing w:line="360" w:lineRule="auto"/>
              <w:rPr>
                <w:rFonts w:ascii="宋体" w:hAnsi="宋体" w:cs="宋体"/>
                <w:szCs w:val="21"/>
                <w:highlight w:val="none"/>
              </w:rPr>
            </w:pPr>
            <w:r>
              <w:rPr>
                <w:rFonts w:hint="eastAsia" w:ascii="宋体" w:hAnsi="宋体" w:cs="宋体"/>
                <w:b/>
                <w:bCs/>
                <w:szCs w:val="21"/>
                <w:highlight w:val="none"/>
              </w:rPr>
              <w:t>2.联合体竞标时，第 1-</w:t>
            </w:r>
            <w:r>
              <w:rPr>
                <w:rFonts w:hint="eastAsia" w:ascii="宋体" w:hAnsi="宋体" w:cs="宋体"/>
                <w:b/>
                <w:bCs/>
                <w:szCs w:val="21"/>
                <w:highlight w:val="none"/>
                <w:lang w:val="en-US" w:eastAsia="zh-CN"/>
              </w:rPr>
              <w:t>7</w:t>
            </w:r>
            <w:r>
              <w:rPr>
                <w:rFonts w:hint="eastAsia" w:ascii="宋体" w:hAnsi="宋体" w:cs="宋体"/>
                <w:b/>
                <w:bCs/>
                <w:szCs w:val="21"/>
                <w:highlight w:val="none"/>
              </w:rPr>
              <w:t xml:space="preserve">项、第 </w:t>
            </w:r>
            <w:r>
              <w:rPr>
                <w:rFonts w:hint="eastAsia" w:ascii="宋体" w:hAnsi="宋体" w:cs="宋体"/>
                <w:b/>
                <w:bCs/>
                <w:szCs w:val="21"/>
                <w:highlight w:val="none"/>
                <w:lang w:val="en-US" w:eastAsia="zh-CN"/>
              </w:rPr>
              <w:t>10</w:t>
            </w:r>
            <w:r>
              <w:rPr>
                <w:rFonts w:hint="eastAsia" w:ascii="宋体" w:hAnsi="宋体" w:cs="宋体"/>
                <w:b/>
                <w:bCs/>
                <w:szCs w:val="21"/>
                <w:highlight w:val="none"/>
              </w:rPr>
              <w:t xml:space="preserve"> 项资格证明文件联合体各方均必须分别提供，并由联合体牵头人加盖电子签章，规定签字处签字（或者电子签名），否则响应文件按无效处理。</w:t>
            </w:r>
          </w:p>
        </w:tc>
      </w:tr>
      <w:tr w14:paraId="428CE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362CF2">
            <w:pPr>
              <w:spacing w:line="360" w:lineRule="auto"/>
              <w:jc w:val="center"/>
              <w:rPr>
                <w:rFonts w:ascii="宋体" w:hAnsi="宋体" w:cs="宋体"/>
                <w:szCs w:val="21"/>
                <w:highlight w:val="none"/>
              </w:rPr>
            </w:pPr>
            <w:r>
              <w:rPr>
                <w:rFonts w:hint="eastAsia" w:ascii="宋体" w:hAnsi="宋体" w:cs="宋体"/>
                <w:szCs w:val="21"/>
                <w:highlight w:val="none"/>
              </w:rPr>
              <w:t>12.1.2</w:t>
            </w:r>
          </w:p>
        </w:tc>
        <w:tc>
          <w:tcPr>
            <w:tcW w:w="7912" w:type="dxa"/>
            <w:vAlign w:val="center"/>
          </w:tcPr>
          <w:p w14:paraId="446B412D">
            <w:pPr>
              <w:spacing w:line="360" w:lineRule="auto"/>
              <w:rPr>
                <w:rFonts w:ascii="宋体" w:hAnsi="宋体" w:cs="宋体"/>
                <w:b/>
                <w:bCs/>
                <w:szCs w:val="21"/>
                <w:highlight w:val="none"/>
              </w:rPr>
            </w:pPr>
            <w:r>
              <w:rPr>
                <w:rFonts w:hint="eastAsia" w:ascii="宋体" w:hAnsi="宋体" w:cs="宋体"/>
                <w:b/>
                <w:bCs/>
                <w:szCs w:val="21"/>
                <w:highlight w:val="none"/>
              </w:rPr>
              <w:t>报价商务技术文件</w:t>
            </w:r>
          </w:p>
          <w:p w14:paraId="3D831857">
            <w:pPr>
              <w:numPr>
                <w:ilvl w:val="0"/>
                <w:numId w:val="2"/>
              </w:numPr>
              <w:spacing w:line="360" w:lineRule="auto"/>
              <w:rPr>
                <w:rFonts w:ascii="宋体" w:hAnsi="宋体" w:cs="宋体"/>
                <w:szCs w:val="21"/>
                <w:highlight w:val="none"/>
              </w:rPr>
            </w:pPr>
            <w:r>
              <w:rPr>
                <w:rFonts w:hint="eastAsia" w:ascii="宋体" w:hAnsi="宋体" w:cs="宋体"/>
                <w:szCs w:val="21"/>
                <w:highlight w:val="none"/>
              </w:rPr>
              <w:t>竞标报价表（格式后附）；</w:t>
            </w:r>
            <w:r>
              <w:rPr>
                <w:rFonts w:hint="eastAsia" w:ascii="宋体" w:hAnsi="宋体" w:cs="宋体"/>
                <w:b/>
                <w:bCs/>
                <w:szCs w:val="21"/>
                <w:highlight w:val="none"/>
              </w:rPr>
              <w:t>（必须提供，否则响应文件按无效响应处理）</w:t>
            </w:r>
          </w:p>
          <w:p w14:paraId="7211FAFD">
            <w:pPr>
              <w:numPr>
                <w:ilvl w:val="0"/>
                <w:numId w:val="2"/>
              </w:numPr>
              <w:spacing w:line="360" w:lineRule="auto"/>
              <w:rPr>
                <w:rFonts w:ascii="宋体" w:hAnsi="宋体" w:cs="宋体"/>
                <w:szCs w:val="21"/>
                <w:highlight w:val="none"/>
              </w:rPr>
            </w:pPr>
            <w:r>
              <w:rPr>
                <w:rFonts w:hint="eastAsia" w:ascii="宋体" w:hAnsi="宋体" w:cs="宋体"/>
                <w:szCs w:val="21"/>
                <w:highlight w:val="none"/>
              </w:rPr>
              <w:t>商务条款偏离表（格式后附）；</w:t>
            </w:r>
            <w:r>
              <w:rPr>
                <w:rFonts w:hint="eastAsia" w:ascii="宋体" w:hAnsi="宋体" w:cs="宋体"/>
                <w:b/>
                <w:bCs/>
                <w:szCs w:val="21"/>
                <w:highlight w:val="none"/>
              </w:rPr>
              <w:t>（必须提供，否则响应文件按无效响应处理）</w:t>
            </w:r>
          </w:p>
          <w:p w14:paraId="49A81BDF">
            <w:pPr>
              <w:numPr>
                <w:ilvl w:val="0"/>
                <w:numId w:val="2"/>
              </w:numPr>
              <w:spacing w:line="360" w:lineRule="auto"/>
              <w:rPr>
                <w:rFonts w:ascii="宋体" w:hAnsi="宋体" w:cs="宋体"/>
                <w:szCs w:val="21"/>
                <w:highlight w:val="none"/>
              </w:rPr>
            </w:pPr>
            <w:r>
              <w:rPr>
                <w:rFonts w:hint="eastAsia" w:ascii="宋体" w:hAnsi="宋体" w:cs="宋体"/>
                <w:szCs w:val="21"/>
                <w:highlight w:val="none"/>
              </w:rPr>
              <w:t>技术需求偏离表（格式后附）；</w:t>
            </w:r>
            <w:r>
              <w:rPr>
                <w:rFonts w:hint="eastAsia" w:ascii="宋体" w:hAnsi="宋体" w:cs="宋体"/>
                <w:b/>
                <w:bCs/>
                <w:szCs w:val="21"/>
                <w:highlight w:val="none"/>
              </w:rPr>
              <w:t>（必须提供，否则响应文件按无效响应处理）</w:t>
            </w:r>
          </w:p>
          <w:p w14:paraId="487341A1">
            <w:pPr>
              <w:numPr>
                <w:ilvl w:val="0"/>
                <w:numId w:val="2"/>
              </w:numPr>
              <w:spacing w:line="360" w:lineRule="auto"/>
              <w:rPr>
                <w:rFonts w:ascii="宋体" w:hAnsi="宋体" w:cs="宋体"/>
                <w:szCs w:val="21"/>
                <w:highlight w:val="none"/>
              </w:rPr>
            </w:pPr>
            <w:r>
              <w:rPr>
                <w:rFonts w:hint="eastAsia" w:ascii="宋体" w:hAnsi="宋体" w:cs="宋体"/>
                <w:szCs w:val="21"/>
                <w:highlight w:val="none"/>
              </w:rPr>
              <w:t>无串通竞标行为的承诺函（格式后附）；</w:t>
            </w:r>
            <w:r>
              <w:rPr>
                <w:rFonts w:hint="eastAsia" w:ascii="宋体" w:hAnsi="宋体" w:cs="宋体"/>
                <w:b/>
                <w:bCs/>
                <w:szCs w:val="21"/>
                <w:highlight w:val="none"/>
              </w:rPr>
              <w:t>（必须提供，否则响应文件按无效响应处理）</w:t>
            </w:r>
          </w:p>
          <w:p w14:paraId="4AC009F4">
            <w:pPr>
              <w:numPr>
                <w:ilvl w:val="0"/>
                <w:numId w:val="2"/>
              </w:numPr>
              <w:spacing w:line="360" w:lineRule="auto"/>
              <w:rPr>
                <w:rFonts w:ascii="宋体" w:hAnsi="宋体" w:cs="宋体"/>
                <w:szCs w:val="21"/>
                <w:highlight w:val="none"/>
              </w:rPr>
            </w:pPr>
            <w:r>
              <w:rPr>
                <w:rFonts w:hint="eastAsia" w:ascii="宋体" w:hAnsi="宋体" w:cs="宋体"/>
                <w:szCs w:val="21"/>
                <w:highlight w:val="none"/>
              </w:rPr>
              <w:t>法定代表人身份证明书及法定代表人有效身份证正反面扫描件（格式后附）；</w:t>
            </w:r>
            <w:r>
              <w:rPr>
                <w:rFonts w:hint="eastAsia" w:ascii="宋体" w:hAnsi="宋体" w:cs="宋体"/>
                <w:b/>
                <w:bCs/>
                <w:szCs w:val="21"/>
                <w:highlight w:val="none"/>
              </w:rPr>
              <w:t>（除自然人竞标外必须提供，否则响应文件按无效响应处理）</w:t>
            </w:r>
          </w:p>
          <w:p w14:paraId="64583C06">
            <w:pPr>
              <w:numPr>
                <w:ilvl w:val="0"/>
                <w:numId w:val="2"/>
              </w:numPr>
              <w:spacing w:line="360" w:lineRule="auto"/>
              <w:rPr>
                <w:rFonts w:ascii="宋体" w:hAnsi="宋体" w:cs="宋体"/>
                <w:szCs w:val="21"/>
                <w:highlight w:val="none"/>
              </w:rPr>
            </w:pPr>
            <w:r>
              <w:rPr>
                <w:rFonts w:hint="eastAsia" w:ascii="宋体" w:hAnsi="宋体" w:cs="宋体"/>
                <w:szCs w:val="21"/>
                <w:highlight w:val="none"/>
              </w:rPr>
              <w:t>授权委托书及委托代理人有效身份证正反面扫描件（格式后附）；</w:t>
            </w:r>
            <w:r>
              <w:rPr>
                <w:rFonts w:hint="eastAsia" w:ascii="宋体" w:hAnsi="宋体" w:cs="宋体"/>
                <w:b/>
                <w:bCs/>
                <w:szCs w:val="21"/>
                <w:highlight w:val="none"/>
              </w:rPr>
              <w:t>（委托时必须提供，否则响应文件按无效响应处理）</w:t>
            </w:r>
          </w:p>
          <w:p w14:paraId="570FA7E8">
            <w:pPr>
              <w:numPr>
                <w:ilvl w:val="0"/>
                <w:numId w:val="2"/>
              </w:numPr>
              <w:spacing w:line="360" w:lineRule="auto"/>
              <w:rPr>
                <w:rFonts w:ascii="宋体" w:hAnsi="宋体" w:cs="宋体"/>
                <w:szCs w:val="21"/>
                <w:highlight w:val="none"/>
              </w:rPr>
            </w:pPr>
            <w:r>
              <w:rPr>
                <w:rFonts w:hint="eastAsia" w:ascii="宋体" w:hAnsi="宋体" w:cs="宋体"/>
                <w:szCs w:val="21"/>
                <w:highlight w:val="none"/>
              </w:rPr>
              <w:t>竞标保证金缴纳凭证；</w:t>
            </w:r>
            <w:r>
              <w:rPr>
                <w:rFonts w:hint="eastAsia" w:ascii="宋体" w:hAnsi="宋体" w:cs="宋体"/>
                <w:b/>
                <w:bCs/>
                <w:szCs w:val="21"/>
                <w:highlight w:val="none"/>
              </w:rPr>
              <w:t>（必须提供，否则响应文件按无效响应处理）</w:t>
            </w:r>
          </w:p>
          <w:p w14:paraId="5C709407">
            <w:pPr>
              <w:numPr>
                <w:ilvl w:val="0"/>
                <w:numId w:val="2"/>
              </w:numPr>
              <w:spacing w:line="360" w:lineRule="auto"/>
              <w:rPr>
                <w:rFonts w:ascii="宋体" w:hAnsi="宋体" w:cs="宋体"/>
                <w:szCs w:val="21"/>
                <w:highlight w:val="none"/>
              </w:rPr>
            </w:pPr>
            <w:r>
              <w:rPr>
                <w:rFonts w:hint="eastAsia" w:ascii="宋体" w:hAnsi="宋体" w:cs="宋体"/>
                <w:szCs w:val="21"/>
                <w:highlight w:val="none"/>
              </w:rPr>
              <w:t>拟投入人员情况表（请结合《采购需求》及《评审办法》自行编写），表后附人员的相关证书证明；</w:t>
            </w:r>
            <w:r>
              <w:rPr>
                <w:rFonts w:hint="eastAsia" w:ascii="宋体" w:hAnsi="宋体" w:cs="宋体"/>
                <w:b/>
                <w:bCs/>
                <w:szCs w:val="21"/>
                <w:highlight w:val="none"/>
              </w:rPr>
              <w:t>（必须提供，否则响应文件按无效响应处理）</w:t>
            </w:r>
          </w:p>
          <w:p w14:paraId="6D4C8446">
            <w:pPr>
              <w:numPr>
                <w:ilvl w:val="0"/>
                <w:numId w:val="2"/>
              </w:numPr>
              <w:spacing w:line="360" w:lineRule="auto"/>
              <w:rPr>
                <w:rFonts w:ascii="宋体" w:hAnsi="宋体" w:cs="宋体"/>
                <w:szCs w:val="21"/>
                <w:highlight w:val="none"/>
              </w:rPr>
            </w:pPr>
            <w:r>
              <w:rPr>
                <w:rFonts w:hint="eastAsia" w:ascii="宋体" w:hAnsi="宋体" w:cs="宋体"/>
                <w:szCs w:val="21"/>
                <w:highlight w:val="none"/>
              </w:rPr>
              <w:t>供应商针对本项目采购需求制定的实施方案等（请结合《采购需求》及《评审办法》自行编写）；</w:t>
            </w:r>
            <w:r>
              <w:rPr>
                <w:rFonts w:hint="eastAsia" w:ascii="宋体" w:hAnsi="宋体" w:cs="宋体"/>
                <w:b w:val="0"/>
                <w:bCs w:val="0"/>
                <w:szCs w:val="21"/>
                <w:highlight w:val="none"/>
              </w:rPr>
              <w:t>（必须提供，否则响应文件按无效响应处理）</w:t>
            </w:r>
          </w:p>
          <w:p w14:paraId="4ECE1445">
            <w:pPr>
              <w:numPr>
                <w:ilvl w:val="0"/>
                <w:numId w:val="2"/>
              </w:numPr>
              <w:spacing w:line="360" w:lineRule="auto"/>
              <w:rPr>
                <w:rFonts w:ascii="宋体" w:hAnsi="宋体" w:cs="宋体"/>
                <w:szCs w:val="21"/>
                <w:highlight w:val="none"/>
              </w:rPr>
            </w:pPr>
            <w:r>
              <w:rPr>
                <w:rFonts w:hint="eastAsia" w:ascii="宋体" w:hAnsi="宋体" w:cs="宋体"/>
                <w:szCs w:val="21"/>
                <w:highlight w:val="none"/>
              </w:rPr>
              <w:t>供应商综合实力证明材料；</w:t>
            </w:r>
          </w:p>
          <w:p w14:paraId="7A8D475E">
            <w:pPr>
              <w:widowControl/>
              <w:numPr>
                <w:ilvl w:val="0"/>
                <w:numId w:val="2"/>
              </w:numPr>
              <w:spacing w:line="360" w:lineRule="auto"/>
              <w:rPr>
                <w:rFonts w:ascii="宋体" w:hAnsi="宋体" w:cs="宋体"/>
                <w:szCs w:val="21"/>
                <w:highlight w:val="none"/>
              </w:rPr>
            </w:pPr>
            <w:r>
              <w:rPr>
                <w:rFonts w:hint="eastAsia" w:ascii="宋体" w:hAnsi="宋体" w:cs="宋体"/>
                <w:szCs w:val="21"/>
                <w:highlight w:val="none"/>
              </w:rPr>
              <w:t>供应商认为需要提供的其他有关资料。</w:t>
            </w:r>
          </w:p>
          <w:p w14:paraId="356105F5">
            <w:pPr>
              <w:spacing w:line="360" w:lineRule="auto"/>
              <w:rPr>
                <w:rFonts w:ascii="宋体" w:hAnsi="宋体" w:cs="宋体"/>
                <w:szCs w:val="21"/>
                <w:highlight w:val="none"/>
              </w:rPr>
            </w:pPr>
            <w:r>
              <w:rPr>
                <w:rFonts w:hint="eastAsia" w:ascii="宋体" w:hAnsi="宋体" w:cs="宋体"/>
                <w:b/>
                <w:bCs/>
                <w:szCs w:val="21"/>
                <w:highlight w:val="none"/>
              </w:rPr>
              <w:t xml:space="preserve">注：以上标明“必须提供”的材料属于复印件或复印件的，必须加盖供应商电子签章，否则响应文件按无效响应处理。 </w:t>
            </w:r>
          </w:p>
        </w:tc>
      </w:tr>
      <w:tr w14:paraId="2C47F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131DC27">
            <w:pPr>
              <w:spacing w:line="360" w:lineRule="auto"/>
              <w:jc w:val="center"/>
              <w:rPr>
                <w:rFonts w:ascii="宋体" w:hAnsi="宋体" w:cs="宋体"/>
                <w:szCs w:val="21"/>
                <w:highlight w:val="none"/>
              </w:rPr>
            </w:pPr>
            <w:r>
              <w:rPr>
                <w:rFonts w:hint="eastAsia" w:ascii="宋体" w:hAnsi="宋体" w:cs="宋体"/>
                <w:szCs w:val="21"/>
                <w:highlight w:val="none"/>
              </w:rPr>
              <w:t>15.2</w:t>
            </w:r>
          </w:p>
        </w:tc>
        <w:tc>
          <w:tcPr>
            <w:tcW w:w="7912" w:type="dxa"/>
            <w:vAlign w:val="center"/>
          </w:tcPr>
          <w:p w14:paraId="3DD7DDF7">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竞标报价必须</w:t>
            </w:r>
            <w:r>
              <w:rPr>
                <w:rFonts w:hint="eastAsia" w:ascii="宋体" w:hAnsi="宋体" w:cs="宋体"/>
                <w:szCs w:val="21"/>
              </w:rPr>
              <w:t>包含但不限于完成本项目所有工作任务所需的一切费用(含完成合同项目过程中所需的劳务、材料、设备、仪器、运输、协调、咨询、管理、保险、税费、利润培训等费用，以及合同中约定的所有责任、义务和一般风险等的一切费用)。</w:t>
            </w:r>
          </w:p>
        </w:tc>
      </w:tr>
      <w:tr w14:paraId="28C44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296CB5D">
            <w:pPr>
              <w:spacing w:line="360" w:lineRule="auto"/>
              <w:jc w:val="center"/>
              <w:rPr>
                <w:rFonts w:ascii="宋体" w:hAnsi="宋体" w:cs="宋体"/>
                <w:szCs w:val="21"/>
                <w:highlight w:val="none"/>
              </w:rPr>
            </w:pPr>
            <w:r>
              <w:rPr>
                <w:rFonts w:hint="eastAsia" w:ascii="宋体" w:hAnsi="宋体" w:cs="宋体"/>
                <w:szCs w:val="21"/>
                <w:highlight w:val="none"/>
              </w:rPr>
              <w:t>16.2</w:t>
            </w:r>
          </w:p>
        </w:tc>
        <w:tc>
          <w:tcPr>
            <w:tcW w:w="7912" w:type="dxa"/>
            <w:vAlign w:val="center"/>
          </w:tcPr>
          <w:p w14:paraId="3B2F8EAD">
            <w:pPr>
              <w:spacing w:line="360" w:lineRule="auto"/>
              <w:jc w:val="left"/>
              <w:rPr>
                <w:rFonts w:ascii="宋体" w:hAnsi="宋体" w:cs="宋体"/>
                <w:szCs w:val="21"/>
                <w:highlight w:val="none"/>
              </w:rPr>
            </w:pPr>
            <w:r>
              <w:rPr>
                <w:rFonts w:hint="eastAsia" w:ascii="宋体" w:hAnsi="宋体" w:cs="宋体"/>
                <w:szCs w:val="21"/>
                <w:highlight w:val="none"/>
              </w:rPr>
              <w:t>竞标有效期：自首次响应文件提交截止之日起</w:t>
            </w:r>
            <w:r>
              <w:rPr>
                <w:rFonts w:hint="eastAsia" w:ascii="宋体" w:hAnsi="宋体" w:cs="宋体"/>
                <w:szCs w:val="21"/>
                <w:highlight w:val="none"/>
                <w:u w:val="single"/>
              </w:rPr>
              <w:t xml:space="preserve"> 60 </w:t>
            </w:r>
            <w:r>
              <w:rPr>
                <w:rFonts w:hint="eastAsia" w:ascii="宋体" w:hAnsi="宋体" w:cs="宋体"/>
                <w:szCs w:val="21"/>
                <w:highlight w:val="none"/>
              </w:rPr>
              <w:t>日。</w:t>
            </w:r>
          </w:p>
        </w:tc>
      </w:tr>
      <w:tr w14:paraId="111AC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8DCF9FD">
            <w:pPr>
              <w:spacing w:line="360" w:lineRule="auto"/>
              <w:jc w:val="center"/>
              <w:rPr>
                <w:rFonts w:ascii="宋体" w:hAnsi="宋体" w:cs="宋体"/>
                <w:szCs w:val="21"/>
                <w:highlight w:val="none"/>
              </w:rPr>
            </w:pPr>
            <w:r>
              <w:rPr>
                <w:rFonts w:hint="eastAsia" w:ascii="宋体" w:hAnsi="宋体" w:cs="宋体"/>
                <w:szCs w:val="21"/>
                <w:highlight w:val="none"/>
              </w:rPr>
              <w:t>17.1</w:t>
            </w:r>
          </w:p>
        </w:tc>
        <w:tc>
          <w:tcPr>
            <w:tcW w:w="7912" w:type="dxa"/>
            <w:vAlign w:val="center"/>
          </w:tcPr>
          <w:p w14:paraId="4CEF5722">
            <w:pPr>
              <w:spacing w:line="360" w:lineRule="auto"/>
              <w:rPr>
                <w:rFonts w:ascii="宋体" w:hAnsi="宋体" w:cs="宋体"/>
                <w:szCs w:val="21"/>
                <w:highlight w:val="none"/>
              </w:rPr>
            </w:pPr>
            <w:r>
              <w:rPr>
                <w:rFonts w:hint="eastAsia" w:ascii="宋体" w:hAnsi="宋体" w:cs="宋体"/>
                <w:szCs w:val="21"/>
                <w:highlight w:val="none"/>
              </w:rPr>
              <w:t>磋商保证金：人民币壹仟元整（</w:t>
            </w:r>
            <w:r>
              <w:rPr>
                <w:rFonts w:ascii="Arial" w:hAnsi="Arial" w:cs="Arial"/>
                <w:szCs w:val="21"/>
                <w:highlight w:val="none"/>
              </w:rPr>
              <w:t>¥</w:t>
            </w:r>
            <w:r>
              <w:rPr>
                <w:rFonts w:hint="eastAsia" w:ascii="宋体" w:hAnsi="宋体" w:cs="宋体"/>
                <w:szCs w:val="21"/>
                <w:highlight w:val="none"/>
              </w:rPr>
              <w:t>1000.00）。</w:t>
            </w:r>
          </w:p>
          <w:p w14:paraId="110D1BC8">
            <w:pPr>
              <w:spacing w:line="360" w:lineRule="auto"/>
              <w:rPr>
                <w:rFonts w:ascii="宋体" w:hAnsi="宋体" w:cs="宋体"/>
                <w:szCs w:val="21"/>
                <w:highlight w:val="none"/>
              </w:rPr>
            </w:pPr>
            <w:r>
              <w:rPr>
                <w:rFonts w:hint="eastAsia" w:ascii="宋体" w:hAnsi="宋体" w:cs="宋体"/>
                <w:szCs w:val="21"/>
                <w:highlight w:val="none"/>
              </w:rPr>
              <w:t>磋商供应商可自主选择以</w:t>
            </w:r>
            <w:r>
              <w:rPr>
                <w:rFonts w:hint="eastAsia" w:ascii="宋体" w:hAnsi="宋体" w:cs="宋体"/>
                <w:kern w:val="0"/>
                <w:szCs w:val="21"/>
                <w:highlight w:val="none"/>
              </w:rPr>
              <w:t>行转账、支票、汇票、本票或者银行、保险机构出具的保函</w:t>
            </w:r>
            <w:r>
              <w:rPr>
                <w:rFonts w:hint="eastAsia" w:ascii="宋体" w:hAnsi="宋体" w:cs="宋体"/>
                <w:highlight w:val="none"/>
              </w:rPr>
              <w:t>（包含电子保函）</w:t>
            </w:r>
            <w:r>
              <w:rPr>
                <w:rFonts w:hint="eastAsia" w:ascii="宋体" w:hAnsi="宋体" w:cs="宋体"/>
                <w:szCs w:val="21"/>
                <w:highlight w:val="none"/>
              </w:rPr>
              <w:t>等非现金形式提交。采用银行转账、电汇形式的，磋商保证金必须从供应商银行账户转出，并于响应文件递交截止时间前到达广西城建咨询设计有限公司指定账户【开户银行：中国建设银行股份有限公司南宁民族大道东支行，收款户名：广西城建咨询设计有限公司，收款账号：4500 1604 6530 5070 3663】；采用支票、汇票、本票、保函形式的，磋商供应商应于响应文件递交截止时间前递交单独密封的支票、汇票、本票、保函原件；否则视为无效磋商保证金。本项目不接受现金形式或从个人账户转出的保证金。</w:t>
            </w:r>
          </w:p>
          <w:p w14:paraId="4CAE1DC0">
            <w:pPr>
              <w:spacing w:line="360" w:lineRule="auto"/>
              <w:rPr>
                <w:rFonts w:ascii="宋体" w:hAnsi="宋体" w:cs="宋体"/>
                <w:b/>
                <w:bCs/>
                <w:szCs w:val="21"/>
                <w:highlight w:val="none"/>
              </w:rPr>
            </w:pPr>
            <w:r>
              <w:rPr>
                <w:rFonts w:hint="eastAsia" w:ascii="宋体" w:hAnsi="宋体" w:cs="宋体"/>
                <w:b/>
                <w:bCs/>
                <w:szCs w:val="21"/>
                <w:highlight w:val="none"/>
              </w:rPr>
              <w:t>相关要求：</w:t>
            </w:r>
          </w:p>
          <w:p w14:paraId="05C21A81">
            <w:pPr>
              <w:spacing w:line="360" w:lineRule="auto"/>
              <w:rPr>
                <w:rFonts w:ascii="宋体" w:hAnsi="宋体" w:cs="宋体"/>
                <w:szCs w:val="21"/>
                <w:highlight w:val="none"/>
              </w:rPr>
            </w:pPr>
            <w:r>
              <w:rPr>
                <w:rFonts w:hint="eastAsia" w:ascii="宋体" w:hAnsi="宋体" w:cs="宋体"/>
                <w:szCs w:val="21"/>
                <w:highlight w:val="none"/>
              </w:rPr>
              <w:t>1.磋商保证金采用银行转账交纳方式的，在响应文件提交截止时间前交至采购代理机构指定账户并且到账，供应商应将银行转账底单的扫描件作为磋商保证金提交凭证，放置于报价商务技术文件中，否则响应文件按无效响应处理。</w:t>
            </w:r>
          </w:p>
          <w:p w14:paraId="12637FF7">
            <w:pPr>
              <w:spacing w:line="360" w:lineRule="auto"/>
              <w:rPr>
                <w:rFonts w:ascii="宋体" w:hAnsi="宋体" w:cs="宋体"/>
                <w:szCs w:val="21"/>
                <w:highlight w:val="none"/>
              </w:rPr>
            </w:pPr>
            <w:r>
              <w:rPr>
                <w:rFonts w:hint="eastAsia" w:ascii="宋体" w:hAnsi="宋体" w:cs="宋体"/>
                <w:szCs w:val="21"/>
                <w:highlight w:val="none"/>
              </w:rPr>
              <w:t>2.磋商保证金采用支票、汇票、本票或者银行、保险机构出具的保函交纳方式的，供应商应将支票、汇票、本票或者银行、保险机构出具的保函（包含电子保函）的扫描件作为磋商保证金提交凭证，放置于报价商务技术文件中，否则响应文件按无效处理。供应商必须于递交竞标文件时将支票、汇票、本票或者银行、保险机构出具的保函原件提交给采购人或者采购代理机构。</w:t>
            </w:r>
          </w:p>
          <w:p w14:paraId="57C9EB90">
            <w:pPr>
              <w:spacing w:line="360" w:lineRule="auto"/>
              <w:rPr>
                <w:rFonts w:ascii="宋体" w:hAnsi="宋体" w:cs="宋体"/>
                <w:szCs w:val="21"/>
                <w:highlight w:val="none"/>
              </w:rPr>
            </w:pPr>
            <w:r>
              <w:rPr>
                <w:rFonts w:hint="eastAsia" w:ascii="宋体" w:hAnsi="宋体" w:cs="宋体"/>
                <w:szCs w:val="21"/>
                <w:highlight w:val="none"/>
              </w:rPr>
              <w:t>3.供应商为联合体的，可以由联合体中的一方或者多方共同交纳磋商保证金，其交纳的保证金对联合体各方均具有约束力。</w:t>
            </w:r>
          </w:p>
          <w:p w14:paraId="40210871">
            <w:pPr>
              <w:spacing w:line="360" w:lineRule="auto"/>
              <w:rPr>
                <w:rFonts w:ascii="宋体" w:hAnsi="宋体" w:cs="宋体"/>
                <w:b/>
                <w:bCs/>
                <w:szCs w:val="21"/>
                <w:highlight w:val="none"/>
              </w:rPr>
            </w:pPr>
            <w:r>
              <w:rPr>
                <w:rFonts w:hint="eastAsia" w:ascii="宋体" w:hAnsi="宋体" w:cs="宋体"/>
                <w:b/>
                <w:bCs/>
                <w:szCs w:val="21"/>
                <w:highlight w:val="none"/>
              </w:rPr>
              <w:t>备注：</w:t>
            </w:r>
          </w:p>
          <w:p w14:paraId="27B0CC92">
            <w:pPr>
              <w:spacing w:line="360" w:lineRule="auto"/>
              <w:rPr>
                <w:rFonts w:ascii="宋体" w:hAnsi="宋体" w:cs="宋体"/>
                <w:b/>
                <w:bCs/>
                <w:szCs w:val="21"/>
                <w:highlight w:val="none"/>
              </w:rPr>
            </w:pPr>
            <w:r>
              <w:rPr>
                <w:rFonts w:hint="eastAsia" w:ascii="宋体" w:hAnsi="宋体" w:cs="宋体"/>
                <w:b/>
                <w:bCs/>
                <w:szCs w:val="21"/>
                <w:highlight w:val="none"/>
              </w:rPr>
              <w:t>1.磋商保证金在响应文件提交截止时间后提交的，或者不按规定交纳方式交纳的，或者未足额交纳的（包含保函额度不足的），视为无效磋商保证金。</w:t>
            </w:r>
          </w:p>
          <w:p w14:paraId="028C23BB">
            <w:pPr>
              <w:spacing w:line="360" w:lineRule="auto"/>
              <w:rPr>
                <w:rFonts w:ascii="宋体" w:hAnsi="宋体" w:cs="宋体"/>
                <w:b/>
                <w:bCs/>
                <w:szCs w:val="21"/>
                <w:highlight w:val="none"/>
              </w:rPr>
            </w:pPr>
            <w:r>
              <w:rPr>
                <w:rFonts w:hint="eastAsia" w:ascii="宋体" w:hAnsi="宋体" w:cs="宋体"/>
                <w:b/>
                <w:bCs/>
                <w:szCs w:val="21"/>
                <w:highlight w:val="none"/>
              </w:rPr>
              <w:t>2.供应商采用现钞方式或者从个人账户（自然人竞标除外）转出的磋商保证金，视为无效磋商保证金。</w:t>
            </w:r>
          </w:p>
          <w:p w14:paraId="3B545A42">
            <w:pPr>
              <w:spacing w:line="360" w:lineRule="auto"/>
              <w:rPr>
                <w:rFonts w:ascii="宋体" w:hAnsi="宋体" w:cs="宋体"/>
                <w:b/>
                <w:bCs/>
                <w:szCs w:val="21"/>
                <w:highlight w:val="none"/>
              </w:rPr>
            </w:pPr>
            <w:r>
              <w:rPr>
                <w:rFonts w:hint="eastAsia" w:ascii="宋体" w:hAnsi="宋体" w:cs="宋体"/>
                <w:b/>
                <w:bCs/>
                <w:szCs w:val="21"/>
                <w:highlight w:val="none"/>
              </w:rPr>
              <w:t>3.支票、汇票或者本票出现无效或者背书情形的，视为无效磋商保证金。</w:t>
            </w:r>
          </w:p>
          <w:p w14:paraId="68B0586D">
            <w:pPr>
              <w:spacing w:line="360" w:lineRule="auto"/>
              <w:rPr>
                <w:rFonts w:ascii="宋体" w:hAnsi="宋体" w:cs="宋体"/>
                <w:b/>
                <w:bCs/>
                <w:szCs w:val="21"/>
                <w:highlight w:val="none"/>
              </w:rPr>
            </w:pPr>
            <w:r>
              <w:rPr>
                <w:rFonts w:hint="eastAsia" w:ascii="宋体" w:hAnsi="宋体" w:cs="宋体"/>
                <w:b/>
                <w:bCs/>
                <w:szCs w:val="21"/>
                <w:highlight w:val="none"/>
              </w:rPr>
              <w:t>4.保函有效期少于竞标有效期的，视为无效磋商保证金。</w:t>
            </w:r>
          </w:p>
          <w:p w14:paraId="5103B8DE">
            <w:pPr>
              <w:spacing w:line="360" w:lineRule="auto"/>
              <w:rPr>
                <w:rFonts w:ascii="宋体" w:hAnsi="宋体" w:cs="宋体"/>
                <w:szCs w:val="21"/>
                <w:highlight w:val="none"/>
              </w:rPr>
            </w:pPr>
            <w:r>
              <w:rPr>
                <w:rFonts w:hint="eastAsia" w:ascii="宋体" w:hAnsi="宋体" w:cs="宋体"/>
                <w:b/>
                <w:bCs/>
                <w:szCs w:val="21"/>
                <w:highlight w:val="none"/>
              </w:rPr>
              <w:t>5.采用银行、保险机构出具保函的，必须为无条件保函，否则视为无效磋商保证金。</w:t>
            </w:r>
          </w:p>
        </w:tc>
      </w:tr>
      <w:tr w14:paraId="3FEB1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6D1201">
            <w:pPr>
              <w:spacing w:line="360" w:lineRule="auto"/>
              <w:jc w:val="center"/>
              <w:rPr>
                <w:rFonts w:ascii="宋体" w:hAnsi="宋体" w:cs="宋体"/>
                <w:szCs w:val="21"/>
                <w:highlight w:val="none"/>
              </w:rPr>
            </w:pPr>
            <w:r>
              <w:rPr>
                <w:rFonts w:hint="eastAsia" w:ascii="宋体" w:hAnsi="宋体" w:cs="宋体"/>
                <w:szCs w:val="21"/>
                <w:highlight w:val="none"/>
              </w:rPr>
              <w:t>18.2</w:t>
            </w:r>
          </w:p>
        </w:tc>
        <w:tc>
          <w:tcPr>
            <w:tcW w:w="7912" w:type="dxa"/>
            <w:vAlign w:val="center"/>
          </w:tcPr>
          <w:p w14:paraId="34DD1DF1">
            <w:pPr>
              <w:spacing w:line="360" w:lineRule="auto"/>
              <w:rPr>
                <w:rFonts w:ascii="宋体" w:hAnsi="宋体" w:cs="宋体"/>
                <w:szCs w:val="21"/>
                <w:highlight w:val="none"/>
              </w:rPr>
            </w:pPr>
            <w:r>
              <w:rPr>
                <w:rFonts w:hint="eastAsia" w:ascii="宋体" w:hAnsi="宋体" w:cs="宋体"/>
                <w:szCs w:val="21"/>
                <w:highlight w:val="none"/>
              </w:rPr>
              <w:t>响应文件份数：电子版一份。</w:t>
            </w:r>
          </w:p>
        </w:tc>
      </w:tr>
      <w:tr w14:paraId="1F49E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71E7F8A">
            <w:pPr>
              <w:spacing w:line="360" w:lineRule="auto"/>
              <w:jc w:val="center"/>
              <w:rPr>
                <w:rFonts w:ascii="宋体" w:hAnsi="宋体" w:cs="宋体"/>
                <w:szCs w:val="21"/>
                <w:highlight w:val="none"/>
              </w:rPr>
            </w:pPr>
            <w:r>
              <w:rPr>
                <w:rFonts w:hint="eastAsia" w:ascii="宋体" w:hAnsi="宋体" w:cs="宋体"/>
                <w:szCs w:val="21"/>
                <w:highlight w:val="none"/>
              </w:rPr>
              <w:t>19</w:t>
            </w:r>
          </w:p>
        </w:tc>
        <w:tc>
          <w:tcPr>
            <w:tcW w:w="7912" w:type="dxa"/>
          </w:tcPr>
          <w:p w14:paraId="52B5A153">
            <w:pPr>
              <w:spacing w:line="360" w:lineRule="auto"/>
              <w:rPr>
                <w:rFonts w:ascii="宋体" w:hAnsi="宋体" w:cs="宋体"/>
                <w:szCs w:val="21"/>
                <w:highlight w:val="none"/>
              </w:rPr>
            </w:pPr>
            <w:r>
              <w:rPr>
                <w:rFonts w:hint="eastAsia" w:ascii="宋体" w:hAnsi="宋体" w:cs="宋体"/>
                <w:szCs w:val="21"/>
                <w:highlight w:val="none"/>
              </w:rPr>
              <w:t>本项目不接受电子备份响应文件。</w:t>
            </w:r>
          </w:p>
        </w:tc>
      </w:tr>
      <w:tr w14:paraId="6146D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49BB8B0">
            <w:pPr>
              <w:spacing w:line="360" w:lineRule="auto"/>
              <w:jc w:val="center"/>
              <w:rPr>
                <w:rFonts w:ascii="宋体" w:hAnsi="宋体" w:cs="宋体"/>
                <w:szCs w:val="21"/>
                <w:highlight w:val="none"/>
              </w:rPr>
            </w:pPr>
            <w:r>
              <w:rPr>
                <w:rFonts w:hint="eastAsia" w:ascii="宋体" w:hAnsi="宋体" w:cs="宋体"/>
                <w:szCs w:val="21"/>
                <w:highlight w:val="none"/>
              </w:rPr>
              <w:t>20.1</w:t>
            </w:r>
          </w:p>
        </w:tc>
        <w:tc>
          <w:tcPr>
            <w:tcW w:w="7912" w:type="dxa"/>
          </w:tcPr>
          <w:p w14:paraId="63DBCED4">
            <w:pPr>
              <w:spacing w:line="360" w:lineRule="auto"/>
              <w:rPr>
                <w:rFonts w:ascii="宋体" w:hAnsi="宋体" w:cs="宋体"/>
                <w:szCs w:val="21"/>
                <w:highlight w:val="none"/>
              </w:rPr>
            </w:pPr>
            <w:r>
              <w:rPr>
                <w:rFonts w:hint="eastAsia" w:ascii="宋体" w:hAnsi="宋体" w:cs="宋体"/>
                <w:szCs w:val="21"/>
                <w:highlight w:val="none"/>
              </w:rPr>
              <w:t>响应文件提交起止时间：详见竞争性磋商公告。</w:t>
            </w:r>
          </w:p>
          <w:p w14:paraId="0111DA24">
            <w:pPr>
              <w:spacing w:line="360" w:lineRule="auto"/>
              <w:rPr>
                <w:rFonts w:ascii="宋体" w:hAnsi="宋体" w:cs="宋体"/>
                <w:szCs w:val="21"/>
                <w:highlight w:val="none"/>
              </w:rPr>
            </w:pPr>
            <w:r>
              <w:rPr>
                <w:rFonts w:hint="eastAsia" w:ascii="宋体" w:hAnsi="宋体" w:cs="宋体"/>
                <w:szCs w:val="21"/>
                <w:highlight w:val="none"/>
              </w:rPr>
              <w:t>响应文件提交截止时间：详见竞争性磋商公告。</w:t>
            </w:r>
          </w:p>
          <w:p w14:paraId="15E9C8C2">
            <w:pPr>
              <w:spacing w:line="360" w:lineRule="auto"/>
              <w:rPr>
                <w:rFonts w:ascii="宋体" w:hAnsi="宋体" w:cs="宋体"/>
                <w:szCs w:val="21"/>
                <w:highlight w:val="none"/>
              </w:rPr>
            </w:pPr>
            <w:r>
              <w:rPr>
                <w:rFonts w:hint="eastAsia" w:ascii="宋体" w:hAnsi="宋体" w:cs="宋体"/>
                <w:szCs w:val="21"/>
                <w:highlight w:val="none"/>
              </w:rPr>
              <w:t>响应文件提交地点：详见竞争性磋商公告。</w:t>
            </w:r>
          </w:p>
        </w:tc>
      </w:tr>
      <w:tr w14:paraId="52BE6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657ACC3">
            <w:pPr>
              <w:spacing w:line="360" w:lineRule="auto"/>
              <w:jc w:val="center"/>
              <w:rPr>
                <w:rFonts w:ascii="宋体" w:hAnsi="宋体" w:cs="宋体"/>
                <w:szCs w:val="21"/>
                <w:highlight w:val="none"/>
              </w:rPr>
            </w:pPr>
            <w:r>
              <w:rPr>
                <w:rFonts w:hint="eastAsia" w:ascii="宋体" w:hAnsi="宋体" w:cs="宋体"/>
                <w:szCs w:val="21"/>
                <w:highlight w:val="none"/>
              </w:rPr>
              <w:t>24.1</w:t>
            </w:r>
          </w:p>
        </w:tc>
        <w:tc>
          <w:tcPr>
            <w:tcW w:w="7912" w:type="dxa"/>
            <w:vAlign w:val="center"/>
          </w:tcPr>
          <w:p w14:paraId="6B57C78C">
            <w:pPr>
              <w:spacing w:line="360" w:lineRule="auto"/>
              <w:jc w:val="left"/>
              <w:rPr>
                <w:rFonts w:ascii="宋体" w:hAnsi="宋体" w:cs="宋体"/>
                <w:szCs w:val="21"/>
                <w:highlight w:val="none"/>
                <w:u w:val="single"/>
              </w:rPr>
            </w:pPr>
            <w:r>
              <w:rPr>
                <w:rFonts w:hint="eastAsia" w:ascii="宋体" w:hAnsi="宋体" w:cs="宋体"/>
                <w:szCs w:val="21"/>
                <w:highlight w:val="none"/>
              </w:rPr>
              <w:t>磋商小组的人数：</w:t>
            </w:r>
            <w:r>
              <w:rPr>
                <w:rFonts w:hint="eastAsia" w:ascii="宋体" w:hAnsi="宋体" w:cs="宋体"/>
                <w:szCs w:val="21"/>
                <w:highlight w:val="none"/>
                <w:u w:val="single"/>
              </w:rPr>
              <w:t xml:space="preserve"> 3 </w:t>
            </w:r>
            <w:r>
              <w:rPr>
                <w:rFonts w:hint="eastAsia" w:ascii="宋体" w:hAnsi="宋体" w:cs="宋体"/>
                <w:szCs w:val="21"/>
                <w:highlight w:val="none"/>
              </w:rPr>
              <w:t>人。</w:t>
            </w:r>
          </w:p>
        </w:tc>
      </w:tr>
      <w:tr w14:paraId="1217A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067771A4">
            <w:pPr>
              <w:spacing w:line="360" w:lineRule="auto"/>
              <w:jc w:val="center"/>
              <w:rPr>
                <w:rFonts w:ascii="宋体" w:hAnsi="宋体" w:cs="宋体"/>
                <w:szCs w:val="21"/>
                <w:highlight w:val="none"/>
              </w:rPr>
            </w:pPr>
            <w:r>
              <w:rPr>
                <w:rFonts w:hint="eastAsia" w:ascii="宋体" w:hAnsi="宋体" w:cs="宋体"/>
                <w:szCs w:val="21"/>
                <w:highlight w:val="none"/>
              </w:rPr>
              <w:t>26.2</w:t>
            </w:r>
          </w:p>
        </w:tc>
        <w:tc>
          <w:tcPr>
            <w:tcW w:w="7912" w:type="dxa"/>
            <w:vAlign w:val="center"/>
          </w:tcPr>
          <w:p w14:paraId="61AA2035">
            <w:pPr>
              <w:spacing w:line="360" w:lineRule="auto"/>
              <w:rPr>
                <w:rFonts w:ascii="宋体" w:hAnsi="宋体" w:cs="宋体"/>
                <w:szCs w:val="21"/>
                <w:highlight w:val="none"/>
              </w:rPr>
            </w:pPr>
            <w:r>
              <w:rPr>
                <w:rFonts w:hint="eastAsia" w:ascii="宋体" w:hAnsi="宋体" w:cs="宋体"/>
                <w:szCs w:val="21"/>
                <w:highlight w:val="none"/>
              </w:rPr>
              <w:t>商务条款评审中允许负偏离的条款数为</w:t>
            </w:r>
            <w:r>
              <w:rPr>
                <w:rFonts w:hint="eastAsia" w:ascii="宋体" w:hAnsi="宋体" w:cs="宋体"/>
                <w:szCs w:val="21"/>
                <w:highlight w:val="none"/>
                <w:u w:val="single"/>
              </w:rPr>
              <w:t xml:space="preserve"> 0 </w:t>
            </w:r>
            <w:r>
              <w:rPr>
                <w:rFonts w:hint="eastAsia" w:ascii="宋体" w:hAnsi="宋体" w:cs="宋体"/>
                <w:szCs w:val="21"/>
                <w:highlight w:val="none"/>
              </w:rPr>
              <w:t>项。</w:t>
            </w:r>
          </w:p>
          <w:p w14:paraId="3902D324">
            <w:pPr>
              <w:spacing w:line="360" w:lineRule="auto"/>
              <w:rPr>
                <w:rFonts w:ascii="宋体" w:hAnsi="宋体" w:cs="宋体"/>
                <w:szCs w:val="21"/>
                <w:highlight w:val="none"/>
              </w:rPr>
            </w:pPr>
            <w:r>
              <w:rPr>
                <w:rFonts w:hint="eastAsia" w:ascii="宋体" w:hAnsi="宋体" w:cs="宋体"/>
                <w:szCs w:val="21"/>
                <w:highlight w:val="none"/>
              </w:rPr>
              <w:t>技术需求评审中允许负偏离的条款数为</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0</w:t>
            </w:r>
            <w:r>
              <w:rPr>
                <w:rFonts w:hint="eastAsia" w:ascii="宋体" w:hAnsi="宋体" w:cs="宋体"/>
                <w:szCs w:val="21"/>
                <w:highlight w:val="none"/>
                <w:u w:val="single"/>
              </w:rPr>
              <w:t xml:space="preserve"> </w:t>
            </w:r>
            <w:r>
              <w:rPr>
                <w:rFonts w:hint="eastAsia" w:ascii="宋体" w:hAnsi="宋体" w:cs="宋体"/>
                <w:szCs w:val="21"/>
                <w:highlight w:val="none"/>
              </w:rPr>
              <w:t>项。</w:t>
            </w:r>
          </w:p>
        </w:tc>
      </w:tr>
      <w:tr w14:paraId="01A24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FBB8266">
            <w:pPr>
              <w:spacing w:line="360" w:lineRule="auto"/>
              <w:jc w:val="center"/>
              <w:rPr>
                <w:rFonts w:ascii="宋体" w:hAnsi="宋体" w:cs="宋体"/>
                <w:szCs w:val="21"/>
                <w:highlight w:val="none"/>
              </w:rPr>
            </w:pPr>
            <w:r>
              <w:rPr>
                <w:rFonts w:hint="eastAsia" w:ascii="宋体" w:hAnsi="宋体" w:cs="宋体"/>
                <w:szCs w:val="21"/>
                <w:highlight w:val="none"/>
              </w:rPr>
              <w:t>28.1</w:t>
            </w:r>
          </w:p>
        </w:tc>
        <w:tc>
          <w:tcPr>
            <w:tcW w:w="7912" w:type="dxa"/>
            <w:vAlign w:val="center"/>
          </w:tcPr>
          <w:p w14:paraId="06E1BAC4">
            <w:pPr>
              <w:spacing w:line="360" w:lineRule="auto"/>
              <w:rPr>
                <w:rFonts w:ascii="宋体" w:hAnsi="宋体" w:cs="宋体"/>
                <w:b/>
                <w:bCs/>
                <w:szCs w:val="21"/>
                <w:highlight w:val="none"/>
              </w:rPr>
            </w:pPr>
            <w:r>
              <w:rPr>
                <w:rFonts w:hint="eastAsia" w:ascii="宋体" w:hAnsi="宋体" w:cs="宋体"/>
                <w:b/>
                <w:bCs/>
                <w:szCs w:val="21"/>
                <w:highlight w:val="none"/>
              </w:rPr>
              <w:sym w:font="Wingdings 2" w:char="0052"/>
            </w:r>
            <w:r>
              <w:rPr>
                <w:rFonts w:hint="eastAsia" w:ascii="宋体" w:hAnsi="宋体" w:cs="宋体"/>
                <w:b/>
                <w:bCs/>
                <w:szCs w:val="21"/>
                <w:highlight w:val="none"/>
              </w:rPr>
              <w:t>本项目不收取履约保证金。</w:t>
            </w:r>
          </w:p>
          <w:p w14:paraId="20D2DD06">
            <w:pPr>
              <w:spacing w:line="360" w:lineRule="auto"/>
              <w:rPr>
                <w:rFonts w:ascii="宋体" w:hAnsi="宋体" w:cs="宋体"/>
                <w:b/>
                <w:bCs/>
                <w:szCs w:val="21"/>
                <w:highlight w:val="none"/>
              </w:rPr>
            </w:pPr>
            <w:r>
              <w:rPr>
                <w:rFonts w:hint="eastAsia" w:ascii="宋体" w:hAnsi="宋体" w:cs="宋体"/>
                <w:b/>
                <w:bCs/>
                <w:szCs w:val="21"/>
                <w:highlight w:val="none"/>
              </w:rPr>
              <w:sym w:font="Wingdings 2" w:char="00A3"/>
            </w:r>
            <w:r>
              <w:rPr>
                <w:rFonts w:hint="eastAsia" w:ascii="宋体" w:hAnsi="宋体" w:cs="宋体"/>
                <w:b/>
                <w:bCs/>
                <w:szCs w:val="21"/>
                <w:highlight w:val="none"/>
              </w:rPr>
              <w:t>本项目收取履约保证金：</w:t>
            </w:r>
          </w:p>
          <w:p w14:paraId="75B19067">
            <w:pPr>
              <w:spacing w:line="360" w:lineRule="auto"/>
              <w:rPr>
                <w:rFonts w:ascii="宋体" w:hAnsi="宋体" w:cs="宋体"/>
                <w:szCs w:val="21"/>
                <w:highlight w:val="none"/>
              </w:rPr>
            </w:pPr>
            <w:r>
              <w:rPr>
                <w:rFonts w:hint="eastAsia" w:ascii="宋体" w:hAnsi="宋体" w:cs="宋体"/>
                <w:b/>
                <w:bCs/>
                <w:szCs w:val="21"/>
                <w:highlight w:val="none"/>
              </w:rPr>
              <w:t>履约保证金金额：</w:t>
            </w:r>
            <w:r>
              <w:rPr>
                <w:rFonts w:hint="eastAsia" w:ascii="宋体" w:hAnsi="宋体" w:cs="宋体"/>
                <w:szCs w:val="21"/>
                <w:highlight w:val="none"/>
              </w:rPr>
              <w:t>按中标金额的</w:t>
            </w:r>
            <w:r>
              <w:rPr>
                <w:rFonts w:hint="eastAsia" w:ascii="宋体" w:hAnsi="宋体" w:cs="宋体"/>
                <w:szCs w:val="21"/>
                <w:highlight w:val="none"/>
                <w:u w:val="single"/>
              </w:rPr>
              <w:t xml:space="preserve"> / </w:t>
            </w:r>
            <w:r>
              <w:rPr>
                <w:rFonts w:hint="eastAsia" w:ascii="宋体" w:hAnsi="宋体" w:cs="宋体"/>
                <w:szCs w:val="21"/>
                <w:highlight w:val="none"/>
              </w:rPr>
              <w:t>%【如为中型企业，按合同总金额的2%收取，如为小微企业的，免收履约保证金】。</w:t>
            </w:r>
          </w:p>
          <w:p w14:paraId="537FAD03">
            <w:pPr>
              <w:spacing w:line="360" w:lineRule="auto"/>
              <w:rPr>
                <w:rFonts w:ascii="宋体" w:hAnsi="宋体" w:cs="宋体"/>
                <w:szCs w:val="21"/>
                <w:highlight w:val="none"/>
              </w:rPr>
            </w:pPr>
            <w:r>
              <w:rPr>
                <w:rFonts w:hint="eastAsia" w:ascii="宋体" w:hAnsi="宋体" w:cs="宋体"/>
                <w:b/>
                <w:bCs/>
                <w:szCs w:val="21"/>
                <w:highlight w:val="none"/>
              </w:rPr>
              <w:t>履约保证金提交方式：</w:t>
            </w:r>
            <w:r>
              <w:rPr>
                <w:rFonts w:hint="eastAsia" w:ascii="宋体" w:hAnsi="宋体" w:cs="宋体"/>
                <w:szCs w:val="21"/>
                <w:highlight w:val="none"/>
              </w:rPr>
              <w:t>银行转账、支票、汇票、本票或者金融、担保机构出具的保函等非现金方式（参照磋商保证金）。</w:t>
            </w:r>
          </w:p>
          <w:p w14:paraId="1B2407F4">
            <w:pPr>
              <w:spacing w:line="360" w:lineRule="auto"/>
              <w:rPr>
                <w:rFonts w:ascii="宋体" w:hAnsi="宋体" w:cs="宋体"/>
                <w:szCs w:val="21"/>
                <w:highlight w:val="none"/>
              </w:rPr>
            </w:pPr>
            <w:r>
              <w:rPr>
                <w:rFonts w:hint="eastAsia" w:ascii="宋体" w:hAnsi="宋体" w:cs="宋体"/>
                <w:b/>
                <w:bCs/>
                <w:szCs w:val="21"/>
                <w:highlight w:val="none"/>
              </w:rPr>
              <w:t>履约保证金退付方式、时间及条件：</w:t>
            </w:r>
            <w:r>
              <w:rPr>
                <w:rFonts w:hint="eastAsia" w:ascii="宋体" w:hAnsi="宋体" w:cs="宋体"/>
                <w:szCs w:val="21"/>
                <w:highlight w:val="none"/>
              </w:rPr>
              <w:t>如有，将依照招标文件第五章拟签订的合同文本约定。</w:t>
            </w:r>
          </w:p>
          <w:p w14:paraId="7537A89D">
            <w:pPr>
              <w:spacing w:line="360" w:lineRule="auto"/>
              <w:rPr>
                <w:rFonts w:ascii="宋体" w:hAnsi="宋体" w:cs="宋体"/>
                <w:szCs w:val="21"/>
                <w:highlight w:val="none"/>
              </w:rPr>
            </w:pPr>
            <w:r>
              <w:rPr>
                <w:rFonts w:hint="eastAsia" w:ascii="宋体" w:hAnsi="宋体" w:cs="宋体"/>
                <w:szCs w:val="21"/>
                <w:highlight w:val="none"/>
              </w:rPr>
              <w:t>如：由成交供应商向履约保证金收取单位提供《广西壮族自治区政府采购项目合同验收书》（详见附件1）及《政府采购项目履约保证金退付意见书》（详见附件2），保证金收取单位在收到合格材料后5个工作日内办理退还手续（不计利息）。</w:t>
            </w:r>
          </w:p>
          <w:p w14:paraId="1AFF7605">
            <w:pPr>
              <w:spacing w:line="360" w:lineRule="auto"/>
              <w:rPr>
                <w:rFonts w:ascii="宋体" w:hAnsi="宋体" w:cs="宋体"/>
                <w:szCs w:val="21"/>
                <w:highlight w:val="none"/>
              </w:rPr>
            </w:pPr>
            <w:r>
              <w:rPr>
                <w:rFonts w:hint="eastAsia" w:ascii="宋体" w:hAnsi="宋体" w:cs="宋体"/>
                <w:b/>
                <w:bCs/>
                <w:szCs w:val="21"/>
                <w:highlight w:val="none"/>
              </w:rPr>
              <w:t>履约保证金指定账户：</w:t>
            </w:r>
            <w:r>
              <w:rPr>
                <w:rFonts w:hint="eastAsia" w:ascii="宋体" w:hAnsi="宋体" w:cs="宋体"/>
                <w:szCs w:val="21"/>
                <w:highlight w:val="none"/>
              </w:rPr>
              <w:t>中标后由采购人提供。</w:t>
            </w:r>
          </w:p>
          <w:p w14:paraId="18227B82">
            <w:pPr>
              <w:spacing w:line="360" w:lineRule="auto"/>
              <w:rPr>
                <w:rFonts w:ascii="宋体" w:hAnsi="宋体" w:cs="宋体"/>
                <w:b/>
                <w:bCs/>
                <w:szCs w:val="21"/>
                <w:highlight w:val="none"/>
              </w:rPr>
            </w:pPr>
            <w:r>
              <w:rPr>
                <w:rFonts w:hint="eastAsia" w:ascii="宋体" w:hAnsi="宋体" w:cs="宋体"/>
                <w:b/>
                <w:bCs/>
                <w:szCs w:val="21"/>
                <w:highlight w:val="none"/>
              </w:rPr>
              <w:t>备注：</w:t>
            </w:r>
          </w:p>
          <w:p w14:paraId="68C2B4B2">
            <w:pPr>
              <w:spacing w:line="360" w:lineRule="auto"/>
              <w:rPr>
                <w:rFonts w:ascii="宋体" w:hAnsi="宋体" w:cs="宋体"/>
                <w:b/>
                <w:bCs/>
                <w:szCs w:val="21"/>
                <w:highlight w:val="none"/>
              </w:rPr>
            </w:pPr>
            <w:r>
              <w:rPr>
                <w:rFonts w:hint="eastAsia" w:ascii="宋体" w:hAnsi="宋体" w:cs="宋体"/>
                <w:b/>
                <w:bCs/>
                <w:szCs w:val="21"/>
                <w:highlight w:val="none"/>
              </w:rPr>
              <w:t>1.</w:t>
            </w:r>
            <w:bookmarkStart w:id="49" w:name="_Hlk54170335"/>
            <w:r>
              <w:rPr>
                <w:rFonts w:hint="eastAsia" w:ascii="宋体" w:hAnsi="宋体" w:cs="宋体"/>
                <w:b/>
                <w:bCs/>
                <w:szCs w:val="21"/>
                <w:highlight w:val="none"/>
              </w:rPr>
              <w:t>根据《广西壮族自治区财政厅关于进一步发挥政府采购政策功能促进企业发展的通知》（桂财采〔2022〕30号）规定，采购文件要求中标或者成交供应商提交履约保证金的，履约保证金数额不得超过政府采购合同金额的5%，对中小企业收取的履约保证金数额不得超过政府采购合同金额的2%。采购人可根据供应商的资信等情况减免履约保证金。</w:t>
            </w:r>
            <w:bookmarkEnd w:id="49"/>
          </w:p>
          <w:p w14:paraId="64E2CB9A">
            <w:pPr>
              <w:spacing w:line="360" w:lineRule="auto"/>
              <w:rPr>
                <w:rFonts w:ascii="宋体" w:hAnsi="宋体" w:cs="宋体"/>
                <w:b/>
                <w:bCs/>
                <w:szCs w:val="21"/>
                <w:highlight w:val="none"/>
              </w:rPr>
            </w:pPr>
            <w:r>
              <w:rPr>
                <w:rFonts w:hint="eastAsia" w:ascii="宋体" w:hAnsi="宋体" w:cs="宋体"/>
                <w:b/>
                <w:bCs/>
                <w:szCs w:val="21"/>
                <w:highlight w:val="none"/>
              </w:rPr>
              <w:t>2.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14:paraId="0D6F8800">
            <w:pPr>
              <w:spacing w:line="360" w:lineRule="auto"/>
              <w:rPr>
                <w:rFonts w:ascii="宋体" w:hAnsi="宋体" w:cs="宋体"/>
                <w:b/>
                <w:bCs/>
                <w:szCs w:val="21"/>
                <w:highlight w:val="none"/>
              </w:rPr>
            </w:pPr>
            <w:r>
              <w:rPr>
                <w:rFonts w:hint="eastAsia" w:ascii="宋体" w:hAnsi="宋体" w:cs="宋体"/>
                <w:b/>
                <w:bCs/>
                <w:szCs w:val="21"/>
                <w:highlight w:val="none"/>
              </w:rPr>
              <w:t>3.采用金融、担保机构出具保函的，必须为无条件保函，否则视为未按规定提交履约保证金。</w:t>
            </w:r>
          </w:p>
          <w:p w14:paraId="07E54B78">
            <w:pPr>
              <w:spacing w:line="360" w:lineRule="auto"/>
              <w:rPr>
                <w:rFonts w:ascii="宋体" w:hAnsi="宋体" w:cs="宋体"/>
                <w:szCs w:val="21"/>
                <w:highlight w:val="none"/>
              </w:rPr>
            </w:pPr>
            <w:r>
              <w:rPr>
                <w:rFonts w:hint="eastAsia" w:ascii="宋体" w:hAnsi="宋体" w:cs="宋体"/>
                <w:b/>
                <w:bCs/>
                <w:szCs w:val="21"/>
                <w:highlight w:val="none"/>
              </w:rPr>
              <w:t>4.供应商为联合体的，可由联合体任意一方或者联合体各方共同提交的履约保证金，视为有效履约保证金。</w:t>
            </w:r>
          </w:p>
        </w:tc>
      </w:tr>
      <w:tr w14:paraId="27A3E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49054CD">
            <w:pPr>
              <w:spacing w:line="360" w:lineRule="auto"/>
              <w:jc w:val="center"/>
              <w:rPr>
                <w:rFonts w:ascii="宋体" w:hAnsi="宋体" w:cs="宋体"/>
                <w:szCs w:val="21"/>
                <w:highlight w:val="none"/>
              </w:rPr>
            </w:pPr>
            <w:r>
              <w:rPr>
                <w:rFonts w:hint="eastAsia" w:ascii="宋体" w:hAnsi="宋体" w:cs="宋体"/>
                <w:szCs w:val="21"/>
                <w:highlight w:val="none"/>
              </w:rPr>
              <w:t>29.1</w:t>
            </w:r>
          </w:p>
        </w:tc>
        <w:tc>
          <w:tcPr>
            <w:tcW w:w="7912" w:type="dxa"/>
            <w:vAlign w:val="center"/>
          </w:tcPr>
          <w:p w14:paraId="6092A9C4">
            <w:pPr>
              <w:autoSpaceDE w:val="0"/>
              <w:autoSpaceDN w:val="0"/>
              <w:spacing w:line="360" w:lineRule="auto"/>
              <w:textAlignment w:val="bottom"/>
              <w:rPr>
                <w:rFonts w:ascii="宋体" w:hAnsi="宋体" w:cs="宋体"/>
                <w:szCs w:val="21"/>
                <w:highlight w:val="none"/>
              </w:rPr>
            </w:pPr>
            <w:r>
              <w:rPr>
                <w:rFonts w:hint="eastAsia" w:ascii="宋体" w:hAnsi="宋体" w:cs="宋体"/>
                <w:szCs w:val="21"/>
                <w:highlight w:val="none"/>
              </w:rPr>
              <w:t>签订合同携带的证明材料：</w:t>
            </w:r>
          </w:p>
          <w:p w14:paraId="15C053AD">
            <w:pPr>
              <w:autoSpaceDE w:val="0"/>
              <w:autoSpaceDN w:val="0"/>
              <w:spacing w:line="360" w:lineRule="auto"/>
              <w:textAlignment w:val="bottom"/>
              <w:rPr>
                <w:rFonts w:ascii="宋体" w:hAnsi="宋体" w:cs="宋体"/>
                <w:szCs w:val="21"/>
                <w:highlight w:val="none"/>
              </w:rPr>
            </w:pPr>
            <w:r>
              <w:rPr>
                <w:rFonts w:hint="eastAsia" w:ascii="宋体" w:hAnsi="宋体" w:cs="宋体"/>
                <w:szCs w:val="21"/>
                <w:highlight w:val="none"/>
              </w:rPr>
              <w:t>委托代理人负责签订合同的，须携带授权委托书及委托代理人身份证原件等其他资格证件。</w:t>
            </w:r>
          </w:p>
          <w:p w14:paraId="12FBB97D">
            <w:pPr>
              <w:spacing w:line="360" w:lineRule="auto"/>
              <w:rPr>
                <w:rFonts w:ascii="宋体" w:hAnsi="宋体" w:cs="宋体"/>
                <w:szCs w:val="21"/>
                <w:highlight w:val="none"/>
              </w:rPr>
            </w:pPr>
            <w:r>
              <w:rPr>
                <w:rFonts w:hint="eastAsia" w:ascii="宋体" w:hAnsi="宋体" w:cs="宋体"/>
                <w:szCs w:val="21"/>
                <w:highlight w:val="none"/>
              </w:rPr>
              <w:t>法定代表人负责签订合同的，须携带法定代表人身份证明原件及身份证原件等其他证明材料。</w:t>
            </w:r>
          </w:p>
        </w:tc>
      </w:tr>
      <w:tr w14:paraId="2E2DE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2BEECF7">
            <w:pPr>
              <w:spacing w:line="360" w:lineRule="auto"/>
              <w:jc w:val="center"/>
              <w:rPr>
                <w:rFonts w:ascii="宋体" w:hAnsi="宋体" w:cs="宋体"/>
                <w:szCs w:val="21"/>
                <w:highlight w:val="none"/>
              </w:rPr>
            </w:pPr>
            <w:r>
              <w:rPr>
                <w:rFonts w:hint="eastAsia" w:ascii="宋体" w:hAnsi="宋体" w:cs="宋体"/>
                <w:szCs w:val="21"/>
                <w:highlight w:val="none"/>
              </w:rPr>
              <w:t>31.2</w:t>
            </w:r>
          </w:p>
        </w:tc>
        <w:tc>
          <w:tcPr>
            <w:tcW w:w="7912" w:type="dxa"/>
            <w:vAlign w:val="center"/>
          </w:tcPr>
          <w:p w14:paraId="197F321C">
            <w:pPr>
              <w:spacing w:line="360" w:lineRule="auto"/>
              <w:rPr>
                <w:rFonts w:ascii="宋体" w:hAnsi="宋体" w:cs="宋体"/>
                <w:szCs w:val="21"/>
                <w:highlight w:val="none"/>
              </w:rPr>
            </w:pPr>
            <w:r>
              <w:rPr>
                <w:rFonts w:hint="eastAsia" w:ascii="宋体" w:hAnsi="宋体" w:cs="宋体"/>
                <w:szCs w:val="21"/>
                <w:highlight w:val="none"/>
              </w:rPr>
              <w:t>接收质疑函方式：以书面形式</w:t>
            </w:r>
          </w:p>
          <w:p w14:paraId="190355A9">
            <w:pPr>
              <w:spacing w:line="360" w:lineRule="auto"/>
              <w:rPr>
                <w:rFonts w:ascii="宋体" w:hAnsi="宋体" w:cs="宋体"/>
                <w:szCs w:val="21"/>
                <w:highlight w:val="none"/>
              </w:rPr>
            </w:pPr>
            <w:r>
              <w:rPr>
                <w:rFonts w:hint="eastAsia" w:ascii="宋体" w:hAnsi="宋体" w:cs="宋体"/>
                <w:szCs w:val="21"/>
                <w:highlight w:val="none"/>
              </w:rPr>
              <w:t>质疑联系部门及联系方式：</w:t>
            </w:r>
            <w:r>
              <w:rPr>
                <w:rFonts w:hint="eastAsia" w:ascii="宋体" w:hAnsi="宋体" w:cs="宋体"/>
                <w:kern w:val="0"/>
                <w:szCs w:val="21"/>
                <w:highlight w:val="none"/>
              </w:rPr>
              <w:t>广西城建咨询设计有限公司</w:t>
            </w:r>
          </w:p>
          <w:p w14:paraId="4284CC76">
            <w:pPr>
              <w:spacing w:line="360" w:lineRule="auto"/>
              <w:rPr>
                <w:rFonts w:ascii="宋体" w:hAnsi="宋体" w:cs="宋体"/>
                <w:szCs w:val="21"/>
                <w:highlight w:val="none"/>
              </w:rPr>
            </w:pPr>
            <w:r>
              <w:rPr>
                <w:rFonts w:hint="eastAsia" w:ascii="宋体" w:hAnsi="宋体" w:cs="宋体"/>
                <w:szCs w:val="21"/>
                <w:highlight w:val="none"/>
              </w:rPr>
              <w:t>联系电话：</w:t>
            </w:r>
            <w:r>
              <w:rPr>
                <w:rFonts w:hint="eastAsia" w:ascii="宋体" w:hAnsi="宋体" w:cs="宋体"/>
                <w:kern w:val="0"/>
                <w:szCs w:val="21"/>
                <w:highlight w:val="none"/>
              </w:rPr>
              <w:t>0777-3882166</w:t>
            </w:r>
          </w:p>
          <w:p w14:paraId="63BA7B9A">
            <w:pPr>
              <w:spacing w:line="360" w:lineRule="auto"/>
              <w:rPr>
                <w:rFonts w:ascii="宋体" w:hAnsi="宋体" w:cs="宋体"/>
                <w:szCs w:val="21"/>
                <w:highlight w:val="none"/>
              </w:rPr>
            </w:pPr>
            <w:r>
              <w:rPr>
                <w:rFonts w:hint="eastAsia" w:ascii="宋体" w:hAnsi="宋体" w:cs="宋体"/>
                <w:szCs w:val="21"/>
                <w:highlight w:val="none"/>
              </w:rPr>
              <w:t>通讯地址：广西城建咨询设计有限公司钦州分公司（钦州市钦南区子材东大街4号阳光曼哈顿3座4楼3A07室)</w:t>
            </w:r>
          </w:p>
          <w:p w14:paraId="7DE7B906">
            <w:pPr>
              <w:autoSpaceDE w:val="0"/>
              <w:autoSpaceDN w:val="0"/>
              <w:spacing w:line="360" w:lineRule="auto"/>
              <w:textAlignment w:val="bottom"/>
              <w:rPr>
                <w:rFonts w:ascii="宋体" w:hAnsi="宋体" w:cs="宋体"/>
                <w:szCs w:val="21"/>
                <w:highlight w:val="none"/>
              </w:rPr>
            </w:pPr>
            <w:r>
              <w:rPr>
                <w:rFonts w:hint="eastAsia" w:ascii="宋体" w:hAnsi="宋体" w:cs="宋体"/>
                <w:szCs w:val="21"/>
                <w:highlight w:val="none"/>
              </w:rPr>
              <w:t>业务时间：上午 09 时 00 分到 12 时 00 分，下午 15 时 00 分到 17 时 30 分，业务时间以外、双休日和法定节假日不办理业务。</w:t>
            </w:r>
          </w:p>
        </w:tc>
      </w:tr>
      <w:tr w14:paraId="2B4EC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826FA77">
            <w:pPr>
              <w:spacing w:line="360" w:lineRule="auto"/>
              <w:jc w:val="center"/>
              <w:rPr>
                <w:rFonts w:ascii="宋体" w:hAnsi="宋体" w:cs="宋体"/>
                <w:szCs w:val="21"/>
                <w:highlight w:val="none"/>
              </w:rPr>
            </w:pPr>
            <w:r>
              <w:rPr>
                <w:rFonts w:hint="eastAsia" w:ascii="宋体" w:hAnsi="宋体" w:cs="宋体"/>
                <w:szCs w:val="21"/>
                <w:highlight w:val="none"/>
              </w:rPr>
              <w:t>31.6</w:t>
            </w:r>
          </w:p>
        </w:tc>
        <w:tc>
          <w:tcPr>
            <w:tcW w:w="7912" w:type="dxa"/>
            <w:vAlign w:val="center"/>
          </w:tcPr>
          <w:p w14:paraId="324C679F">
            <w:pPr>
              <w:autoSpaceDE w:val="0"/>
              <w:autoSpaceDN w:val="0"/>
              <w:spacing w:line="360" w:lineRule="auto"/>
              <w:textAlignment w:val="bottom"/>
              <w:rPr>
                <w:rFonts w:ascii="宋体" w:hAnsi="宋体" w:cs="宋体"/>
                <w:szCs w:val="21"/>
                <w:highlight w:val="none"/>
              </w:rPr>
            </w:pPr>
            <w:r>
              <w:rPr>
                <w:rFonts w:hint="eastAsia" w:ascii="宋体" w:hAnsi="宋体" w:cs="宋体"/>
                <w:szCs w:val="21"/>
                <w:highlight w:val="none"/>
              </w:rPr>
              <w:t>投诉方式：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95465D4">
            <w:pPr>
              <w:autoSpaceDE w:val="0"/>
              <w:autoSpaceDN w:val="0"/>
              <w:spacing w:line="360" w:lineRule="auto"/>
              <w:textAlignment w:val="bottom"/>
              <w:rPr>
                <w:rFonts w:ascii="宋体" w:hAnsi="宋体" w:cs="宋体"/>
                <w:szCs w:val="21"/>
                <w:highlight w:val="none"/>
              </w:rPr>
            </w:pPr>
            <w:r>
              <w:rPr>
                <w:rFonts w:hint="eastAsia" w:ascii="宋体" w:hAnsi="宋体" w:cs="宋体"/>
                <w:szCs w:val="21"/>
                <w:highlight w:val="none"/>
              </w:rPr>
              <w:t>监督部门及联系方式:</w:t>
            </w:r>
          </w:p>
          <w:p w14:paraId="58962372">
            <w:pPr>
              <w:autoSpaceDE w:val="0"/>
              <w:autoSpaceDN w:val="0"/>
              <w:spacing w:line="360" w:lineRule="auto"/>
              <w:textAlignment w:val="bottom"/>
              <w:rPr>
                <w:rFonts w:ascii="宋体" w:hAnsi="宋体" w:cs="宋体"/>
                <w:szCs w:val="21"/>
                <w:highlight w:val="none"/>
              </w:rPr>
            </w:pPr>
            <w:r>
              <w:rPr>
                <w:rFonts w:hint="eastAsia" w:ascii="宋体" w:hAnsi="宋体" w:cs="宋体"/>
                <w:szCs w:val="21"/>
                <w:highlight w:val="none"/>
              </w:rPr>
              <w:t>名称：中国—马来西亚钦州产业园区财政金融局</w:t>
            </w:r>
          </w:p>
          <w:p w14:paraId="06071069">
            <w:pPr>
              <w:autoSpaceDE w:val="0"/>
              <w:autoSpaceDN w:val="0"/>
              <w:spacing w:line="360" w:lineRule="auto"/>
              <w:textAlignment w:val="bottom"/>
              <w:rPr>
                <w:rFonts w:ascii="宋体" w:hAnsi="宋体" w:cs="宋体"/>
                <w:szCs w:val="21"/>
                <w:highlight w:val="none"/>
              </w:rPr>
            </w:pPr>
            <w:r>
              <w:rPr>
                <w:rFonts w:hint="eastAsia" w:ascii="宋体" w:hAnsi="宋体" w:cs="宋体"/>
                <w:szCs w:val="21"/>
                <w:highlight w:val="none"/>
              </w:rPr>
              <w:t>电话：0777-5988166</w:t>
            </w:r>
          </w:p>
        </w:tc>
      </w:tr>
      <w:tr w14:paraId="40B92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CEC5656">
            <w:pPr>
              <w:spacing w:line="360" w:lineRule="auto"/>
              <w:jc w:val="center"/>
              <w:rPr>
                <w:rFonts w:ascii="宋体" w:hAnsi="宋体" w:cs="宋体"/>
                <w:szCs w:val="21"/>
                <w:highlight w:val="none"/>
              </w:rPr>
            </w:pPr>
            <w:r>
              <w:rPr>
                <w:rFonts w:hint="eastAsia" w:ascii="宋体" w:hAnsi="宋体" w:cs="宋体"/>
                <w:szCs w:val="21"/>
                <w:highlight w:val="none"/>
              </w:rPr>
              <w:t>32.1</w:t>
            </w:r>
          </w:p>
        </w:tc>
        <w:tc>
          <w:tcPr>
            <w:tcW w:w="7912" w:type="dxa"/>
            <w:vAlign w:val="center"/>
          </w:tcPr>
          <w:p w14:paraId="4364E114">
            <w:pPr>
              <w:spacing w:line="360" w:lineRule="auto"/>
              <w:rPr>
                <w:rFonts w:ascii="宋体" w:hAnsi="宋体" w:cs="宋体"/>
                <w:kern w:val="0"/>
                <w:szCs w:val="21"/>
                <w:highlight w:val="none"/>
              </w:rPr>
            </w:pPr>
            <w:r>
              <w:rPr>
                <w:rFonts w:hint="eastAsia" w:ascii="宋体" w:hAnsi="宋体" w:cs="宋体"/>
                <w:kern w:val="0"/>
                <w:szCs w:val="21"/>
                <w:highlight w:val="none"/>
              </w:rPr>
              <w:t>1.采购代理费支付方式：</w:t>
            </w:r>
          </w:p>
          <w:p w14:paraId="4E42D230">
            <w:pPr>
              <w:spacing w:line="360" w:lineRule="auto"/>
              <w:rPr>
                <w:rFonts w:ascii="宋体" w:hAnsi="宋体" w:cs="宋体"/>
                <w:kern w:val="0"/>
                <w:szCs w:val="21"/>
                <w:highlight w:val="none"/>
              </w:rPr>
            </w:pPr>
            <w:r>
              <w:rPr>
                <w:rFonts w:hint="eastAsia" w:ascii="宋体" w:hAnsi="宋体" w:cs="宋体"/>
                <w:kern w:val="0"/>
                <w:szCs w:val="21"/>
                <w:highlight w:val="none"/>
              </w:rPr>
              <w:t>☑本项目代理服务费由</w:t>
            </w:r>
            <w:r>
              <w:rPr>
                <w:rFonts w:hint="eastAsia" w:ascii="宋体" w:hAnsi="宋体" w:cs="宋体"/>
                <w:kern w:val="0"/>
                <w:szCs w:val="21"/>
                <w:highlight w:val="none"/>
                <w:u w:val="single"/>
              </w:rPr>
              <w:t>成交供应商</w:t>
            </w:r>
            <w:r>
              <w:rPr>
                <w:rFonts w:hint="eastAsia" w:ascii="宋体" w:hAnsi="宋体" w:cs="宋体"/>
                <w:kern w:val="0"/>
                <w:szCs w:val="21"/>
                <w:highlight w:val="none"/>
              </w:rPr>
              <w:t>领取成交通知书前，一次性向采购代理机构支付。</w:t>
            </w:r>
          </w:p>
          <w:p w14:paraId="2528BC86">
            <w:pPr>
              <w:spacing w:line="360" w:lineRule="auto"/>
              <w:rPr>
                <w:rFonts w:ascii="宋体" w:hAnsi="宋体" w:cs="宋体"/>
                <w:kern w:val="0"/>
                <w:szCs w:val="21"/>
                <w:highlight w:val="none"/>
              </w:rPr>
            </w:pPr>
            <w:r>
              <w:rPr>
                <w:rFonts w:hint="eastAsia" w:ascii="宋体" w:hAnsi="宋体" w:cs="宋体"/>
                <w:kern w:val="0"/>
                <w:szCs w:val="21"/>
                <w:highlight w:val="none"/>
              </w:rPr>
              <w:t>2.采购代理费收取标准：</w:t>
            </w:r>
          </w:p>
          <w:p w14:paraId="12A18333">
            <w:pPr>
              <w:spacing w:line="360" w:lineRule="auto"/>
              <w:rPr>
                <w:rFonts w:ascii="宋体" w:hAnsi="宋体" w:cs="宋体"/>
                <w:kern w:val="0"/>
                <w:szCs w:val="21"/>
                <w:highlight w:val="none"/>
              </w:rPr>
            </w:pPr>
            <w:r>
              <w:rPr>
                <w:rFonts w:hint="eastAsia" w:ascii="宋体" w:hAnsi="宋体" w:cs="宋体"/>
                <w:szCs w:val="21"/>
                <w:highlight w:val="none"/>
              </w:rPr>
              <w:t>按照原国家计委计价格〔2002〕1980号文、国家发改委发改办价格[2003]857号文、发改价格〔2011〕534号文规定的</w:t>
            </w:r>
            <w:r>
              <w:rPr>
                <w:rFonts w:hint="eastAsia" w:ascii="宋体" w:hAnsi="宋体" w:cs="宋体"/>
                <w:szCs w:val="21"/>
                <w:highlight w:val="none"/>
                <w:u w:val="single"/>
              </w:rPr>
              <w:t>服务类</w:t>
            </w:r>
            <w:r>
              <w:rPr>
                <w:rFonts w:hint="eastAsia" w:ascii="宋体" w:hAnsi="宋体" w:cs="宋体"/>
                <w:szCs w:val="21"/>
                <w:highlight w:val="none"/>
              </w:rPr>
              <w:t>收费标准，采用差额定率累进法，以成交金额为计算基数计取。</w:t>
            </w:r>
          </w:p>
          <w:p w14:paraId="72A1CAB7">
            <w:pPr>
              <w:spacing w:line="360" w:lineRule="auto"/>
              <w:rPr>
                <w:rFonts w:ascii="宋体" w:hAnsi="宋体" w:cs="宋体"/>
                <w:kern w:val="0"/>
                <w:szCs w:val="21"/>
                <w:highlight w:val="none"/>
              </w:rPr>
            </w:pPr>
            <w:r>
              <w:rPr>
                <w:rFonts w:hint="eastAsia" w:ascii="宋体" w:hAnsi="宋体" w:cs="宋体"/>
                <w:kern w:val="0"/>
                <w:szCs w:val="21"/>
                <w:highlight w:val="none"/>
              </w:rPr>
              <w:t>3. 采购代理费收取银行账户</w:t>
            </w:r>
          </w:p>
          <w:p w14:paraId="7DC70028">
            <w:pPr>
              <w:spacing w:line="360" w:lineRule="auto"/>
              <w:rPr>
                <w:rFonts w:ascii="宋体" w:hAnsi="宋体" w:cs="宋体"/>
                <w:kern w:val="0"/>
                <w:szCs w:val="21"/>
                <w:highlight w:val="none"/>
              </w:rPr>
            </w:pPr>
            <w:r>
              <w:rPr>
                <w:rFonts w:hint="eastAsia" w:ascii="宋体" w:hAnsi="宋体" w:cs="宋体"/>
                <w:kern w:val="0"/>
                <w:szCs w:val="21"/>
                <w:highlight w:val="none"/>
              </w:rPr>
              <w:t>开户名称：广西城建咨询设计有限公司钦州分公司</w:t>
            </w:r>
          </w:p>
          <w:p w14:paraId="37DB5DF5">
            <w:pPr>
              <w:spacing w:line="360" w:lineRule="auto"/>
              <w:rPr>
                <w:rFonts w:ascii="宋体" w:hAnsi="宋体" w:cs="宋体"/>
                <w:kern w:val="0"/>
                <w:szCs w:val="21"/>
                <w:highlight w:val="none"/>
              </w:rPr>
            </w:pPr>
            <w:r>
              <w:rPr>
                <w:rFonts w:hint="eastAsia" w:ascii="宋体" w:hAnsi="宋体" w:cs="宋体"/>
                <w:kern w:val="0"/>
                <w:szCs w:val="21"/>
                <w:highlight w:val="none"/>
              </w:rPr>
              <w:t>开户银行：工行钦州向阳支行</w:t>
            </w:r>
          </w:p>
          <w:p w14:paraId="165EFF14">
            <w:pPr>
              <w:spacing w:line="360" w:lineRule="auto"/>
              <w:rPr>
                <w:rFonts w:ascii="宋体" w:hAnsi="宋体" w:cs="宋体"/>
                <w:kern w:val="0"/>
                <w:szCs w:val="21"/>
                <w:highlight w:val="none"/>
              </w:rPr>
            </w:pPr>
            <w:r>
              <w:rPr>
                <w:rFonts w:hint="eastAsia" w:ascii="宋体" w:hAnsi="宋体" w:cs="宋体"/>
                <w:kern w:val="0"/>
                <w:szCs w:val="21"/>
                <w:highlight w:val="none"/>
              </w:rPr>
              <w:t>银行账号：2115 5900 0930 0013 302</w:t>
            </w:r>
          </w:p>
        </w:tc>
      </w:tr>
      <w:tr w14:paraId="5C8CC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1D9730A">
            <w:pPr>
              <w:spacing w:line="360" w:lineRule="auto"/>
              <w:jc w:val="center"/>
              <w:rPr>
                <w:rFonts w:ascii="宋体" w:hAnsi="宋体" w:cs="宋体"/>
                <w:szCs w:val="21"/>
                <w:highlight w:val="none"/>
              </w:rPr>
            </w:pPr>
            <w:r>
              <w:rPr>
                <w:rFonts w:hint="eastAsia" w:ascii="宋体" w:hAnsi="宋体" w:cs="宋体"/>
                <w:szCs w:val="21"/>
                <w:highlight w:val="none"/>
              </w:rPr>
              <w:t>33.1</w:t>
            </w:r>
          </w:p>
        </w:tc>
        <w:tc>
          <w:tcPr>
            <w:tcW w:w="7912" w:type="dxa"/>
            <w:vAlign w:val="center"/>
          </w:tcPr>
          <w:p w14:paraId="1BCD17C5">
            <w:pPr>
              <w:spacing w:line="360" w:lineRule="auto"/>
              <w:rPr>
                <w:rFonts w:ascii="宋体" w:hAnsi="宋体" w:cs="宋体"/>
                <w:szCs w:val="21"/>
                <w:highlight w:val="none"/>
              </w:rPr>
            </w:pPr>
            <w:r>
              <w:rPr>
                <w:rFonts w:hint="eastAsia" w:ascii="宋体" w:hAnsi="宋体" w:cs="宋体"/>
                <w:kern w:val="0"/>
                <w:szCs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1A1F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604D2B2F">
            <w:pPr>
              <w:spacing w:line="360" w:lineRule="auto"/>
              <w:jc w:val="center"/>
              <w:rPr>
                <w:rFonts w:ascii="宋体" w:hAnsi="宋体" w:cs="宋体"/>
                <w:kern w:val="0"/>
                <w:szCs w:val="21"/>
                <w:highlight w:val="none"/>
              </w:rPr>
            </w:pPr>
            <w:r>
              <w:rPr>
                <w:rFonts w:hint="eastAsia" w:ascii="宋体" w:hAnsi="宋体" w:cs="宋体"/>
                <w:szCs w:val="21"/>
                <w:highlight w:val="none"/>
              </w:rPr>
              <w:t>33.2</w:t>
            </w:r>
          </w:p>
        </w:tc>
        <w:tc>
          <w:tcPr>
            <w:tcW w:w="7912" w:type="dxa"/>
            <w:vAlign w:val="center"/>
          </w:tcPr>
          <w:p w14:paraId="43E466AE">
            <w:pPr>
              <w:spacing w:line="360" w:lineRule="auto"/>
              <w:rPr>
                <w:rFonts w:ascii="宋体" w:hAnsi="宋体" w:cs="宋体"/>
                <w:kern w:val="0"/>
                <w:szCs w:val="21"/>
                <w:highlight w:val="none"/>
              </w:rPr>
            </w:pPr>
            <w:r>
              <w:rPr>
                <w:rFonts w:hint="eastAsia" w:ascii="宋体" w:hAnsi="宋体" w:cs="宋体"/>
                <w:kern w:val="0"/>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8EC0869">
            <w:pPr>
              <w:spacing w:line="360" w:lineRule="auto"/>
              <w:rPr>
                <w:rFonts w:ascii="宋体" w:hAnsi="宋体" w:cs="宋体"/>
                <w:kern w:val="0"/>
                <w:szCs w:val="21"/>
                <w:highlight w:val="none"/>
              </w:rPr>
            </w:pPr>
            <w:r>
              <w:rPr>
                <w:rFonts w:hint="eastAsia" w:ascii="宋体" w:hAnsi="宋体" w:cs="宋体"/>
                <w:kern w:val="0"/>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DCFBB01">
            <w:pPr>
              <w:spacing w:line="360" w:lineRule="auto"/>
              <w:rPr>
                <w:rFonts w:ascii="宋体" w:hAnsi="宋体" w:cs="宋体"/>
                <w:kern w:val="0"/>
                <w:szCs w:val="21"/>
                <w:highlight w:val="none"/>
              </w:rPr>
            </w:pPr>
            <w:r>
              <w:rPr>
                <w:rFonts w:hint="eastAsia" w:ascii="宋体" w:hAnsi="宋体" w:cs="宋体"/>
                <w:kern w:val="0"/>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2171E2A6">
            <w:pPr>
              <w:spacing w:line="360" w:lineRule="auto"/>
              <w:rPr>
                <w:rFonts w:ascii="宋体" w:hAnsi="宋体" w:cs="宋体"/>
                <w:kern w:val="0"/>
                <w:szCs w:val="21"/>
                <w:highlight w:val="none"/>
              </w:rPr>
            </w:pPr>
            <w:r>
              <w:rPr>
                <w:rFonts w:hint="eastAsia" w:ascii="宋体" w:hAnsi="宋体" w:cs="宋体"/>
                <w:kern w:val="0"/>
                <w:szCs w:val="21"/>
                <w:highlight w:val="none"/>
              </w:rPr>
              <w:t>4.自然人竞标的，磋商文件规定盖公章处由自然人摁手指指印。</w:t>
            </w:r>
          </w:p>
          <w:p w14:paraId="618945C3">
            <w:pPr>
              <w:spacing w:line="360" w:lineRule="auto"/>
              <w:rPr>
                <w:rFonts w:ascii="宋体" w:hAnsi="宋体" w:cs="宋体"/>
                <w:kern w:val="0"/>
                <w:szCs w:val="21"/>
                <w:highlight w:val="none"/>
              </w:rPr>
            </w:pPr>
            <w:r>
              <w:rPr>
                <w:rFonts w:hint="eastAsia" w:ascii="宋体" w:hAnsi="宋体" w:cs="宋体"/>
                <w:kern w:val="0"/>
                <w:szCs w:val="21"/>
                <w:highlight w:val="none"/>
              </w:rPr>
              <w:t>5.本磋商文件所称的“以上”“以下”“以内”“届满”，包括本数；所称的“不满”“超过”“以外”，不包括本数。</w:t>
            </w:r>
          </w:p>
        </w:tc>
      </w:tr>
      <w:tr w14:paraId="3FCD2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6F395074">
            <w:pPr>
              <w:spacing w:line="360" w:lineRule="auto"/>
              <w:jc w:val="center"/>
              <w:rPr>
                <w:rFonts w:ascii="宋体" w:hAnsi="宋体" w:cs="宋体"/>
                <w:b/>
                <w:bCs/>
                <w:szCs w:val="21"/>
                <w:highlight w:val="none"/>
              </w:rPr>
            </w:pPr>
          </w:p>
        </w:tc>
        <w:tc>
          <w:tcPr>
            <w:tcW w:w="7912" w:type="dxa"/>
            <w:vAlign w:val="center"/>
          </w:tcPr>
          <w:p w14:paraId="6BF07114">
            <w:pPr>
              <w:spacing w:line="360" w:lineRule="auto"/>
              <w:rPr>
                <w:rFonts w:ascii="宋体" w:hAnsi="宋体" w:cs="宋体"/>
                <w:szCs w:val="21"/>
                <w:highlight w:val="none"/>
              </w:rPr>
            </w:pPr>
            <w:r>
              <w:rPr>
                <w:rFonts w:hint="eastAsia" w:ascii="宋体" w:hAnsi="宋体" w:cs="宋体"/>
                <w:szCs w:val="21"/>
                <w:highlight w:val="none"/>
              </w:rPr>
              <w:t>采购人或者采购代理机构在资格审查结束前，对供应商进行信用查询。</w:t>
            </w:r>
          </w:p>
          <w:p w14:paraId="6F7EA259">
            <w:pPr>
              <w:spacing w:line="360" w:lineRule="auto"/>
              <w:rPr>
                <w:rFonts w:ascii="宋体" w:hAnsi="宋体" w:cs="宋体"/>
                <w:kern w:val="0"/>
                <w:szCs w:val="21"/>
                <w:highlight w:val="none"/>
              </w:rPr>
            </w:pPr>
            <w:r>
              <w:rPr>
                <w:rFonts w:hint="eastAsia" w:ascii="宋体" w:hAnsi="宋体" w:cs="宋体"/>
                <w:kern w:val="0"/>
                <w:szCs w:val="21"/>
                <w:highlight w:val="none"/>
              </w:rPr>
              <w:t>（1）查询渠道：“信用中国”网站(www.creditchina.gov.cn)、中国政府采购网(www.ccgp.gov.cn)链接入口。</w:t>
            </w:r>
          </w:p>
          <w:p w14:paraId="05EA1DF8">
            <w:pPr>
              <w:spacing w:line="360" w:lineRule="auto"/>
              <w:rPr>
                <w:rFonts w:ascii="宋体" w:hAnsi="宋体" w:cs="宋体"/>
                <w:kern w:val="0"/>
                <w:szCs w:val="21"/>
                <w:highlight w:val="none"/>
              </w:rPr>
            </w:pPr>
            <w:r>
              <w:rPr>
                <w:rFonts w:hint="eastAsia" w:ascii="宋体" w:hAnsi="宋体" w:cs="宋体"/>
                <w:kern w:val="0"/>
                <w:szCs w:val="21"/>
                <w:highlight w:val="none"/>
              </w:rPr>
              <w:t>（2）信用查询截止时点：资格审查结束前。</w:t>
            </w:r>
          </w:p>
          <w:p w14:paraId="54DBA603">
            <w:pPr>
              <w:spacing w:line="360" w:lineRule="auto"/>
              <w:rPr>
                <w:rFonts w:ascii="宋体" w:hAnsi="宋体" w:cs="宋体"/>
                <w:kern w:val="0"/>
                <w:szCs w:val="21"/>
                <w:highlight w:val="none"/>
              </w:rPr>
            </w:pPr>
            <w:r>
              <w:rPr>
                <w:rFonts w:hint="eastAsia" w:ascii="宋体" w:hAnsi="宋体" w:cs="宋体"/>
                <w:kern w:val="0"/>
                <w:szCs w:val="21"/>
                <w:highlight w:val="none"/>
              </w:rPr>
              <w:t>（3）查询记录和证据留存方式：在查询网站中直接查询，截图另存为电子文档并打印查询结果作为评审资料保存。</w:t>
            </w:r>
          </w:p>
          <w:p w14:paraId="2964F9E2">
            <w:pPr>
              <w:spacing w:line="360" w:lineRule="auto"/>
              <w:rPr>
                <w:rFonts w:ascii="宋体" w:hAnsi="宋体" w:cs="宋体"/>
                <w:b/>
                <w:bCs/>
                <w:kern w:val="0"/>
                <w:szCs w:val="21"/>
                <w:highlight w:val="none"/>
              </w:rPr>
            </w:pPr>
            <w:r>
              <w:rPr>
                <w:rFonts w:hint="eastAsia" w:ascii="宋体" w:hAnsi="宋体" w:cs="宋体"/>
                <w:kern w:val="0"/>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7224A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30DE9259">
            <w:pPr>
              <w:spacing w:line="360" w:lineRule="auto"/>
              <w:jc w:val="center"/>
              <w:rPr>
                <w:rFonts w:ascii="宋体" w:hAnsi="宋体" w:cs="宋体"/>
                <w:b/>
                <w:bCs/>
                <w:szCs w:val="21"/>
                <w:highlight w:val="none"/>
              </w:rPr>
            </w:pPr>
          </w:p>
        </w:tc>
        <w:tc>
          <w:tcPr>
            <w:tcW w:w="7912" w:type="dxa"/>
            <w:vAlign w:val="center"/>
          </w:tcPr>
          <w:p w14:paraId="545BC784">
            <w:pPr>
              <w:spacing w:line="360" w:lineRule="auto"/>
              <w:rPr>
                <w:rFonts w:ascii="宋体" w:hAnsi="宋体" w:cs="宋体"/>
                <w:szCs w:val="21"/>
                <w:highlight w:val="none"/>
              </w:rPr>
            </w:pPr>
            <w:r>
              <w:rPr>
                <w:rFonts w:hint="eastAsia" w:ascii="宋体" w:hAnsi="宋体" w:cs="宋体"/>
                <w:b/>
                <w:bCs/>
                <w:szCs w:val="21"/>
                <w:highlight w:val="none"/>
              </w:rPr>
              <w:t>网上开标、电子评标：</w:t>
            </w:r>
          </w:p>
          <w:p w14:paraId="57AACF09">
            <w:pPr>
              <w:spacing w:line="360" w:lineRule="auto"/>
              <w:rPr>
                <w:rFonts w:ascii="宋体" w:hAnsi="宋体" w:cs="宋体"/>
                <w:b/>
                <w:bCs/>
                <w:kern w:val="0"/>
                <w:szCs w:val="21"/>
                <w:highlight w:val="none"/>
              </w:rPr>
            </w:pPr>
            <w:r>
              <w:rPr>
                <w:rFonts w:hint="eastAsia" w:ascii="宋体" w:hAnsi="宋体" w:cs="宋体"/>
                <w:kern w:val="0"/>
                <w:szCs w:val="21"/>
                <w:highlight w:val="none"/>
              </w:rPr>
              <w:t>供应商根据竞争性磋商文件要求，登录“广西政府采购云平台”平台，在指定时间内将电子响应文件通过CA加密后上传完成投标。开标实行网上不见面开标。到达开标时间后，采购代理机构工作人员在“广西政府采购云平台”平台开始网上开标，供应商在竞争性磋商文件指定解密时间内各自登录“广西政府采购云平台”平台进行响应文件解密，供应商全部解密完成或解密时间结束后由采购代理机构工作人员开启唱标及评标程序，供应商可在个人电脑上查看到唱标信息，并等待专家评委评审，评审结束后系统中将显示评标结果。</w:t>
            </w:r>
          </w:p>
        </w:tc>
      </w:tr>
      <w:tr w14:paraId="2403A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7246EEE4">
            <w:pPr>
              <w:spacing w:line="360" w:lineRule="auto"/>
              <w:jc w:val="center"/>
              <w:rPr>
                <w:rFonts w:ascii="宋体" w:hAnsi="宋体" w:cs="宋体"/>
                <w:kern w:val="0"/>
                <w:szCs w:val="21"/>
                <w:highlight w:val="none"/>
              </w:rPr>
            </w:pPr>
          </w:p>
        </w:tc>
        <w:tc>
          <w:tcPr>
            <w:tcW w:w="7912" w:type="dxa"/>
            <w:vAlign w:val="center"/>
          </w:tcPr>
          <w:p w14:paraId="0492092C">
            <w:pPr>
              <w:spacing w:line="360" w:lineRule="auto"/>
              <w:rPr>
                <w:rFonts w:ascii="宋体" w:hAnsi="宋体" w:cs="宋体"/>
                <w:kern w:val="0"/>
                <w:szCs w:val="21"/>
                <w:highlight w:val="none"/>
              </w:rPr>
            </w:pPr>
            <w:r>
              <w:rPr>
                <w:rFonts w:hint="eastAsia" w:ascii="宋体" w:hAnsi="宋体" w:cs="宋体"/>
                <w:kern w:val="0"/>
                <w:szCs w:val="21"/>
                <w:highlight w:val="none"/>
              </w:rPr>
              <w:t>1.★本项目采购标的需执行的国家相关标准、行业标准、地方标准或其他强制性标准、规范等要求：无。（列明相应的标准和规范名称及文号或编号，若无则写“无”）</w:t>
            </w:r>
          </w:p>
          <w:p w14:paraId="7B9C1F6C">
            <w:pPr>
              <w:spacing w:line="360" w:lineRule="auto"/>
              <w:rPr>
                <w:rFonts w:ascii="宋体" w:hAnsi="宋体" w:cs="宋体"/>
                <w:kern w:val="0"/>
                <w:szCs w:val="21"/>
                <w:highlight w:val="none"/>
              </w:rPr>
            </w:pPr>
            <w:r>
              <w:rPr>
                <w:rFonts w:hint="eastAsia" w:ascii="宋体" w:hAnsi="宋体" w:cs="宋体"/>
                <w:kern w:val="0"/>
                <w:szCs w:val="21"/>
                <w:highlight w:val="none"/>
              </w:rPr>
              <w:t>2.依据《政府采购促进中小企业发展管理办法》规定享受扶持政策获得政府采购合同的，小微企业不得将合同分包给大中型企业，中型企业不得将合同分包给大型企业。</w:t>
            </w:r>
          </w:p>
        </w:tc>
      </w:tr>
      <w:tr w14:paraId="2F3ED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09B7C6E1">
            <w:pPr>
              <w:spacing w:line="360" w:lineRule="auto"/>
              <w:jc w:val="center"/>
              <w:rPr>
                <w:rFonts w:ascii="宋体" w:hAnsi="宋体" w:cs="宋体"/>
                <w:kern w:val="0"/>
                <w:szCs w:val="21"/>
                <w:highlight w:val="none"/>
              </w:rPr>
            </w:pPr>
          </w:p>
        </w:tc>
        <w:tc>
          <w:tcPr>
            <w:tcW w:w="7912" w:type="dxa"/>
            <w:vAlign w:val="center"/>
          </w:tcPr>
          <w:p w14:paraId="09508C4D">
            <w:pPr>
              <w:spacing w:line="360" w:lineRule="auto"/>
              <w:rPr>
                <w:rFonts w:ascii="宋体" w:hAnsi="宋体" w:cs="宋体"/>
                <w:b/>
                <w:bCs/>
                <w:kern w:val="0"/>
                <w:szCs w:val="21"/>
                <w:highlight w:val="none"/>
              </w:rPr>
            </w:pPr>
            <w:r>
              <w:rPr>
                <w:rFonts w:hint="eastAsia" w:ascii="宋体" w:hAnsi="宋体" w:cs="宋体"/>
                <w:b/>
                <w:bCs/>
                <w:kern w:val="0"/>
                <w:szCs w:val="21"/>
                <w:highlight w:val="none"/>
              </w:rPr>
              <w:t>广西线上“政采贷”政策告知函</w:t>
            </w:r>
          </w:p>
          <w:p w14:paraId="38C77B9F">
            <w:pPr>
              <w:spacing w:line="360" w:lineRule="auto"/>
              <w:rPr>
                <w:rFonts w:ascii="宋体" w:hAnsi="宋体" w:cs="宋体"/>
                <w:kern w:val="0"/>
                <w:szCs w:val="21"/>
                <w:highlight w:val="none"/>
              </w:rPr>
            </w:pPr>
            <w:r>
              <w:rPr>
                <w:rFonts w:hint="eastAsia" w:ascii="宋体" w:hAnsi="宋体" w:cs="宋体"/>
                <w:kern w:val="0"/>
                <w:szCs w:val="21"/>
                <w:highlight w:val="none"/>
              </w:rPr>
              <w:t>各供应商：</w:t>
            </w:r>
          </w:p>
          <w:p w14:paraId="5395586D">
            <w:pPr>
              <w:spacing w:line="360" w:lineRule="auto"/>
              <w:rPr>
                <w:rFonts w:ascii="宋体" w:hAnsi="宋体" w:cs="宋体"/>
                <w:kern w:val="0"/>
                <w:szCs w:val="21"/>
                <w:highlight w:val="none"/>
              </w:rPr>
            </w:pPr>
            <w:r>
              <w:rPr>
                <w:rFonts w:hint="eastAsia" w:ascii="宋体" w:hAnsi="宋体" w:cs="宋体"/>
                <w:kern w:val="0"/>
                <w:szCs w:val="21"/>
                <w:highlight w:val="none"/>
              </w:rPr>
              <w:t>欢迎贵公司参与广西政府采购活动！</w:t>
            </w:r>
          </w:p>
          <w:p w14:paraId="6CD18FEA">
            <w:pPr>
              <w:spacing w:line="360" w:lineRule="auto"/>
              <w:rPr>
                <w:rFonts w:ascii="宋体" w:hAnsi="宋体" w:cs="宋体"/>
                <w:kern w:val="0"/>
                <w:szCs w:val="21"/>
                <w:highlight w:val="none"/>
              </w:rPr>
            </w:pPr>
            <w:r>
              <w:rPr>
                <w:rFonts w:hint="eastAsia" w:ascii="宋体" w:hAnsi="宋体" w:cs="宋体"/>
                <w:kern w:val="0"/>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上“政采贷”融资模式的通知》(南宁银发〔2021〕258号)，按照双方自愿的原则提供便捷、优惠的贷款服务。</w:t>
            </w:r>
          </w:p>
          <w:p w14:paraId="008C81D9">
            <w:pPr>
              <w:spacing w:line="360" w:lineRule="auto"/>
              <w:rPr>
                <w:rFonts w:ascii="宋体" w:hAnsi="宋体" w:cs="宋体"/>
                <w:kern w:val="0"/>
                <w:szCs w:val="21"/>
                <w:highlight w:val="none"/>
              </w:rPr>
            </w:pPr>
            <w:r>
              <w:rPr>
                <w:rFonts w:hint="eastAsia" w:ascii="宋体" w:hAnsi="宋体" w:cs="宋体"/>
                <w:kern w:val="0"/>
                <w:szCs w:val="21"/>
                <w:highlight w:val="none"/>
              </w:rPr>
              <w:t>相关金融产品和银行业金融机构联系方式，可在中征应收账款融资服务平台查询 (网址：https://www.crcrfsp.com/，客服电话： 400-009-0001)。</w:t>
            </w:r>
          </w:p>
        </w:tc>
      </w:tr>
    </w:tbl>
    <w:p w14:paraId="76B267FB">
      <w:pPr>
        <w:autoSpaceDE w:val="0"/>
        <w:spacing w:line="360" w:lineRule="auto"/>
        <w:jc w:val="center"/>
        <w:outlineLvl w:val="1"/>
        <w:rPr>
          <w:rFonts w:ascii="宋体" w:hAnsi="宋体" w:cs="宋体"/>
          <w:b/>
          <w:sz w:val="32"/>
          <w:szCs w:val="32"/>
          <w:highlight w:val="none"/>
        </w:rPr>
      </w:pPr>
      <w:r>
        <w:rPr>
          <w:rFonts w:hint="eastAsia" w:ascii="宋体" w:hAnsi="宋体" w:cs="宋体"/>
          <w:b/>
          <w:sz w:val="32"/>
          <w:szCs w:val="32"/>
          <w:highlight w:val="none"/>
        </w:rPr>
        <w:br w:type="page"/>
      </w:r>
      <w:bookmarkStart w:id="50" w:name="_Toc24687"/>
      <w:r>
        <w:rPr>
          <w:rFonts w:hint="eastAsia" w:ascii="宋体" w:hAnsi="宋体" w:cs="宋体"/>
          <w:b/>
          <w:sz w:val="28"/>
          <w:szCs w:val="28"/>
          <w:highlight w:val="none"/>
          <w:lang w:bidi="ar"/>
        </w:rPr>
        <w:t>供应商须知正文</w:t>
      </w:r>
      <w:bookmarkEnd w:id="50"/>
    </w:p>
    <w:p w14:paraId="2841C7D3">
      <w:pPr>
        <w:autoSpaceDE w:val="0"/>
        <w:spacing w:line="360" w:lineRule="auto"/>
        <w:jc w:val="center"/>
        <w:outlineLvl w:val="1"/>
        <w:rPr>
          <w:rFonts w:ascii="宋体" w:hAnsi="宋体" w:cs="宋体"/>
          <w:b/>
          <w:sz w:val="28"/>
          <w:szCs w:val="28"/>
          <w:highlight w:val="none"/>
        </w:rPr>
      </w:pPr>
      <w:bookmarkStart w:id="51" w:name="_Toc3248"/>
      <w:r>
        <w:rPr>
          <w:rFonts w:hint="eastAsia" w:ascii="宋体" w:hAnsi="宋体" w:cs="宋体"/>
          <w:b/>
          <w:sz w:val="28"/>
          <w:szCs w:val="28"/>
          <w:highlight w:val="none"/>
          <w:lang w:bidi="ar"/>
        </w:rPr>
        <w:t>一、总则</w:t>
      </w:r>
      <w:bookmarkEnd w:id="51"/>
    </w:p>
    <w:p w14:paraId="4DDD11DB">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1. 适用范围</w:t>
      </w:r>
    </w:p>
    <w:p w14:paraId="4E0DC4D5">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1.1 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8C81FA1">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1.2 本竞争性磋商文件（以下简称磋商文件）适用于本项目的所有采购程序和环节（法律、法规另有规定的，从其规定）。</w:t>
      </w:r>
    </w:p>
    <w:p w14:paraId="2354542A">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2. 定义</w:t>
      </w:r>
    </w:p>
    <w:p w14:paraId="1D6AC19F">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2.1 “采购人”是指依法进行政府采购的国家机关、事业单位、团体组织。</w:t>
      </w:r>
    </w:p>
    <w:p w14:paraId="498AAF6C">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2.2 “采购代理机构”是指政府采购集中采购机构和集中采购机构以外的采购代理机构。</w:t>
      </w:r>
    </w:p>
    <w:p w14:paraId="583AC0B7">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2.3 “供应商”是指向采购人提供货物、工程或者服务的法人、其他组织或者自然人。</w:t>
      </w:r>
    </w:p>
    <w:p w14:paraId="1624721B">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2.4 “服务”是指除货物和工程以外的其他政府采购对象。</w:t>
      </w:r>
    </w:p>
    <w:p w14:paraId="35044F04">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2.5 “竞标”是指供应商按照本项目竞争性磋商公告规定的方式获取磋商文件、提交响应文件并希望获得标的的行为。</w:t>
      </w:r>
    </w:p>
    <w:p w14:paraId="78711CEC">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2.6 “书面形式”是指合同书、信件和数据电文（包括电报、电传、传真、电子数据交换和电子邮件）等可以有形地表现所载内容的形式。</w:t>
      </w:r>
    </w:p>
    <w:p w14:paraId="5625F876">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2.7 “响应文件”是指：供应商根据本磋商文件要求，编制包含资格证明、报价、商务技术等所有内容的文件。</w:t>
      </w:r>
    </w:p>
    <w:p w14:paraId="0C27B611">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2.8 “实质性要求”是指磋商文件中已经指明不满足则响应文件按无效响应处理的条款，或者不能负偏离的条款，或者采购需求中带“▲”的条款。</w:t>
      </w:r>
    </w:p>
    <w:p w14:paraId="33BAAFCE">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2.9 “正偏离”，是指响应文件对磋商文件“采购需求”中有关条款作出的响应优于条款要求并有利于采购人的情形。</w:t>
      </w:r>
    </w:p>
    <w:p w14:paraId="71B42F6A">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2.10 “负偏离”，是指响应文件对磋商文件“采购需求”中有关条款作出的响应不满足条款要求，导致采购人要求不能得到满足的情形。</w:t>
      </w:r>
    </w:p>
    <w:p w14:paraId="558CB7AE">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2.11 “允许负偏离的条款”是指采购需求中的不属于“实质性要求”的条款。</w:t>
      </w:r>
    </w:p>
    <w:p w14:paraId="268EBE4D">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2.12 “首次报价”是指供应商提交的首次响应文件中的报价。</w:t>
      </w:r>
    </w:p>
    <w:p w14:paraId="3EB314B6">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2.13 “评审价”是指供应商提交的最后报价并经修正（如有）和政策功能价格扣除（如有）后的价格。</w:t>
      </w:r>
    </w:p>
    <w:p w14:paraId="7C3F929F">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3. 供应商的资格条件</w:t>
      </w:r>
    </w:p>
    <w:p w14:paraId="633DBAEC">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供应商的资格条件详见“供应商须知前附表”。</w:t>
      </w:r>
    </w:p>
    <w:p w14:paraId="4AF4051E">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4. 竞标费用</w:t>
      </w:r>
    </w:p>
    <w:p w14:paraId="1C5674CE">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供应商应承担参与本次采购活动有关的所有费用，包括但不限于获取磋商文件、勘查现场、编制和提交响应文件、参加磋商与应答、签订合同等，不论竞标结果如何，均应自行承担。</w:t>
      </w:r>
    </w:p>
    <w:p w14:paraId="003F83F6">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5. 联合体竞标</w:t>
      </w:r>
    </w:p>
    <w:p w14:paraId="078D273B">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5.1 本项目是否接受联合体竞标，详见“供应商须知前附表”。</w:t>
      </w:r>
    </w:p>
    <w:p w14:paraId="4B11144F">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5.2 如接受联合体竞标，联合体竞标要求详见“供应商须知前附表”。</w:t>
      </w:r>
    </w:p>
    <w:p w14:paraId="6121F1F7">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6. 转包与分包</w:t>
      </w:r>
    </w:p>
    <w:p w14:paraId="111B917D">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6.1 本项目不允许转包。</w:t>
      </w:r>
    </w:p>
    <w:p w14:paraId="46375E2E">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6.2 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07826C0A">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6.3 供应商根据磋商文件的规定和采购项目的实际情况，拟在成交后将成交项目的非主体、非关键性工作分包的，应当在响应文件中载明分包承担主体，分包承担主体应当具备相应资质条件且不得再次分包。</w:t>
      </w:r>
    </w:p>
    <w:p w14:paraId="1D72B4A8">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7. 特别说明</w:t>
      </w:r>
    </w:p>
    <w:p w14:paraId="2B6CF65A">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7.1 如果本磋商文件要求提供供应商或制造商的资格、信誉、荣誉、业绩与企业认证等材料的，资格、信誉、荣誉、业绩与企业认证等必须为供应商或者制造商所拥有或自身获得。</w:t>
      </w:r>
    </w:p>
    <w:p w14:paraId="47184DFC">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7.2 供应商应仔细阅读磋商文件的所有内容，按照磋商文件的要求提交响应文件，并对所提供的全部资料的真实性承担法律责任。</w:t>
      </w:r>
    </w:p>
    <w:p w14:paraId="56B7A475">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7.3 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E921AD6">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7.4 在政府采购活动中，采购人员及相关人员与供应商有下列利害关系之一的，应当回避：</w:t>
      </w:r>
    </w:p>
    <w:p w14:paraId="68529151">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（1）参加采购活动前 3 年内与供应商存在劳动关系；</w:t>
      </w:r>
    </w:p>
    <w:p w14:paraId="305F4D4A">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（2）参加采购活动前 3 年内担任供应商的董事、监事；</w:t>
      </w:r>
    </w:p>
    <w:p w14:paraId="1C3DED1A">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（3）参加采购活动前 3 年内是供应商的控股股东或者实际控制人；</w:t>
      </w:r>
    </w:p>
    <w:p w14:paraId="20AD0CD7">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（4）与供应商的法定代表人或者负责人有夫妻、直系血亲、三代以内旁系血亲或者近姻亲关系；</w:t>
      </w:r>
    </w:p>
    <w:p w14:paraId="46A97297">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（5）与供应商有其他可能影响政府采购活动公平、公正进行的关系。</w:t>
      </w:r>
    </w:p>
    <w:p w14:paraId="010CF460">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F84F43A">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7.5 有下列情形之一的视为供应商相互串通竞标，响应文件将被视为无效：</w:t>
      </w:r>
    </w:p>
    <w:p w14:paraId="1C049CB0">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（1）不同供应商的响应文件由同一单位或者个人编制；</w:t>
      </w:r>
    </w:p>
    <w:p w14:paraId="309AED23">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（2）不同供应商委托同一单位或者个人办理竞标事宜；</w:t>
      </w:r>
    </w:p>
    <w:p w14:paraId="6F564478">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（3）不同的供应商的响应文件载明的项目管理员为同一个人；</w:t>
      </w:r>
    </w:p>
    <w:p w14:paraId="6704DF04">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（4）不同供应商的响应文件异常一致或者报价呈规律性差异；</w:t>
      </w:r>
    </w:p>
    <w:p w14:paraId="11B93B52">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（5）不同供应商的响应文件相互混装；</w:t>
      </w:r>
    </w:p>
    <w:p w14:paraId="74425AB7">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（6）不同供应商的磋商保证金从同一单位或者个人账户转出。</w:t>
      </w:r>
    </w:p>
    <w:p w14:paraId="46211AB1">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7.6 供应商有下列情形之一的，属于恶意串通行为，将报同级监督管理部门：</w:t>
      </w:r>
    </w:p>
    <w:p w14:paraId="739EFAAD">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（1）供应商直接或者间接从采购人或者采购代理机构处获得其他供应商的相关信息并修改其响应文件；</w:t>
      </w:r>
    </w:p>
    <w:p w14:paraId="0F97C357">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（2）供应商按照采购人或者采购代理机构的授意撤换、修改响应文件；</w:t>
      </w:r>
    </w:p>
    <w:p w14:paraId="1C003A93">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（3）供应商之间协商报价、技术方案等响应文件或者响应文件的实质性内容；</w:t>
      </w:r>
    </w:p>
    <w:p w14:paraId="7AA91A98">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（4）属于同一集团、协会、商会等组织成员的供应商按照该组织要求协同参加政府采购活动；</w:t>
      </w:r>
    </w:p>
    <w:p w14:paraId="6D73D214">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（5）供应商之间事先约定一致抬高或者压低报价，或者在政府采购活动中事先约定轮流以高价位或者低价位成交，或者事先约定由某一特定供应商成交，然后再参加竞标；</w:t>
      </w:r>
    </w:p>
    <w:p w14:paraId="3461FEF4">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（6）供应商之间商定部分供应商放弃参加政府采购活动或者放弃成交；</w:t>
      </w:r>
    </w:p>
    <w:p w14:paraId="5E560BC1">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（7）供应商与采购人或者采购代理机构之间、供应商相互之间，为谋求特定供应商成交或者排斥其他供应商的其他串通行为。</w:t>
      </w:r>
    </w:p>
    <w:p w14:paraId="6AE28B2D">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 xml:space="preserve"> </w:t>
      </w:r>
    </w:p>
    <w:p w14:paraId="6BAB2013">
      <w:pPr>
        <w:autoSpaceDE w:val="0"/>
        <w:spacing w:line="360" w:lineRule="auto"/>
        <w:jc w:val="center"/>
        <w:outlineLvl w:val="1"/>
        <w:rPr>
          <w:rFonts w:ascii="宋体" w:hAnsi="宋体" w:cs="宋体"/>
          <w:b/>
          <w:bCs/>
          <w:sz w:val="32"/>
          <w:szCs w:val="32"/>
          <w:highlight w:val="none"/>
        </w:rPr>
      </w:pPr>
      <w:bookmarkStart w:id="52" w:name="_Toc30955"/>
      <w:r>
        <w:rPr>
          <w:rFonts w:hint="eastAsia" w:ascii="宋体" w:hAnsi="宋体" w:cs="宋体"/>
          <w:b/>
          <w:bCs/>
          <w:sz w:val="32"/>
          <w:szCs w:val="32"/>
          <w:highlight w:val="none"/>
          <w:lang w:bidi="ar"/>
        </w:rPr>
        <w:t>二、磋商文件</w:t>
      </w:r>
      <w:bookmarkEnd w:id="52"/>
    </w:p>
    <w:p w14:paraId="3121466C">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8. 磋商文件的构成</w:t>
      </w:r>
    </w:p>
    <w:p w14:paraId="0EB62A6D">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（1）竞争性磋商公告/竞标邀请函；</w:t>
      </w:r>
    </w:p>
    <w:p w14:paraId="735603E6">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（2）供应商须知；</w:t>
      </w:r>
    </w:p>
    <w:p w14:paraId="7D166B9B">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（3）采购需求；</w:t>
      </w:r>
    </w:p>
    <w:p w14:paraId="743BC84B">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（4）评审程序、评审方法和评审标准；</w:t>
      </w:r>
    </w:p>
    <w:p w14:paraId="0982F635">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（5）响应文件格式；</w:t>
      </w:r>
    </w:p>
    <w:p w14:paraId="7B076B09">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（6）合同文本</w:t>
      </w:r>
    </w:p>
    <w:p w14:paraId="0BA488D8">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9. 供应商的询问</w:t>
      </w:r>
    </w:p>
    <w:p w14:paraId="218669DA">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供应商应认真阅读磋商文件的采购需求，如供应商对磋商文件有疑问的，如要求采购人作出澄清或者修改的，供应商尽可能在提交首次响应文件截止之日前，以书面形式向采购人、采购代理机构提出。</w:t>
      </w:r>
    </w:p>
    <w:p w14:paraId="3F971BD1">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10. 磋商文件的澄清和修改</w:t>
      </w:r>
    </w:p>
    <w:p w14:paraId="6DBAE418">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 3 个工作日前，以书面形式通知所有获取磋商文件的供应商，不足 3 个工作日的，应当顺延提交首次响应文件截止之日。</w:t>
      </w:r>
    </w:p>
    <w:p w14:paraId="5E0065DC">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 xml:space="preserve"> </w:t>
      </w:r>
    </w:p>
    <w:p w14:paraId="13FD541B">
      <w:pPr>
        <w:autoSpaceDE w:val="0"/>
        <w:spacing w:line="360" w:lineRule="auto"/>
        <w:jc w:val="center"/>
        <w:outlineLvl w:val="1"/>
        <w:rPr>
          <w:rFonts w:ascii="宋体" w:hAnsi="宋体" w:cs="宋体"/>
          <w:b/>
          <w:bCs/>
          <w:szCs w:val="21"/>
          <w:highlight w:val="none"/>
        </w:rPr>
      </w:pPr>
      <w:bookmarkStart w:id="53" w:name="_Toc25521"/>
      <w:r>
        <w:rPr>
          <w:rFonts w:hint="eastAsia" w:ascii="宋体" w:hAnsi="宋体" w:cs="宋体"/>
          <w:b/>
          <w:bCs/>
          <w:sz w:val="32"/>
          <w:szCs w:val="32"/>
          <w:highlight w:val="none"/>
          <w:lang w:bidi="ar"/>
        </w:rPr>
        <w:t>三、响应文件的编制</w:t>
      </w:r>
      <w:bookmarkEnd w:id="53"/>
    </w:p>
    <w:p w14:paraId="45814726">
      <w:pPr>
        <w:autoSpaceDE w:val="0"/>
        <w:spacing w:line="360" w:lineRule="auto"/>
        <w:ind w:left="420" w:leftChars="200"/>
        <w:rPr>
          <w:rFonts w:ascii="宋体" w:hAnsi="宋体" w:cs="宋体"/>
          <w:szCs w:val="21"/>
          <w:highlight w:val="none"/>
        </w:rPr>
      </w:pPr>
      <w:r>
        <w:rPr>
          <w:rFonts w:hint="eastAsia" w:ascii="宋体" w:hAnsi="宋体" w:cs="宋体"/>
          <w:b/>
          <w:bCs/>
          <w:sz w:val="24"/>
          <w:highlight w:val="none"/>
          <w:lang w:bidi="ar"/>
        </w:rPr>
        <w:t>11. 响应文件的编制原则</w:t>
      </w:r>
    </w:p>
    <w:p w14:paraId="03E5B38E">
      <w:pPr>
        <w:autoSpaceDE w:val="0"/>
        <w:spacing w:line="360" w:lineRule="auto"/>
        <w:ind w:firstLine="420" w:firstLineChars="200"/>
        <w:rPr>
          <w:rFonts w:ascii="宋体" w:hAnsi="宋体" w:cs="宋体"/>
          <w:bCs/>
          <w:szCs w:val="21"/>
          <w:highlight w:val="none"/>
        </w:rPr>
      </w:pPr>
      <w:r>
        <w:rPr>
          <w:rStyle w:val="92"/>
          <w:rFonts w:hint="eastAsia" w:ascii="宋体" w:hAnsi="宋体" w:cs="宋体"/>
          <w:bCs/>
          <w:szCs w:val="21"/>
          <w:highlight w:val="none"/>
          <w:lang w:bidi="ar"/>
        </w:rPr>
        <w:t>供应商必须按照磋商文件的要求编制响应文件，并对其提交的响应文件的真实性、合法性承担法律责任。响应文件必须对磋商文件作出实质性响应。</w:t>
      </w:r>
    </w:p>
    <w:p w14:paraId="4E060C64">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12. 响应文件的组成</w:t>
      </w:r>
    </w:p>
    <w:p w14:paraId="107EFCFB">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12.1 电子响应文件由资格证明文件、报价商务技术文件两部分组成。</w:t>
      </w:r>
    </w:p>
    <w:p w14:paraId="5A8C1EF2">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12.1.1 资格证明文件：详见须知前附表</w:t>
      </w:r>
    </w:p>
    <w:p w14:paraId="76AC123F">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12.1.2 报价商务技术文件：详见须知前附表</w:t>
      </w:r>
    </w:p>
    <w:p w14:paraId="710D0551">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13. 计量单位</w:t>
      </w:r>
    </w:p>
    <w:p w14:paraId="41481888">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磋商文件已有明确规定的，使用磋商文件规定的计量单位；磋商文件没有规定的，应采用中华人民共和国法定计量单位，货币种类为人民币，否则视同未响应。</w:t>
      </w:r>
    </w:p>
    <w:p w14:paraId="55501F1F">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14. 竞标的风险</w:t>
      </w:r>
    </w:p>
    <w:p w14:paraId="4309A3F0">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供应商没有按照磋商文件要求提供全部资料，或者供应商没有对磋商文件在各方面作出实质性响应可能导致其响应无效，是供应商应当考虑的风险。</w:t>
      </w:r>
    </w:p>
    <w:p w14:paraId="670CDC7C">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15. 竞标报价要求和构成</w:t>
      </w:r>
    </w:p>
    <w:p w14:paraId="4ACD453C">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15.1 竞标报价应按磋商文件中“竞标报价表”格式填写。</w:t>
      </w:r>
    </w:p>
    <w:p w14:paraId="5C0DEBAD">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15.2 竞标报价的价格构成见“供应商须知前附表”。</w:t>
      </w:r>
    </w:p>
    <w:p w14:paraId="6D3CFB43">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15.3 竞标报价要求</w:t>
      </w:r>
    </w:p>
    <w:p w14:paraId="627960CF">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15.3.1 供应商的竞标报价应符合以下要求，否则响应文件按无效响应处理：</w:t>
      </w:r>
    </w:p>
    <w:p w14:paraId="7DB04528">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（1）供应商必须就“采购需求”中所竞标的每个分标的全部内容分别作完整唯一总价报价，不得存在漏项报价；</w:t>
      </w:r>
    </w:p>
    <w:p w14:paraId="74C07D28">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（2）供应商必须就所竞标的分标的单项内容作唯一报价。</w:t>
      </w:r>
    </w:p>
    <w:p w14:paraId="3C7E2D2B">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15.3.2 竞标报价（包含首次报价、最后报价）超过所竞标分标规定的采购预算金额或者最高限价的，其电子响应文件将作无效处理。</w:t>
      </w:r>
    </w:p>
    <w:p w14:paraId="5A53F613">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15.3.3 竞标报价（包含首次报价、最后报价）超过分项采购预算金额或者最高限价的，其电子响应文件将作无效处理。</w:t>
      </w:r>
    </w:p>
    <w:p w14:paraId="1A9BE803">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16. 竞标有效期</w:t>
      </w:r>
    </w:p>
    <w:p w14:paraId="5935921A">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16.1 竞标有效期是指为保证采购人有足够的时间在提交响应文件后完成评审、确定成交供应商、合同签订等工作而要求供应商提交的响应文件在一定时间内保持有效的期限。</w:t>
      </w:r>
    </w:p>
    <w:p w14:paraId="540323CE">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16.2 竞标有效期应由供应商按“供应商须知前附表”规定的期限作出响应。</w:t>
      </w:r>
    </w:p>
    <w:p w14:paraId="0AF19F32">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16.3 供应商的响应文件在竞标有效期内均保持有效。</w:t>
      </w:r>
    </w:p>
    <w:p w14:paraId="73F1AEDB">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17. 磋商保证金</w:t>
      </w:r>
    </w:p>
    <w:p w14:paraId="59CAB105">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17.1 供应商须按“供应商须知前附表”的规定提交磋商保证金。</w:t>
      </w:r>
    </w:p>
    <w:p w14:paraId="676527F3">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17.2 磋商保证金的退还</w:t>
      </w:r>
    </w:p>
    <w:p w14:paraId="62EB5A83">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17.2.1 未</w:t>
      </w:r>
      <w:r>
        <w:rPr>
          <w:rFonts w:hint="eastAsia" w:ascii="宋体" w:hAnsi="宋体" w:cs="宋体"/>
          <w:spacing w:val="-6"/>
          <w:szCs w:val="21"/>
          <w:highlight w:val="none"/>
          <w:lang w:bidi="ar"/>
        </w:rPr>
        <w:t>成交供应商的磋商保证金自成交通知书发出之日起5个工作日内退还，退还方式如下：</w:t>
      </w:r>
    </w:p>
    <w:p w14:paraId="21E63799">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（1）采用银行转账方式的，以转账方式退回到供应商银行账户。</w:t>
      </w:r>
    </w:p>
    <w:p w14:paraId="70BDD4AB">
      <w:pPr>
        <w:pStyle w:val="27"/>
        <w:autoSpaceDE w:val="0"/>
        <w:spacing w:line="360" w:lineRule="auto"/>
        <w:ind w:firstLine="420" w:firstLineChars="200"/>
        <w:rPr>
          <w:rFonts w:ascii="宋体" w:hAnsi="宋体" w:cs="宋体"/>
          <w:kern w:val="2"/>
          <w:sz w:val="21"/>
          <w:szCs w:val="21"/>
          <w:highlight w:val="none"/>
        </w:rPr>
      </w:pPr>
      <w:r>
        <w:rPr>
          <w:rFonts w:hint="eastAsia" w:ascii="宋体" w:hAnsi="宋体" w:cs="宋体"/>
          <w:kern w:val="2"/>
          <w:sz w:val="21"/>
          <w:szCs w:val="21"/>
          <w:highlight w:val="none"/>
          <w:lang w:bidi="ar"/>
        </w:rPr>
        <w:t>（2）采用支票、汇票、本票或者金融、担保机构出具的保函方式的，由供应商代表持相关授权证明材料至采购人或者采购代理机构办理支票、汇票、本票或者金融、担保机构出具的保函原件退还手续。</w:t>
      </w:r>
    </w:p>
    <w:p w14:paraId="680675E7">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17.2.2 成交供应商的磋商保证金自政府采购合同签订之日起5个工作日内退还，退还方式同未成交供应商的磋商保证金的退还方式。</w:t>
      </w:r>
    </w:p>
    <w:p w14:paraId="4BADE52B">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17.3 磋商保证金不计息。</w:t>
      </w:r>
    </w:p>
    <w:p w14:paraId="6C958294">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17.4 供应商有下列情形之一的，磋商保证金将不予退还：</w:t>
      </w:r>
    </w:p>
    <w:p w14:paraId="4371AED5">
      <w:pPr>
        <w:widowControl/>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（1）供应商在提交响应文件截止时间后撤回响应文件的；</w:t>
      </w:r>
    </w:p>
    <w:p w14:paraId="55771F05">
      <w:pPr>
        <w:widowControl/>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（2）未按规定提交履约保证金的；</w:t>
      </w:r>
    </w:p>
    <w:p w14:paraId="26CCA319">
      <w:pPr>
        <w:widowControl/>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（3）供应商在响应文件中提供虚假材料的；</w:t>
      </w:r>
    </w:p>
    <w:p w14:paraId="752A1BFE">
      <w:pPr>
        <w:widowControl/>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（4）除因不可抗力或者磋商文件认可的情形以外，成交供应商不与采购人签订合同的；</w:t>
      </w:r>
    </w:p>
    <w:p w14:paraId="6164048E">
      <w:pPr>
        <w:widowControl/>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（5）供应商与采购人、其他供应商或者采购代理机构恶意串通的；</w:t>
      </w:r>
    </w:p>
    <w:p w14:paraId="3C849302">
      <w:pPr>
        <w:widowControl/>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（6）法律法规规定的其他情形。</w:t>
      </w:r>
    </w:p>
    <w:p w14:paraId="5CB07C16">
      <w:pPr>
        <w:widowControl/>
        <w:autoSpaceDE w:val="0"/>
        <w:spacing w:line="360" w:lineRule="auto"/>
        <w:ind w:firstLine="482" w:firstLineChars="200"/>
        <w:rPr>
          <w:rFonts w:ascii="宋体" w:hAnsi="宋体" w:cs="宋体"/>
          <w:szCs w:val="21"/>
          <w:highlight w:val="none"/>
        </w:rPr>
      </w:pPr>
      <w:r>
        <w:rPr>
          <w:rFonts w:hint="eastAsia" w:ascii="宋体" w:hAnsi="宋体" w:cs="宋体"/>
          <w:b/>
          <w:bCs/>
          <w:sz w:val="24"/>
          <w:highlight w:val="none"/>
          <w:lang w:bidi="ar"/>
        </w:rPr>
        <w:t>18. 电子响应文件编制的要求</w:t>
      </w:r>
    </w:p>
    <w:p w14:paraId="27CD437D">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18.1 供应商应先安装“广西政府采购云平台电子交易客户端”（请自行前往“广西政府采购云平台”平台进行下载），并按照本项目磋商文件规定的格式和顺序和“广西政府采购云平台”平台的要求编制并加密。响应文件内容不完整、编排混乱导致响应文件被误读、漏读或者查找不到相关内容的，由此引发的后果由供应商承担。</w:t>
      </w:r>
    </w:p>
    <w:p w14:paraId="7CBC6602">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18.2 为确保网上操作合法、有效和安全，供应商应当在提交响应文件截止时间前完成在“广西政府采购云平台”平台的身份认证，确保在电子竞标过程中能够对相关数据电文进行加密和使用电子签章。</w:t>
      </w:r>
    </w:p>
    <w:p w14:paraId="76EA0CF1">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18.3 响应文件须由供应商在规定位置签字、盖章（具体以供应商须知前附表或响应文件格式规定为准），否则按无效响应处理。</w:t>
      </w:r>
    </w:p>
    <w:p w14:paraId="16BB5FED">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18.4 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5DB2E97D">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18.5 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6258089E">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19. 电子备份响应文件</w:t>
      </w:r>
    </w:p>
    <w:p w14:paraId="37CFBD34">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电子备份响应文件是指通过“广西政府采购云平台电子投标客户端”在线编制生成的电子备份响应文件，是否接受电子备份响应文件详见在“供应商须知前附表”。</w:t>
      </w:r>
    </w:p>
    <w:p w14:paraId="630D4F08">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20. 响应文件的递交</w:t>
      </w:r>
    </w:p>
    <w:p w14:paraId="08F47325">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20.1 供应商必须按“供应商须知前附表”规定的时间及地点提交响应文件。电子响应文件应在制作完成后，在提交响应文件截止时间前通过有效数字证书（CA 认证锁）进行电子签章、加密，然后通过网络将加密的电子响应文件提交至“广西政府采购云平台”平台。</w:t>
      </w:r>
    </w:p>
    <w:p w14:paraId="518A424A">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20.2 未在规定时间内提交或者未按照磋商文件要求加密的电子响应文件，“广西政府采购云平台”平台将拒收。</w:t>
      </w:r>
    </w:p>
    <w:p w14:paraId="115529E6">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21. 首次响应文件的补充、修改与撤回</w:t>
      </w:r>
    </w:p>
    <w:p w14:paraId="6D070E8F">
      <w:pPr>
        <w:autoSpaceDE w:val="0"/>
        <w:spacing w:line="360" w:lineRule="auto"/>
        <w:ind w:firstLine="420" w:firstLineChars="200"/>
        <w:rPr>
          <w:rFonts w:ascii="宋体" w:hAnsi="宋体" w:cs="宋体"/>
          <w:bCs/>
          <w:szCs w:val="21"/>
          <w:highlight w:val="none"/>
        </w:rPr>
      </w:pPr>
      <w:r>
        <w:rPr>
          <w:rFonts w:hint="eastAsia" w:ascii="宋体" w:hAnsi="宋体" w:cs="宋体"/>
          <w:bCs/>
          <w:szCs w:val="21"/>
          <w:highlight w:val="none"/>
          <w:lang w:bidi="ar"/>
        </w:rPr>
        <w:t>21.1 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平台将予以拒收。（补充、修改或者撤回方式可登录“广西政府采购云平台”平台，进入“服务中心”中查看 “电子投标文件制作与投送教程”）</w:t>
      </w:r>
    </w:p>
    <w:p w14:paraId="07DB8715">
      <w:pPr>
        <w:autoSpaceDE w:val="0"/>
        <w:spacing w:line="360" w:lineRule="auto"/>
        <w:ind w:firstLine="420" w:firstLineChars="200"/>
        <w:rPr>
          <w:rFonts w:ascii="宋体" w:hAnsi="宋体" w:cs="宋体"/>
          <w:bCs/>
          <w:szCs w:val="21"/>
          <w:highlight w:val="none"/>
        </w:rPr>
      </w:pPr>
      <w:r>
        <w:rPr>
          <w:rFonts w:hint="eastAsia" w:ascii="宋体" w:hAnsi="宋体" w:cs="宋体"/>
          <w:bCs/>
          <w:szCs w:val="21"/>
          <w:highlight w:val="none"/>
          <w:lang w:bidi="ar"/>
        </w:rPr>
        <w:t>21.2 在提交响应文件截止时间前，除供应商补充、修改或者撤回响应文件外，任何单位和个人不得解密或提取响应文件。</w:t>
      </w:r>
    </w:p>
    <w:p w14:paraId="44EA949B">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22. 首次响应文件的退回</w:t>
      </w:r>
    </w:p>
    <w:p w14:paraId="2E288D8A">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采购人和采购代理机构对所接收的电子响应文件除“第四章 评审程序、评审方法和评审标准” 4.3 条规定的情形外，在首次电子响应文件提交截止时间止提交电子响应文件的供应商不足 3 家的，应当退回供应商电子响应文件。</w:t>
      </w:r>
    </w:p>
    <w:p w14:paraId="539449DE">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23. 截止时间后的撤回</w:t>
      </w:r>
    </w:p>
    <w:p w14:paraId="5AAD2607">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供应商在首次电子响应文件提交截止时间后向采购人、采购代理机构书面申请撤回电子响应文件的，除此之外采购人和采购代理机构对已开启的电子响应文件概不退回。</w:t>
      </w:r>
    </w:p>
    <w:p w14:paraId="53A23C94">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 xml:space="preserve"> </w:t>
      </w:r>
    </w:p>
    <w:p w14:paraId="054389CA">
      <w:pPr>
        <w:autoSpaceDE w:val="0"/>
        <w:spacing w:line="360" w:lineRule="auto"/>
        <w:jc w:val="center"/>
        <w:outlineLvl w:val="1"/>
        <w:rPr>
          <w:rFonts w:ascii="宋体" w:hAnsi="宋体" w:cs="宋体"/>
          <w:szCs w:val="21"/>
          <w:highlight w:val="none"/>
        </w:rPr>
      </w:pPr>
      <w:bookmarkStart w:id="54" w:name="_Toc19883"/>
      <w:r>
        <w:rPr>
          <w:rFonts w:hint="eastAsia" w:ascii="宋体" w:hAnsi="宋体" w:cs="宋体"/>
          <w:b/>
          <w:bCs/>
          <w:sz w:val="32"/>
          <w:szCs w:val="32"/>
          <w:highlight w:val="none"/>
          <w:lang w:bidi="ar"/>
        </w:rPr>
        <w:t>四、评审及磋商</w:t>
      </w:r>
      <w:bookmarkEnd w:id="54"/>
    </w:p>
    <w:p w14:paraId="7AF4C9B2">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24. 磋商小组成立</w:t>
      </w:r>
    </w:p>
    <w:p w14:paraId="2ECBF6C2">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24.1 磋商小组由采购人代表和评审专家共 3 人以上单数组成，具体人数见“供应商须知前附表”，其中评审专家人数不得少于磋商小组成员总数的 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 5 人以上单数组成。</w:t>
      </w:r>
    </w:p>
    <w:p w14:paraId="4C8ED963">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24.2 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 1 名法律专家。</w:t>
      </w:r>
    </w:p>
    <w:p w14:paraId="19361456">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24.3 采购代理机构应当基于“广西政府采购云平台”平台抽（选）取评审专家。</w:t>
      </w:r>
    </w:p>
    <w:p w14:paraId="0B4F0B3D">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25. 首次响应文件的开启和解密</w:t>
      </w:r>
    </w:p>
    <w:p w14:paraId="48D706A8">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采购代理机构将在“供应商须知前附表”规定的时间通过电子交易平台组织响应文件开启，供应商的法定代表人或其委托代理人须携带加密时所用的 CA 锁，按平台提示和磋商文件的规定登录到“广西政府采购云平台”平台电子开标大厅签到，采购代理机构依托“广西政府采购云平台”平台向各供应商发出电子加密响应文件【开始解密】通知，由供应商按“供应商须知前附表”规定的时间内自行进行响应文件解密。</w:t>
      </w:r>
      <w:r>
        <w:rPr>
          <w:rFonts w:hint="eastAsia" w:ascii="宋体" w:hAnsi="宋体" w:cs="宋体"/>
          <w:b/>
          <w:bCs/>
          <w:szCs w:val="21"/>
          <w:highlight w:val="none"/>
          <w:lang w:bidi="ar"/>
        </w:rPr>
        <w:t>供应商未在规定的时间内解密响应文件或者解密失败的，供应商的响应文件作无效处理。</w:t>
      </w:r>
    </w:p>
    <w:p w14:paraId="4DB9941C">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26. 评审程序、评审方法和评审标准</w:t>
      </w:r>
    </w:p>
    <w:p w14:paraId="31FD9D50">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26.1 本项目的评审方法为综合评分法。</w:t>
      </w:r>
    </w:p>
    <w:p w14:paraId="5BA9A467">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26.2 磋商小组按照“第四章 评审程序、评审方法和评审标准”规定的方法、评审因素、标准和程序对响应文件进行评审。</w:t>
      </w:r>
    </w:p>
    <w:p w14:paraId="3263EFBD">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26.3 商务/技术要求允许负偏离的条款数详见“供应商须知前附表”。</w:t>
      </w:r>
    </w:p>
    <w:p w14:paraId="45989A45">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26.4 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BF07BCD">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26.5 电子交易活动的中止。采购过程中出现以下情形，导致电子交易平台无法正常运行，或者无法保证电子交易的公平、公正和安全时，采购机构可中止电子交易活动：</w:t>
      </w:r>
    </w:p>
    <w:p w14:paraId="7D9221BF">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（1）电子交易平台发生故障而无法登录访问的；</w:t>
      </w:r>
    </w:p>
    <w:p w14:paraId="5C3839B2">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（2）电子交易平台应用或数据库出现错误，不能进行正常操作的；</w:t>
      </w:r>
    </w:p>
    <w:p w14:paraId="65703C45">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（3）电子交易平台发现严重安全漏洞，有潜在泄密危险的；</w:t>
      </w:r>
    </w:p>
    <w:p w14:paraId="2E01B27C">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（4）病毒发作导致不能进行正常操作的；</w:t>
      </w:r>
    </w:p>
    <w:p w14:paraId="22A13DA5">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（5）其他无法保证电子交易的公平、公正和安全的情况。</w:t>
      </w:r>
    </w:p>
    <w:p w14:paraId="66214DE5">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26.6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F16DD66">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27. 确定成交供应商及结果公告</w:t>
      </w:r>
    </w:p>
    <w:p w14:paraId="3A46886A">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27.1 采购代理机构应当在评审结束后 2 个工作日内将评审报告送采购人确认。采购人应当在收到评审报告后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89BAE03">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27.2 采购代理机构应当在成交供应商确定后 2 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 号）及《广西壮族自治区财政厅关于贯彻落实政府采购支持中小企业发展政策的通知》（桂财采〔2022〕31 号）规定的中小企业扶持政策的，采购人、采购代理机构应当随成交结果公开成交供应商的《中小企业声明函》。</w:t>
      </w:r>
    </w:p>
    <w:p w14:paraId="4D25C94E">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27.3 出现下列情形之一的，采购人或者采购代理机构应当终止竞争性磋商采购活动，发布项目终止公告并说明原因，重新开展采购活动：</w:t>
      </w:r>
    </w:p>
    <w:p w14:paraId="315DEFCD">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（1）因情况变化，不再符合规定的竞争性磋商采购方式适用情形的；</w:t>
      </w:r>
    </w:p>
    <w:p w14:paraId="6AE74E7F">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（2）出现影响采购公正的违法、违规行为的；</w:t>
      </w:r>
    </w:p>
    <w:p w14:paraId="6050562A">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（3）除“第四章 评审程序、评审方法和评审标准”第 4.3 条规定的情形外，在采购过程中符合要求的供应商或者报价未超过采购预算的供应商不足 3 家的。</w:t>
      </w:r>
    </w:p>
    <w:p w14:paraId="150DD4F2">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27.4 在采购活动中因重大变故，采购任务取消的，采购人或者采购代理机构应当终止采购活动，通知所有参加采购活动的供应商，并将项目实施情况和采购任务取消原因报送本级财政部门。</w:t>
      </w:r>
    </w:p>
    <w:p w14:paraId="518AF475">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28. 履约保证金（不收取履约保证金的本款不适用）</w:t>
      </w:r>
    </w:p>
    <w:p w14:paraId="78FA0DE9">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28.1 履约保证金的金额、提交方式、退付的时间和条件详见 “供应商须知前附表”。成交供应商未按规定提交履约保证金的，视为拒绝与采购人签订合同，采购人可以按照评审报告推荐的成交候选人名单排序，确定下一候选人为成交供应商，也可以重新开展政府采购活动。</w:t>
      </w:r>
    </w:p>
    <w:p w14:paraId="4D1A6323">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28.2 签订合同后，如成交供应商不按双方签订的合同规定履约，则没收其全部履约保证金，履约保证金不足以赔偿损失的，按实际损失赔偿。</w:t>
      </w:r>
    </w:p>
    <w:p w14:paraId="5AC2B3B6">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28.3 在履约保证金退还日期前，若成交供应商的开户名称、开户银行、账号有变动的，请以书面形式通知履约保证金收取单位，否则由此产生的后果由成交供应商自行承担。</w:t>
      </w:r>
    </w:p>
    <w:p w14:paraId="3892025F">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29. 签订合同</w:t>
      </w:r>
    </w:p>
    <w:p w14:paraId="79FCE8BC">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29.1 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w:t>
      </w:r>
    </w:p>
    <w:p w14:paraId="53B678A5">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线下签订纸质合同：供应商领取成交通知书后，按“供应商须知前附表”规定向采购人出示相关证明材料，经采购人核验合格后方可签订合同。</w:t>
      </w:r>
    </w:p>
    <w:p w14:paraId="065CDDC0">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29.2 签订合同时间：按成交通知书规定的时间与采购人签订合同。</w:t>
      </w:r>
    </w:p>
    <w:p w14:paraId="209B3E71">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29.3 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5DAF82CD">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29.4 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0D8EAF0">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29.5 采购人或成交供应商不得单方面向合同另一方提出任何磋商文件没有约定的条件或不合理的要求，作为签订合同的条件；也不得协商另行订立背离磋商文件和合同实质性内容的协议。</w:t>
      </w:r>
    </w:p>
    <w:p w14:paraId="55F1B695">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29.6 如签订合同并生效后，供应商无故拒绝或延期，除按照合同条款处理外，将承担相应的法律责任。</w:t>
      </w:r>
    </w:p>
    <w:p w14:paraId="3A2587FB">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29.7 政府采购合同履行中，采购人需追加与合同标的相同的货物、工程或者服务的，在不改变合同其他条款的前提下，可以与供应商协商签订补充合同，但所有补充合同的采购金额不得超过原合同采购金额的10%。</w:t>
      </w:r>
    </w:p>
    <w:p w14:paraId="4D215A68">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30. 政府采购合同公告</w:t>
      </w:r>
    </w:p>
    <w:p w14:paraId="2DC5A059">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根据《中华人民共和国政府采购法实施条例》第五十条规定，采购人应当自政府采购合同签订之日起 2 个工作日内，将政府采购合同在省级以上人民政府财政部门指定的媒体上公告，但政府采购合同中涉及国家秘密、商业秘密的内容除外。</w:t>
      </w:r>
    </w:p>
    <w:p w14:paraId="00FDFAC8">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31. 询问、质疑和投诉</w:t>
      </w:r>
    </w:p>
    <w:p w14:paraId="776E2FA1">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31.1 供应商对政府采购活动事项有疑问的，可以向采购人、采购代理机构提出询问，采购人或者采购代理机构应当在 3 个工作日内对供应商依法提出的询问作出答复。</w:t>
      </w:r>
    </w:p>
    <w:p w14:paraId="07A3DF5C">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31.2 供应商认为磋商文件、采购过程或者成交结果使自己的合法权益受到损害的，应当在知道或者应知其权益受到损害之日起 7 个工作日内，以书面形式向采购人、采购代理机构提出质疑，</w:t>
      </w:r>
      <w:r>
        <w:rPr>
          <w:rFonts w:hint="eastAsia" w:ascii="宋体" w:hAnsi="宋体" w:cs="宋体"/>
          <w:szCs w:val="21"/>
          <w:highlight w:val="none"/>
          <w:shd w:val="clear" w:color="auto" w:fill="FFFFFF"/>
          <w:lang w:bidi="ar"/>
        </w:rPr>
        <w:t>接收质疑函的方式、联系部门、联系电话和通讯地址等信息详见</w:t>
      </w:r>
      <w:r>
        <w:rPr>
          <w:rFonts w:hint="eastAsia" w:ascii="宋体" w:hAnsi="宋体" w:cs="宋体"/>
          <w:szCs w:val="21"/>
          <w:highlight w:val="none"/>
          <w:lang w:bidi="ar"/>
        </w:rPr>
        <w:t>“供应商须知前附表”。具体质疑起算时间如下：</w:t>
      </w:r>
    </w:p>
    <w:p w14:paraId="4CDFBB31">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（1）对可以质疑的磋商文件提出质疑的，为收到磋商文件之日或者竞争性磋商公告期限届满之日；</w:t>
      </w:r>
    </w:p>
    <w:p w14:paraId="304D921D">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（2）对采购过程提出质疑的，为各采购程序环节结束之日；</w:t>
      </w:r>
    </w:p>
    <w:p w14:paraId="5B87A58F">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（3）对成交结果提出质疑的，为成交结果公告期限届满之日。</w:t>
      </w:r>
    </w:p>
    <w:p w14:paraId="11F2A47B">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31.3 供应商提出的询问或者质疑超出采购人对采购代理机构委托授权范围的，采购代理机构应当告知供应商向采购人提出。政府采购评审专家应当配合采购人或者采购代理机构答复供应商的询问和质疑。</w:t>
      </w:r>
    </w:p>
    <w:p w14:paraId="35A000A3">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31.4 供应商提出质疑应当提交质疑函和必要的证明材料，针对同一采购程序环节的质疑必须在法定质疑期内一次性提出。质疑函应当包括下列内容</w:t>
      </w:r>
      <w:r>
        <w:rPr>
          <w:rFonts w:hint="eastAsia" w:ascii="宋体" w:hAnsi="宋体" w:cs="宋体"/>
          <w:bCs/>
          <w:szCs w:val="21"/>
          <w:highlight w:val="none"/>
          <w:lang w:bidi="ar"/>
        </w:rPr>
        <w:t>（质疑函格式后附）</w:t>
      </w:r>
      <w:r>
        <w:rPr>
          <w:rFonts w:hint="eastAsia" w:ascii="宋体" w:hAnsi="宋体" w:cs="宋体"/>
          <w:szCs w:val="21"/>
          <w:highlight w:val="none"/>
          <w:lang w:bidi="ar"/>
        </w:rPr>
        <w:t>：</w:t>
      </w:r>
    </w:p>
    <w:p w14:paraId="52F59A9D">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（1）供应商的姓名或者名称、地址、邮编、联系人及联系电话；</w:t>
      </w:r>
    </w:p>
    <w:p w14:paraId="480E2FC4">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（2）质疑项目的名称、编号；</w:t>
      </w:r>
    </w:p>
    <w:p w14:paraId="1BA742E5">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（3）具体、明确的质疑事项和与质疑事项相关的请求；</w:t>
      </w:r>
    </w:p>
    <w:p w14:paraId="11CAAAE3">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（4）事实依据；</w:t>
      </w:r>
    </w:p>
    <w:p w14:paraId="487901CF">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（5）必要的法律依据；</w:t>
      </w:r>
    </w:p>
    <w:p w14:paraId="52423AA6">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（6）提出质疑的日期。</w:t>
      </w:r>
    </w:p>
    <w:p w14:paraId="2C7E10D8">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供应商为自然人的，应当由本人签字；供应商为法人或者其他组织的，应当由法定代表人、主要负责人，或者其委托代理人签字或者盖章，并加盖公章。</w:t>
      </w:r>
    </w:p>
    <w:p w14:paraId="7E8F25CF">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31.5 采购人、采购代理机构认为供应商质疑不成立，或者成立但未对成交结果构成影响的，继续开展采购活动；认为供应商质疑成立且影响或者可能影响成交结果的，按照下列情况处理：</w:t>
      </w:r>
    </w:p>
    <w:p w14:paraId="19361B08">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（一）对采购文件提出的质疑，依法通过澄清或者修改可以继续开展采购活动的，澄清或者修改采购文件后继续开展采购活动；否则应当修改采购文件后重新开展采购活动。</w:t>
      </w:r>
    </w:p>
    <w:p w14:paraId="1EFF534A">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（二）对采购过程或者成交结果提出的质疑，合格供应商符合法定数量时，可以从合格的成交候选人中另行确定成交供应商的，应当依法另行确定成交供应商；否则应当重新开展采购活动。</w:t>
      </w:r>
    </w:p>
    <w:p w14:paraId="31D2ABFE">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质疑答复导致成交结果改变的，采购人或者采购代理机构应当将有关情况书面报告本级财政部门。</w:t>
      </w:r>
    </w:p>
    <w:p w14:paraId="6273505D">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31.6 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1F20BEE">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32. 其他内容</w:t>
      </w:r>
    </w:p>
    <w:p w14:paraId="36AA1EB1">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32.1 代理服务收费标准及缴费账户详见“供应商须知前附表”，供应商为联合体的，可以由联合体中的一方或者多方共同缴纳代理服务费。</w:t>
      </w:r>
    </w:p>
    <w:p w14:paraId="0A4D6279">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32.2 代理服务费收费计算标准：</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7"/>
        <w:gridCol w:w="1836"/>
        <w:gridCol w:w="1696"/>
        <w:gridCol w:w="1712"/>
      </w:tblGrid>
      <w:tr w14:paraId="7A38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Borders>
              <w:top w:val="single" w:color="auto" w:sz="4" w:space="0"/>
              <w:left w:val="single" w:color="auto" w:sz="4" w:space="0"/>
              <w:bottom w:val="single" w:color="auto" w:sz="4" w:space="0"/>
              <w:right w:val="single" w:color="auto" w:sz="4" w:space="0"/>
              <w:tl2br w:val="single" w:color="auto" w:sz="4" w:space="0"/>
            </w:tcBorders>
            <w:shd w:val="clear" w:color="auto" w:fill="auto"/>
          </w:tcPr>
          <w:p w14:paraId="7CF042C2">
            <w:pPr>
              <w:autoSpaceDE w:val="0"/>
              <w:spacing w:line="360" w:lineRule="auto"/>
              <w:rPr>
                <w:rFonts w:ascii="宋体" w:hAnsi="宋体" w:cs="宋体"/>
                <w:szCs w:val="21"/>
                <w:highlight w:val="none"/>
              </w:rPr>
            </w:pPr>
            <w:r>
              <w:rPr>
                <w:rFonts w:hint="eastAsia" w:ascii="宋体" w:hAnsi="宋体" w:cs="宋体"/>
                <w:szCs w:val="21"/>
                <w:highlight w:val="none"/>
                <w:lang w:bidi="ar"/>
              </w:rPr>
              <w:t xml:space="preserve">                              费率</w:t>
            </w:r>
          </w:p>
          <w:p w14:paraId="398F04B5">
            <w:pPr>
              <w:autoSpaceDE w:val="0"/>
              <w:spacing w:line="360" w:lineRule="auto"/>
              <w:rPr>
                <w:rFonts w:ascii="宋体" w:hAnsi="宋体" w:cs="宋体"/>
                <w:szCs w:val="21"/>
                <w:highlight w:val="none"/>
              </w:rPr>
            </w:pPr>
            <w:r>
              <w:rPr>
                <w:rFonts w:hint="eastAsia" w:ascii="宋体" w:hAnsi="宋体" w:cs="宋体"/>
                <w:szCs w:val="21"/>
                <w:highlight w:val="none"/>
                <w:lang w:bidi="ar"/>
              </w:rPr>
              <w:t>金额</w:t>
            </w: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64ECA5C9">
            <w:pPr>
              <w:autoSpaceDE w:val="0"/>
              <w:spacing w:line="360" w:lineRule="auto"/>
              <w:jc w:val="center"/>
              <w:rPr>
                <w:rFonts w:ascii="宋体" w:hAnsi="宋体" w:cs="宋体"/>
                <w:szCs w:val="21"/>
                <w:highlight w:val="none"/>
              </w:rPr>
            </w:pPr>
            <w:r>
              <w:rPr>
                <w:rFonts w:hint="eastAsia" w:ascii="宋体" w:hAnsi="宋体" w:cs="宋体"/>
                <w:szCs w:val="21"/>
                <w:highlight w:val="none"/>
                <w:lang w:bidi="ar"/>
              </w:rPr>
              <w:t>货物类</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14:paraId="098B98E5">
            <w:pPr>
              <w:autoSpaceDE w:val="0"/>
              <w:spacing w:line="360" w:lineRule="auto"/>
              <w:jc w:val="center"/>
              <w:rPr>
                <w:rFonts w:ascii="宋体" w:hAnsi="宋体" w:cs="宋体"/>
                <w:szCs w:val="21"/>
                <w:highlight w:val="none"/>
              </w:rPr>
            </w:pPr>
            <w:r>
              <w:rPr>
                <w:rFonts w:hint="eastAsia" w:ascii="宋体" w:hAnsi="宋体" w:cs="宋体"/>
                <w:szCs w:val="21"/>
                <w:highlight w:val="none"/>
                <w:lang w:bidi="ar"/>
              </w:rPr>
              <w:t>服务类</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14:paraId="1C7B99E5">
            <w:pPr>
              <w:autoSpaceDE w:val="0"/>
              <w:spacing w:line="360" w:lineRule="auto"/>
              <w:jc w:val="center"/>
              <w:rPr>
                <w:rFonts w:ascii="宋体" w:hAnsi="宋体" w:cs="宋体"/>
                <w:szCs w:val="21"/>
                <w:highlight w:val="none"/>
              </w:rPr>
            </w:pPr>
            <w:r>
              <w:rPr>
                <w:rFonts w:hint="eastAsia" w:ascii="宋体" w:hAnsi="宋体" w:cs="宋体"/>
                <w:szCs w:val="21"/>
                <w:highlight w:val="none"/>
                <w:lang w:bidi="ar"/>
              </w:rPr>
              <w:t>工程类</w:t>
            </w:r>
          </w:p>
        </w:tc>
      </w:tr>
      <w:tr w14:paraId="5E80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Borders>
              <w:top w:val="single" w:color="auto" w:sz="4" w:space="0"/>
              <w:left w:val="single" w:color="auto" w:sz="4" w:space="0"/>
              <w:bottom w:val="single" w:color="auto" w:sz="4" w:space="0"/>
              <w:right w:val="single" w:color="auto" w:sz="4" w:space="0"/>
            </w:tcBorders>
            <w:shd w:val="clear" w:color="auto" w:fill="auto"/>
          </w:tcPr>
          <w:p w14:paraId="1EC3B1DB">
            <w:pPr>
              <w:autoSpaceDE w:val="0"/>
              <w:spacing w:line="360" w:lineRule="auto"/>
              <w:rPr>
                <w:rFonts w:ascii="宋体" w:hAnsi="宋体" w:cs="宋体"/>
                <w:szCs w:val="21"/>
                <w:highlight w:val="none"/>
              </w:rPr>
            </w:pPr>
            <w:r>
              <w:rPr>
                <w:rFonts w:hint="eastAsia" w:ascii="宋体" w:hAnsi="宋体" w:cs="宋体"/>
                <w:szCs w:val="21"/>
                <w:highlight w:val="none"/>
                <w:lang w:bidi="ar"/>
              </w:rPr>
              <w:t>100万元以下</w:t>
            </w:r>
          </w:p>
        </w:tc>
        <w:tc>
          <w:tcPr>
            <w:tcW w:w="1009" w:type="pct"/>
            <w:tcBorders>
              <w:top w:val="single" w:color="auto" w:sz="4" w:space="0"/>
              <w:left w:val="single" w:color="auto" w:sz="4" w:space="0"/>
              <w:bottom w:val="single" w:color="auto" w:sz="4" w:space="0"/>
              <w:right w:val="single" w:color="auto" w:sz="4" w:space="0"/>
            </w:tcBorders>
            <w:shd w:val="clear" w:color="auto" w:fill="auto"/>
          </w:tcPr>
          <w:p w14:paraId="7DB09AA5">
            <w:pPr>
              <w:autoSpaceDE w:val="0"/>
              <w:spacing w:line="360" w:lineRule="auto"/>
              <w:rPr>
                <w:rFonts w:ascii="宋体" w:hAnsi="宋体" w:cs="宋体"/>
                <w:szCs w:val="21"/>
                <w:highlight w:val="none"/>
              </w:rPr>
            </w:pPr>
            <w:r>
              <w:rPr>
                <w:rFonts w:hint="eastAsia" w:ascii="宋体" w:hAnsi="宋体" w:cs="宋体"/>
                <w:kern w:val="0"/>
                <w:szCs w:val="21"/>
                <w:highlight w:val="none"/>
                <w:lang w:bidi="ar"/>
              </w:rPr>
              <w:t>1.5%</w:t>
            </w:r>
          </w:p>
        </w:tc>
        <w:tc>
          <w:tcPr>
            <w:tcW w:w="932" w:type="pct"/>
            <w:tcBorders>
              <w:top w:val="single" w:color="auto" w:sz="4" w:space="0"/>
              <w:left w:val="single" w:color="auto" w:sz="4" w:space="0"/>
              <w:bottom w:val="single" w:color="auto" w:sz="4" w:space="0"/>
              <w:right w:val="single" w:color="auto" w:sz="4" w:space="0"/>
            </w:tcBorders>
            <w:shd w:val="clear" w:color="auto" w:fill="auto"/>
          </w:tcPr>
          <w:p w14:paraId="385119C5">
            <w:pPr>
              <w:autoSpaceDE w:val="0"/>
              <w:spacing w:line="360" w:lineRule="auto"/>
              <w:rPr>
                <w:rFonts w:ascii="宋体" w:hAnsi="宋体" w:cs="宋体"/>
                <w:szCs w:val="21"/>
                <w:highlight w:val="none"/>
              </w:rPr>
            </w:pPr>
            <w:r>
              <w:rPr>
                <w:rFonts w:hint="eastAsia" w:ascii="宋体" w:hAnsi="宋体" w:cs="宋体"/>
                <w:kern w:val="0"/>
                <w:szCs w:val="21"/>
                <w:highlight w:val="none"/>
                <w:lang w:bidi="ar"/>
              </w:rPr>
              <w:t>1.5%</w:t>
            </w:r>
          </w:p>
        </w:tc>
        <w:tc>
          <w:tcPr>
            <w:tcW w:w="941" w:type="pct"/>
            <w:tcBorders>
              <w:top w:val="single" w:color="auto" w:sz="4" w:space="0"/>
              <w:left w:val="single" w:color="auto" w:sz="4" w:space="0"/>
              <w:bottom w:val="single" w:color="auto" w:sz="4" w:space="0"/>
              <w:right w:val="single" w:color="auto" w:sz="4" w:space="0"/>
            </w:tcBorders>
            <w:shd w:val="clear" w:color="auto" w:fill="auto"/>
          </w:tcPr>
          <w:p w14:paraId="4EAD814B">
            <w:pPr>
              <w:autoSpaceDE w:val="0"/>
              <w:spacing w:line="360" w:lineRule="auto"/>
              <w:rPr>
                <w:rFonts w:ascii="宋体" w:hAnsi="宋体" w:cs="宋体"/>
                <w:szCs w:val="21"/>
                <w:highlight w:val="none"/>
              </w:rPr>
            </w:pPr>
            <w:r>
              <w:rPr>
                <w:rFonts w:hint="eastAsia" w:ascii="宋体" w:hAnsi="宋体" w:cs="宋体"/>
                <w:kern w:val="0"/>
                <w:szCs w:val="21"/>
                <w:highlight w:val="none"/>
                <w:lang w:bidi="ar"/>
              </w:rPr>
              <w:t>1.0%</w:t>
            </w:r>
          </w:p>
        </w:tc>
      </w:tr>
      <w:tr w14:paraId="1E10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Borders>
              <w:top w:val="single" w:color="auto" w:sz="4" w:space="0"/>
              <w:left w:val="single" w:color="auto" w:sz="4" w:space="0"/>
              <w:bottom w:val="single" w:color="auto" w:sz="4" w:space="0"/>
              <w:right w:val="single" w:color="auto" w:sz="4" w:space="0"/>
            </w:tcBorders>
            <w:shd w:val="clear" w:color="auto" w:fill="auto"/>
          </w:tcPr>
          <w:p w14:paraId="48DFE923">
            <w:pPr>
              <w:autoSpaceDE w:val="0"/>
              <w:spacing w:line="360" w:lineRule="auto"/>
              <w:rPr>
                <w:rFonts w:ascii="宋体" w:hAnsi="宋体" w:cs="宋体"/>
                <w:szCs w:val="21"/>
                <w:highlight w:val="none"/>
              </w:rPr>
            </w:pPr>
            <w:r>
              <w:rPr>
                <w:rFonts w:hint="eastAsia" w:ascii="宋体" w:hAnsi="宋体" w:cs="宋体"/>
                <w:szCs w:val="21"/>
                <w:highlight w:val="none"/>
                <w:lang w:bidi="ar"/>
              </w:rPr>
              <w:t>100～500万元</w:t>
            </w:r>
          </w:p>
        </w:tc>
        <w:tc>
          <w:tcPr>
            <w:tcW w:w="1009" w:type="pct"/>
            <w:tcBorders>
              <w:top w:val="single" w:color="auto" w:sz="4" w:space="0"/>
              <w:left w:val="single" w:color="auto" w:sz="4" w:space="0"/>
              <w:bottom w:val="single" w:color="auto" w:sz="4" w:space="0"/>
              <w:right w:val="single" w:color="auto" w:sz="4" w:space="0"/>
            </w:tcBorders>
            <w:shd w:val="clear" w:color="auto" w:fill="auto"/>
          </w:tcPr>
          <w:p w14:paraId="60F22A22">
            <w:pPr>
              <w:autoSpaceDE w:val="0"/>
              <w:spacing w:line="360" w:lineRule="auto"/>
              <w:rPr>
                <w:rFonts w:ascii="宋体" w:hAnsi="宋体" w:cs="宋体"/>
                <w:szCs w:val="21"/>
                <w:highlight w:val="none"/>
              </w:rPr>
            </w:pPr>
            <w:r>
              <w:rPr>
                <w:rFonts w:hint="eastAsia" w:ascii="宋体" w:hAnsi="宋体" w:cs="宋体"/>
                <w:kern w:val="0"/>
                <w:szCs w:val="21"/>
                <w:highlight w:val="none"/>
                <w:lang w:bidi="ar"/>
              </w:rPr>
              <w:t>1.1%</w:t>
            </w:r>
          </w:p>
        </w:tc>
        <w:tc>
          <w:tcPr>
            <w:tcW w:w="932" w:type="pct"/>
            <w:tcBorders>
              <w:top w:val="single" w:color="auto" w:sz="4" w:space="0"/>
              <w:left w:val="single" w:color="auto" w:sz="4" w:space="0"/>
              <w:bottom w:val="single" w:color="auto" w:sz="4" w:space="0"/>
              <w:right w:val="single" w:color="auto" w:sz="4" w:space="0"/>
            </w:tcBorders>
            <w:shd w:val="clear" w:color="auto" w:fill="auto"/>
          </w:tcPr>
          <w:p w14:paraId="3C673F5E">
            <w:pPr>
              <w:autoSpaceDE w:val="0"/>
              <w:spacing w:line="360" w:lineRule="auto"/>
              <w:rPr>
                <w:rFonts w:ascii="宋体" w:hAnsi="宋体" w:cs="宋体"/>
                <w:szCs w:val="21"/>
                <w:highlight w:val="none"/>
              </w:rPr>
            </w:pPr>
            <w:r>
              <w:rPr>
                <w:rFonts w:hint="eastAsia" w:ascii="宋体" w:hAnsi="宋体" w:cs="宋体"/>
                <w:kern w:val="0"/>
                <w:szCs w:val="21"/>
                <w:highlight w:val="none"/>
                <w:lang w:bidi="ar"/>
              </w:rPr>
              <w:t>0.8%</w:t>
            </w:r>
          </w:p>
        </w:tc>
        <w:tc>
          <w:tcPr>
            <w:tcW w:w="941" w:type="pct"/>
            <w:tcBorders>
              <w:top w:val="single" w:color="auto" w:sz="4" w:space="0"/>
              <w:left w:val="single" w:color="auto" w:sz="4" w:space="0"/>
              <w:bottom w:val="single" w:color="auto" w:sz="4" w:space="0"/>
              <w:right w:val="single" w:color="auto" w:sz="4" w:space="0"/>
            </w:tcBorders>
            <w:shd w:val="clear" w:color="auto" w:fill="auto"/>
          </w:tcPr>
          <w:p w14:paraId="2711E39B">
            <w:pPr>
              <w:autoSpaceDE w:val="0"/>
              <w:spacing w:line="360" w:lineRule="auto"/>
              <w:rPr>
                <w:rFonts w:ascii="宋体" w:hAnsi="宋体" w:cs="宋体"/>
                <w:szCs w:val="21"/>
                <w:highlight w:val="none"/>
              </w:rPr>
            </w:pPr>
            <w:r>
              <w:rPr>
                <w:rFonts w:hint="eastAsia" w:ascii="宋体" w:hAnsi="宋体" w:cs="宋体"/>
                <w:kern w:val="0"/>
                <w:szCs w:val="21"/>
                <w:highlight w:val="none"/>
                <w:lang w:bidi="ar"/>
              </w:rPr>
              <w:t>0.7%</w:t>
            </w:r>
          </w:p>
        </w:tc>
      </w:tr>
      <w:tr w14:paraId="5CC1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Borders>
              <w:top w:val="single" w:color="auto" w:sz="4" w:space="0"/>
              <w:left w:val="single" w:color="auto" w:sz="4" w:space="0"/>
              <w:bottom w:val="single" w:color="auto" w:sz="4" w:space="0"/>
              <w:right w:val="single" w:color="auto" w:sz="4" w:space="0"/>
            </w:tcBorders>
            <w:shd w:val="clear" w:color="auto" w:fill="auto"/>
          </w:tcPr>
          <w:p w14:paraId="269BAF82">
            <w:pPr>
              <w:autoSpaceDE w:val="0"/>
              <w:spacing w:line="360" w:lineRule="auto"/>
              <w:rPr>
                <w:rFonts w:ascii="宋体" w:hAnsi="宋体" w:cs="宋体"/>
                <w:szCs w:val="21"/>
                <w:highlight w:val="none"/>
              </w:rPr>
            </w:pPr>
            <w:r>
              <w:rPr>
                <w:rFonts w:hint="eastAsia" w:ascii="宋体" w:hAnsi="宋体" w:cs="宋体"/>
                <w:szCs w:val="21"/>
                <w:highlight w:val="none"/>
                <w:lang w:bidi="ar"/>
              </w:rPr>
              <w:t>500～1000万元</w:t>
            </w:r>
          </w:p>
        </w:tc>
        <w:tc>
          <w:tcPr>
            <w:tcW w:w="1009" w:type="pct"/>
            <w:tcBorders>
              <w:top w:val="single" w:color="auto" w:sz="4" w:space="0"/>
              <w:left w:val="single" w:color="auto" w:sz="4" w:space="0"/>
              <w:bottom w:val="single" w:color="auto" w:sz="4" w:space="0"/>
              <w:right w:val="single" w:color="auto" w:sz="4" w:space="0"/>
            </w:tcBorders>
            <w:shd w:val="clear" w:color="auto" w:fill="auto"/>
          </w:tcPr>
          <w:p w14:paraId="0D69AE61">
            <w:pPr>
              <w:autoSpaceDE w:val="0"/>
              <w:spacing w:line="360" w:lineRule="auto"/>
              <w:rPr>
                <w:rFonts w:ascii="宋体" w:hAnsi="宋体" w:cs="宋体"/>
                <w:szCs w:val="21"/>
                <w:highlight w:val="none"/>
              </w:rPr>
            </w:pPr>
            <w:r>
              <w:rPr>
                <w:rFonts w:hint="eastAsia" w:ascii="宋体" w:hAnsi="宋体" w:cs="宋体"/>
                <w:kern w:val="0"/>
                <w:szCs w:val="21"/>
                <w:highlight w:val="none"/>
                <w:lang w:bidi="ar"/>
              </w:rPr>
              <w:t>0.8%</w:t>
            </w:r>
          </w:p>
        </w:tc>
        <w:tc>
          <w:tcPr>
            <w:tcW w:w="932" w:type="pct"/>
            <w:tcBorders>
              <w:top w:val="single" w:color="auto" w:sz="4" w:space="0"/>
              <w:left w:val="single" w:color="auto" w:sz="4" w:space="0"/>
              <w:bottom w:val="single" w:color="auto" w:sz="4" w:space="0"/>
              <w:right w:val="single" w:color="auto" w:sz="4" w:space="0"/>
            </w:tcBorders>
            <w:shd w:val="clear" w:color="auto" w:fill="auto"/>
          </w:tcPr>
          <w:p w14:paraId="2A45CF19">
            <w:pPr>
              <w:autoSpaceDE w:val="0"/>
              <w:spacing w:line="360" w:lineRule="auto"/>
              <w:rPr>
                <w:rFonts w:ascii="宋体" w:hAnsi="宋体" w:cs="宋体"/>
                <w:szCs w:val="21"/>
                <w:highlight w:val="none"/>
              </w:rPr>
            </w:pPr>
            <w:r>
              <w:rPr>
                <w:rFonts w:hint="eastAsia" w:ascii="宋体" w:hAnsi="宋体" w:cs="宋体"/>
                <w:kern w:val="0"/>
                <w:szCs w:val="21"/>
                <w:highlight w:val="none"/>
                <w:lang w:bidi="ar"/>
              </w:rPr>
              <w:t>0.45%</w:t>
            </w:r>
          </w:p>
        </w:tc>
        <w:tc>
          <w:tcPr>
            <w:tcW w:w="941" w:type="pct"/>
            <w:tcBorders>
              <w:top w:val="single" w:color="auto" w:sz="4" w:space="0"/>
              <w:left w:val="single" w:color="auto" w:sz="4" w:space="0"/>
              <w:bottom w:val="single" w:color="auto" w:sz="4" w:space="0"/>
              <w:right w:val="single" w:color="auto" w:sz="4" w:space="0"/>
            </w:tcBorders>
            <w:shd w:val="clear" w:color="auto" w:fill="auto"/>
          </w:tcPr>
          <w:p w14:paraId="30D7D33B">
            <w:pPr>
              <w:autoSpaceDE w:val="0"/>
              <w:spacing w:line="360" w:lineRule="auto"/>
              <w:rPr>
                <w:rFonts w:ascii="宋体" w:hAnsi="宋体" w:cs="宋体"/>
                <w:szCs w:val="21"/>
                <w:highlight w:val="none"/>
              </w:rPr>
            </w:pPr>
            <w:r>
              <w:rPr>
                <w:rFonts w:hint="eastAsia" w:ascii="宋体" w:hAnsi="宋体" w:cs="宋体"/>
                <w:kern w:val="0"/>
                <w:szCs w:val="21"/>
                <w:highlight w:val="none"/>
                <w:lang w:bidi="ar"/>
              </w:rPr>
              <w:t>0.55%</w:t>
            </w:r>
          </w:p>
        </w:tc>
      </w:tr>
      <w:tr w14:paraId="119B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Borders>
              <w:top w:val="single" w:color="auto" w:sz="4" w:space="0"/>
              <w:left w:val="single" w:color="auto" w:sz="4" w:space="0"/>
              <w:bottom w:val="single" w:color="auto" w:sz="4" w:space="0"/>
              <w:right w:val="single" w:color="auto" w:sz="4" w:space="0"/>
            </w:tcBorders>
            <w:shd w:val="clear" w:color="auto" w:fill="auto"/>
          </w:tcPr>
          <w:p w14:paraId="75B425A2">
            <w:pPr>
              <w:autoSpaceDE w:val="0"/>
              <w:spacing w:line="360" w:lineRule="auto"/>
              <w:rPr>
                <w:rFonts w:ascii="宋体" w:hAnsi="宋体" w:cs="宋体"/>
                <w:szCs w:val="21"/>
                <w:highlight w:val="none"/>
              </w:rPr>
            </w:pPr>
            <w:r>
              <w:rPr>
                <w:rFonts w:hint="eastAsia" w:ascii="宋体" w:hAnsi="宋体" w:cs="宋体"/>
                <w:szCs w:val="21"/>
                <w:highlight w:val="none"/>
                <w:lang w:bidi="ar"/>
              </w:rPr>
              <w:t>1000～5000万元</w:t>
            </w:r>
          </w:p>
        </w:tc>
        <w:tc>
          <w:tcPr>
            <w:tcW w:w="1009" w:type="pct"/>
            <w:tcBorders>
              <w:top w:val="single" w:color="auto" w:sz="4" w:space="0"/>
              <w:left w:val="single" w:color="auto" w:sz="4" w:space="0"/>
              <w:bottom w:val="single" w:color="auto" w:sz="4" w:space="0"/>
              <w:right w:val="single" w:color="auto" w:sz="4" w:space="0"/>
            </w:tcBorders>
            <w:shd w:val="clear" w:color="auto" w:fill="auto"/>
          </w:tcPr>
          <w:p w14:paraId="017DF364">
            <w:pPr>
              <w:autoSpaceDE w:val="0"/>
              <w:spacing w:line="360" w:lineRule="auto"/>
              <w:rPr>
                <w:rFonts w:ascii="宋体" w:hAnsi="宋体" w:cs="宋体"/>
                <w:szCs w:val="21"/>
                <w:highlight w:val="none"/>
              </w:rPr>
            </w:pPr>
            <w:r>
              <w:rPr>
                <w:rFonts w:hint="eastAsia" w:ascii="宋体" w:hAnsi="宋体" w:cs="宋体"/>
                <w:kern w:val="0"/>
                <w:szCs w:val="21"/>
                <w:highlight w:val="none"/>
                <w:lang w:bidi="ar"/>
              </w:rPr>
              <w:t>0.5%</w:t>
            </w:r>
          </w:p>
        </w:tc>
        <w:tc>
          <w:tcPr>
            <w:tcW w:w="932" w:type="pct"/>
            <w:tcBorders>
              <w:top w:val="single" w:color="auto" w:sz="4" w:space="0"/>
              <w:left w:val="single" w:color="auto" w:sz="4" w:space="0"/>
              <w:bottom w:val="single" w:color="auto" w:sz="4" w:space="0"/>
              <w:right w:val="single" w:color="auto" w:sz="4" w:space="0"/>
            </w:tcBorders>
            <w:shd w:val="clear" w:color="auto" w:fill="auto"/>
          </w:tcPr>
          <w:p w14:paraId="4FC17270">
            <w:pPr>
              <w:autoSpaceDE w:val="0"/>
              <w:spacing w:line="360" w:lineRule="auto"/>
              <w:rPr>
                <w:rFonts w:ascii="宋体" w:hAnsi="宋体" w:cs="宋体"/>
                <w:szCs w:val="21"/>
                <w:highlight w:val="none"/>
              </w:rPr>
            </w:pPr>
            <w:r>
              <w:rPr>
                <w:rFonts w:hint="eastAsia" w:ascii="宋体" w:hAnsi="宋体" w:cs="宋体"/>
                <w:kern w:val="0"/>
                <w:szCs w:val="21"/>
                <w:highlight w:val="none"/>
                <w:lang w:bidi="ar"/>
              </w:rPr>
              <w:t>0.25%</w:t>
            </w:r>
          </w:p>
        </w:tc>
        <w:tc>
          <w:tcPr>
            <w:tcW w:w="941" w:type="pct"/>
            <w:tcBorders>
              <w:top w:val="single" w:color="auto" w:sz="4" w:space="0"/>
              <w:left w:val="single" w:color="auto" w:sz="4" w:space="0"/>
              <w:bottom w:val="single" w:color="auto" w:sz="4" w:space="0"/>
              <w:right w:val="single" w:color="auto" w:sz="4" w:space="0"/>
            </w:tcBorders>
            <w:shd w:val="clear" w:color="auto" w:fill="auto"/>
          </w:tcPr>
          <w:p w14:paraId="667E6EB5">
            <w:pPr>
              <w:autoSpaceDE w:val="0"/>
              <w:spacing w:line="360" w:lineRule="auto"/>
              <w:rPr>
                <w:rFonts w:ascii="宋体" w:hAnsi="宋体" w:cs="宋体"/>
                <w:szCs w:val="21"/>
                <w:highlight w:val="none"/>
              </w:rPr>
            </w:pPr>
            <w:r>
              <w:rPr>
                <w:rFonts w:hint="eastAsia" w:ascii="宋体" w:hAnsi="宋体" w:cs="宋体"/>
                <w:kern w:val="0"/>
                <w:szCs w:val="21"/>
                <w:highlight w:val="none"/>
                <w:lang w:bidi="ar"/>
              </w:rPr>
              <w:t>0.35%</w:t>
            </w:r>
          </w:p>
        </w:tc>
      </w:tr>
      <w:tr w14:paraId="061F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Borders>
              <w:top w:val="single" w:color="auto" w:sz="4" w:space="0"/>
              <w:left w:val="single" w:color="auto" w:sz="4" w:space="0"/>
              <w:bottom w:val="single" w:color="auto" w:sz="4" w:space="0"/>
              <w:right w:val="single" w:color="auto" w:sz="4" w:space="0"/>
            </w:tcBorders>
            <w:shd w:val="clear" w:color="auto" w:fill="auto"/>
          </w:tcPr>
          <w:p w14:paraId="0649F989">
            <w:pPr>
              <w:autoSpaceDE w:val="0"/>
              <w:spacing w:line="360" w:lineRule="auto"/>
              <w:rPr>
                <w:rFonts w:ascii="宋体" w:hAnsi="宋体" w:cs="宋体"/>
                <w:szCs w:val="21"/>
                <w:highlight w:val="none"/>
              </w:rPr>
            </w:pPr>
            <w:r>
              <w:rPr>
                <w:rFonts w:hint="eastAsia" w:ascii="宋体" w:hAnsi="宋体" w:cs="宋体"/>
                <w:szCs w:val="21"/>
                <w:highlight w:val="none"/>
                <w:lang w:bidi="ar"/>
              </w:rPr>
              <w:t>5000万元～1亿元</w:t>
            </w:r>
          </w:p>
        </w:tc>
        <w:tc>
          <w:tcPr>
            <w:tcW w:w="1009" w:type="pct"/>
            <w:tcBorders>
              <w:top w:val="single" w:color="auto" w:sz="4" w:space="0"/>
              <w:left w:val="single" w:color="auto" w:sz="4" w:space="0"/>
              <w:bottom w:val="single" w:color="auto" w:sz="4" w:space="0"/>
              <w:right w:val="single" w:color="auto" w:sz="4" w:space="0"/>
            </w:tcBorders>
            <w:shd w:val="clear" w:color="auto" w:fill="auto"/>
          </w:tcPr>
          <w:p w14:paraId="6F6DCC0A">
            <w:pPr>
              <w:autoSpaceDE w:val="0"/>
              <w:spacing w:line="360" w:lineRule="auto"/>
              <w:rPr>
                <w:rFonts w:ascii="宋体" w:hAnsi="宋体" w:cs="宋体"/>
                <w:szCs w:val="21"/>
                <w:highlight w:val="none"/>
              </w:rPr>
            </w:pPr>
            <w:r>
              <w:rPr>
                <w:rFonts w:hint="eastAsia" w:ascii="宋体" w:hAnsi="宋体" w:cs="宋体"/>
                <w:kern w:val="0"/>
                <w:szCs w:val="21"/>
                <w:highlight w:val="none"/>
                <w:lang w:bidi="ar"/>
              </w:rPr>
              <w:t>0.25%</w:t>
            </w:r>
          </w:p>
        </w:tc>
        <w:tc>
          <w:tcPr>
            <w:tcW w:w="932" w:type="pct"/>
            <w:tcBorders>
              <w:top w:val="single" w:color="auto" w:sz="4" w:space="0"/>
              <w:left w:val="single" w:color="auto" w:sz="4" w:space="0"/>
              <w:bottom w:val="single" w:color="auto" w:sz="4" w:space="0"/>
              <w:right w:val="single" w:color="auto" w:sz="4" w:space="0"/>
            </w:tcBorders>
            <w:shd w:val="clear" w:color="auto" w:fill="auto"/>
          </w:tcPr>
          <w:p w14:paraId="44E17E2A">
            <w:pPr>
              <w:autoSpaceDE w:val="0"/>
              <w:spacing w:line="360" w:lineRule="auto"/>
              <w:rPr>
                <w:rFonts w:ascii="宋体" w:hAnsi="宋体" w:cs="宋体"/>
                <w:szCs w:val="21"/>
                <w:highlight w:val="none"/>
              </w:rPr>
            </w:pPr>
            <w:r>
              <w:rPr>
                <w:rFonts w:hint="eastAsia" w:ascii="宋体" w:hAnsi="宋体" w:cs="宋体"/>
                <w:kern w:val="0"/>
                <w:szCs w:val="21"/>
                <w:highlight w:val="none"/>
                <w:lang w:bidi="ar"/>
              </w:rPr>
              <w:t>0.1%</w:t>
            </w:r>
          </w:p>
        </w:tc>
        <w:tc>
          <w:tcPr>
            <w:tcW w:w="941" w:type="pct"/>
            <w:tcBorders>
              <w:top w:val="single" w:color="auto" w:sz="4" w:space="0"/>
              <w:left w:val="single" w:color="auto" w:sz="4" w:space="0"/>
              <w:bottom w:val="single" w:color="auto" w:sz="4" w:space="0"/>
              <w:right w:val="single" w:color="auto" w:sz="4" w:space="0"/>
            </w:tcBorders>
            <w:shd w:val="clear" w:color="auto" w:fill="auto"/>
          </w:tcPr>
          <w:p w14:paraId="5E002A60">
            <w:pPr>
              <w:autoSpaceDE w:val="0"/>
              <w:spacing w:line="360" w:lineRule="auto"/>
              <w:rPr>
                <w:rFonts w:ascii="宋体" w:hAnsi="宋体" w:cs="宋体"/>
                <w:szCs w:val="21"/>
                <w:highlight w:val="none"/>
              </w:rPr>
            </w:pPr>
            <w:r>
              <w:rPr>
                <w:rFonts w:hint="eastAsia" w:ascii="宋体" w:hAnsi="宋体" w:cs="宋体"/>
                <w:kern w:val="0"/>
                <w:szCs w:val="21"/>
                <w:highlight w:val="none"/>
                <w:lang w:bidi="ar"/>
              </w:rPr>
              <w:t>0.2%</w:t>
            </w:r>
          </w:p>
        </w:tc>
      </w:tr>
      <w:tr w14:paraId="706E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Borders>
              <w:top w:val="single" w:color="auto" w:sz="4" w:space="0"/>
              <w:left w:val="single" w:color="auto" w:sz="4" w:space="0"/>
              <w:bottom w:val="single" w:color="auto" w:sz="4" w:space="0"/>
              <w:right w:val="single" w:color="auto" w:sz="4" w:space="0"/>
            </w:tcBorders>
            <w:shd w:val="clear" w:color="auto" w:fill="auto"/>
          </w:tcPr>
          <w:p w14:paraId="5686D621">
            <w:pPr>
              <w:autoSpaceDE w:val="0"/>
              <w:spacing w:line="360" w:lineRule="auto"/>
              <w:rPr>
                <w:rFonts w:ascii="宋体" w:hAnsi="宋体" w:cs="宋体"/>
                <w:szCs w:val="21"/>
                <w:highlight w:val="none"/>
              </w:rPr>
            </w:pPr>
            <w:r>
              <w:rPr>
                <w:rFonts w:hint="eastAsia" w:ascii="宋体" w:hAnsi="宋体" w:cs="宋体"/>
                <w:szCs w:val="21"/>
                <w:highlight w:val="none"/>
                <w:lang w:bidi="ar"/>
              </w:rPr>
              <w:t>1～5亿元</w:t>
            </w:r>
          </w:p>
        </w:tc>
        <w:tc>
          <w:tcPr>
            <w:tcW w:w="1009" w:type="pct"/>
            <w:tcBorders>
              <w:top w:val="single" w:color="auto" w:sz="4" w:space="0"/>
              <w:left w:val="single" w:color="auto" w:sz="4" w:space="0"/>
              <w:bottom w:val="single" w:color="auto" w:sz="4" w:space="0"/>
              <w:right w:val="single" w:color="auto" w:sz="4" w:space="0"/>
            </w:tcBorders>
            <w:shd w:val="clear" w:color="auto" w:fill="auto"/>
          </w:tcPr>
          <w:p w14:paraId="779B4EA8">
            <w:pPr>
              <w:autoSpaceDE w:val="0"/>
              <w:spacing w:line="360" w:lineRule="auto"/>
              <w:rPr>
                <w:rFonts w:ascii="宋体" w:hAnsi="宋体" w:cs="宋体"/>
                <w:szCs w:val="21"/>
                <w:highlight w:val="none"/>
              </w:rPr>
            </w:pPr>
            <w:r>
              <w:rPr>
                <w:rFonts w:hint="eastAsia" w:ascii="宋体" w:hAnsi="宋体" w:cs="宋体"/>
                <w:szCs w:val="21"/>
                <w:highlight w:val="none"/>
                <w:lang w:bidi="ar"/>
              </w:rPr>
              <w:t>0.05%</w:t>
            </w:r>
          </w:p>
        </w:tc>
        <w:tc>
          <w:tcPr>
            <w:tcW w:w="932" w:type="pct"/>
            <w:tcBorders>
              <w:top w:val="single" w:color="auto" w:sz="4" w:space="0"/>
              <w:left w:val="single" w:color="auto" w:sz="4" w:space="0"/>
              <w:bottom w:val="single" w:color="auto" w:sz="4" w:space="0"/>
              <w:right w:val="single" w:color="auto" w:sz="4" w:space="0"/>
            </w:tcBorders>
            <w:shd w:val="clear" w:color="auto" w:fill="auto"/>
          </w:tcPr>
          <w:p w14:paraId="5B9CF8CC">
            <w:pPr>
              <w:autoSpaceDE w:val="0"/>
              <w:spacing w:line="360" w:lineRule="auto"/>
              <w:rPr>
                <w:rFonts w:ascii="宋体" w:hAnsi="宋体" w:cs="宋体"/>
                <w:szCs w:val="21"/>
                <w:highlight w:val="none"/>
              </w:rPr>
            </w:pPr>
            <w:r>
              <w:rPr>
                <w:rFonts w:hint="eastAsia" w:ascii="宋体" w:hAnsi="宋体" w:cs="宋体"/>
                <w:szCs w:val="21"/>
                <w:highlight w:val="none"/>
                <w:lang w:bidi="ar"/>
              </w:rPr>
              <w:t>0.05%</w:t>
            </w:r>
          </w:p>
        </w:tc>
        <w:tc>
          <w:tcPr>
            <w:tcW w:w="941" w:type="pct"/>
            <w:tcBorders>
              <w:top w:val="single" w:color="auto" w:sz="4" w:space="0"/>
              <w:left w:val="single" w:color="auto" w:sz="4" w:space="0"/>
              <w:bottom w:val="single" w:color="auto" w:sz="4" w:space="0"/>
              <w:right w:val="single" w:color="auto" w:sz="4" w:space="0"/>
            </w:tcBorders>
            <w:shd w:val="clear" w:color="auto" w:fill="auto"/>
          </w:tcPr>
          <w:p w14:paraId="7D024BAA">
            <w:pPr>
              <w:autoSpaceDE w:val="0"/>
              <w:spacing w:line="360" w:lineRule="auto"/>
              <w:rPr>
                <w:rFonts w:ascii="宋体" w:hAnsi="宋体" w:cs="宋体"/>
                <w:szCs w:val="21"/>
                <w:highlight w:val="none"/>
              </w:rPr>
            </w:pPr>
            <w:r>
              <w:rPr>
                <w:rFonts w:hint="eastAsia" w:ascii="宋体" w:hAnsi="宋体" w:cs="宋体"/>
                <w:szCs w:val="21"/>
                <w:highlight w:val="none"/>
                <w:lang w:bidi="ar"/>
              </w:rPr>
              <w:t>0.05%</w:t>
            </w:r>
          </w:p>
        </w:tc>
      </w:tr>
      <w:tr w14:paraId="6A7E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Borders>
              <w:top w:val="single" w:color="auto" w:sz="4" w:space="0"/>
              <w:left w:val="single" w:color="auto" w:sz="4" w:space="0"/>
              <w:bottom w:val="single" w:color="auto" w:sz="4" w:space="0"/>
              <w:right w:val="single" w:color="auto" w:sz="4" w:space="0"/>
            </w:tcBorders>
            <w:shd w:val="clear" w:color="auto" w:fill="auto"/>
          </w:tcPr>
          <w:p w14:paraId="557BDFDD">
            <w:pPr>
              <w:autoSpaceDE w:val="0"/>
              <w:spacing w:line="360" w:lineRule="auto"/>
              <w:rPr>
                <w:rFonts w:ascii="宋体" w:hAnsi="宋体" w:cs="宋体"/>
                <w:szCs w:val="21"/>
                <w:highlight w:val="none"/>
              </w:rPr>
            </w:pPr>
            <w:r>
              <w:rPr>
                <w:rFonts w:hint="eastAsia" w:ascii="宋体" w:hAnsi="宋体" w:cs="宋体"/>
                <w:szCs w:val="21"/>
                <w:highlight w:val="none"/>
                <w:lang w:bidi="ar"/>
              </w:rPr>
              <w:t>5～10亿元</w:t>
            </w:r>
          </w:p>
        </w:tc>
        <w:tc>
          <w:tcPr>
            <w:tcW w:w="1009" w:type="pct"/>
            <w:tcBorders>
              <w:top w:val="single" w:color="auto" w:sz="4" w:space="0"/>
              <w:left w:val="single" w:color="auto" w:sz="4" w:space="0"/>
              <w:bottom w:val="single" w:color="auto" w:sz="4" w:space="0"/>
              <w:right w:val="single" w:color="auto" w:sz="4" w:space="0"/>
            </w:tcBorders>
            <w:shd w:val="clear" w:color="auto" w:fill="auto"/>
          </w:tcPr>
          <w:p w14:paraId="14EAB456">
            <w:pPr>
              <w:autoSpaceDE w:val="0"/>
              <w:spacing w:line="360" w:lineRule="auto"/>
              <w:rPr>
                <w:rFonts w:ascii="宋体" w:hAnsi="宋体" w:cs="宋体"/>
                <w:szCs w:val="21"/>
                <w:highlight w:val="none"/>
              </w:rPr>
            </w:pPr>
            <w:r>
              <w:rPr>
                <w:rFonts w:hint="eastAsia" w:ascii="宋体" w:hAnsi="宋体" w:cs="宋体"/>
                <w:szCs w:val="21"/>
                <w:highlight w:val="none"/>
                <w:lang w:bidi="ar"/>
              </w:rPr>
              <w:t>0.035%</w:t>
            </w:r>
          </w:p>
        </w:tc>
        <w:tc>
          <w:tcPr>
            <w:tcW w:w="932" w:type="pct"/>
            <w:tcBorders>
              <w:top w:val="single" w:color="auto" w:sz="4" w:space="0"/>
              <w:left w:val="single" w:color="auto" w:sz="4" w:space="0"/>
              <w:bottom w:val="single" w:color="auto" w:sz="4" w:space="0"/>
              <w:right w:val="single" w:color="auto" w:sz="4" w:space="0"/>
            </w:tcBorders>
            <w:shd w:val="clear" w:color="auto" w:fill="auto"/>
          </w:tcPr>
          <w:p w14:paraId="20232070">
            <w:pPr>
              <w:autoSpaceDE w:val="0"/>
              <w:spacing w:line="360" w:lineRule="auto"/>
              <w:rPr>
                <w:rFonts w:ascii="宋体" w:hAnsi="宋体" w:cs="宋体"/>
                <w:szCs w:val="21"/>
                <w:highlight w:val="none"/>
              </w:rPr>
            </w:pPr>
            <w:r>
              <w:rPr>
                <w:rFonts w:hint="eastAsia" w:ascii="宋体" w:hAnsi="宋体" w:cs="宋体"/>
                <w:szCs w:val="21"/>
                <w:highlight w:val="none"/>
                <w:lang w:bidi="ar"/>
              </w:rPr>
              <w:t>0.035%</w:t>
            </w:r>
          </w:p>
        </w:tc>
        <w:tc>
          <w:tcPr>
            <w:tcW w:w="941" w:type="pct"/>
            <w:tcBorders>
              <w:top w:val="single" w:color="auto" w:sz="4" w:space="0"/>
              <w:left w:val="single" w:color="auto" w:sz="4" w:space="0"/>
              <w:bottom w:val="single" w:color="auto" w:sz="4" w:space="0"/>
              <w:right w:val="single" w:color="auto" w:sz="4" w:space="0"/>
            </w:tcBorders>
            <w:shd w:val="clear" w:color="auto" w:fill="auto"/>
          </w:tcPr>
          <w:p w14:paraId="55B0AE96">
            <w:pPr>
              <w:autoSpaceDE w:val="0"/>
              <w:spacing w:line="360" w:lineRule="auto"/>
              <w:rPr>
                <w:rFonts w:ascii="宋体" w:hAnsi="宋体" w:cs="宋体"/>
                <w:szCs w:val="21"/>
                <w:highlight w:val="none"/>
              </w:rPr>
            </w:pPr>
            <w:r>
              <w:rPr>
                <w:rFonts w:hint="eastAsia" w:ascii="宋体" w:hAnsi="宋体" w:cs="宋体"/>
                <w:szCs w:val="21"/>
                <w:highlight w:val="none"/>
                <w:lang w:bidi="ar"/>
              </w:rPr>
              <w:t>0.035%</w:t>
            </w:r>
          </w:p>
        </w:tc>
      </w:tr>
      <w:tr w14:paraId="58A6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Borders>
              <w:top w:val="single" w:color="auto" w:sz="4" w:space="0"/>
              <w:left w:val="single" w:color="auto" w:sz="4" w:space="0"/>
              <w:bottom w:val="single" w:color="auto" w:sz="4" w:space="0"/>
              <w:right w:val="single" w:color="auto" w:sz="4" w:space="0"/>
            </w:tcBorders>
            <w:shd w:val="clear" w:color="auto" w:fill="auto"/>
          </w:tcPr>
          <w:p w14:paraId="5F748DE5">
            <w:pPr>
              <w:autoSpaceDE w:val="0"/>
              <w:spacing w:line="360" w:lineRule="auto"/>
              <w:rPr>
                <w:rFonts w:ascii="宋体" w:hAnsi="宋体" w:cs="宋体"/>
                <w:szCs w:val="21"/>
                <w:highlight w:val="none"/>
              </w:rPr>
            </w:pPr>
            <w:r>
              <w:rPr>
                <w:rFonts w:hint="eastAsia" w:ascii="宋体" w:hAnsi="宋体" w:cs="宋体"/>
                <w:szCs w:val="21"/>
                <w:highlight w:val="none"/>
                <w:lang w:bidi="ar"/>
              </w:rPr>
              <w:t>10～50亿元</w:t>
            </w:r>
          </w:p>
        </w:tc>
        <w:tc>
          <w:tcPr>
            <w:tcW w:w="1009" w:type="pct"/>
            <w:tcBorders>
              <w:top w:val="single" w:color="auto" w:sz="4" w:space="0"/>
              <w:left w:val="single" w:color="auto" w:sz="4" w:space="0"/>
              <w:bottom w:val="single" w:color="auto" w:sz="4" w:space="0"/>
              <w:right w:val="single" w:color="auto" w:sz="4" w:space="0"/>
            </w:tcBorders>
            <w:shd w:val="clear" w:color="auto" w:fill="auto"/>
          </w:tcPr>
          <w:p w14:paraId="197AF0A3">
            <w:pPr>
              <w:autoSpaceDE w:val="0"/>
              <w:spacing w:line="360" w:lineRule="auto"/>
              <w:rPr>
                <w:rFonts w:ascii="宋体" w:hAnsi="宋体" w:cs="宋体"/>
                <w:szCs w:val="21"/>
                <w:highlight w:val="none"/>
              </w:rPr>
            </w:pPr>
            <w:r>
              <w:rPr>
                <w:rFonts w:hint="eastAsia" w:ascii="宋体" w:hAnsi="宋体" w:cs="宋体"/>
                <w:szCs w:val="21"/>
                <w:highlight w:val="none"/>
                <w:lang w:bidi="ar"/>
              </w:rPr>
              <w:t>0.008%</w:t>
            </w:r>
          </w:p>
        </w:tc>
        <w:tc>
          <w:tcPr>
            <w:tcW w:w="932" w:type="pct"/>
            <w:tcBorders>
              <w:top w:val="single" w:color="auto" w:sz="4" w:space="0"/>
              <w:left w:val="single" w:color="auto" w:sz="4" w:space="0"/>
              <w:bottom w:val="single" w:color="auto" w:sz="4" w:space="0"/>
              <w:right w:val="single" w:color="auto" w:sz="4" w:space="0"/>
            </w:tcBorders>
            <w:shd w:val="clear" w:color="auto" w:fill="auto"/>
          </w:tcPr>
          <w:p w14:paraId="6622AE5F">
            <w:pPr>
              <w:autoSpaceDE w:val="0"/>
              <w:spacing w:line="360" w:lineRule="auto"/>
              <w:rPr>
                <w:rFonts w:ascii="宋体" w:hAnsi="宋体" w:cs="宋体"/>
                <w:szCs w:val="21"/>
                <w:highlight w:val="none"/>
              </w:rPr>
            </w:pPr>
            <w:r>
              <w:rPr>
                <w:rFonts w:hint="eastAsia" w:ascii="宋体" w:hAnsi="宋体" w:cs="宋体"/>
                <w:szCs w:val="21"/>
                <w:highlight w:val="none"/>
                <w:lang w:bidi="ar"/>
              </w:rPr>
              <w:t>0.008%</w:t>
            </w:r>
          </w:p>
        </w:tc>
        <w:tc>
          <w:tcPr>
            <w:tcW w:w="941" w:type="pct"/>
            <w:tcBorders>
              <w:top w:val="single" w:color="auto" w:sz="4" w:space="0"/>
              <w:left w:val="single" w:color="auto" w:sz="4" w:space="0"/>
              <w:bottom w:val="single" w:color="auto" w:sz="4" w:space="0"/>
              <w:right w:val="single" w:color="auto" w:sz="4" w:space="0"/>
            </w:tcBorders>
            <w:shd w:val="clear" w:color="auto" w:fill="auto"/>
          </w:tcPr>
          <w:p w14:paraId="4A24500C">
            <w:pPr>
              <w:autoSpaceDE w:val="0"/>
              <w:spacing w:line="360" w:lineRule="auto"/>
              <w:rPr>
                <w:rFonts w:ascii="宋体" w:hAnsi="宋体" w:cs="宋体"/>
                <w:szCs w:val="21"/>
                <w:highlight w:val="none"/>
              </w:rPr>
            </w:pPr>
            <w:r>
              <w:rPr>
                <w:rFonts w:hint="eastAsia" w:ascii="宋体" w:hAnsi="宋体" w:cs="宋体"/>
                <w:szCs w:val="21"/>
                <w:highlight w:val="none"/>
                <w:lang w:bidi="ar"/>
              </w:rPr>
              <w:t>0.008%</w:t>
            </w:r>
          </w:p>
        </w:tc>
      </w:tr>
      <w:tr w14:paraId="507B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Borders>
              <w:top w:val="single" w:color="auto" w:sz="4" w:space="0"/>
              <w:left w:val="single" w:color="auto" w:sz="4" w:space="0"/>
              <w:bottom w:val="single" w:color="auto" w:sz="4" w:space="0"/>
              <w:right w:val="single" w:color="auto" w:sz="4" w:space="0"/>
            </w:tcBorders>
            <w:shd w:val="clear" w:color="auto" w:fill="auto"/>
          </w:tcPr>
          <w:p w14:paraId="4E574DF2">
            <w:pPr>
              <w:autoSpaceDE w:val="0"/>
              <w:spacing w:line="360" w:lineRule="auto"/>
              <w:rPr>
                <w:rFonts w:ascii="宋体" w:hAnsi="宋体" w:cs="宋体"/>
                <w:szCs w:val="21"/>
                <w:highlight w:val="none"/>
              </w:rPr>
            </w:pPr>
            <w:r>
              <w:rPr>
                <w:rFonts w:hint="eastAsia" w:ascii="宋体" w:hAnsi="宋体" w:cs="宋体"/>
                <w:szCs w:val="21"/>
                <w:highlight w:val="none"/>
                <w:lang w:bidi="ar"/>
              </w:rPr>
              <w:t>50～100亿元</w:t>
            </w:r>
          </w:p>
        </w:tc>
        <w:tc>
          <w:tcPr>
            <w:tcW w:w="1009" w:type="pct"/>
            <w:tcBorders>
              <w:top w:val="single" w:color="auto" w:sz="4" w:space="0"/>
              <w:left w:val="single" w:color="auto" w:sz="4" w:space="0"/>
              <w:bottom w:val="single" w:color="auto" w:sz="4" w:space="0"/>
              <w:right w:val="single" w:color="auto" w:sz="4" w:space="0"/>
            </w:tcBorders>
            <w:shd w:val="clear" w:color="auto" w:fill="auto"/>
          </w:tcPr>
          <w:p w14:paraId="6F54018A">
            <w:pPr>
              <w:autoSpaceDE w:val="0"/>
              <w:spacing w:line="360" w:lineRule="auto"/>
              <w:rPr>
                <w:rFonts w:ascii="宋体" w:hAnsi="宋体" w:cs="宋体"/>
                <w:szCs w:val="21"/>
                <w:highlight w:val="none"/>
              </w:rPr>
            </w:pPr>
            <w:r>
              <w:rPr>
                <w:rFonts w:hint="eastAsia" w:ascii="宋体" w:hAnsi="宋体" w:cs="宋体"/>
                <w:szCs w:val="21"/>
                <w:highlight w:val="none"/>
                <w:lang w:bidi="ar"/>
              </w:rPr>
              <w:t>0.006%</w:t>
            </w:r>
          </w:p>
        </w:tc>
        <w:tc>
          <w:tcPr>
            <w:tcW w:w="932" w:type="pct"/>
            <w:tcBorders>
              <w:top w:val="single" w:color="auto" w:sz="4" w:space="0"/>
              <w:left w:val="single" w:color="auto" w:sz="4" w:space="0"/>
              <w:bottom w:val="single" w:color="auto" w:sz="4" w:space="0"/>
              <w:right w:val="single" w:color="auto" w:sz="4" w:space="0"/>
            </w:tcBorders>
            <w:shd w:val="clear" w:color="auto" w:fill="auto"/>
          </w:tcPr>
          <w:p w14:paraId="33E5882A">
            <w:pPr>
              <w:autoSpaceDE w:val="0"/>
              <w:spacing w:line="360" w:lineRule="auto"/>
              <w:rPr>
                <w:rFonts w:ascii="宋体" w:hAnsi="宋体" w:cs="宋体"/>
                <w:szCs w:val="21"/>
                <w:highlight w:val="none"/>
              </w:rPr>
            </w:pPr>
            <w:r>
              <w:rPr>
                <w:rFonts w:hint="eastAsia" w:ascii="宋体" w:hAnsi="宋体" w:cs="宋体"/>
                <w:szCs w:val="21"/>
                <w:highlight w:val="none"/>
                <w:lang w:bidi="ar"/>
              </w:rPr>
              <w:t>0.006%</w:t>
            </w:r>
          </w:p>
        </w:tc>
        <w:tc>
          <w:tcPr>
            <w:tcW w:w="941" w:type="pct"/>
            <w:tcBorders>
              <w:top w:val="single" w:color="auto" w:sz="4" w:space="0"/>
              <w:left w:val="single" w:color="auto" w:sz="4" w:space="0"/>
              <w:bottom w:val="single" w:color="auto" w:sz="4" w:space="0"/>
              <w:right w:val="single" w:color="auto" w:sz="4" w:space="0"/>
            </w:tcBorders>
            <w:shd w:val="clear" w:color="auto" w:fill="auto"/>
          </w:tcPr>
          <w:p w14:paraId="72A57767">
            <w:pPr>
              <w:autoSpaceDE w:val="0"/>
              <w:spacing w:line="360" w:lineRule="auto"/>
              <w:rPr>
                <w:rFonts w:ascii="宋体" w:hAnsi="宋体" w:cs="宋体"/>
                <w:szCs w:val="21"/>
                <w:highlight w:val="none"/>
              </w:rPr>
            </w:pPr>
            <w:r>
              <w:rPr>
                <w:rFonts w:hint="eastAsia" w:ascii="宋体" w:hAnsi="宋体" w:cs="宋体"/>
                <w:szCs w:val="21"/>
                <w:highlight w:val="none"/>
                <w:lang w:bidi="ar"/>
              </w:rPr>
              <w:t>0.006%</w:t>
            </w:r>
          </w:p>
        </w:tc>
      </w:tr>
      <w:tr w14:paraId="488E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Borders>
              <w:top w:val="single" w:color="auto" w:sz="4" w:space="0"/>
              <w:left w:val="single" w:color="auto" w:sz="4" w:space="0"/>
              <w:bottom w:val="single" w:color="auto" w:sz="4" w:space="0"/>
              <w:right w:val="single" w:color="auto" w:sz="4" w:space="0"/>
            </w:tcBorders>
            <w:shd w:val="clear" w:color="auto" w:fill="auto"/>
          </w:tcPr>
          <w:p w14:paraId="14B50454">
            <w:pPr>
              <w:autoSpaceDE w:val="0"/>
              <w:spacing w:line="360" w:lineRule="auto"/>
              <w:rPr>
                <w:rFonts w:ascii="宋体" w:hAnsi="宋体" w:cs="宋体"/>
                <w:szCs w:val="21"/>
                <w:highlight w:val="none"/>
              </w:rPr>
            </w:pPr>
            <w:r>
              <w:rPr>
                <w:rFonts w:hint="eastAsia" w:ascii="宋体" w:hAnsi="宋体" w:cs="宋体"/>
                <w:szCs w:val="21"/>
                <w:highlight w:val="none"/>
                <w:lang w:bidi="ar"/>
              </w:rPr>
              <w:t>100亿以上</w:t>
            </w:r>
          </w:p>
        </w:tc>
        <w:tc>
          <w:tcPr>
            <w:tcW w:w="1009" w:type="pct"/>
            <w:tcBorders>
              <w:top w:val="single" w:color="auto" w:sz="4" w:space="0"/>
              <w:left w:val="single" w:color="auto" w:sz="4" w:space="0"/>
              <w:bottom w:val="single" w:color="auto" w:sz="4" w:space="0"/>
              <w:right w:val="single" w:color="auto" w:sz="4" w:space="0"/>
            </w:tcBorders>
            <w:shd w:val="clear" w:color="auto" w:fill="auto"/>
          </w:tcPr>
          <w:p w14:paraId="375D2A3F">
            <w:pPr>
              <w:autoSpaceDE w:val="0"/>
              <w:spacing w:line="360" w:lineRule="auto"/>
              <w:rPr>
                <w:rFonts w:ascii="宋体" w:hAnsi="宋体" w:cs="宋体"/>
                <w:szCs w:val="21"/>
                <w:highlight w:val="none"/>
              </w:rPr>
            </w:pPr>
            <w:r>
              <w:rPr>
                <w:rFonts w:hint="eastAsia" w:ascii="宋体" w:hAnsi="宋体" w:cs="宋体"/>
                <w:szCs w:val="21"/>
                <w:highlight w:val="none"/>
                <w:lang w:bidi="ar"/>
              </w:rPr>
              <w:t>0.004%</w:t>
            </w:r>
          </w:p>
        </w:tc>
        <w:tc>
          <w:tcPr>
            <w:tcW w:w="932" w:type="pct"/>
            <w:tcBorders>
              <w:top w:val="single" w:color="auto" w:sz="4" w:space="0"/>
              <w:left w:val="single" w:color="auto" w:sz="4" w:space="0"/>
              <w:bottom w:val="single" w:color="auto" w:sz="4" w:space="0"/>
              <w:right w:val="single" w:color="auto" w:sz="4" w:space="0"/>
            </w:tcBorders>
            <w:shd w:val="clear" w:color="auto" w:fill="auto"/>
          </w:tcPr>
          <w:p w14:paraId="2D74F7F8">
            <w:pPr>
              <w:autoSpaceDE w:val="0"/>
              <w:spacing w:line="360" w:lineRule="auto"/>
              <w:rPr>
                <w:rFonts w:ascii="宋体" w:hAnsi="宋体" w:cs="宋体"/>
                <w:szCs w:val="21"/>
                <w:highlight w:val="none"/>
              </w:rPr>
            </w:pPr>
            <w:r>
              <w:rPr>
                <w:rFonts w:hint="eastAsia" w:ascii="宋体" w:hAnsi="宋体" w:cs="宋体"/>
                <w:szCs w:val="21"/>
                <w:highlight w:val="none"/>
                <w:lang w:bidi="ar"/>
              </w:rPr>
              <w:t>0.004%</w:t>
            </w:r>
          </w:p>
        </w:tc>
        <w:tc>
          <w:tcPr>
            <w:tcW w:w="941" w:type="pct"/>
            <w:tcBorders>
              <w:top w:val="single" w:color="auto" w:sz="4" w:space="0"/>
              <w:left w:val="single" w:color="auto" w:sz="4" w:space="0"/>
              <w:bottom w:val="single" w:color="auto" w:sz="4" w:space="0"/>
              <w:right w:val="single" w:color="auto" w:sz="4" w:space="0"/>
            </w:tcBorders>
            <w:shd w:val="clear" w:color="auto" w:fill="auto"/>
          </w:tcPr>
          <w:p w14:paraId="275D969D">
            <w:pPr>
              <w:autoSpaceDE w:val="0"/>
              <w:spacing w:line="360" w:lineRule="auto"/>
              <w:rPr>
                <w:rFonts w:ascii="宋体" w:hAnsi="宋体" w:cs="宋体"/>
                <w:szCs w:val="21"/>
                <w:highlight w:val="none"/>
              </w:rPr>
            </w:pPr>
            <w:r>
              <w:rPr>
                <w:rFonts w:hint="eastAsia" w:ascii="宋体" w:hAnsi="宋体" w:cs="宋体"/>
                <w:szCs w:val="21"/>
                <w:highlight w:val="none"/>
                <w:lang w:bidi="ar"/>
              </w:rPr>
              <w:t>0.004%</w:t>
            </w:r>
          </w:p>
        </w:tc>
      </w:tr>
    </w:tbl>
    <w:p w14:paraId="708DFE1A">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注：</w:t>
      </w:r>
    </w:p>
    <w:p w14:paraId="7C66B533">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（1）按本表费率计算的收费为采购代理的收费基准价格；</w:t>
      </w:r>
    </w:p>
    <w:p w14:paraId="6E50345B">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（2）采购代理收费按差额定率累进法计算。</w:t>
      </w:r>
    </w:p>
    <w:p w14:paraId="43CE39CB">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例如：某服务采购代理业务成交金额或者暂定价为 150 万元，计算采购代理收费额如下：</w:t>
      </w:r>
    </w:p>
    <w:p w14:paraId="68D6C0CF">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100万元×l.5％＝1.5万元</w:t>
      </w:r>
    </w:p>
    <w:p w14:paraId="21562F6A">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（150－100）万元×0.8％＝0.4万元</w:t>
      </w:r>
    </w:p>
    <w:p w14:paraId="1EFAAF77">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合计收费＝1.5＋0.4＝1.9万元</w:t>
      </w:r>
    </w:p>
    <w:p w14:paraId="63ACF51E">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33. 需要补充的其他内容</w:t>
      </w:r>
    </w:p>
    <w:p w14:paraId="385E55D0">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33.1 本磋商文件解释规则详见“供应商须知前附表”。</w:t>
      </w:r>
    </w:p>
    <w:p w14:paraId="7D598CE6">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33.2 其他事项详见“供应商须知前附表”。</w:t>
      </w:r>
    </w:p>
    <w:p w14:paraId="7E389C75">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33.3 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A7C0742">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（1）在货物采购项目中，货物由中小企业制造，即货物由中小企业生产且使用该中小企业商号或者注册商标，不对其中涉及的工程承建商和服务的承接商作出要求；</w:t>
      </w:r>
    </w:p>
    <w:p w14:paraId="08B92426">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（2）在工程采购项目中，工程由中小企业承建，即工程施工单位为中小企业，不对其中涉及的货物的制造商和服务的承接商作出要求；</w:t>
      </w:r>
    </w:p>
    <w:p w14:paraId="6FAF0923">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（3）在服务采购项目中，服务由中小企业承接，即提供服务的人员为中小企业依照《中华人民共和国劳动合同法》订立劳动合同的从业人员，不对其中涉及的货物的制造商和工程承建商作出要求。</w:t>
      </w:r>
    </w:p>
    <w:p w14:paraId="7C4A6E67">
      <w:pPr>
        <w:autoSpaceDE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2CBC5653">
      <w:pPr>
        <w:autoSpaceDE w:val="0"/>
        <w:spacing w:line="360" w:lineRule="auto"/>
        <w:ind w:firstLine="420" w:firstLineChars="200"/>
        <w:rPr>
          <w:rFonts w:ascii="宋体" w:hAnsi="宋体" w:cs="宋体"/>
          <w:highlight w:val="none"/>
        </w:rPr>
      </w:pPr>
      <w:r>
        <w:rPr>
          <w:rFonts w:hint="eastAsia" w:ascii="宋体" w:hAnsi="宋体" w:cs="宋体"/>
          <w:szCs w:val="21"/>
          <w:highlight w:val="none"/>
          <w:lang w:bidi="ar"/>
        </w:rPr>
        <w:t>依据本磋商文件规定享受扶持政策获得政府采购合同的，小微企业不得将合同分包给大中型企业，中型企业不得将合同分包给大型企业。</w:t>
      </w:r>
    </w:p>
    <w:p w14:paraId="49EE8CD0">
      <w:pPr>
        <w:pStyle w:val="4"/>
        <w:jc w:val="center"/>
        <w:rPr>
          <w:rFonts w:ascii="宋体" w:hAnsi="宋体" w:cs="宋体"/>
          <w:highlight w:val="none"/>
        </w:rPr>
      </w:pPr>
      <w:r>
        <w:rPr>
          <w:rFonts w:hint="eastAsia" w:ascii="宋体" w:hAnsi="宋体" w:cs="宋体"/>
          <w:b w:val="0"/>
          <w:highlight w:val="none"/>
        </w:rPr>
        <w:br w:type="page"/>
      </w:r>
      <w:bookmarkStart w:id="55" w:name="_Toc9928"/>
      <w:r>
        <w:rPr>
          <w:rFonts w:hint="eastAsia" w:ascii="宋体" w:hAnsi="宋体" w:cs="宋体"/>
          <w:highlight w:val="none"/>
        </w:rPr>
        <w:t>第三章 采购需求</w:t>
      </w:r>
      <w:bookmarkEnd w:id="55"/>
    </w:p>
    <w:p w14:paraId="51F8661A">
      <w:pPr>
        <w:spacing w:line="360" w:lineRule="auto"/>
        <w:rPr>
          <w:rFonts w:ascii="宋体" w:hAnsi="宋体" w:cs="宋体"/>
          <w:bCs/>
          <w:szCs w:val="21"/>
          <w:highlight w:val="none"/>
        </w:rPr>
      </w:pPr>
      <w:r>
        <w:rPr>
          <w:rFonts w:hint="eastAsia" w:ascii="宋体" w:hAnsi="宋体" w:cs="宋体"/>
          <w:bCs/>
          <w:szCs w:val="21"/>
          <w:highlight w:val="none"/>
        </w:rPr>
        <w:t>说明：</w:t>
      </w:r>
    </w:p>
    <w:p w14:paraId="2FDE333E">
      <w:pPr>
        <w:spacing w:line="360" w:lineRule="auto"/>
        <w:ind w:firstLine="420" w:firstLineChars="200"/>
        <w:contextualSpacing/>
        <w:jc w:val="left"/>
        <w:rPr>
          <w:rFonts w:ascii="宋体" w:hAnsi="宋体" w:cs="宋体"/>
          <w:bCs/>
          <w:szCs w:val="21"/>
          <w:highlight w:val="none"/>
        </w:rPr>
      </w:pPr>
      <w:r>
        <w:rPr>
          <w:rFonts w:hint="eastAsia" w:ascii="宋体" w:hAnsi="宋体" w:cs="宋体"/>
          <w:bCs/>
          <w:szCs w:val="21"/>
          <w:highlight w:val="none"/>
        </w:rPr>
        <w:t>1.为落实政府采购政策需满足的要求：</w:t>
      </w:r>
    </w:p>
    <w:p w14:paraId="01F12635">
      <w:pPr>
        <w:spacing w:line="360" w:lineRule="auto"/>
        <w:ind w:firstLine="420" w:firstLineChars="200"/>
        <w:contextualSpacing/>
        <w:jc w:val="left"/>
        <w:rPr>
          <w:rFonts w:ascii="宋体" w:hAnsi="宋体" w:cs="宋体"/>
          <w:bCs/>
          <w:szCs w:val="21"/>
          <w:highlight w:val="none"/>
        </w:rPr>
      </w:pPr>
      <w:r>
        <w:rPr>
          <w:rFonts w:hint="eastAsia" w:ascii="宋体" w:hAnsi="宋体" w:cs="宋体"/>
          <w:bCs/>
          <w:szCs w:val="21"/>
          <w:highlight w:val="none"/>
        </w:rPr>
        <w:t>（1）本采购文件所称中小企业必须符合《政府采购促进中小企业发展管理办法》（财库〔2020〕46 号）的规定。</w:t>
      </w:r>
    </w:p>
    <w:p w14:paraId="575287D1">
      <w:pPr>
        <w:spacing w:line="360" w:lineRule="auto"/>
        <w:ind w:firstLine="420" w:firstLineChars="200"/>
        <w:contextualSpacing/>
        <w:jc w:val="left"/>
        <w:rPr>
          <w:rFonts w:ascii="宋体" w:hAnsi="宋体" w:cs="宋体"/>
          <w:bCs/>
          <w:szCs w:val="21"/>
          <w:highlight w:val="none"/>
        </w:rPr>
      </w:pPr>
      <w:r>
        <w:rPr>
          <w:rFonts w:hint="eastAsia" w:ascii="宋体" w:hAnsi="宋体" w:cs="宋体"/>
          <w:bCs/>
          <w:szCs w:val="21"/>
          <w:highlight w:val="none"/>
        </w:rPr>
        <w:t>2.“实质性要求”是指采购需求中带“▲”的条款或者不能负偏离的条款或者已经指明不满足按响应文件按无效处理的条款。</w:t>
      </w:r>
    </w:p>
    <w:p w14:paraId="2130D67E">
      <w:pPr>
        <w:spacing w:line="360" w:lineRule="auto"/>
        <w:ind w:firstLine="420" w:firstLineChars="200"/>
        <w:contextualSpacing/>
        <w:jc w:val="left"/>
        <w:rPr>
          <w:rFonts w:ascii="宋体" w:hAnsi="宋体" w:cs="宋体"/>
          <w:bCs/>
          <w:szCs w:val="21"/>
          <w:highlight w:val="none"/>
        </w:rPr>
      </w:pPr>
      <w:r>
        <w:rPr>
          <w:rFonts w:hint="eastAsia" w:ascii="宋体" w:hAnsi="宋体" w:cs="宋体"/>
          <w:bCs/>
          <w:szCs w:val="21"/>
          <w:highlight w:val="none"/>
        </w:rPr>
        <w:t>3.采购需求中出现的品牌、型号或者生产供应商仅起参考作用，不属于指定品牌、型号或者生产供应商的情形。供应商可参照或者选用其他相当的品牌、型号或者生产供应商替代。</w:t>
      </w:r>
    </w:p>
    <w:p w14:paraId="179A8CA8">
      <w:pPr>
        <w:spacing w:line="360" w:lineRule="auto"/>
        <w:ind w:firstLine="420" w:firstLineChars="200"/>
        <w:contextualSpacing/>
        <w:jc w:val="left"/>
        <w:rPr>
          <w:rFonts w:ascii="宋体" w:hAnsi="宋体" w:cs="宋体"/>
          <w:bCs/>
          <w:szCs w:val="21"/>
          <w:highlight w:val="none"/>
        </w:rPr>
      </w:pPr>
      <w:r>
        <w:rPr>
          <w:rFonts w:hint="eastAsia" w:ascii="宋体" w:hAnsi="宋体" w:cs="宋体"/>
          <w:bCs/>
          <w:szCs w:val="21"/>
          <w:highlight w:val="none"/>
        </w:rPr>
        <w:t>4.对于重要技术条款或技术参数应当在响应文件中提供技术支持资料，技术支持资料以磋商文件中规定的形式为准，否则将视为无效技术支持资料。</w:t>
      </w:r>
    </w:p>
    <w:p w14:paraId="053E18AF">
      <w:pPr>
        <w:spacing w:line="360" w:lineRule="auto"/>
        <w:ind w:firstLine="420" w:firstLineChars="200"/>
        <w:contextualSpacing/>
        <w:jc w:val="left"/>
        <w:rPr>
          <w:rFonts w:ascii="宋体" w:hAnsi="宋体" w:cs="宋体"/>
          <w:bCs/>
          <w:szCs w:val="21"/>
          <w:highlight w:val="none"/>
        </w:rPr>
      </w:pPr>
      <w:r>
        <w:rPr>
          <w:rFonts w:hint="eastAsia" w:ascii="宋体" w:hAnsi="宋体" w:cs="宋体"/>
          <w:bCs/>
          <w:szCs w:val="21"/>
          <w:highlight w:val="none"/>
        </w:rPr>
        <w:t>5.供应商必须自行为其竞标产品侵犯他人的知识产权或者专利成果的行为承担相应法律责任。</w:t>
      </w:r>
    </w:p>
    <w:p w14:paraId="27E35705">
      <w:pPr>
        <w:tabs>
          <w:tab w:val="left" w:pos="540"/>
        </w:tabs>
        <w:spacing w:line="360" w:lineRule="auto"/>
        <w:ind w:firstLine="420" w:firstLineChars="200"/>
        <w:rPr>
          <w:rFonts w:ascii="宋体" w:hAnsi="宋体" w:cs="宋体"/>
          <w:bCs/>
          <w:szCs w:val="21"/>
          <w:highlight w:val="none"/>
        </w:rPr>
      </w:pPr>
      <w:r>
        <w:rPr>
          <w:rFonts w:hint="eastAsia" w:ascii="宋体" w:hAnsi="宋体" w:cs="宋体"/>
          <w:bCs/>
          <w:szCs w:val="21"/>
          <w:highlight w:val="none"/>
        </w:rPr>
        <w:t>6.本服务需求一览表中内容如与第五章“合同条款及格式”相关条款不一致的，以本表为准。</w:t>
      </w:r>
    </w:p>
    <w:p w14:paraId="26BA9E2D">
      <w:pPr>
        <w:spacing w:line="360" w:lineRule="auto"/>
        <w:ind w:firstLine="420" w:firstLineChars="200"/>
        <w:contextualSpacing/>
        <w:jc w:val="left"/>
        <w:rPr>
          <w:rFonts w:ascii="宋体" w:hAnsi="宋体" w:cs="宋体"/>
          <w:bCs/>
          <w:szCs w:val="21"/>
          <w:highlight w:val="none"/>
        </w:rPr>
      </w:pPr>
      <w:r>
        <w:rPr>
          <w:rFonts w:hint="eastAsia" w:ascii="宋体" w:hAnsi="宋体" w:cs="宋体"/>
          <w:bCs/>
          <w:szCs w:val="21"/>
          <w:highlight w:val="none"/>
        </w:rPr>
        <w:t>7.供应商应承诺响应文件中提供的证明材料和资质文件真实，如出现虚假应标情况，供应商除了应接受有关部门的处罚外，还应依据《中华人民共和国民法典》的相关条款来确定赔偿金额。</w:t>
      </w:r>
    </w:p>
    <w:p w14:paraId="424F7FA1">
      <w:pPr>
        <w:spacing w:line="360" w:lineRule="auto"/>
        <w:ind w:firstLine="422" w:firstLineChars="200"/>
        <w:contextualSpacing/>
        <w:jc w:val="left"/>
        <w:rPr>
          <w:rFonts w:ascii="宋体" w:hAnsi="宋体" w:cs="宋体"/>
          <w:b/>
          <w:szCs w:val="21"/>
          <w:highlight w:val="none"/>
        </w:rPr>
      </w:pPr>
      <w:r>
        <w:rPr>
          <w:rFonts w:hint="eastAsia" w:ascii="宋体" w:hAnsi="宋体" w:cs="宋体"/>
          <w:b/>
          <w:szCs w:val="21"/>
          <w:highlight w:val="none"/>
        </w:rPr>
        <w:t>8.本项目所属行业为：其他未列明行业。</w:t>
      </w:r>
    </w:p>
    <w:p w14:paraId="3BD4CA80">
      <w:pPr>
        <w:spacing w:line="360" w:lineRule="auto"/>
        <w:ind w:firstLine="422" w:firstLineChars="200"/>
        <w:contextualSpacing/>
        <w:jc w:val="left"/>
        <w:rPr>
          <w:rFonts w:ascii="宋体" w:hAnsi="宋体" w:cs="宋体"/>
          <w:bCs/>
          <w:szCs w:val="21"/>
          <w:highlight w:val="none"/>
        </w:rPr>
      </w:pPr>
      <w:r>
        <w:rPr>
          <w:rFonts w:hint="eastAsia" w:ascii="宋体" w:hAnsi="宋体" w:cs="宋体"/>
          <w:b/>
          <w:szCs w:val="21"/>
          <w:highlight w:val="none"/>
        </w:rPr>
        <w:t>9.本项目核心产品为：本项目为服务类项目，无核心产品。</w:t>
      </w:r>
    </w:p>
    <w:p w14:paraId="67AE37B6">
      <w:pPr>
        <w:spacing w:line="360" w:lineRule="auto"/>
        <w:ind w:firstLine="420" w:firstLineChars="200"/>
        <w:contextualSpacing/>
        <w:jc w:val="left"/>
        <w:rPr>
          <w:rFonts w:ascii="宋体" w:hAnsi="宋体" w:cs="宋体"/>
          <w:bCs/>
          <w:szCs w:val="21"/>
          <w:highlight w:val="none"/>
        </w:rPr>
      </w:pPr>
    </w:p>
    <w:p w14:paraId="378AFBB3">
      <w:pPr>
        <w:pStyle w:val="2"/>
        <w:rPr>
          <w:rFonts w:ascii="宋体" w:hAnsi="宋体" w:cs="宋体"/>
          <w:highlight w:val="none"/>
        </w:rPr>
      </w:pPr>
      <w:r>
        <w:rPr>
          <w:rFonts w:hint="eastAsia" w:ascii="宋体" w:hAnsi="宋体" w:cs="宋体"/>
          <w:bCs/>
          <w:szCs w:val="21"/>
          <w:highlight w:val="none"/>
        </w:rPr>
        <w:br w:type="page"/>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82"/>
        <w:gridCol w:w="1117"/>
        <w:gridCol w:w="1344"/>
        <w:gridCol w:w="690"/>
        <w:gridCol w:w="5202"/>
      </w:tblGrid>
      <w:tr w14:paraId="1EC3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000" w:type="pct"/>
            <w:gridSpan w:val="5"/>
            <w:vAlign w:val="center"/>
          </w:tcPr>
          <w:p w14:paraId="2F122061">
            <w:pPr>
              <w:spacing w:line="360" w:lineRule="auto"/>
              <w:jc w:val="left"/>
              <w:rPr>
                <w:rFonts w:ascii="宋体" w:hAnsi="宋体" w:cs="宋体"/>
                <w:b/>
                <w:szCs w:val="21"/>
                <w:highlight w:val="none"/>
              </w:rPr>
            </w:pPr>
            <w:r>
              <w:rPr>
                <w:rFonts w:hint="eastAsia" w:ascii="宋体" w:hAnsi="宋体" w:cs="宋体"/>
                <w:b/>
                <w:bCs/>
                <w:kern w:val="0"/>
                <w:szCs w:val="21"/>
                <w:highlight w:val="none"/>
              </w:rPr>
              <w:t>▲</w:t>
            </w:r>
            <w:r>
              <w:rPr>
                <w:rFonts w:hint="eastAsia" w:ascii="宋体" w:hAnsi="宋体" w:cs="宋体"/>
                <w:b/>
                <w:szCs w:val="21"/>
                <w:highlight w:val="none"/>
              </w:rPr>
              <w:br w:type="page"/>
            </w:r>
            <w:r>
              <w:rPr>
                <w:rFonts w:hint="eastAsia" w:ascii="宋体" w:hAnsi="宋体" w:cs="宋体"/>
                <w:b/>
                <w:szCs w:val="21"/>
                <w:highlight w:val="none"/>
              </w:rPr>
              <w:t>一、技术需求</w:t>
            </w:r>
          </w:p>
        </w:tc>
      </w:tr>
      <w:tr w14:paraId="5AA1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26" w:type="pct"/>
            <w:vAlign w:val="center"/>
          </w:tcPr>
          <w:p w14:paraId="1CB4062E">
            <w:pPr>
              <w:spacing w:line="360" w:lineRule="auto"/>
              <w:jc w:val="center"/>
              <w:rPr>
                <w:rFonts w:ascii="宋体" w:hAnsi="宋体" w:cs="宋体"/>
                <w:b/>
                <w:szCs w:val="21"/>
                <w:highlight w:val="none"/>
              </w:rPr>
            </w:pPr>
            <w:r>
              <w:rPr>
                <w:rFonts w:hint="eastAsia" w:ascii="宋体" w:hAnsi="宋体" w:cs="宋体"/>
                <w:b/>
                <w:szCs w:val="21"/>
                <w:highlight w:val="none"/>
              </w:rPr>
              <w:t>标项</w:t>
            </w:r>
          </w:p>
        </w:tc>
        <w:tc>
          <w:tcPr>
            <w:tcW w:w="625" w:type="pct"/>
            <w:vAlign w:val="center"/>
          </w:tcPr>
          <w:p w14:paraId="191BD941">
            <w:pPr>
              <w:spacing w:line="360" w:lineRule="auto"/>
              <w:jc w:val="center"/>
              <w:rPr>
                <w:rFonts w:ascii="宋体" w:hAnsi="宋体" w:cs="宋体"/>
                <w:b/>
                <w:szCs w:val="21"/>
                <w:highlight w:val="none"/>
              </w:rPr>
            </w:pPr>
            <w:r>
              <w:rPr>
                <w:rFonts w:hint="eastAsia" w:ascii="宋体" w:hAnsi="宋体" w:cs="宋体"/>
                <w:b/>
                <w:szCs w:val="21"/>
                <w:highlight w:val="none"/>
              </w:rPr>
              <w:t>服务名称</w:t>
            </w:r>
          </w:p>
        </w:tc>
        <w:tc>
          <w:tcPr>
            <w:tcW w:w="752" w:type="pct"/>
            <w:vAlign w:val="center"/>
          </w:tcPr>
          <w:p w14:paraId="6439E835">
            <w:pPr>
              <w:tabs>
                <w:tab w:val="left" w:pos="180"/>
                <w:tab w:val="left" w:pos="1620"/>
              </w:tabs>
              <w:spacing w:line="360" w:lineRule="auto"/>
              <w:jc w:val="center"/>
              <w:rPr>
                <w:rFonts w:ascii="宋体" w:hAnsi="宋体" w:cs="宋体"/>
                <w:b/>
                <w:szCs w:val="21"/>
                <w:highlight w:val="none"/>
              </w:rPr>
            </w:pPr>
            <w:r>
              <w:rPr>
                <w:rFonts w:hint="eastAsia" w:ascii="宋体" w:hAnsi="宋体" w:cs="宋体"/>
                <w:b/>
                <w:szCs w:val="21"/>
                <w:highlight w:val="none"/>
              </w:rPr>
              <w:t>单价</w:t>
            </w:r>
          </w:p>
        </w:tc>
        <w:tc>
          <w:tcPr>
            <w:tcW w:w="386" w:type="pct"/>
            <w:vAlign w:val="center"/>
          </w:tcPr>
          <w:p w14:paraId="713191D5">
            <w:pPr>
              <w:tabs>
                <w:tab w:val="left" w:pos="180"/>
                <w:tab w:val="left" w:pos="1620"/>
              </w:tabs>
              <w:spacing w:line="360" w:lineRule="auto"/>
              <w:jc w:val="center"/>
              <w:rPr>
                <w:rFonts w:ascii="宋体" w:hAnsi="宋体" w:cs="宋体"/>
                <w:b/>
                <w:szCs w:val="21"/>
                <w:highlight w:val="none"/>
              </w:rPr>
            </w:pPr>
            <w:r>
              <w:rPr>
                <w:rFonts w:hint="eastAsia" w:ascii="宋体" w:hAnsi="宋体" w:cs="宋体"/>
                <w:b/>
                <w:szCs w:val="21"/>
                <w:highlight w:val="none"/>
              </w:rPr>
              <w:t>数量</w:t>
            </w:r>
          </w:p>
        </w:tc>
        <w:tc>
          <w:tcPr>
            <w:tcW w:w="2908" w:type="pct"/>
            <w:vAlign w:val="center"/>
          </w:tcPr>
          <w:p w14:paraId="0A0CBBB8">
            <w:pPr>
              <w:spacing w:line="360" w:lineRule="auto"/>
              <w:jc w:val="center"/>
              <w:rPr>
                <w:rFonts w:ascii="宋体" w:hAnsi="宋体" w:cs="宋体"/>
                <w:b/>
                <w:szCs w:val="21"/>
                <w:highlight w:val="none"/>
              </w:rPr>
            </w:pPr>
            <w:r>
              <w:rPr>
                <w:rFonts w:hint="eastAsia" w:ascii="宋体" w:hAnsi="宋体" w:cs="宋体"/>
                <w:b/>
                <w:szCs w:val="21"/>
                <w:highlight w:val="none"/>
              </w:rPr>
              <w:t>服务需求</w:t>
            </w:r>
          </w:p>
        </w:tc>
      </w:tr>
      <w:tr w14:paraId="3C54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26" w:type="pct"/>
            <w:vAlign w:val="center"/>
          </w:tcPr>
          <w:p w14:paraId="316D88A3">
            <w:pPr>
              <w:spacing w:line="360" w:lineRule="auto"/>
              <w:jc w:val="center"/>
              <w:rPr>
                <w:rFonts w:ascii="宋体" w:hAnsi="宋体" w:cs="宋体"/>
                <w:b/>
                <w:szCs w:val="21"/>
                <w:highlight w:val="none"/>
              </w:rPr>
            </w:pPr>
            <w:r>
              <w:rPr>
                <w:rFonts w:hint="eastAsia" w:ascii="宋体" w:hAnsi="宋体" w:cs="宋体"/>
                <w:bCs/>
                <w:szCs w:val="21"/>
                <w:highlight w:val="none"/>
              </w:rPr>
              <w:t>1</w:t>
            </w:r>
          </w:p>
        </w:tc>
        <w:tc>
          <w:tcPr>
            <w:tcW w:w="625" w:type="pct"/>
            <w:vAlign w:val="center"/>
          </w:tcPr>
          <w:p w14:paraId="4C91D03E">
            <w:pPr>
              <w:widowControl/>
              <w:spacing w:line="360" w:lineRule="auto"/>
              <w:jc w:val="center"/>
              <w:rPr>
                <w:rFonts w:ascii="宋体" w:hAnsi="宋体" w:cs="宋体"/>
                <w:kern w:val="0"/>
                <w:szCs w:val="21"/>
                <w:highlight w:val="none"/>
              </w:rPr>
            </w:pPr>
            <w:r>
              <w:rPr>
                <w:rFonts w:hint="eastAsia" w:ascii="宋体" w:hAnsi="宋体" w:cs="宋体"/>
                <w:highlight w:val="none"/>
              </w:rPr>
              <w:t>2025年钦州港片区规划及人防工程技术审查服务项目采购</w:t>
            </w:r>
          </w:p>
        </w:tc>
        <w:tc>
          <w:tcPr>
            <w:tcW w:w="752" w:type="pct"/>
            <w:vAlign w:val="center"/>
          </w:tcPr>
          <w:p w14:paraId="7982995E">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750000.00元</w:t>
            </w:r>
          </w:p>
        </w:tc>
        <w:tc>
          <w:tcPr>
            <w:tcW w:w="386" w:type="pct"/>
            <w:vAlign w:val="center"/>
          </w:tcPr>
          <w:p w14:paraId="3B46445E">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1</w:t>
            </w:r>
          </w:p>
        </w:tc>
        <w:tc>
          <w:tcPr>
            <w:tcW w:w="2908" w:type="pct"/>
            <w:vAlign w:val="center"/>
          </w:tcPr>
          <w:p w14:paraId="37DBE0D2">
            <w:pPr>
              <w:widowControl/>
              <w:numPr>
                <w:ilvl w:val="255"/>
                <w:numId w:val="0"/>
              </w:numPr>
              <w:spacing w:line="360" w:lineRule="auto"/>
              <w:rPr>
                <w:rFonts w:hint="eastAsia" w:ascii="宋体" w:hAnsi="宋体" w:eastAsia="宋体" w:cs="宋体"/>
                <w:b/>
                <w:bCs/>
                <w:highlight w:val="none"/>
                <w:lang w:eastAsia="zh-CN"/>
              </w:rPr>
            </w:pPr>
            <w:r>
              <w:rPr>
                <w:rFonts w:hint="eastAsia" w:ascii="宋体" w:hAnsi="宋体" w:cs="宋体"/>
                <w:b/>
                <w:bCs/>
                <w:highlight w:val="none"/>
                <w:lang w:eastAsia="zh-CN"/>
              </w:rPr>
              <w:t>一、采购内容</w:t>
            </w:r>
          </w:p>
          <w:p w14:paraId="4B6AC346">
            <w:pPr>
              <w:widowControl/>
              <w:numPr>
                <w:ilvl w:val="255"/>
                <w:numId w:val="0"/>
              </w:numPr>
              <w:spacing w:line="360" w:lineRule="auto"/>
              <w:rPr>
                <w:rFonts w:hint="eastAsia" w:ascii="宋体" w:hAnsi="宋体" w:cs="宋体"/>
                <w:highlight w:val="none"/>
              </w:rPr>
            </w:pPr>
            <w:r>
              <w:rPr>
                <w:rFonts w:hint="eastAsia" w:ascii="宋体" w:hAnsi="宋体" w:cs="宋体"/>
                <w:highlight w:val="none"/>
              </w:rPr>
              <w:t>本次采购主要内容主要包含2025年钦州港片区人防工程防护设计(规划)审查、人防工程防护设计(施工)审查等人防工程防护设计技术咨询、项目用地节约集约论证、建设工程规划设计方案合规性技术审查等。钦州港片区用地规模260平方公里，包含中马钦州产业园区55平方公里、钦州港经济技术开发区和钦州保税港区。</w:t>
            </w:r>
          </w:p>
          <w:p w14:paraId="48A7A972">
            <w:pPr>
              <w:widowControl/>
              <w:numPr>
                <w:ilvl w:val="255"/>
                <w:numId w:val="0"/>
              </w:numPr>
              <w:spacing w:line="360" w:lineRule="auto"/>
              <w:rPr>
                <w:rFonts w:hint="eastAsia" w:ascii="宋体" w:hAnsi="宋体" w:cs="宋体"/>
                <w:b w:val="0"/>
                <w:bCs w:val="0"/>
                <w:highlight w:val="none"/>
              </w:rPr>
            </w:pPr>
            <w:r>
              <w:rPr>
                <w:rFonts w:hint="eastAsia" w:ascii="宋体" w:hAnsi="宋体" w:cs="宋体"/>
                <w:b w:val="0"/>
                <w:bCs w:val="0"/>
                <w:highlight w:val="none"/>
              </w:rPr>
              <w:t>（一）人防工程防护设计技术咨询服务</w:t>
            </w:r>
          </w:p>
          <w:p w14:paraId="0B7A68C7">
            <w:pPr>
              <w:widowControl/>
              <w:numPr>
                <w:ilvl w:val="255"/>
                <w:numId w:val="0"/>
              </w:numPr>
              <w:spacing w:line="360" w:lineRule="auto"/>
              <w:rPr>
                <w:rFonts w:hint="eastAsia" w:ascii="宋体" w:hAnsi="宋体" w:cs="宋体"/>
                <w:b w:val="0"/>
                <w:bCs w:val="0"/>
                <w:highlight w:val="none"/>
              </w:rPr>
            </w:pPr>
            <w:r>
              <w:rPr>
                <w:rFonts w:hint="eastAsia" w:ascii="宋体" w:hAnsi="宋体" w:cs="宋体"/>
                <w:b w:val="0"/>
                <w:bCs w:val="0"/>
                <w:highlight w:val="none"/>
              </w:rPr>
              <w:t>承担园区所需人防工程设计（防空地下室防护设计规划、防护设计施工）技术专业咨询服务和项目质量监管中所需技术措施评估服务，协助对建设单位的人防工程设计方案申报文件（防空地下室防护设计规划、施工审查）进行审查；对自建类项目应建人防工程的面积、战时功能、防护等级等要素审查。负责对园区人防主管部门工作人员以及相关企业和人员进行人防工程方案设计及规划技术专业指导和培训（每年组织不少于2次培训），并派专业技术人员24小时提供技术咨询服务，出现技术服务现场需求时必须在l个小时内到达现场，同时协助负责协审意见及其他工作。具体工作内容如下：</w:t>
            </w:r>
          </w:p>
          <w:p w14:paraId="24E7B9E8">
            <w:pPr>
              <w:widowControl/>
              <w:numPr>
                <w:ilvl w:val="255"/>
                <w:numId w:val="0"/>
              </w:numPr>
              <w:spacing w:line="360" w:lineRule="auto"/>
              <w:rPr>
                <w:rFonts w:hint="eastAsia" w:ascii="宋体" w:hAnsi="宋体" w:cs="宋体"/>
                <w:b w:val="0"/>
                <w:bCs w:val="0"/>
                <w:highlight w:val="none"/>
              </w:rPr>
            </w:pPr>
            <w:r>
              <w:rPr>
                <w:rFonts w:hint="eastAsia" w:ascii="宋体" w:hAnsi="宋体" w:cs="宋体"/>
                <w:b w:val="0"/>
                <w:bCs w:val="0"/>
                <w:highlight w:val="none"/>
              </w:rPr>
              <w:t>1. 设计方案文件技术审查。对建设单位的方案设计申报文件进行审查，就项目人防工程建设方式（自建、免建及易建）出具审查意见；对自建类项目应建人防工程的面积、战时功能、防护等级等要素出具审查意见；依据人防工程设计规范及相关标准进行人防工程施工图设计文件检查等。</w:t>
            </w:r>
          </w:p>
          <w:p w14:paraId="12BF8FCB">
            <w:pPr>
              <w:widowControl/>
              <w:numPr>
                <w:ilvl w:val="255"/>
                <w:numId w:val="0"/>
              </w:numPr>
              <w:spacing w:line="360" w:lineRule="auto"/>
              <w:rPr>
                <w:rFonts w:hint="eastAsia" w:ascii="宋体" w:hAnsi="宋体" w:cs="宋体"/>
                <w:b w:val="0"/>
                <w:bCs w:val="0"/>
                <w:highlight w:val="none"/>
              </w:rPr>
            </w:pPr>
            <w:r>
              <w:rPr>
                <w:rFonts w:hint="eastAsia" w:ascii="宋体" w:hAnsi="宋体" w:cs="宋体"/>
                <w:b w:val="0"/>
                <w:bCs w:val="0"/>
                <w:highlight w:val="none"/>
              </w:rPr>
              <w:t>2.施工图审查咨询服务。主要内容如下：</w:t>
            </w:r>
          </w:p>
          <w:p w14:paraId="718B01D7">
            <w:pPr>
              <w:widowControl/>
              <w:numPr>
                <w:ilvl w:val="255"/>
                <w:numId w:val="0"/>
              </w:numPr>
              <w:spacing w:line="360" w:lineRule="auto"/>
              <w:rPr>
                <w:rFonts w:hint="eastAsia" w:ascii="宋体" w:hAnsi="宋体" w:cs="宋体"/>
                <w:b w:val="0"/>
                <w:bCs w:val="0"/>
                <w:highlight w:val="none"/>
              </w:rPr>
            </w:pPr>
            <w:r>
              <w:rPr>
                <w:rFonts w:hint="eastAsia" w:ascii="宋体" w:hAnsi="宋体" w:cs="宋体"/>
                <w:b w:val="0"/>
                <w:bCs w:val="0"/>
                <w:highlight w:val="none"/>
              </w:rPr>
              <w:t>（1）是否符合工程建设强制性标准；</w:t>
            </w:r>
          </w:p>
          <w:p w14:paraId="653A34DE">
            <w:pPr>
              <w:widowControl/>
              <w:numPr>
                <w:ilvl w:val="255"/>
                <w:numId w:val="0"/>
              </w:numPr>
              <w:spacing w:line="360" w:lineRule="auto"/>
              <w:rPr>
                <w:rFonts w:hint="eastAsia" w:ascii="宋体" w:hAnsi="宋体" w:cs="宋体"/>
                <w:b w:val="0"/>
                <w:bCs w:val="0"/>
                <w:highlight w:val="none"/>
              </w:rPr>
            </w:pPr>
            <w:r>
              <w:rPr>
                <w:rFonts w:hint="eastAsia" w:ascii="宋体" w:hAnsi="宋体" w:cs="宋体"/>
                <w:b w:val="0"/>
                <w:bCs w:val="0"/>
                <w:highlight w:val="none"/>
              </w:rPr>
              <w:t>（2）工程结构和防护安全性、可靠性（包括主体结构、防护能力、防护功能平战转换等）；</w:t>
            </w:r>
          </w:p>
          <w:p w14:paraId="00807E72">
            <w:pPr>
              <w:widowControl/>
              <w:numPr>
                <w:ilvl w:val="255"/>
                <w:numId w:val="0"/>
              </w:numPr>
              <w:spacing w:line="360" w:lineRule="auto"/>
              <w:rPr>
                <w:rFonts w:hint="eastAsia" w:ascii="宋体" w:hAnsi="宋体" w:cs="宋体"/>
                <w:b w:val="0"/>
                <w:bCs w:val="0"/>
                <w:highlight w:val="none"/>
              </w:rPr>
            </w:pPr>
            <w:r>
              <w:rPr>
                <w:rFonts w:hint="eastAsia" w:ascii="宋体" w:hAnsi="宋体" w:cs="宋体"/>
                <w:b w:val="0"/>
                <w:bCs w:val="0"/>
                <w:highlight w:val="none"/>
              </w:rPr>
              <w:t>（3）消防、防水、抗浮、隔震、节能、环保、防护功能平战转换等是否符合有关规范、标准的规定；</w:t>
            </w:r>
          </w:p>
          <w:p w14:paraId="31174BBD">
            <w:pPr>
              <w:widowControl/>
              <w:numPr>
                <w:ilvl w:val="255"/>
                <w:numId w:val="0"/>
              </w:numPr>
              <w:spacing w:line="360" w:lineRule="auto"/>
              <w:rPr>
                <w:rFonts w:hint="eastAsia" w:ascii="宋体" w:hAnsi="宋体" w:cs="宋体"/>
                <w:b w:val="0"/>
                <w:bCs w:val="0"/>
                <w:highlight w:val="none"/>
              </w:rPr>
            </w:pPr>
            <w:r>
              <w:rPr>
                <w:rFonts w:hint="eastAsia" w:ascii="宋体" w:hAnsi="宋体" w:cs="宋体"/>
                <w:b w:val="0"/>
                <w:bCs w:val="0"/>
                <w:highlight w:val="none"/>
              </w:rPr>
              <w:t>（4）是否根据批准的初步设计文件进行施工图设计，对初步设计审查意见进行的调整和修改是否合理；</w:t>
            </w:r>
          </w:p>
          <w:p w14:paraId="329B9B53">
            <w:pPr>
              <w:widowControl/>
              <w:numPr>
                <w:ilvl w:val="255"/>
                <w:numId w:val="0"/>
              </w:numPr>
              <w:spacing w:line="360" w:lineRule="auto"/>
              <w:rPr>
                <w:rFonts w:hint="eastAsia" w:ascii="宋体" w:hAnsi="宋体" w:cs="宋体"/>
                <w:b w:val="0"/>
                <w:bCs w:val="0"/>
                <w:highlight w:val="none"/>
              </w:rPr>
            </w:pPr>
            <w:r>
              <w:rPr>
                <w:rFonts w:hint="eastAsia" w:ascii="宋体" w:hAnsi="宋体" w:cs="宋体"/>
                <w:b w:val="0"/>
                <w:bCs w:val="0"/>
                <w:highlight w:val="none"/>
              </w:rPr>
              <w:t>（5）是否达到施工图设计文件规定的深度要求；</w:t>
            </w:r>
          </w:p>
          <w:p w14:paraId="448568FD">
            <w:pPr>
              <w:widowControl/>
              <w:numPr>
                <w:ilvl w:val="255"/>
                <w:numId w:val="0"/>
              </w:numPr>
              <w:spacing w:line="360" w:lineRule="auto"/>
              <w:rPr>
                <w:rFonts w:hint="eastAsia" w:ascii="宋体" w:hAnsi="宋体" w:cs="宋体"/>
                <w:b w:val="0"/>
                <w:bCs w:val="0"/>
                <w:highlight w:val="none"/>
              </w:rPr>
            </w:pPr>
            <w:r>
              <w:rPr>
                <w:rFonts w:hint="eastAsia" w:ascii="宋体" w:hAnsi="宋体" w:cs="宋体"/>
                <w:b w:val="0"/>
                <w:bCs w:val="0"/>
                <w:highlight w:val="none"/>
              </w:rPr>
              <w:t>（6）设计单位和执业注册人员以及相关人员是否按照规定在施工图上加盖相应的图章和签字；</w:t>
            </w:r>
          </w:p>
          <w:p w14:paraId="39044645">
            <w:pPr>
              <w:widowControl/>
              <w:numPr>
                <w:ilvl w:val="255"/>
                <w:numId w:val="0"/>
              </w:numPr>
              <w:spacing w:line="360" w:lineRule="auto"/>
              <w:rPr>
                <w:rFonts w:hint="eastAsia" w:ascii="宋体" w:hAnsi="宋体" w:cs="宋体"/>
                <w:b w:val="0"/>
                <w:bCs w:val="0"/>
                <w:highlight w:val="none"/>
              </w:rPr>
            </w:pPr>
            <w:r>
              <w:rPr>
                <w:rFonts w:hint="eastAsia" w:ascii="宋体" w:hAnsi="宋体" w:cs="宋体"/>
                <w:b w:val="0"/>
                <w:bCs w:val="0"/>
                <w:highlight w:val="none"/>
              </w:rPr>
              <w:t>（7）其他法律、法规、规定要求必须审查的内容。</w:t>
            </w:r>
          </w:p>
          <w:p w14:paraId="131413D6">
            <w:pPr>
              <w:widowControl/>
              <w:numPr>
                <w:ilvl w:val="255"/>
                <w:numId w:val="0"/>
              </w:numPr>
              <w:spacing w:line="360" w:lineRule="auto"/>
              <w:rPr>
                <w:rFonts w:hint="eastAsia" w:ascii="宋体" w:hAnsi="宋体" w:cs="宋体"/>
                <w:b w:val="0"/>
                <w:bCs w:val="0"/>
                <w:highlight w:val="none"/>
              </w:rPr>
            </w:pPr>
            <w:r>
              <w:rPr>
                <w:rFonts w:hint="eastAsia" w:ascii="宋体" w:hAnsi="宋体" w:cs="宋体"/>
                <w:b w:val="0"/>
                <w:bCs w:val="0"/>
                <w:highlight w:val="none"/>
              </w:rPr>
              <w:t>人防施工图审核报告应满足人防相关行政主管部门的要求，资料齐全，确保成果资料完整、真实准确、清晰有据，并通过人防相关行政主管部门审查。</w:t>
            </w:r>
          </w:p>
          <w:p w14:paraId="04836403">
            <w:pPr>
              <w:widowControl/>
              <w:numPr>
                <w:ilvl w:val="255"/>
                <w:numId w:val="0"/>
              </w:numPr>
              <w:spacing w:line="360" w:lineRule="auto"/>
              <w:rPr>
                <w:rFonts w:hint="eastAsia" w:ascii="宋体" w:hAnsi="宋体" w:cs="宋体"/>
                <w:b w:val="0"/>
                <w:bCs w:val="0"/>
                <w:highlight w:val="none"/>
              </w:rPr>
            </w:pPr>
            <w:r>
              <w:rPr>
                <w:rFonts w:hint="eastAsia" w:ascii="宋体" w:hAnsi="宋体" w:cs="宋体"/>
                <w:b w:val="0"/>
                <w:bCs w:val="0"/>
                <w:highlight w:val="none"/>
              </w:rPr>
              <w:t>3.开展人防工程检查。主要内容如下：</w:t>
            </w:r>
          </w:p>
          <w:p w14:paraId="0C038E8D">
            <w:pPr>
              <w:widowControl/>
              <w:numPr>
                <w:ilvl w:val="255"/>
                <w:numId w:val="0"/>
              </w:numPr>
              <w:spacing w:line="360" w:lineRule="auto"/>
              <w:rPr>
                <w:rFonts w:hint="eastAsia" w:ascii="宋体" w:hAnsi="宋体" w:cs="宋体"/>
                <w:b w:val="0"/>
                <w:bCs w:val="0"/>
                <w:highlight w:val="none"/>
              </w:rPr>
            </w:pPr>
            <w:r>
              <w:rPr>
                <w:rFonts w:hint="eastAsia" w:ascii="宋体" w:hAnsi="宋体" w:cs="宋体"/>
                <w:b w:val="0"/>
                <w:bCs w:val="0"/>
                <w:highlight w:val="none"/>
              </w:rPr>
              <w:t>（1）人防工程主体及通道：人防工程土建结构有无被破坏；是否擅自改变人防工程主体结构或使用功能，擅自打孔将管网、线缆穿越人防工程，现状是否存在安全隐患；通往人防工程口部的道路是否有任何形式的被阻塞；主要出入口是否排水通畅，地面无积水、无倒灌；主要出入口装配式防倒塌棚架是否完好无损、存放妥当。</w:t>
            </w:r>
          </w:p>
          <w:p w14:paraId="720D19DA">
            <w:pPr>
              <w:widowControl/>
              <w:numPr>
                <w:ilvl w:val="255"/>
                <w:numId w:val="0"/>
              </w:numPr>
              <w:spacing w:line="360" w:lineRule="auto"/>
              <w:rPr>
                <w:rFonts w:hint="eastAsia" w:ascii="宋体" w:hAnsi="宋体" w:cs="宋体"/>
                <w:b w:val="0"/>
                <w:bCs w:val="0"/>
                <w:highlight w:val="none"/>
              </w:rPr>
            </w:pPr>
            <w:r>
              <w:rPr>
                <w:rFonts w:hint="eastAsia" w:ascii="宋体" w:hAnsi="宋体" w:cs="宋体"/>
                <w:b w:val="0"/>
                <w:bCs w:val="0"/>
                <w:highlight w:val="none"/>
              </w:rPr>
              <w:t>（2）防护设备：防护密闭门是否能正常开启；活门槛式人防门的活门槛等配件是否完好无损、妥当存放；防护单元之间的封堵构件是否保存完好、预埋件安装到位；穿防护密闭墙管线孔洞封堵是否完好无损。</w:t>
            </w:r>
          </w:p>
          <w:p w14:paraId="1173E79C">
            <w:pPr>
              <w:widowControl/>
              <w:numPr>
                <w:ilvl w:val="255"/>
                <w:numId w:val="0"/>
              </w:numPr>
              <w:spacing w:line="360" w:lineRule="auto"/>
              <w:rPr>
                <w:rFonts w:hint="eastAsia" w:ascii="宋体" w:hAnsi="宋体" w:cs="宋体"/>
                <w:b w:val="0"/>
                <w:bCs w:val="0"/>
                <w:highlight w:val="none"/>
              </w:rPr>
            </w:pPr>
            <w:r>
              <w:rPr>
                <w:rFonts w:hint="eastAsia" w:ascii="宋体" w:hAnsi="宋体" w:cs="宋体"/>
                <w:b w:val="0"/>
                <w:bCs w:val="0"/>
                <w:highlight w:val="none"/>
              </w:rPr>
              <w:t>（3）通风系统：战时风机房电动风机、进风排风管是否正常运行，骨干工程油网滤尘器、过滤吸收器电动脚踏两用风机是否性能完好。</w:t>
            </w:r>
          </w:p>
          <w:p w14:paraId="2408CA61">
            <w:pPr>
              <w:widowControl/>
              <w:numPr>
                <w:ilvl w:val="255"/>
                <w:numId w:val="0"/>
              </w:numPr>
              <w:spacing w:line="360" w:lineRule="auto"/>
              <w:rPr>
                <w:rFonts w:hint="eastAsia" w:ascii="宋体" w:hAnsi="宋体" w:cs="宋体"/>
                <w:b w:val="0"/>
                <w:bCs w:val="0"/>
                <w:highlight w:val="none"/>
              </w:rPr>
            </w:pPr>
            <w:r>
              <w:rPr>
                <w:rFonts w:hint="eastAsia" w:ascii="宋体" w:hAnsi="宋体" w:cs="宋体"/>
                <w:b w:val="0"/>
                <w:bCs w:val="0"/>
                <w:highlight w:val="none"/>
              </w:rPr>
              <w:t>（4）给排水系统：排水管道是否通畅、无渗漏，防爆波地漏是否锈蚀、堵塞，洗消集水井是否干燥清洁，穿墙套管封堵是否完好无损，战时装配式水箱是否存放妥当。</w:t>
            </w:r>
          </w:p>
          <w:p w14:paraId="64ED6F98">
            <w:pPr>
              <w:widowControl/>
              <w:numPr>
                <w:ilvl w:val="255"/>
                <w:numId w:val="0"/>
              </w:numPr>
              <w:spacing w:line="360" w:lineRule="auto"/>
              <w:rPr>
                <w:rFonts w:hint="eastAsia" w:ascii="宋体" w:hAnsi="宋体" w:cs="宋体"/>
                <w:b w:val="0"/>
                <w:bCs w:val="0"/>
                <w:highlight w:val="none"/>
              </w:rPr>
            </w:pPr>
            <w:r>
              <w:rPr>
                <w:rFonts w:hint="eastAsia" w:ascii="宋体" w:hAnsi="宋体" w:cs="宋体"/>
                <w:b w:val="0"/>
                <w:bCs w:val="0"/>
                <w:highlight w:val="none"/>
              </w:rPr>
              <w:t>（5）电气系统：总配电箱及战时进风机、排风机控制箱是否完好无损，防爆灯是否符合安装要求。</w:t>
            </w:r>
          </w:p>
          <w:p w14:paraId="2F7950FD">
            <w:pPr>
              <w:widowControl/>
              <w:numPr>
                <w:ilvl w:val="255"/>
                <w:numId w:val="0"/>
              </w:numPr>
              <w:spacing w:line="360" w:lineRule="auto"/>
              <w:rPr>
                <w:rFonts w:hint="eastAsia" w:ascii="宋体" w:hAnsi="宋体" w:cs="宋体"/>
                <w:b w:val="0"/>
                <w:bCs w:val="0"/>
                <w:highlight w:val="none"/>
              </w:rPr>
            </w:pPr>
            <w:r>
              <w:rPr>
                <w:rFonts w:hint="eastAsia" w:ascii="宋体" w:hAnsi="宋体" w:cs="宋体"/>
                <w:b w:val="0"/>
                <w:bCs w:val="0"/>
                <w:highlight w:val="none"/>
              </w:rPr>
              <w:t>（6）标识标牌：是否按市人防办统一要求设置指示牌和标识牌，指示标识是否完好齐全等。</w:t>
            </w:r>
          </w:p>
          <w:p w14:paraId="4902E779">
            <w:pPr>
              <w:widowControl/>
              <w:numPr>
                <w:ilvl w:val="255"/>
                <w:numId w:val="0"/>
              </w:numPr>
              <w:spacing w:line="360" w:lineRule="auto"/>
              <w:rPr>
                <w:rFonts w:hint="eastAsia" w:ascii="宋体" w:hAnsi="宋体" w:cs="宋体"/>
                <w:b w:val="0"/>
                <w:bCs w:val="0"/>
                <w:highlight w:val="none"/>
              </w:rPr>
            </w:pPr>
            <w:r>
              <w:rPr>
                <w:rFonts w:hint="eastAsia" w:ascii="宋体" w:hAnsi="宋体" w:cs="宋体"/>
                <w:b w:val="0"/>
                <w:bCs w:val="0"/>
                <w:highlight w:val="none"/>
              </w:rPr>
              <w:t>（7）其他部分：防火、防爆、防毒害气体、防坍塌、防雨水倒灌等措施是否可行；是否存在违法行为，如违规在人防工程内生产、储存、经营易燃、易爆和有毒有害危险品，向人防工程内部及其孔口附近排泄废水、废气，倾倒废弃物等。</w:t>
            </w:r>
          </w:p>
          <w:p w14:paraId="04D0A138">
            <w:pPr>
              <w:widowControl/>
              <w:numPr>
                <w:ilvl w:val="255"/>
                <w:numId w:val="0"/>
              </w:numPr>
              <w:spacing w:line="360" w:lineRule="auto"/>
              <w:rPr>
                <w:rFonts w:hint="eastAsia" w:ascii="宋体" w:hAnsi="宋体" w:cs="宋体"/>
                <w:b w:val="0"/>
                <w:bCs w:val="0"/>
                <w:highlight w:val="none"/>
              </w:rPr>
            </w:pPr>
            <w:r>
              <w:rPr>
                <w:rFonts w:hint="eastAsia" w:ascii="宋体" w:hAnsi="宋体" w:cs="宋体"/>
                <w:b w:val="0"/>
                <w:bCs w:val="0"/>
                <w:highlight w:val="none"/>
              </w:rPr>
              <w:t>4.平战转换核查或竣工验收。按照国家人防办发布的《人民防空工程质量验收与评价标准》（RFJ01-2015）要求，对人防工程建设中的防护、防化设备产品生产安装质量、工程标识设置、实体质量控制及平战转换内容的实施等方面协助甲方进行核查。</w:t>
            </w:r>
          </w:p>
          <w:p w14:paraId="00999E8C">
            <w:pPr>
              <w:widowControl/>
              <w:numPr>
                <w:ilvl w:val="255"/>
                <w:numId w:val="0"/>
              </w:numPr>
              <w:spacing w:line="360" w:lineRule="auto"/>
              <w:rPr>
                <w:rFonts w:hint="eastAsia" w:ascii="宋体" w:hAnsi="宋体" w:cs="宋体"/>
                <w:b w:val="0"/>
                <w:bCs w:val="0"/>
                <w:highlight w:val="none"/>
              </w:rPr>
            </w:pPr>
            <w:r>
              <w:rPr>
                <w:rFonts w:hint="eastAsia" w:ascii="宋体" w:hAnsi="宋体" w:cs="宋体"/>
                <w:b w:val="0"/>
                <w:bCs w:val="0"/>
                <w:highlight w:val="none"/>
                <w:lang w:val="en-US" w:eastAsia="zh-CN"/>
              </w:rPr>
              <w:t>5</w:t>
            </w:r>
            <w:r>
              <w:rPr>
                <w:rFonts w:hint="eastAsia" w:ascii="宋体" w:hAnsi="宋体" w:cs="宋体"/>
                <w:b w:val="0"/>
                <w:bCs w:val="0"/>
                <w:highlight w:val="none"/>
              </w:rPr>
              <w:t>.对特殊项目或项目存在特殊情况，须安排相关资质人员到现场给予技术指导或组织专家评审会。</w:t>
            </w:r>
          </w:p>
          <w:p w14:paraId="214243BF">
            <w:pPr>
              <w:widowControl/>
              <w:numPr>
                <w:ilvl w:val="255"/>
                <w:numId w:val="0"/>
              </w:numPr>
              <w:spacing w:line="360" w:lineRule="auto"/>
              <w:rPr>
                <w:rFonts w:hint="eastAsia" w:ascii="宋体" w:hAnsi="宋体" w:cs="宋体"/>
                <w:b w:val="0"/>
                <w:bCs w:val="0"/>
                <w:highlight w:val="none"/>
              </w:rPr>
            </w:pPr>
            <w:r>
              <w:rPr>
                <w:rFonts w:hint="eastAsia" w:ascii="宋体" w:hAnsi="宋体" w:cs="宋体"/>
                <w:b w:val="0"/>
                <w:bCs w:val="0"/>
                <w:highlight w:val="none"/>
              </w:rPr>
              <w:t>（二）项目用地节约集约论证咨询服务</w:t>
            </w:r>
          </w:p>
          <w:p w14:paraId="5E155CDD">
            <w:pPr>
              <w:widowControl/>
              <w:numPr>
                <w:ilvl w:val="255"/>
                <w:numId w:val="0"/>
              </w:numPr>
              <w:spacing w:line="360" w:lineRule="auto"/>
              <w:rPr>
                <w:rFonts w:hint="eastAsia" w:ascii="宋体" w:hAnsi="宋体" w:cs="宋体"/>
                <w:b w:val="0"/>
                <w:bCs w:val="0"/>
                <w:highlight w:val="none"/>
              </w:rPr>
            </w:pPr>
            <w:r>
              <w:rPr>
                <w:rFonts w:hint="eastAsia" w:ascii="宋体" w:hAnsi="宋体" w:cs="宋体"/>
                <w:b w:val="0"/>
                <w:bCs w:val="0"/>
                <w:highlight w:val="none"/>
              </w:rPr>
              <w:t>为确保入园项目用地规模的合理性、可行性，根据《中华人民共和国土地管理法》和《国务院关于促进节约集约用地的通知》，进一步对项目用地集约节约进行评估，对项目的总建筑面积、建筑占地面积、容积率、建筑密度（建筑系数）、绿地率等主要指标进行复核审查，使项目各项指标符合《工业项目建设用地控制指标》《广西壮族自治区建设用地控制指标（2021年修订）》，具体由主管部门聘请专家组对项目用地节约集约召开专家评审。</w:t>
            </w:r>
          </w:p>
          <w:p w14:paraId="2122929F">
            <w:pPr>
              <w:widowControl/>
              <w:numPr>
                <w:ilvl w:val="255"/>
                <w:numId w:val="0"/>
              </w:numPr>
              <w:spacing w:line="360" w:lineRule="auto"/>
              <w:rPr>
                <w:rFonts w:hint="eastAsia" w:ascii="宋体" w:hAnsi="宋体" w:cs="宋体"/>
                <w:b w:val="0"/>
                <w:bCs w:val="0"/>
                <w:highlight w:val="none"/>
              </w:rPr>
            </w:pPr>
            <w:r>
              <w:rPr>
                <w:rFonts w:hint="eastAsia" w:ascii="宋体" w:hAnsi="宋体" w:cs="宋体"/>
                <w:b w:val="0"/>
                <w:bCs w:val="0"/>
                <w:highlight w:val="none"/>
              </w:rPr>
              <w:t>（三）建设工程规划设计方案合规性技术审查咨询服务</w:t>
            </w:r>
          </w:p>
          <w:p w14:paraId="69DF8091">
            <w:pPr>
              <w:widowControl/>
              <w:numPr>
                <w:ilvl w:val="255"/>
                <w:numId w:val="0"/>
              </w:numPr>
              <w:spacing w:line="360" w:lineRule="auto"/>
              <w:rPr>
                <w:rFonts w:ascii="宋体" w:hAnsi="宋体" w:cs="宋体"/>
                <w:b/>
                <w:bCs/>
                <w:highlight w:val="none"/>
              </w:rPr>
            </w:pPr>
            <w:r>
              <w:rPr>
                <w:rFonts w:hint="eastAsia" w:ascii="宋体" w:hAnsi="宋体" w:cs="宋体"/>
                <w:b w:val="0"/>
                <w:bCs w:val="0"/>
                <w:highlight w:val="none"/>
              </w:rPr>
              <w:t>协助对拟审批的规划项目进行规划设计方案符合性、合理性审查，重大项目选址论证等工作。一是方案评审前技术复核，主要对容积率、绿地率、建筑退让、日照分析、停车位和建筑高度等经济指标进行复核，满足规划设计条件及相关规范要求的提交规划评审。二是方案批复前技术复核，对业主提交的报批成果进行规划技术复核，为规划方案批复做好技术支撑。三是重大项目进行合理性选址论证。</w:t>
            </w:r>
          </w:p>
        </w:tc>
      </w:tr>
      <w:tr w14:paraId="254D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14:paraId="01F2C520">
            <w:pPr>
              <w:spacing w:line="360" w:lineRule="auto"/>
              <w:rPr>
                <w:rFonts w:ascii="宋体" w:hAnsi="宋体" w:cs="宋体"/>
                <w:b/>
                <w:szCs w:val="21"/>
                <w:highlight w:val="none"/>
              </w:rPr>
            </w:pPr>
            <w:r>
              <w:rPr>
                <w:rFonts w:hint="eastAsia" w:ascii="宋体" w:hAnsi="宋体" w:cs="宋体"/>
                <w:b/>
                <w:szCs w:val="21"/>
                <w:highlight w:val="none"/>
              </w:rPr>
              <w:t>二、商务条款</w:t>
            </w:r>
          </w:p>
        </w:tc>
      </w:tr>
      <w:tr w14:paraId="145A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14:paraId="769B11C9">
            <w:pPr>
              <w:widowControl/>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w:t>
            </w:r>
            <w:r>
              <w:rPr>
                <w:rFonts w:hint="eastAsia" w:ascii="宋体" w:hAnsi="宋体" w:cs="宋体"/>
                <w:b/>
                <w:bCs/>
                <w:kern w:val="0"/>
                <w:szCs w:val="21"/>
                <w:highlight w:val="none"/>
                <w:lang w:eastAsia="zh-CN"/>
              </w:rPr>
              <w:t>（一）</w:t>
            </w:r>
            <w:r>
              <w:rPr>
                <w:rFonts w:hint="eastAsia" w:ascii="宋体" w:hAnsi="宋体" w:cs="宋体"/>
                <w:b/>
                <w:bCs/>
                <w:kern w:val="0"/>
                <w:szCs w:val="21"/>
                <w:highlight w:val="none"/>
              </w:rPr>
              <w:t>合同签订期：</w:t>
            </w:r>
            <w:r>
              <w:rPr>
                <w:rFonts w:hint="eastAsia" w:ascii="宋体" w:hAnsi="宋体" w:cs="宋体"/>
                <w:kern w:val="0"/>
                <w:szCs w:val="21"/>
                <w:highlight w:val="none"/>
              </w:rPr>
              <w:t>自成交通知书发出之日起25日内签订完毕。</w:t>
            </w:r>
          </w:p>
          <w:p w14:paraId="563D491E">
            <w:pPr>
              <w:widowControl/>
              <w:spacing w:line="360" w:lineRule="auto"/>
              <w:ind w:firstLine="422" w:firstLineChars="200"/>
              <w:jc w:val="left"/>
              <w:rPr>
                <w:rFonts w:hint="eastAsia" w:ascii="宋体" w:hAnsi="宋体" w:cs="宋体"/>
                <w:szCs w:val="21"/>
                <w:highlight w:val="none"/>
              </w:rPr>
            </w:pPr>
            <w:r>
              <w:rPr>
                <w:rFonts w:hint="eastAsia" w:ascii="宋体" w:hAnsi="宋体" w:cs="宋体"/>
                <w:b/>
                <w:bCs/>
                <w:kern w:val="0"/>
                <w:szCs w:val="21"/>
                <w:highlight w:val="none"/>
                <w:lang w:eastAsia="zh-CN"/>
              </w:rPr>
              <w:t>▲（二）</w:t>
            </w:r>
            <w:r>
              <w:rPr>
                <w:rFonts w:hint="eastAsia" w:ascii="宋体" w:hAnsi="宋体" w:cs="宋体"/>
                <w:b/>
                <w:bCs/>
                <w:kern w:val="0"/>
                <w:szCs w:val="21"/>
                <w:highlight w:val="none"/>
              </w:rPr>
              <w:t>合同履约期限：</w:t>
            </w:r>
            <w:r>
              <w:rPr>
                <w:rFonts w:hint="eastAsia" w:ascii="宋体" w:hAnsi="宋体" w:cs="宋体"/>
                <w:szCs w:val="21"/>
                <w:highlight w:val="none"/>
              </w:rPr>
              <w:t xml:space="preserve">自合同签订之日起1年。 </w:t>
            </w:r>
          </w:p>
          <w:p w14:paraId="6697C5DC">
            <w:pPr>
              <w:widowControl/>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lang w:eastAsia="zh-CN"/>
              </w:rPr>
              <w:t>▲（三）</w:t>
            </w:r>
            <w:r>
              <w:rPr>
                <w:rFonts w:hint="eastAsia" w:ascii="宋体" w:hAnsi="宋体" w:cs="宋体"/>
                <w:b/>
                <w:bCs/>
                <w:kern w:val="0"/>
                <w:szCs w:val="21"/>
                <w:highlight w:val="none"/>
              </w:rPr>
              <w:t>服务地点：</w:t>
            </w:r>
            <w:r>
              <w:rPr>
                <w:rFonts w:hint="eastAsia" w:ascii="宋体" w:hAnsi="宋体" w:cs="宋体"/>
                <w:szCs w:val="21"/>
                <w:highlight w:val="none"/>
              </w:rPr>
              <w:t>采购人指定地点。</w:t>
            </w:r>
          </w:p>
          <w:p w14:paraId="7A410099">
            <w:pPr>
              <w:widowControl/>
              <w:spacing w:line="360" w:lineRule="auto"/>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lang w:eastAsia="zh-CN"/>
              </w:rPr>
              <w:t>▲（四）</w:t>
            </w:r>
            <w:r>
              <w:rPr>
                <w:rFonts w:hint="eastAsia" w:ascii="宋体" w:hAnsi="宋体" w:cs="宋体"/>
                <w:b/>
                <w:bCs/>
                <w:kern w:val="0"/>
                <w:szCs w:val="21"/>
                <w:highlight w:val="none"/>
              </w:rPr>
              <w:t>服务要求：</w:t>
            </w:r>
          </w:p>
          <w:p w14:paraId="524E43DD">
            <w:pPr>
              <w:widowControl/>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1.人员要求：指派含建筑、结构、电气、给排水、暖通等5人以上专业团队提供技术服务，并派专业技术人员24小时提供技术咨询服务，出现技术服务现场需求时必须在l个小时内到达现场。</w:t>
            </w:r>
          </w:p>
          <w:p w14:paraId="42D513E3">
            <w:pPr>
              <w:widowControl/>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2.成交供应商不得擅自将协作项目转包给第三方。</w:t>
            </w:r>
          </w:p>
          <w:p w14:paraId="13466FD2">
            <w:pPr>
              <w:widowControl/>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3.对成交供应商的主要考核及管理办法。</w:t>
            </w:r>
          </w:p>
          <w:p w14:paraId="4A43F3C3">
            <w:pPr>
              <w:widowControl/>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.成交供应商应严格遵守国家的法律、法规、政策及国家和相关行业的规程规范、技术标准。</w:t>
            </w:r>
          </w:p>
          <w:p w14:paraId="0ABDDB11">
            <w:pPr>
              <w:widowControl/>
              <w:spacing w:line="360" w:lineRule="auto"/>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lang w:eastAsia="zh-CN"/>
              </w:rPr>
              <w:t>▲（五）</w:t>
            </w:r>
            <w:r>
              <w:rPr>
                <w:rFonts w:hint="eastAsia" w:ascii="宋体" w:hAnsi="宋体" w:cs="宋体"/>
                <w:b/>
                <w:bCs/>
                <w:kern w:val="0"/>
                <w:szCs w:val="21"/>
                <w:highlight w:val="none"/>
              </w:rPr>
              <w:t>报价要求：</w:t>
            </w:r>
          </w:p>
          <w:p w14:paraId="06CAE4F8">
            <w:pPr>
              <w:widowControl/>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1.竞标报价必须</w:t>
            </w:r>
            <w:r>
              <w:rPr>
                <w:rFonts w:hint="eastAsia" w:ascii="宋体" w:hAnsi="宋体" w:cs="宋体"/>
                <w:szCs w:val="21"/>
              </w:rPr>
              <w:t>包含但不限于完成本项目所有工作任务所需的一切费用(含完成合同项目过程中所需的劳务、材料、设备、仪器、运输、协调、咨询、管理、保险、税费、利润培训等费用，以及合同中约定的所有责任、义务和一般风险等的一切费用)。</w:t>
            </w:r>
          </w:p>
          <w:p w14:paraId="54D3653A">
            <w:pPr>
              <w:widowControl/>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2.竞标报价（包含首次报价、最后报价）超过所竞标分标规定的采购预算金额或者最高限价的，其电子响应文件将作无效处理。</w:t>
            </w:r>
          </w:p>
          <w:p w14:paraId="1B71E9BD">
            <w:pPr>
              <w:widowControl/>
              <w:spacing w:line="360" w:lineRule="auto"/>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lang w:eastAsia="zh-CN"/>
              </w:rPr>
              <w:t>▲（六）</w:t>
            </w:r>
            <w:r>
              <w:rPr>
                <w:rFonts w:hint="eastAsia" w:ascii="宋体" w:hAnsi="宋体" w:cs="宋体"/>
                <w:b/>
                <w:bCs/>
                <w:kern w:val="0"/>
                <w:szCs w:val="21"/>
                <w:highlight w:val="none"/>
              </w:rPr>
              <w:t>付款方式：</w:t>
            </w:r>
          </w:p>
          <w:p w14:paraId="1A226F21">
            <w:pPr>
              <w:widowControl/>
              <w:spacing w:line="360" w:lineRule="auto"/>
              <w:ind w:firstLine="420" w:firstLineChars="200"/>
              <w:jc w:val="left"/>
              <w:rPr>
                <w:rFonts w:ascii="宋体" w:hAnsi="宋体" w:cs="宋体"/>
                <w:szCs w:val="21"/>
                <w:highlight w:val="none"/>
                <w:u w:val="single"/>
              </w:rPr>
            </w:pPr>
            <w:r>
              <w:rPr>
                <w:rFonts w:hint="eastAsia" w:ascii="宋体" w:hAnsi="宋体" w:cs="宋体"/>
                <w:szCs w:val="21"/>
                <w:highlight w:val="none"/>
              </w:rPr>
              <w:t>合同签订后采购人在30个工作日内支付合同金额</w:t>
            </w:r>
            <w:r>
              <w:rPr>
                <w:rFonts w:hint="eastAsia" w:ascii="宋体" w:hAnsi="宋体" w:cs="宋体"/>
                <w:szCs w:val="21"/>
                <w:highlight w:val="none"/>
                <w:lang w:val="en-US" w:eastAsia="zh-CN"/>
              </w:rPr>
              <w:t>4</w:t>
            </w:r>
            <w:r>
              <w:rPr>
                <w:rFonts w:hint="eastAsia" w:ascii="宋体" w:hAnsi="宋体" w:cs="宋体"/>
                <w:szCs w:val="21"/>
                <w:highlight w:val="none"/>
              </w:rPr>
              <w:t>0%作为预付款；202</w:t>
            </w:r>
            <w:r>
              <w:rPr>
                <w:rFonts w:hint="eastAsia" w:ascii="宋体" w:hAnsi="宋体" w:cs="宋体"/>
                <w:szCs w:val="21"/>
                <w:highlight w:val="none"/>
                <w:lang w:val="en-US" w:eastAsia="zh-CN"/>
              </w:rPr>
              <w:t>5</w:t>
            </w:r>
            <w:r>
              <w:rPr>
                <w:rFonts w:hint="eastAsia" w:ascii="宋体" w:hAnsi="宋体" w:cs="宋体"/>
                <w:szCs w:val="21"/>
                <w:highlight w:val="none"/>
              </w:rPr>
              <w:t>年11月底前，成交人提交第一阶段咨询服务报告成果及请款报告，采购人接到请款材料后15个工作日内支付第一阶段进度款（即合同金额30%）；202</w:t>
            </w:r>
            <w:r>
              <w:rPr>
                <w:rFonts w:hint="eastAsia" w:ascii="宋体" w:hAnsi="宋体" w:cs="宋体"/>
                <w:szCs w:val="21"/>
                <w:highlight w:val="none"/>
                <w:lang w:val="en-US" w:eastAsia="zh-CN"/>
              </w:rPr>
              <w:t>6</w:t>
            </w:r>
            <w:r>
              <w:rPr>
                <w:rFonts w:hint="eastAsia" w:ascii="宋体" w:hAnsi="宋体" w:cs="宋体"/>
                <w:szCs w:val="21"/>
                <w:highlight w:val="none"/>
              </w:rPr>
              <w:t>年1月底前，成交人提交第二阶段咨询服务报告成果及请款报告，采购人接到请款材料后15个工作日内支付第二阶段进度款（即合同金额</w:t>
            </w:r>
            <w:r>
              <w:rPr>
                <w:rFonts w:hint="eastAsia" w:ascii="宋体" w:hAnsi="宋体" w:cs="宋体"/>
                <w:szCs w:val="21"/>
                <w:highlight w:val="none"/>
                <w:lang w:val="en-US" w:eastAsia="zh-CN"/>
              </w:rPr>
              <w:t>2</w:t>
            </w:r>
            <w:r>
              <w:rPr>
                <w:rFonts w:hint="eastAsia" w:ascii="宋体" w:hAnsi="宋体" w:cs="宋体"/>
                <w:szCs w:val="21"/>
                <w:highlight w:val="none"/>
              </w:rPr>
              <w:t>0%）；剩余款项：成交人于202</w:t>
            </w:r>
            <w:r>
              <w:rPr>
                <w:rFonts w:hint="eastAsia" w:ascii="宋体" w:hAnsi="宋体" w:cs="宋体"/>
                <w:szCs w:val="21"/>
                <w:highlight w:val="none"/>
                <w:lang w:val="en-US" w:eastAsia="zh-CN"/>
              </w:rPr>
              <w:t>6</w:t>
            </w:r>
            <w:r>
              <w:rPr>
                <w:rFonts w:hint="eastAsia" w:ascii="宋体" w:hAnsi="宋体" w:cs="宋体"/>
                <w:szCs w:val="21"/>
                <w:highlight w:val="none"/>
              </w:rPr>
              <w:t>年3月底提交政府采购履约验收资料及请款报告，采购人接到请款材料后15个工作日内支付尾款（即合同金额10%）。</w:t>
            </w:r>
          </w:p>
        </w:tc>
      </w:tr>
    </w:tbl>
    <w:p w14:paraId="3E3A4E82">
      <w:pPr>
        <w:snapToGrid w:val="0"/>
        <w:spacing w:line="360" w:lineRule="auto"/>
        <w:ind w:firstLine="420" w:firstLineChars="200"/>
        <w:rPr>
          <w:rFonts w:ascii="宋体" w:hAnsi="宋体" w:cs="宋体"/>
          <w:szCs w:val="21"/>
          <w:highlight w:val="none"/>
        </w:rPr>
      </w:pPr>
    </w:p>
    <w:p w14:paraId="7105907D">
      <w:pPr>
        <w:pStyle w:val="23"/>
        <w:rPr>
          <w:rFonts w:ascii="宋体" w:hAnsi="宋体" w:cs="宋体"/>
          <w:sz w:val="32"/>
          <w:szCs w:val="32"/>
          <w:highlight w:val="none"/>
        </w:rPr>
      </w:pPr>
      <w:r>
        <w:rPr>
          <w:rFonts w:hint="eastAsia" w:ascii="宋体" w:hAnsi="宋体" w:cs="宋体"/>
          <w:szCs w:val="21"/>
          <w:highlight w:val="none"/>
        </w:rPr>
        <w:br w:type="page"/>
      </w:r>
      <w:r>
        <w:rPr>
          <w:rFonts w:hint="eastAsia" w:ascii="宋体" w:hAnsi="宋体" w:cs="宋体"/>
          <w:sz w:val="32"/>
          <w:szCs w:val="32"/>
          <w:highlight w:val="none"/>
        </w:rPr>
        <w:t>附件1：</w:t>
      </w:r>
    </w:p>
    <w:p w14:paraId="39A8843C">
      <w:pPr>
        <w:widowControl/>
        <w:spacing w:line="360" w:lineRule="auto"/>
        <w:jc w:val="center"/>
        <w:rPr>
          <w:rFonts w:ascii="宋体" w:hAnsi="宋体" w:cs="宋体"/>
          <w:b/>
          <w:bCs/>
          <w:kern w:val="0"/>
          <w:sz w:val="36"/>
          <w:szCs w:val="32"/>
          <w:highlight w:val="none"/>
        </w:rPr>
      </w:pPr>
      <w:r>
        <w:rPr>
          <w:rFonts w:hint="eastAsia" w:ascii="宋体" w:hAnsi="宋体" w:cs="宋体"/>
          <w:b/>
          <w:bCs/>
          <w:kern w:val="0"/>
          <w:sz w:val="36"/>
          <w:szCs w:val="32"/>
          <w:highlight w:val="none"/>
        </w:rPr>
        <w:t>统计上大中小微型企业划分标准</w:t>
      </w:r>
    </w:p>
    <w:tbl>
      <w:tblPr>
        <w:tblStyle w:val="30"/>
        <w:tblW w:w="47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320"/>
        <w:gridCol w:w="682"/>
        <w:gridCol w:w="1085"/>
        <w:gridCol w:w="1639"/>
        <w:gridCol w:w="1373"/>
        <w:gridCol w:w="954"/>
      </w:tblGrid>
      <w:tr w14:paraId="2D80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939" w:type="pct"/>
            <w:vAlign w:val="center"/>
          </w:tcPr>
          <w:p w14:paraId="5EA1E5AA">
            <w:pPr>
              <w:widowControl/>
              <w:jc w:val="center"/>
              <w:rPr>
                <w:rFonts w:ascii="宋体" w:hAnsi="宋体" w:cs="宋体"/>
                <w:b/>
                <w:bCs/>
                <w:kern w:val="0"/>
                <w:sz w:val="18"/>
                <w:szCs w:val="21"/>
                <w:highlight w:val="none"/>
              </w:rPr>
            </w:pPr>
            <w:r>
              <w:rPr>
                <w:rFonts w:hint="eastAsia" w:ascii="宋体" w:hAnsi="宋体" w:cs="宋体"/>
                <w:b/>
                <w:bCs/>
                <w:kern w:val="0"/>
                <w:sz w:val="18"/>
                <w:szCs w:val="21"/>
                <w:highlight w:val="none"/>
              </w:rPr>
              <w:t>行业名称</w:t>
            </w:r>
          </w:p>
        </w:tc>
        <w:tc>
          <w:tcPr>
            <w:tcW w:w="759" w:type="pct"/>
            <w:vAlign w:val="center"/>
          </w:tcPr>
          <w:p w14:paraId="64EF07F8">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指标名称</w:t>
            </w:r>
          </w:p>
        </w:tc>
        <w:tc>
          <w:tcPr>
            <w:tcW w:w="392" w:type="pct"/>
            <w:vAlign w:val="center"/>
          </w:tcPr>
          <w:p w14:paraId="6631D395">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计量</w:t>
            </w:r>
            <w:r>
              <w:rPr>
                <w:rFonts w:hint="eastAsia" w:ascii="宋体" w:hAnsi="宋体" w:cs="宋体"/>
                <w:b/>
                <w:bCs/>
                <w:kern w:val="0"/>
                <w:sz w:val="18"/>
                <w:szCs w:val="18"/>
                <w:highlight w:val="none"/>
              </w:rPr>
              <w:br w:type="textWrapping"/>
            </w:r>
            <w:r>
              <w:rPr>
                <w:rFonts w:hint="eastAsia" w:ascii="宋体" w:hAnsi="宋体" w:cs="宋体"/>
                <w:b/>
                <w:bCs/>
                <w:kern w:val="0"/>
                <w:sz w:val="18"/>
                <w:szCs w:val="18"/>
                <w:highlight w:val="none"/>
              </w:rPr>
              <w:t>单位</w:t>
            </w:r>
          </w:p>
        </w:tc>
        <w:tc>
          <w:tcPr>
            <w:tcW w:w="624" w:type="pct"/>
            <w:vAlign w:val="center"/>
          </w:tcPr>
          <w:p w14:paraId="4FB4F05B">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大型</w:t>
            </w:r>
          </w:p>
        </w:tc>
        <w:tc>
          <w:tcPr>
            <w:tcW w:w="943" w:type="pct"/>
            <w:vAlign w:val="center"/>
          </w:tcPr>
          <w:p w14:paraId="4AC744BC">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中型</w:t>
            </w:r>
          </w:p>
        </w:tc>
        <w:tc>
          <w:tcPr>
            <w:tcW w:w="790" w:type="pct"/>
            <w:vAlign w:val="center"/>
          </w:tcPr>
          <w:p w14:paraId="5CD128F3">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小型</w:t>
            </w:r>
          </w:p>
        </w:tc>
        <w:tc>
          <w:tcPr>
            <w:tcW w:w="549" w:type="pct"/>
            <w:vAlign w:val="center"/>
          </w:tcPr>
          <w:p w14:paraId="6E2770C2">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微型</w:t>
            </w:r>
          </w:p>
        </w:tc>
      </w:tr>
      <w:tr w14:paraId="1A8A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Align w:val="center"/>
          </w:tcPr>
          <w:p w14:paraId="07B973E2">
            <w:pPr>
              <w:widowControl/>
              <w:jc w:val="left"/>
              <w:rPr>
                <w:rFonts w:ascii="宋体" w:hAnsi="宋体" w:cs="宋体"/>
                <w:kern w:val="0"/>
                <w:sz w:val="18"/>
                <w:szCs w:val="18"/>
                <w:highlight w:val="none"/>
              </w:rPr>
            </w:pPr>
            <w:r>
              <w:rPr>
                <w:rFonts w:hint="eastAsia" w:ascii="宋体" w:hAnsi="宋体" w:cs="宋体"/>
                <w:kern w:val="0"/>
                <w:sz w:val="18"/>
                <w:szCs w:val="18"/>
                <w:highlight w:val="none"/>
              </w:rPr>
              <w:t>农、林、牧、渔业</w:t>
            </w:r>
          </w:p>
        </w:tc>
        <w:tc>
          <w:tcPr>
            <w:tcW w:w="759" w:type="pct"/>
            <w:vAlign w:val="center"/>
          </w:tcPr>
          <w:p w14:paraId="73DD542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392" w:type="pct"/>
            <w:vAlign w:val="center"/>
          </w:tcPr>
          <w:p w14:paraId="5A2039F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624" w:type="pct"/>
            <w:vAlign w:val="center"/>
          </w:tcPr>
          <w:p w14:paraId="41EB4E1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Y≥20000</w:t>
            </w:r>
          </w:p>
        </w:tc>
        <w:tc>
          <w:tcPr>
            <w:tcW w:w="943" w:type="pct"/>
            <w:vAlign w:val="center"/>
          </w:tcPr>
          <w:p w14:paraId="4B77BD0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500≤Y＜20000</w:t>
            </w:r>
          </w:p>
        </w:tc>
        <w:tc>
          <w:tcPr>
            <w:tcW w:w="790" w:type="pct"/>
            <w:vAlign w:val="center"/>
          </w:tcPr>
          <w:p w14:paraId="7C11273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50≤Y＜500</w:t>
            </w:r>
          </w:p>
        </w:tc>
        <w:tc>
          <w:tcPr>
            <w:tcW w:w="549" w:type="pct"/>
            <w:vAlign w:val="center"/>
          </w:tcPr>
          <w:p w14:paraId="45D609D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Y＜50</w:t>
            </w:r>
          </w:p>
        </w:tc>
      </w:tr>
      <w:tr w14:paraId="431F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vAlign w:val="center"/>
          </w:tcPr>
          <w:p w14:paraId="4D97F076">
            <w:pPr>
              <w:widowControl/>
              <w:jc w:val="left"/>
              <w:rPr>
                <w:rFonts w:ascii="宋体" w:hAnsi="宋体" w:cs="宋体"/>
                <w:kern w:val="0"/>
                <w:sz w:val="18"/>
                <w:szCs w:val="18"/>
                <w:highlight w:val="none"/>
              </w:rPr>
            </w:pPr>
            <w:r>
              <w:rPr>
                <w:rFonts w:hint="eastAsia" w:ascii="宋体" w:hAnsi="宋体" w:cs="宋体"/>
                <w:kern w:val="0"/>
                <w:sz w:val="18"/>
                <w:szCs w:val="18"/>
                <w:highlight w:val="none"/>
              </w:rPr>
              <w:t>工业 *</w:t>
            </w:r>
          </w:p>
        </w:tc>
        <w:tc>
          <w:tcPr>
            <w:tcW w:w="759" w:type="pct"/>
            <w:vAlign w:val="center"/>
          </w:tcPr>
          <w:p w14:paraId="111716E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392" w:type="pct"/>
            <w:vAlign w:val="center"/>
          </w:tcPr>
          <w:p w14:paraId="320CAAA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624" w:type="pct"/>
            <w:vAlign w:val="center"/>
          </w:tcPr>
          <w:p w14:paraId="039616D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X≥1000</w:t>
            </w:r>
          </w:p>
        </w:tc>
        <w:tc>
          <w:tcPr>
            <w:tcW w:w="943" w:type="pct"/>
            <w:vAlign w:val="center"/>
          </w:tcPr>
          <w:p w14:paraId="37CA0DC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790" w:type="pct"/>
            <w:vAlign w:val="center"/>
          </w:tcPr>
          <w:p w14:paraId="1E72C4D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20≤X＜300</w:t>
            </w:r>
          </w:p>
        </w:tc>
        <w:tc>
          <w:tcPr>
            <w:tcW w:w="549" w:type="pct"/>
            <w:vAlign w:val="center"/>
          </w:tcPr>
          <w:p w14:paraId="70836F3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X＜20</w:t>
            </w:r>
          </w:p>
        </w:tc>
      </w:tr>
      <w:tr w14:paraId="094A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vAlign w:val="center"/>
          </w:tcPr>
          <w:p w14:paraId="086D632B">
            <w:pPr>
              <w:widowControl/>
              <w:jc w:val="left"/>
              <w:rPr>
                <w:rFonts w:ascii="宋体" w:hAnsi="宋体" w:cs="宋体"/>
                <w:kern w:val="0"/>
                <w:sz w:val="18"/>
                <w:szCs w:val="18"/>
                <w:highlight w:val="none"/>
              </w:rPr>
            </w:pPr>
          </w:p>
        </w:tc>
        <w:tc>
          <w:tcPr>
            <w:tcW w:w="759" w:type="pct"/>
            <w:vAlign w:val="center"/>
          </w:tcPr>
          <w:p w14:paraId="7DA5A13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392" w:type="pct"/>
            <w:vAlign w:val="center"/>
          </w:tcPr>
          <w:p w14:paraId="5F5D329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624" w:type="pct"/>
            <w:vAlign w:val="center"/>
          </w:tcPr>
          <w:p w14:paraId="63D4D4B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Y≥40000</w:t>
            </w:r>
          </w:p>
        </w:tc>
        <w:tc>
          <w:tcPr>
            <w:tcW w:w="943" w:type="pct"/>
            <w:vAlign w:val="center"/>
          </w:tcPr>
          <w:p w14:paraId="3D2B9F5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2000≤Y＜40000</w:t>
            </w:r>
          </w:p>
        </w:tc>
        <w:tc>
          <w:tcPr>
            <w:tcW w:w="790" w:type="pct"/>
            <w:vAlign w:val="center"/>
          </w:tcPr>
          <w:p w14:paraId="4212455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300≤Y＜2000</w:t>
            </w:r>
          </w:p>
        </w:tc>
        <w:tc>
          <w:tcPr>
            <w:tcW w:w="549" w:type="pct"/>
            <w:vAlign w:val="center"/>
          </w:tcPr>
          <w:p w14:paraId="1DCF6A5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Y＜300</w:t>
            </w:r>
          </w:p>
        </w:tc>
      </w:tr>
      <w:tr w14:paraId="190F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vAlign w:val="center"/>
          </w:tcPr>
          <w:p w14:paraId="32B1C7ED">
            <w:pPr>
              <w:widowControl/>
              <w:jc w:val="left"/>
              <w:rPr>
                <w:rFonts w:ascii="宋体" w:hAnsi="宋体" w:cs="宋体"/>
                <w:kern w:val="0"/>
                <w:sz w:val="18"/>
                <w:szCs w:val="18"/>
                <w:highlight w:val="none"/>
              </w:rPr>
            </w:pPr>
            <w:r>
              <w:rPr>
                <w:rFonts w:hint="eastAsia" w:ascii="宋体" w:hAnsi="宋体" w:cs="宋体"/>
                <w:kern w:val="0"/>
                <w:sz w:val="18"/>
                <w:szCs w:val="18"/>
                <w:highlight w:val="none"/>
              </w:rPr>
              <w:t>建筑业</w:t>
            </w:r>
          </w:p>
        </w:tc>
        <w:tc>
          <w:tcPr>
            <w:tcW w:w="759" w:type="pct"/>
            <w:vAlign w:val="center"/>
          </w:tcPr>
          <w:p w14:paraId="114F0A5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392" w:type="pct"/>
            <w:vAlign w:val="center"/>
          </w:tcPr>
          <w:p w14:paraId="73AD4E2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624" w:type="pct"/>
            <w:vAlign w:val="center"/>
          </w:tcPr>
          <w:p w14:paraId="38ADDA5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Y≥80000</w:t>
            </w:r>
          </w:p>
        </w:tc>
        <w:tc>
          <w:tcPr>
            <w:tcW w:w="943" w:type="pct"/>
            <w:vAlign w:val="center"/>
          </w:tcPr>
          <w:p w14:paraId="478AF25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6000≤Y＜80000</w:t>
            </w:r>
          </w:p>
        </w:tc>
        <w:tc>
          <w:tcPr>
            <w:tcW w:w="790" w:type="pct"/>
            <w:vAlign w:val="center"/>
          </w:tcPr>
          <w:p w14:paraId="46210A6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300≤Y＜6000</w:t>
            </w:r>
          </w:p>
        </w:tc>
        <w:tc>
          <w:tcPr>
            <w:tcW w:w="549" w:type="pct"/>
            <w:vAlign w:val="center"/>
          </w:tcPr>
          <w:p w14:paraId="059AE60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Y＜300</w:t>
            </w:r>
          </w:p>
        </w:tc>
      </w:tr>
      <w:tr w14:paraId="53DD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vAlign w:val="center"/>
          </w:tcPr>
          <w:p w14:paraId="100FD447">
            <w:pPr>
              <w:widowControl/>
              <w:jc w:val="left"/>
              <w:rPr>
                <w:rFonts w:ascii="宋体" w:hAnsi="宋体" w:cs="宋体"/>
                <w:kern w:val="0"/>
                <w:sz w:val="18"/>
                <w:szCs w:val="18"/>
                <w:highlight w:val="none"/>
              </w:rPr>
            </w:pPr>
          </w:p>
        </w:tc>
        <w:tc>
          <w:tcPr>
            <w:tcW w:w="759" w:type="pct"/>
            <w:vAlign w:val="center"/>
          </w:tcPr>
          <w:p w14:paraId="1CF6F36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392" w:type="pct"/>
            <w:vAlign w:val="center"/>
          </w:tcPr>
          <w:p w14:paraId="6F5126A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624" w:type="pct"/>
            <w:vAlign w:val="center"/>
          </w:tcPr>
          <w:p w14:paraId="162027C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Z≥80000</w:t>
            </w:r>
          </w:p>
        </w:tc>
        <w:tc>
          <w:tcPr>
            <w:tcW w:w="943" w:type="pct"/>
            <w:vAlign w:val="center"/>
          </w:tcPr>
          <w:p w14:paraId="0A746CB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5000≤Z＜80000</w:t>
            </w:r>
          </w:p>
        </w:tc>
        <w:tc>
          <w:tcPr>
            <w:tcW w:w="790" w:type="pct"/>
            <w:vAlign w:val="center"/>
          </w:tcPr>
          <w:p w14:paraId="5D92AC5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300≤Z＜5000</w:t>
            </w:r>
          </w:p>
        </w:tc>
        <w:tc>
          <w:tcPr>
            <w:tcW w:w="549" w:type="pct"/>
            <w:vAlign w:val="center"/>
          </w:tcPr>
          <w:p w14:paraId="5A17C3C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Z＜300</w:t>
            </w:r>
          </w:p>
        </w:tc>
      </w:tr>
      <w:tr w14:paraId="6566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vAlign w:val="center"/>
          </w:tcPr>
          <w:p w14:paraId="0412F867">
            <w:pPr>
              <w:widowControl/>
              <w:jc w:val="left"/>
              <w:rPr>
                <w:rFonts w:ascii="宋体" w:hAnsi="宋体" w:cs="宋体"/>
                <w:kern w:val="0"/>
                <w:sz w:val="18"/>
                <w:szCs w:val="18"/>
                <w:highlight w:val="none"/>
              </w:rPr>
            </w:pPr>
            <w:r>
              <w:rPr>
                <w:rFonts w:hint="eastAsia" w:ascii="宋体" w:hAnsi="宋体" w:cs="宋体"/>
                <w:kern w:val="0"/>
                <w:sz w:val="18"/>
                <w:szCs w:val="18"/>
                <w:highlight w:val="none"/>
              </w:rPr>
              <w:t>批发业</w:t>
            </w:r>
          </w:p>
        </w:tc>
        <w:tc>
          <w:tcPr>
            <w:tcW w:w="759" w:type="pct"/>
            <w:vAlign w:val="center"/>
          </w:tcPr>
          <w:p w14:paraId="266CC28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392" w:type="pct"/>
            <w:vAlign w:val="center"/>
          </w:tcPr>
          <w:p w14:paraId="224C989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624" w:type="pct"/>
            <w:vAlign w:val="center"/>
          </w:tcPr>
          <w:p w14:paraId="6989F82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X≥200</w:t>
            </w:r>
          </w:p>
        </w:tc>
        <w:tc>
          <w:tcPr>
            <w:tcW w:w="943" w:type="pct"/>
            <w:vAlign w:val="center"/>
          </w:tcPr>
          <w:p w14:paraId="0EDE778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20≤X＜200</w:t>
            </w:r>
          </w:p>
        </w:tc>
        <w:tc>
          <w:tcPr>
            <w:tcW w:w="790" w:type="pct"/>
            <w:vAlign w:val="center"/>
          </w:tcPr>
          <w:p w14:paraId="3A93397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5≤X＜20</w:t>
            </w:r>
          </w:p>
        </w:tc>
        <w:tc>
          <w:tcPr>
            <w:tcW w:w="549" w:type="pct"/>
            <w:vAlign w:val="center"/>
          </w:tcPr>
          <w:p w14:paraId="470396E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X＜5</w:t>
            </w:r>
          </w:p>
        </w:tc>
      </w:tr>
      <w:tr w14:paraId="08BC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vAlign w:val="center"/>
          </w:tcPr>
          <w:p w14:paraId="767ED85D">
            <w:pPr>
              <w:widowControl/>
              <w:jc w:val="left"/>
              <w:rPr>
                <w:rFonts w:ascii="宋体" w:hAnsi="宋体" w:cs="宋体"/>
                <w:kern w:val="0"/>
                <w:sz w:val="18"/>
                <w:szCs w:val="18"/>
                <w:highlight w:val="none"/>
              </w:rPr>
            </w:pPr>
          </w:p>
        </w:tc>
        <w:tc>
          <w:tcPr>
            <w:tcW w:w="759" w:type="pct"/>
            <w:vAlign w:val="center"/>
          </w:tcPr>
          <w:p w14:paraId="637DA63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392" w:type="pct"/>
            <w:vAlign w:val="center"/>
          </w:tcPr>
          <w:p w14:paraId="76BDE12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624" w:type="pct"/>
            <w:vAlign w:val="center"/>
          </w:tcPr>
          <w:p w14:paraId="00603C3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Y≥40000</w:t>
            </w:r>
          </w:p>
        </w:tc>
        <w:tc>
          <w:tcPr>
            <w:tcW w:w="943" w:type="pct"/>
            <w:vAlign w:val="center"/>
          </w:tcPr>
          <w:p w14:paraId="7DAE489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5000≤Y＜40000</w:t>
            </w:r>
          </w:p>
        </w:tc>
        <w:tc>
          <w:tcPr>
            <w:tcW w:w="790" w:type="pct"/>
            <w:vAlign w:val="center"/>
          </w:tcPr>
          <w:p w14:paraId="63056FAE">
            <w:pPr>
              <w:widowControl/>
              <w:ind w:left="-1" w:leftChars="-1" w:hanging="1"/>
              <w:jc w:val="center"/>
              <w:rPr>
                <w:rFonts w:ascii="宋体" w:hAnsi="宋体" w:cs="宋体"/>
                <w:kern w:val="0"/>
                <w:sz w:val="18"/>
                <w:szCs w:val="18"/>
                <w:highlight w:val="none"/>
              </w:rPr>
            </w:pPr>
            <w:r>
              <w:rPr>
                <w:rFonts w:hint="eastAsia" w:ascii="宋体" w:hAnsi="宋体" w:cs="宋体"/>
                <w:kern w:val="0"/>
                <w:sz w:val="18"/>
                <w:szCs w:val="18"/>
                <w:highlight w:val="none"/>
              </w:rPr>
              <w:t>1000≤Y＜5000</w:t>
            </w:r>
          </w:p>
        </w:tc>
        <w:tc>
          <w:tcPr>
            <w:tcW w:w="549" w:type="pct"/>
            <w:vAlign w:val="center"/>
          </w:tcPr>
          <w:p w14:paraId="32D7199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Y＜1000</w:t>
            </w:r>
          </w:p>
        </w:tc>
      </w:tr>
      <w:tr w14:paraId="25A5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vAlign w:val="center"/>
          </w:tcPr>
          <w:p w14:paraId="4D2397ED">
            <w:pPr>
              <w:widowControl/>
              <w:jc w:val="left"/>
              <w:rPr>
                <w:rFonts w:ascii="宋体" w:hAnsi="宋体" w:cs="宋体"/>
                <w:kern w:val="0"/>
                <w:sz w:val="18"/>
                <w:szCs w:val="18"/>
                <w:highlight w:val="none"/>
              </w:rPr>
            </w:pPr>
            <w:r>
              <w:rPr>
                <w:rFonts w:hint="eastAsia" w:ascii="宋体" w:hAnsi="宋体" w:cs="宋体"/>
                <w:kern w:val="0"/>
                <w:sz w:val="18"/>
                <w:szCs w:val="18"/>
                <w:highlight w:val="none"/>
              </w:rPr>
              <w:t>零售业</w:t>
            </w:r>
          </w:p>
        </w:tc>
        <w:tc>
          <w:tcPr>
            <w:tcW w:w="759" w:type="pct"/>
            <w:vAlign w:val="center"/>
          </w:tcPr>
          <w:p w14:paraId="570B6F5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392" w:type="pct"/>
            <w:vAlign w:val="center"/>
          </w:tcPr>
          <w:p w14:paraId="16C7D53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624" w:type="pct"/>
            <w:vAlign w:val="center"/>
          </w:tcPr>
          <w:p w14:paraId="2BA54BA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943" w:type="pct"/>
            <w:vAlign w:val="center"/>
          </w:tcPr>
          <w:p w14:paraId="259FDC6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50≤X＜300</w:t>
            </w:r>
          </w:p>
        </w:tc>
        <w:tc>
          <w:tcPr>
            <w:tcW w:w="790" w:type="pct"/>
            <w:vAlign w:val="center"/>
          </w:tcPr>
          <w:p w14:paraId="5AC48A0B">
            <w:pPr>
              <w:widowControl/>
              <w:ind w:left="-1" w:leftChars="-1" w:hanging="1"/>
              <w:jc w:val="center"/>
              <w:rPr>
                <w:rFonts w:ascii="宋体" w:hAnsi="宋体" w:cs="宋体"/>
                <w:kern w:val="0"/>
                <w:sz w:val="18"/>
                <w:szCs w:val="18"/>
                <w:highlight w:val="none"/>
              </w:rPr>
            </w:pPr>
            <w:r>
              <w:rPr>
                <w:rFonts w:hint="eastAsia" w:ascii="宋体" w:hAnsi="宋体" w:cs="宋体"/>
                <w:kern w:val="0"/>
                <w:sz w:val="18"/>
                <w:szCs w:val="18"/>
                <w:highlight w:val="none"/>
              </w:rPr>
              <w:t xml:space="preserve">10≤X＜50 </w:t>
            </w:r>
          </w:p>
        </w:tc>
        <w:tc>
          <w:tcPr>
            <w:tcW w:w="549" w:type="pct"/>
            <w:vAlign w:val="center"/>
          </w:tcPr>
          <w:p w14:paraId="6B1205C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14:paraId="007E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vAlign w:val="center"/>
          </w:tcPr>
          <w:p w14:paraId="72660B42">
            <w:pPr>
              <w:widowControl/>
              <w:jc w:val="left"/>
              <w:rPr>
                <w:rFonts w:ascii="宋体" w:hAnsi="宋体" w:cs="宋体"/>
                <w:kern w:val="0"/>
                <w:sz w:val="18"/>
                <w:szCs w:val="18"/>
                <w:highlight w:val="none"/>
              </w:rPr>
            </w:pPr>
          </w:p>
        </w:tc>
        <w:tc>
          <w:tcPr>
            <w:tcW w:w="759" w:type="pct"/>
            <w:vAlign w:val="center"/>
          </w:tcPr>
          <w:p w14:paraId="7CBFC18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392" w:type="pct"/>
            <w:vAlign w:val="center"/>
          </w:tcPr>
          <w:p w14:paraId="0D61756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624" w:type="pct"/>
            <w:vAlign w:val="center"/>
          </w:tcPr>
          <w:p w14:paraId="3E31441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Y≥20000</w:t>
            </w:r>
          </w:p>
        </w:tc>
        <w:tc>
          <w:tcPr>
            <w:tcW w:w="943" w:type="pct"/>
            <w:vAlign w:val="center"/>
          </w:tcPr>
          <w:p w14:paraId="4FD4542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500≤Y＜20000</w:t>
            </w:r>
          </w:p>
        </w:tc>
        <w:tc>
          <w:tcPr>
            <w:tcW w:w="790" w:type="pct"/>
            <w:vAlign w:val="center"/>
          </w:tcPr>
          <w:p w14:paraId="571C56F7">
            <w:pPr>
              <w:widowControl/>
              <w:ind w:left="-1" w:leftChars="-1" w:hanging="1"/>
              <w:jc w:val="center"/>
              <w:rPr>
                <w:rFonts w:ascii="宋体" w:hAnsi="宋体" w:cs="宋体"/>
                <w:kern w:val="0"/>
                <w:sz w:val="18"/>
                <w:szCs w:val="18"/>
                <w:highlight w:val="none"/>
              </w:rPr>
            </w:pPr>
            <w:r>
              <w:rPr>
                <w:rFonts w:hint="eastAsia" w:ascii="宋体" w:hAnsi="宋体" w:cs="宋体"/>
                <w:kern w:val="0"/>
                <w:sz w:val="18"/>
                <w:szCs w:val="18"/>
                <w:highlight w:val="none"/>
              </w:rPr>
              <w:t xml:space="preserve">100≤Y＜500 </w:t>
            </w:r>
          </w:p>
        </w:tc>
        <w:tc>
          <w:tcPr>
            <w:tcW w:w="549" w:type="pct"/>
            <w:vAlign w:val="center"/>
          </w:tcPr>
          <w:p w14:paraId="0D299C4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6C4E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vAlign w:val="center"/>
          </w:tcPr>
          <w:p w14:paraId="5253467A">
            <w:pPr>
              <w:widowControl/>
              <w:jc w:val="left"/>
              <w:rPr>
                <w:rFonts w:ascii="宋体" w:hAnsi="宋体" w:cs="宋体"/>
                <w:kern w:val="0"/>
                <w:sz w:val="18"/>
                <w:szCs w:val="18"/>
                <w:highlight w:val="none"/>
              </w:rPr>
            </w:pPr>
            <w:r>
              <w:rPr>
                <w:rFonts w:hint="eastAsia" w:ascii="宋体" w:hAnsi="宋体" w:cs="宋体"/>
                <w:kern w:val="0"/>
                <w:sz w:val="18"/>
                <w:szCs w:val="18"/>
                <w:highlight w:val="none"/>
              </w:rPr>
              <w:t>交通运输业 *</w:t>
            </w:r>
          </w:p>
        </w:tc>
        <w:tc>
          <w:tcPr>
            <w:tcW w:w="759" w:type="pct"/>
            <w:vAlign w:val="center"/>
          </w:tcPr>
          <w:p w14:paraId="308CBE9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392" w:type="pct"/>
            <w:vAlign w:val="center"/>
          </w:tcPr>
          <w:p w14:paraId="3947199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624" w:type="pct"/>
            <w:vAlign w:val="center"/>
          </w:tcPr>
          <w:p w14:paraId="4970404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X≥1000</w:t>
            </w:r>
          </w:p>
        </w:tc>
        <w:tc>
          <w:tcPr>
            <w:tcW w:w="943" w:type="pct"/>
            <w:vAlign w:val="center"/>
          </w:tcPr>
          <w:p w14:paraId="2A87B05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790" w:type="pct"/>
            <w:vAlign w:val="center"/>
          </w:tcPr>
          <w:p w14:paraId="4B1C613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20≤X＜300</w:t>
            </w:r>
          </w:p>
        </w:tc>
        <w:tc>
          <w:tcPr>
            <w:tcW w:w="549" w:type="pct"/>
            <w:vAlign w:val="center"/>
          </w:tcPr>
          <w:p w14:paraId="3DEE242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X＜20</w:t>
            </w:r>
          </w:p>
        </w:tc>
      </w:tr>
      <w:tr w14:paraId="173C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vAlign w:val="center"/>
          </w:tcPr>
          <w:p w14:paraId="02D0B590">
            <w:pPr>
              <w:widowControl/>
              <w:jc w:val="left"/>
              <w:rPr>
                <w:rFonts w:ascii="宋体" w:hAnsi="宋体" w:cs="宋体"/>
                <w:kern w:val="0"/>
                <w:sz w:val="18"/>
                <w:szCs w:val="18"/>
                <w:highlight w:val="none"/>
              </w:rPr>
            </w:pPr>
          </w:p>
        </w:tc>
        <w:tc>
          <w:tcPr>
            <w:tcW w:w="759" w:type="pct"/>
            <w:vAlign w:val="center"/>
          </w:tcPr>
          <w:p w14:paraId="7274F83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392" w:type="pct"/>
            <w:vAlign w:val="center"/>
          </w:tcPr>
          <w:p w14:paraId="0E94806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624" w:type="pct"/>
            <w:vAlign w:val="center"/>
          </w:tcPr>
          <w:p w14:paraId="0744B33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Y≥30000</w:t>
            </w:r>
          </w:p>
        </w:tc>
        <w:tc>
          <w:tcPr>
            <w:tcW w:w="943" w:type="pct"/>
            <w:vAlign w:val="center"/>
          </w:tcPr>
          <w:p w14:paraId="18DB914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3000≤Y＜30000</w:t>
            </w:r>
          </w:p>
        </w:tc>
        <w:tc>
          <w:tcPr>
            <w:tcW w:w="790" w:type="pct"/>
            <w:vAlign w:val="center"/>
          </w:tcPr>
          <w:p w14:paraId="429191E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200≤Y＜3000</w:t>
            </w:r>
          </w:p>
        </w:tc>
        <w:tc>
          <w:tcPr>
            <w:tcW w:w="549" w:type="pct"/>
            <w:vAlign w:val="center"/>
          </w:tcPr>
          <w:p w14:paraId="2987165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Y＜200</w:t>
            </w:r>
          </w:p>
        </w:tc>
      </w:tr>
      <w:tr w14:paraId="116F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vAlign w:val="center"/>
          </w:tcPr>
          <w:p w14:paraId="243DF22F">
            <w:pPr>
              <w:widowControl/>
              <w:jc w:val="left"/>
              <w:rPr>
                <w:rFonts w:ascii="宋体" w:hAnsi="宋体" w:cs="宋体"/>
                <w:kern w:val="0"/>
                <w:sz w:val="18"/>
                <w:szCs w:val="18"/>
                <w:highlight w:val="none"/>
              </w:rPr>
            </w:pPr>
            <w:r>
              <w:rPr>
                <w:rFonts w:hint="eastAsia" w:ascii="宋体" w:hAnsi="宋体" w:cs="宋体"/>
                <w:kern w:val="0"/>
                <w:sz w:val="18"/>
                <w:szCs w:val="18"/>
                <w:highlight w:val="none"/>
              </w:rPr>
              <w:t>仓储业*</w:t>
            </w:r>
          </w:p>
        </w:tc>
        <w:tc>
          <w:tcPr>
            <w:tcW w:w="759" w:type="pct"/>
            <w:vAlign w:val="center"/>
          </w:tcPr>
          <w:p w14:paraId="6010723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392" w:type="pct"/>
            <w:vAlign w:val="center"/>
          </w:tcPr>
          <w:p w14:paraId="0D93566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624" w:type="pct"/>
            <w:vAlign w:val="center"/>
          </w:tcPr>
          <w:p w14:paraId="14F8FA6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X≥200</w:t>
            </w:r>
          </w:p>
        </w:tc>
        <w:tc>
          <w:tcPr>
            <w:tcW w:w="943" w:type="pct"/>
            <w:vAlign w:val="center"/>
          </w:tcPr>
          <w:p w14:paraId="40CDD183">
            <w:pPr>
              <w:widowControl/>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100≤X＜200</w:t>
            </w:r>
          </w:p>
        </w:tc>
        <w:tc>
          <w:tcPr>
            <w:tcW w:w="790" w:type="pct"/>
            <w:vAlign w:val="center"/>
          </w:tcPr>
          <w:p w14:paraId="18C0F10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20≤X＜100</w:t>
            </w:r>
          </w:p>
        </w:tc>
        <w:tc>
          <w:tcPr>
            <w:tcW w:w="549" w:type="pct"/>
            <w:vAlign w:val="center"/>
          </w:tcPr>
          <w:p w14:paraId="0E49CAC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X＜20</w:t>
            </w:r>
          </w:p>
        </w:tc>
      </w:tr>
      <w:tr w14:paraId="1289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vAlign w:val="center"/>
          </w:tcPr>
          <w:p w14:paraId="5E1313D7">
            <w:pPr>
              <w:widowControl/>
              <w:jc w:val="left"/>
              <w:rPr>
                <w:rFonts w:ascii="宋体" w:hAnsi="宋体" w:cs="宋体"/>
                <w:kern w:val="0"/>
                <w:sz w:val="18"/>
                <w:szCs w:val="18"/>
                <w:highlight w:val="none"/>
              </w:rPr>
            </w:pPr>
          </w:p>
        </w:tc>
        <w:tc>
          <w:tcPr>
            <w:tcW w:w="759" w:type="pct"/>
            <w:vAlign w:val="center"/>
          </w:tcPr>
          <w:p w14:paraId="26FBCF5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392" w:type="pct"/>
            <w:vAlign w:val="center"/>
          </w:tcPr>
          <w:p w14:paraId="2CAC0F7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624" w:type="pct"/>
            <w:vAlign w:val="center"/>
          </w:tcPr>
          <w:p w14:paraId="5C49C53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Y≥30000</w:t>
            </w:r>
          </w:p>
        </w:tc>
        <w:tc>
          <w:tcPr>
            <w:tcW w:w="943" w:type="pct"/>
            <w:vAlign w:val="center"/>
          </w:tcPr>
          <w:p w14:paraId="128BDAB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1000≤Y＜30000</w:t>
            </w:r>
          </w:p>
        </w:tc>
        <w:tc>
          <w:tcPr>
            <w:tcW w:w="790" w:type="pct"/>
            <w:vAlign w:val="center"/>
          </w:tcPr>
          <w:p w14:paraId="72E7161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100≤Y＜1000</w:t>
            </w:r>
          </w:p>
        </w:tc>
        <w:tc>
          <w:tcPr>
            <w:tcW w:w="549" w:type="pct"/>
            <w:vAlign w:val="center"/>
          </w:tcPr>
          <w:p w14:paraId="73AF6B0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5D6D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vAlign w:val="center"/>
          </w:tcPr>
          <w:p w14:paraId="4F8BB9D5">
            <w:pPr>
              <w:widowControl/>
              <w:jc w:val="left"/>
              <w:rPr>
                <w:rFonts w:ascii="宋体" w:hAnsi="宋体" w:cs="宋体"/>
                <w:kern w:val="0"/>
                <w:sz w:val="18"/>
                <w:szCs w:val="18"/>
                <w:highlight w:val="none"/>
              </w:rPr>
            </w:pPr>
            <w:r>
              <w:rPr>
                <w:rFonts w:hint="eastAsia" w:ascii="宋体" w:hAnsi="宋体" w:cs="宋体"/>
                <w:kern w:val="0"/>
                <w:sz w:val="18"/>
                <w:szCs w:val="18"/>
                <w:highlight w:val="none"/>
              </w:rPr>
              <w:t>邮政业</w:t>
            </w:r>
          </w:p>
        </w:tc>
        <w:tc>
          <w:tcPr>
            <w:tcW w:w="759" w:type="pct"/>
            <w:vAlign w:val="center"/>
          </w:tcPr>
          <w:p w14:paraId="5E4C21B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392" w:type="pct"/>
            <w:vAlign w:val="center"/>
          </w:tcPr>
          <w:p w14:paraId="1611CE3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624" w:type="pct"/>
            <w:vAlign w:val="center"/>
          </w:tcPr>
          <w:p w14:paraId="2461166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X≥1000</w:t>
            </w:r>
          </w:p>
        </w:tc>
        <w:tc>
          <w:tcPr>
            <w:tcW w:w="943" w:type="pct"/>
            <w:vAlign w:val="center"/>
          </w:tcPr>
          <w:p w14:paraId="4CA1BD6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790" w:type="pct"/>
            <w:vAlign w:val="center"/>
          </w:tcPr>
          <w:p w14:paraId="12506C8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20≤X＜300</w:t>
            </w:r>
          </w:p>
        </w:tc>
        <w:tc>
          <w:tcPr>
            <w:tcW w:w="549" w:type="pct"/>
            <w:vAlign w:val="center"/>
          </w:tcPr>
          <w:p w14:paraId="222214C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X＜20</w:t>
            </w:r>
          </w:p>
        </w:tc>
      </w:tr>
      <w:tr w14:paraId="58BC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vAlign w:val="center"/>
          </w:tcPr>
          <w:p w14:paraId="6CFAF664">
            <w:pPr>
              <w:widowControl/>
              <w:jc w:val="left"/>
              <w:rPr>
                <w:rFonts w:ascii="宋体" w:hAnsi="宋体" w:cs="宋体"/>
                <w:kern w:val="0"/>
                <w:sz w:val="18"/>
                <w:szCs w:val="18"/>
                <w:highlight w:val="none"/>
              </w:rPr>
            </w:pPr>
          </w:p>
        </w:tc>
        <w:tc>
          <w:tcPr>
            <w:tcW w:w="759" w:type="pct"/>
            <w:vAlign w:val="center"/>
          </w:tcPr>
          <w:p w14:paraId="448AE74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392" w:type="pct"/>
            <w:vAlign w:val="center"/>
          </w:tcPr>
          <w:p w14:paraId="39E8ECF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624" w:type="pct"/>
            <w:vAlign w:val="center"/>
          </w:tcPr>
          <w:p w14:paraId="5246127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Y≥30000</w:t>
            </w:r>
          </w:p>
        </w:tc>
        <w:tc>
          <w:tcPr>
            <w:tcW w:w="943" w:type="pct"/>
            <w:vAlign w:val="center"/>
          </w:tcPr>
          <w:p w14:paraId="749F3A7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2000≤Y＜30000</w:t>
            </w:r>
          </w:p>
        </w:tc>
        <w:tc>
          <w:tcPr>
            <w:tcW w:w="790" w:type="pct"/>
            <w:vAlign w:val="center"/>
          </w:tcPr>
          <w:p w14:paraId="30450BE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100≤Y＜2000</w:t>
            </w:r>
          </w:p>
        </w:tc>
        <w:tc>
          <w:tcPr>
            <w:tcW w:w="549" w:type="pct"/>
            <w:vAlign w:val="center"/>
          </w:tcPr>
          <w:p w14:paraId="61CA084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2C99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vAlign w:val="center"/>
          </w:tcPr>
          <w:p w14:paraId="14D29345">
            <w:pPr>
              <w:widowControl/>
              <w:jc w:val="left"/>
              <w:rPr>
                <w:rFonts w:ascii="宋体" w:hAnsi="宋体" w:cs="宋体"/>
                <w:kern w:val="0"/>
                <w:sz w:val="18"/>
                <w:szCs w:val="18"/>
                <w:highlight w:val="none"/>
              </w:rPr>
            </w:pPr>
            <w:r>
              <w:rPr>
                <w:rFonts w:hint="eastAsia" w:ascii="宋体" w:hAnsi="宋体" w:cs="宋体"/>
                <w:kern w:val="0"/>
                <w:sz w:val="18"/>
                <w:szCs w:val="18"/>
                <w:highlight w:val="none"/>
              </w:rPr>
              <w:t>住宿业</w:t>
            </w:r>
          </w:p>
        </w:tc>
        <w:tc>
          <w:tcPr>
            <w:tcW w:w="759" w:type="pct"/>
            <w:vAlign w:val="center"/>
          </w:tcPr>
          <w:p w14:paraId="14E245C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392" w:type="pct"/>
            <w:vAlign w:val="center"/>
          </w:tcPr>
          <w:p w14:paraId="125C39D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624" w:type="pct"/>
            <w:vAlign w:val="center"/>
          </w:tcPr>
          <w:p w14:paraId="19C4A75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943" w:type="pct"/>
            <w:vAlign w:val="center"/>
          </w:tcPr>
          <w:p w14:paraId="576B079C">
            <w:pPr>
              <w:widowControl/>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790" w:type="pct"/>
            <w:vAlign w:val="center"/>
          </w:tcPr>
          <w:p w14:paraId="2513D87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10≤X＜100</w:t>
            </w:r>
          </w:p>
        </w:tc>
        <w:tc>
          <w:tcPr>
            <w:tcW w:w="549" w:type="pct"/>
            <w:vAlign w:val="center"/>
          </w:tcPr>
          <w:p w14:paraId="0F624E8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14:paraId="78C4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vAlign w:val="center"/>
          </w:tcPr>
          <w:p w14:paraId="35648C25">
            <w:pPr>
              <w:widowControl/>
              <w:jc w:val="left"/>
              <w:rPr>
                <w:rFonts w:ascii="宋体" w:hAnsi="宋体" w:cs="宋体"/>
                <w:kern w:val="0"/>
                <w:sz w:val="18"/>
                <w:szCs w:val="18"/>
                <w:highlight w:val="none"/>
              </w:rPr>
            </w:pPr>
          </w:p>
        </w:tc>
        <w:tc>
          <w:tcPr>
            <w:tcW w:w="759" w:type="pct"/>
            <w:vAlign w:val="center"/>
          </w:tcPr>
          <w:p w14:paraId="2CA72A1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392" w:type="pct"/>
            <w:vAlign w:val="center"/>
          </w:tcPr>
          <w:p w14:paraId="4508B27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624" w:type="pct"/>
            <w:vAlign w:val="center"/>
          </w:tcPr>
          <w:p w14:paraId="50CDCD1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Y≥10000</w:t>
            </w:r>
          </w:p>
        </w:tc>
        <w:tc>
          <w:tcPr>
            <w:tcW w:w="943" w:type="pct"/>
            <w:vAlign w:val="center"/>
          </w:tcPr>
          <w:p w14:paraId="6ECDED1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2000≤Y＜10000</w:t>
            </w:r>
          </w:p>
        </w:tc>
        <w:tc>
          <w:tcPr>
            <w:tcW w:w="790" w:type="pct"/>
            <w:vAlign w:val="center"/>
          </w:tcPr>
          <w:p w14:paraId="1F0B7F2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100≤Y＜2000</w:t>
            </w:r>
          </w:p>
        </w:tc>
        <w:tc>
          <w:tcPr>
            <w:tcW w:w="549" w:type="pct"/>
            <w:vAlign w:val="center"/>
          </w:tcPr>
          <w:p w14:paraId="78E24D4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5EBD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vAlign w:val="center"/>
          </w:tcPr>
          <w:p w14:paraId="06224CDB">
            <w:pPr>
              <w:widowControl/>
              <w:jc w:val="left"/>
              <w:rPr>
                <w:rFonts w:ascii="宋体" w:hAnsi="宋体" w:cs="宋体"/>
                <w:kern w:val="0"/>
                <w:sz w:val="18"/>
                <w:szCs w:val="18"/>
                <w:highlight w:val="none"/>
              </w:rPr>
            </w:pPr>
            <w:r>
              <w:rPr>
                <w:rFonts w:hint="eastAsia" w:ascii="宋体" w:hAnsi="宋体" w:cs="宋体"/>
                <w:kern w:val="0"/>
                <w:sz w:val="18"/>
                <w:szCs w:val="18"/>
                <w:highlight w:val="none"/>
              </w:rPr>
              <w:t>餐饮业</w:t>
            </w:r>
          </w:p>
        </w:tc>
        <w:tc>
          <w:tcPr>
            <w:tcW w:w="759" w:type="pct"/>
            <w:vAlign w:val="center"/>
          </w:tcPr>
          <w:p w14:paraId="7B0819F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392" w:type="pct"/>
            <w:vAlign w:val="center"/>
          </w:tcPr>
          <w:p w14:paraId="2F13A82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624" w:type="pct"/>
            <w:vAlign w:val="center"/>
          </w:tcPr>
          <w:p w14:paraId="6609092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943" w:type="pct"/>
            <w:vAlign w:val="center"/>
          </w:tcPr>
          <w:p w14:paraId="4B9B292D">
            <w:pPr>
              <w:widowControl/>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790" w:type="pct"/>
            <w:vAlign w:val="center"/>
          </w:tcPr>
          <w:p w14:paraId="11870CA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10≤X＜100</w:t>
            </w:r>
          </w:p>
        </w:tc>
        <w:tc>
          <w:tcPr>
            <w:tcW w:w="549" w:type="pct"/>
            <w:vAlign w:val="center"/>
          </w:tcPr>
          <w:p w14:paraId="143449D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14:paraId="7E06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vAlign w:val="center"/>
          </w:tcPr>
          <w:p w14:paraId="08A4955E">
            <w:pPr>
              <w:widowControl/>
              <w:jc w:val="left"/>
              <w:rPr>
                <w:rFonts w:ascii="宋体" w:hAnsi="宋体" w:cs="宋体"/>
                <w:kern w:val="0"/>
                <w:sz w:val="18"/>
                <w:szCs w:val="18"/>
                <w:highlight w:val="none"/>
              </w:rPr>
            </w:pPr>
          </w:p>
        </w:tc>
        <w:tc>
          <w:tcPr>
            <w:tcW w:w="759" w:type="pct"/>
            <w:vAlign w:val="center"/>
          </w:tcPr>
          <w:p w14:paraId="573CBDC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392" w:type="pct"/>
            <w:vAlign w:val="center"/>
          </w:tcPr>
          <w:p w14:paraId="6654807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624" w:type="pct"/>
            <w:vAlign w:val="center"/>
          </w:tcPr>
          <w:p w14:paraId="121E19C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Y≥10000</w:t>
            </w:r>
          </w:p>
        </w:tc>
        <w:tc>
          <w:tcPr>
            <w:tcW w:w="943" w:type="pct"/>
            <w:vAlign w:val="center"/>
          </w:tcPr>
          <w:p w14:paraId="003B6F6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2000≤Y＜10000</w:t>
            </w:r>
          </w:p>
        </w:tc>
        <w:tc>
          <w:tcPr>
            <w:tcW w:w="790" w:type="pct"/>
            <w:vAlign w:val="center"/>
          </w:tcPr>
          <w:p w14:paraId="037F701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100≤Y＜2000</w:t>
            </w:r>
          </w:p>
        </w:tc>
        <w:tc>
          <w:tcPr>
            <w:tcW w:w="549" w:type="pct"/>
            <w:vAlign w:val="center"/>
          </w:tcPr>
          <w:p w14:paraId="00964E4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46D2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vAlign w:val="center"/>
          </w:tcPr>
          <w:p w14:paraId="735D12B3">
            <w:pPr>
              <w:widowControl/>
              <w:jc w:val="left"/>
              <w:rPr>
                <w:rFonts w:ascii="宋体" w:hAnsi="宋体" w:cs="宋体"/>
                <w:kern w:val="0"/>
                <w:sz w:val="18"/>
                <w:szCs w:val="18"/>
                <w:highlight w:val="none"/>
              </w:rPr>
            </w:pPr>
            <w:r>
              <w:rPr>
                <w:rFonts w:hint="eastAsia" w:ascii="宋体" w:hAnsi="宋体" w:cs="宋体"/>
                <w:kern w:val="0"/>
                <w:sz w:val="18"/>
                <w:szCs w:val="18"/>
                <w:highlight w:val="none"/>
              </w:rPr>
              <w:t>信息传输业 *</w:t>
            </w:r>
          </w:p>
        </w:tc>
        <w:tc>
          <w:tcPr>
            <w:tcW w:w="759" w:type="pct"/>
            <w:vAlign w:val="center"/>
          </w:tcPr>
          <w:p w14:paraId="796A6F4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392" w:type="pct"/>
            <w:vAlign w:val="center"/>
          </w:tcPr>
          <w:p w14:paraId="0EBF211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624" w:type="pct"/>
            <w:vAlign w:val="center"/>
          </w:tcPr>
          <w:p w14:paraId="5406757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X≥2000</w:t>
            </w:r>
          </w:p>
        </w:tc>
        <w:tc>
          <w:tcPr>
            <w:tcW w:w="943" w:type="pct"/>
            <w:vAlign w:val="center"/>
          </w:tcPr>
          <w:p w14:paraId="2DB223E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100≤X＜2000</w:t>
            </w:r>
          </w:p>
        </w:tc>
        <w:tc>
          <w:tcPr>
            <w:tcW w:w="790" w:type="pct"/>
            <w:vAlign w:val="center"/>
          </w:tcPr>
          <w:p w14:paraId="024AC02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10≤X＜100</w:t>
            </w:r>
          </w:p>
        </w:tc>
        <w:tc>
          <w:tcPr>
            <w:tcW w:w="549" w:type="pct"/>
            <w:vAlign w:val="center"/>
          </w:tcPr>
          <w:p w14:paraId="38B9A69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14:paraId="55F0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vAlign w:val="center"/>
          </w:tcPr>
          <w:p w14:paraId="588169A2">
            <w:pPr>
              <w:widowControl/>
              <w:jc w:val="left"/>
              <w:rPr>
                <w:rFonts w:ascii="宋体" w:hAnsi="宋体" w:cs="宋体"/>
                <w:kern w:val="0"/>
                <w:sz w:val="18"/>
                <w:szCs w:val="18"/>
                <w:highlight w:val="none"/>
              </w:rPr>
            </w:pPr>
          </w:p>
        </w:tc>
        <w:tc>
          <w:tcPr>
            <w:tcW w:w="759" w:type="pct"/>
            <w:vAlign w:val="center"/>
          </w:tcPr>
          <w:p w14:paraId="1299055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392" w:type="pct"/>
            <w:vAlign w:val="center"/>
          </w:tcPr>
          <w:p w14:paraId="53E4C5E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624" w:type="pct"/>
            <w:vAlign w:val="center"/>
          </w:tcPr>
          <w:p w14:paraId="6170462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Y≥100000</w:t>
            </w:r>
          </w:p>
        </w:tc>
        <w:tc>
          <w:tcPr>
            <w:tcW w:w="943" w:type="pct"/>
            <w:vAlign w:val="center"/>
          </w:tcPr>
          <w:p w14:paraId="1AB507E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1000≤Y＜100000</w:t>
            </w:r>
          </w:p>
        </w:tc>
        <w:tc>
          <w:tcPr>
            <w:tcW w:w="790" w:type="pct"/>
            <w:vAlign w:val="center"/>
          </w:tcPr>
          <w:p w14:paraId="5AB87D8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100≤Y＜1000</w:t>
            </w:r>
          </w:p>
        </w:tc>
        <w:tc>
          <w:tcPr>
            <w:tcW w:w="549" w:type="pct"/>
            <w:vAlign w:val="center"/>
          </w:tcPr>
          <w:p w14:paraId="7A85691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54C8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39" w:type="pct"/>
            <w:vMerge w:val="restart"/>
            <w:vAlign w:val="center"/>
          </w:tcPr>
          <w:p w14:paraId="1F8CF5FF">
            <w:pPr>
              <w:widowControl/>
              <w:jc w:val="left"/>
              <w:rPr>
                <w:rFonts w:ascii="宋体" w:hAnsi="宋体" w:cs="宋体"/>
                <w:spacing w:val="-12"/>
                <w:kern w:val="0"/>
                <w:sz w:val="18"/>
                <w:szCs w:val="18"/>
                <w:highlight w:val="none"/>
              </w:rPr>
            </w:pPr>
            <w:r>
              <w:rPr>
                <w:rFonts w:hint="eastAsia" w:ascii="宋体" w:hAnsi="宋体" w:cs="宋体"/>
                <w:spacing w:val="-12"/>
                <w:kern w:val="0"/>
                <w:sz w:val="18"/>
                <w:szCs w:val="18"/>
                <w:highlight w:val="none"/>
              </w:rPr>
              <w:t>软件和信息技术服</w:t>
            </w:r>
            <w:r>
              <w:rPr>
                <w:rFonts w:hint="eastAsia" w:ascii="宋体" w:hAnsi="宋体" w:cs="宋体"/>
                <w:kern w:val="0"/>
                <w:sz w:val="18"/>
                <w:szCs w:val="18"/>
                <w:highlight w:val="none"/>
              </w:rPr>
              <w:t>务业</w:t>
            </w:r>
          </w:p>
        </w:tc>
        <w:tc>
          <w:tcPr>
            <w:tcW w:w="759" w:type="pct"/>
            <w:vAlign w:val="center"/>
          </w:tcPr>
          <w:p w14:paraId="50AA8C3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392" w:type="pct"/>
            <w:vAlign w:val="center"/>
          </w:tcPr>
          <w:p w14:paraId="11A09AF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624" w:type="pct"/>
            <w:vAlign w:val="center"/>
          </w:tcPr>
          <w:p w14:paraId="6A42601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943" w:type="pct"/>
            <w:vAlign w:val="center"/>
          </w:tcPr>
          <w:p w14:paraId="1AD8DEAE">
            <w:pPr>
              <w:widowControl/>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790" w:type="pct"/>
            <w:vAlign w:val="center"/>
          </w:tcPr>
          <w:p w14:paraId="54BFF42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10≤X＜100</w:t>
            </w:r>
          </w:p>
        </w:tc>
        <w:tc>
          <w:tcPr>
            <w:tcW w:w="549" w:type="pct"/>
            <w:vAlign w:val="center"/>
          </w:tcPr>
          <w:p w14:paraId="60B139D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14:paraId="68E9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39" w:type="pct"/>
            <w:vMerge w:val="continue"/>
            <w:vAlign w:val="center"/>
          </w:tcPr>
          <w:p w14:paraId="68356BE0">
            <w:pPr>
              <w:widowControl/>
              <w:jc w:val="left"/>
              <w:rPr>
                <w:rFonts w:ascii="宋体" w:hAnsi="宋体" w:cs="宋体"/>
                <w:spacing w:val="-12"/>
                <w:kern w:val="0"/>
                <w:sz w:val="18"/>
                <w:szCs w:val="18"/>
                <w:highlight w:val="none"/>
              </w:rPr>
            </w:pPr>
          </w:p>
        </w:tc>
        <w:tc>
          <w:tcPr>
            <w:tcW w:w="759" w:type="pct"/>
            <w:vAlign w:val="center"/>
          </w:tcPr>
          <w:p w14:paraId="201A6D0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392" w:type="pct"/>
            <w:vAlign w:val="center"/>
          </w:tcPr>
          <w:p w14:paraId="63F556C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624" w:type="pct"/>
            <w:vAlign w:val="center"/>
          </w:tcPr>
          <w:p w14:paraId="0A5CD85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Y≥10000</w:t>
            </w:r>
          </w:p>
        </w:tc>
        <w:tc>
          <w:tcPr>
            <w:tcW w:w="943" w:type="pct"/>
            <w:vAlign w:val="center"/>
          </w:tcPr>
          <w:p w14:paraId="5F72860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1000≤Y＜10000</w:t>
            </w:r>
          </w:p>
        </w:tc>
        <w:tc>
          <w:tcPr>
            <w:tcW w:w="790" w:type="pct"/>
            <w:vAlign w:val="center"/>
          </w:tcPr>
          <w:p w14:paraId="76E24C1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50≤Y＜1000</w:t>
            </w:r>
          </w:p>
        </w:tc>
        <w:tc>
          <w:tcPr>
            <w:tcW w:w="549" w:type="pct"/>
            <w:vAlign w:val="center"/>
          </w:tcPr>
          <w:p w14:paraId="7DABFB9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Y＜50</w:t>
            </w:r>
          </w:p>
        </w:tc>
      </w:tr>
      <w:tr w14:paraId="55BB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39" w:type="pct"/>
            <w:vMerge w:val="restart"/>
            <w:vAlign w:val="center"/>
          </w:tcPr>
          <w:p w14:paraId="2B731B77">
            <w:pPr>
              <w:widowControl/>
              <w:jc w:val="left"/>
              <w:rPr>
                <w:rFonts w:ascii="宋体" w:hAnsi="宋体" w:cs="宋体"/>
                <w:kern w:val="0"/>
                <w:sz w:val="18"/>
                <w:szCs w:val="18"/>
                <w:highlight w:val="none"/>
              </w:rPr>
            </w:pPr>
            <w:r>
              <w:rPr>
                <w:rFonts w:hint="eastAsia" w:ascii="宋体" w:hAnsi="宋体" w:cs="宋体"/>
                <w:kern w:val="0"/>
                <w:sz w:val="18"/>
                <w:szCs w:val="18"/>
                <w:highlight w:val="none"/>
              </w:rPr>
              <w:t>房地产开发经营</w:t>
            </w:r>
          </w:p>
        </w:tc>
        <w:tc>
          <w:tcPr>
            <w:tcW w:w="759" w:type="pct"/>
            <w:vAlign w:val="center"/>
          </w:tcPr>
          <w:p w14:paraId="1B28190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392" w:type="pct"/>
            <w:vAlign w:val="center"/>
          </w:tcPr>
          <w:p w14:paraId="248439F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624" w:type="pct"/>
            <w:vAlign w:val="center"/>
          </w:tcPr>
          <w:p w14:paraId="14B4049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Y≥200000</w:t>
            </w:r>
          </w:p>
        </w:tc>
        <w:tc>
          <w:tcPr>
            <w:tcW w:w="943" w:type="pct"/>
            <w:vAlign w:val="center"/>
          </w:tcPr>
          <w:p w14:paraId="75902EE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1000≤Y＜200000</w:t>
            </w:r>
          </w:p>
        </w:tc>
        <w:tc>
          <w:tcPr>
            <w:tcW w:w="790" w:type="pct"/>
            <w:vAlign w:val="center"/>
          </w:tcPr>
          <w:p w14:paraId="23D936B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100≤Y＜1000</w:t>
            </w:r>
          </w:p>
        </w:tc>
        <w:tc>
          <w:tcPr>
            <w:tcW w:w="549" w:type="pct"/>
            <w:vAlign w:val="center"/>
          </w:tcPr>
          <w:p w14:paraId="1153E5C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6752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39" w:type="pct"/>
            <w:vMerge w:val="continue"/>
            <w:vAlign w:val="center"/>
          </w:tcPr>
          <w:p w14:paraId="356586A0">
            <w:pPr>
              <w:widowControl/>
              <w:jc w:val="left"/>
              <w:rPr>
                <w:rFonts w:ascii="宋体" w:hAnsi="宋体" w:cs="宋体"/>
                <w:kern w:val="0"/>
                <w:sz w:val="18"/>
                <w:szCs w:val="18"/>
                <w:highlight w:val="none"/>
              </w:rPr>
            </w:pPr>
          </w:p>
        </w:tc>
        <w:tc>
          <w:tcPr>
            <w:tcW w:w="759" w:type="pct"/>
            <w:vAlign w:val="center"/>
          </w:tcPr>
          <w:p w14:paraId="23E8428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392" w:type="pct"/>
            <w:vAlign w:val="center"/>
          </w:tcPr>
          <w:p w14:paraId="4679709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624" w:type="pct"/>
            <w:vAlign w:val="center"/>
          </w:tcPr>
          <w:p w14:paraId="3B4FE0B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Z≥10000</w:t>
            </w:r>
          </w:p>
        </w:tc>
        <w:tc>
          <w:tcPr>
            <w:tcW w:w="943" w:type="pct"/>
            <w:vAlign w:val="center"/>
          </w:tcPr>
          <w:p w14:paraId="6B33D4E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5000≤Z＜10000</w:t>
            </w:r>
          </w:p>
        </w:tc>
        <w:tc>
          <w:tcPr>
            <w:tcW w:w="790" w:type="pct"/>
            <w:vAlign w:val="center"/>
          </w:tcPr>
          <w:p w14:paraId="4AC4966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2000≤Z＜5000   </w:t>
            </w:r>
          </w:p>
        </w:tc>
        <w:tc>
          <w:tcPr>
            <w:tcW w:w="549" w:type="pct"/>
            <w:vAlign w:val="center"/>
          </w:tcPr>
          <w:p w14:paraId="736E210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Z＜2000</w:t>
            </w:r>
          </w:p>
        </w:tc>
      </w:tr>
      <w:tr w14:paraId="739D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39" w:type="pct"/>
            <w:vMerge w:val="restart"/>
            <w:vAlign w:val="center"/>
          </w:tcPr>
          <w:p w14:paraId="0CE06247">
            <w:pPr>
              <w:widowControl/>
              <w:jc w:val="left"/>
              <w:rPr>
                <w:rFonts w:ascii="宋体" w:hAnsi="宋体" w:cs="宋体"/>
                <w:kern w:val="0"/>
                <w:sz w:val="18"/>
                <w:szCs w:val="18"/>
                <w:highlight w:val="none"/>
              </w:rPr>
            </w:pPr>
            <w:r>
              <w:rPr>
                <w:rFonts w:hint="eastAsia" w:ascii="宋体" w:hAnsi="宋体" w:cs="宋体"/>
                <w:kern w:val="0"/>
                <w:sz w:val="18"/>
                <w:szCs w:val="18"/>
                <w:highlight w:val="none"/>
              </w:rPr>
              <w:t>物业管理</w:t>
            </w:r>
          </w:p>
        </w:tc>
        <w:tc>
          <w:tcPr>
            <w:tcW w:w="759" w:type="pct"/>
            <w:vAlign w:val="center"/>
          </w:tcPr>
          <w:p w14:paraId="7E1BB7B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392" w:type="pct"/>
            <w:vAlign w:val="center"/>
          </w:tcPr>
          <w:p w14:paraId="692A9C6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624" w:type="pct"/>
            <w:vAlign w:val="center"/>
          </w:tcPr>
          <w:p w14:paraId="0E49A8F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X≥1000</w:t>
            </w:r>
          </w:p>
        </w:tc>
        <w:tc>
          <w:tcPr>
            <w:tcW w:w="943" w:type="pct"/>
            <w:vAlign w:val="center"/>
          </w:tcPr>
          <w:p w14:paraId="765E12C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790" w:type="pct"/>
            <w:vAlign w:val="center"/>
          </w:tcPr>
          <w:p w14:paraId="4657A96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549" w:type="pct"/>
            <w:vAlign w:val="center"/>
          </w:tcPr>
          <w:p w14:paraId="07C9473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X＜100</w:t>
            </w:r>
          </w:p>
        </w:tc>
      </w:tr>
      <w:tr w14:paraId="07C8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39" w:type="pct"/>
            <w:vMerge w:val="continue"/>
            <w:vAlign w:val="center"/>
          </w:tcPr>
          <w:p w14:paraId="48609D73">
            <w:pPr>
              <w:widowControl/>
              <w:jc w:val="left"/>
              <w:rPr>
                <w:rFonts w:ascii="宋体" w:hAnsi="宋体" w:cs="宋体"/>
                <w:kern w:val="0"/>
                <w:sz w:val="18"/>
                <w:szCs w:val="18"/>
                <w:highlight w:val="none"/>
              </w:rPr>
            </w:pPr>
          </w:p>
        </w:tc>
        <w:tc>
          <w:tcPr>
            <w:tcW w:w="759" w:type="pct"/>
            <w:vAlign w:val="center"/>
          </w:tcPr>
          <w:p w14:paraId="5C7685B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392" w:type="pct"/>
            <w:vAlign w:val="center"/>
          </w:tcPr>
          <w:p w14:paraId="5455546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624" w:type="pct"/>
            <w:vAlign w:val="center"/>
          </w:tcPr>
          <w:p w14:paraId="7FDE29D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Y≥5000</w:t>
            </w:r>
          </w:p>
        </w:tc>
        <w:tc>
          <w:tcPr>
            <w:tcW w:w="943" w:type="pct"/>
            <w:vAlign w:val="center"/>
          </w:tcPr>
          <w:p w14:paraId="3D16BA01">
            <w:pPr>
              <w:widowControl/>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 xml:space="preserve">1000≤Y＜5000 </w:t>
            </w:r>
          </w:p>
        </w:tc>
        <w:tc>
          <w:tcPr>
            <w:tcW w:w="790" w:type="pct"/>
            <w:vAlign w:val="center"/>
          </w:tcPr>
          <w:p w14:paraId="7D97022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500≤Y＜1000</w:t>
            </w:r>
          </w:p>
        </w:tc>
        <w:tc>
          <w:tcPr>
            <w:tcW w:w="549" w:type="pct"/>
            <w:vAlign w:val="center"/>
          </w:tcPr>
          <w:p w14:paraId="10C4896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Y＜500</w:t>
            </w:r>
          </w:p>
        </w:tc>
      </w:tr>
      <w:tr w14:paraId="6C9C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39" w:type="pct"/>
            <w:vMerge w:val="restart"/>
            <w:vAlign w:val="center"/>
          </w:tcPr>
          <w:p w14:paraId="3D560A89">
            <w:pPr>
              <w:widowControl/>
              <w:jc w:val="left"/>
              <w:rPr>
                <w:rFonts w:ascii="宋体" w:hAnsi="宋体" w:cs="宋体"/>
                <w:kern w:val="0"/>
                <w:sz w:val="18"/>
                <w:szCs w:val="18"/>
                <w:highlight w:val="none"/>
              </w:rPr>
            </w:pPr>
            <w:r>
              <w:rPr>
                <w:rFonts w:hint="eastAsia" w:ascii="宋体" w:hAnsi="宋体" w:cs="宋体"/>
                <w:kern w:val="0"/>
                <w:sz w:val="18"/>
                <w:szCs w:val="18"/>
                <w:highlight w:val="none"/>
              </w:rPr>
              <w:t>租赁和商务服务业</w:t>
            </w:r>
          </w:p>
        </w:tc>
        <w:tc>
          <w:tcPr>
            <w:tcW w:w="759" w:type="pct"/>
            <w:vAlign w:val="center"/>
          </w:tcPr>
          <w:p w14:paraId="4F3AB49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392" w:type="pct"/>
            <w:vAlign w:val="center"/>
          </w:tcPr>
          <w:p w14:paraId="29416E1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624" w:type="pct"/>
            <w:vAlign w:val="center"/>
          </w:tcPr>
          <w:p w14:paraId="36BF03A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943" w:type="pct"/>
            <w:vAlign w:val="center"/>
          </w:tcPr>
          <w:p w14:paraId="032163A7">
            <w:pPr>
              <w:widowControl/>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790" w:type="pct"/>
            <w:vAlign w:val="center"/>
          </w:tcPr>
          <w:p w14:paraId="59346DA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10≤X＜100</w:t>
            </w:r>
          </w:p>
        </w:tc>
        <w:tc>
          <w:tcPr>
            <w:tcW w:w="549" w:type="pct"/>
            <w:vAlign w:val="center"/>
          </w:tcPr>
          <w:p w14:paraId="08F9D6B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14:paraId="6F91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39" w:type="pct"/>
            <w:vMerge w:val="continue"/>
            <w:vAlign w:val="center"/>
          </w:tcPr>
          <w:p w14:paraId="44EBC3A0">
            <w:pPr>
              <w:widowControl/>
              <w:jc w:val="left"/>
              <w:rPr>
                <w:rFonts w:ascii="宋体" w:hAnsi="宋体" w:cs="宋体"/>
                <w:kern w:val="0"/>
                <w:sz w:val="18"/>
                <w:szCs w:val="18"/>
                <w:highlight w:val="none"/>
              </w:rPr>
            </w:pPr>
          </w:p>
        </w:tc>
        <w:tc>
          <w:tcPr>
            <w:tcW w:w="759" w:type="pct"/>
            <w:vAlign w:val="center"/>
          </w:tcPr>
          <w:p w14:paraId="28F2682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392" w:type="pct"/>
            <w:vAlign w:val="center"/>
          </w:tcPr>
          <w:p w14:paraId="5D8B6DF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624" w:type="pct"/>
            <w:vAlign w:val="center"/>
          </w:tcPr>
          <w:p w14:paraId="17A1DB3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Z≥120000</w:t>
            </w:r>
          </w:p>
        </w:tc>
        <w:tc>
          <w:tcPr>
            <w:tcW w:w="943" w:type="pct"/>
            <w:vAlign w:val="center"/>
          </w:tcPr>
          <w:p w14:paraId="63B59DE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8000≤Z＜120000</w:t>
            </w:r>
          </w:p>
        </w:tc>
        <w:tc>
          <w:tcPr>
            <w:tcW w:w="790" w:type="pct"/>
            <w:vAlign w:val="center"/>
          </w:tcPr>
          <w:p w14:paraId="33CBD65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100≤Z＜8000</w:t>
            </w:r>
          </w:p>
        </w:tc>
        <w:tc>
          <w:tcPr>
            <w:tcW w:w="549" w:type="pct"/>
            <w:vAlign w:val="center"/>
          </w:tcPr>
          <w:p w14:paraId="5A6C866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Z＜100</w:t>
            </w:r>
          </w:p>
        </w:tc>
      </w:tr>
      <w:tr w14:paraId="2062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Align w:val="center"/>
          </w:tcPr>
          <w:p w14:paraId="5AA2368B">
            <w:pPr>
              <w:widowControl/>
              <w:jc w:val="left"/>
              <w:rPr>
                <w:rFonts w:ascii="宋体" w:hAnsi="宋体" w:cs="宋体"/>
                <w:kern w:val="0"/>
                <w:sz w:val="18"/>
                <w:szCs w:val="18"/>
                <w:highlight w:val="none"/>
              </w:rPr>
            </w:pPr>
            <w:r>
              <w:rPr>
                <w:rFonts w:hint="eastAsia" w:ascii="宋体" w:hAnsi="宋体" w:cs="宋体"/>
                <w:kern w:val="0"/>
                <w:sz w:val="18"/>
                <w:szCs w:val="18"/>
                <w:highlight w:val="none"/>
              </w:rPr>
              <w:t>其他未列明行业 *</w:t>
            </w:r>
          </w:p>
        </w:tc>
        <w:tc>
          <w:tcPr>
            <w:tcW w:w="759" w:type="pct"/>
            <w:vAlign w:val="center"/>
          </w:tcPr>
          <w:p w14:paraId="71757D7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392" w:type="pct"/>
            <w:vAlign w:val="center"/>
          </w:tcPr>
          <w:p w14:paraId="0293852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624" w:type="pct"/>
            <w:vAlign w:val="center"/>
          </w:tcPr>
          <w:p w14:paraId="198FA5C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943" w:type="pct"/>
            <w:vAlign w:val="center"/>
          </w:tcPr>
          <w:p w14:paraId="32516D4A">
            <w:pPr>
              <w:widowControl/>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790" w:type="pct"/>
            <w:vAlign w:val="center"/>
          </w:tcPr>
          <w:p w14:paraId="3F75493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xml:space="preserve"> 10≤X＜100</w:t>
            </w:r>
          </w:p>
        </w:tc>
        <w:tc>
          <w:tcPr>
            <w:tcW w:w="549" w:type="pct"/>
            <w:vAlign w:val="center"/>
          </w:tcPr>
          <w:p w14:paraId="0910F37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bl>
    <w:p w14:paraId="5B2963F8">
      <w:pPr>
        <w:spacing w:line="360" w:lineRule="auto"/>
        <w:jc w:val="left"/>
        <w:rPr>
          <w:rFonts w:ascii="宋体" w:hAnsi="宋体" w:cs="宋体"/>
          <w:szCs w:val="21"/>
          <w:highlight w:val="none"/>
        </w:rPr>
      </w:pPr>
      <w:r>
        <w:rPr>
          <w:rFonts w:hint="eastAsia" w:ascii="宋体" w:hAnsi="宋体" w:cs="宋体"/>
          <w:szCs w:val="21"/>
          <w:highlight w:val="none"/>
        </w:rPr>
        <w:t>说明：</w:t>
      </w:r>
    </w:p>
    <w:p w14:paraId="43C736BC">
      <w:pPr>
        <w:spacing w:line="360" w:lineRule="auto"/>
        <w:ind w:firstLine="525" w:firstLineChars="250"/>
        <w:jc w:val="left"/>
        <w:rPr>
          <w:rFonts w:ascii="宋体" w:hAnsi="宋体" w:cs="宋体"/>
          <w:szCs w:val="21"/>
          <w:highlight w:val="none"/>
        </w:rPr>
      </w:pPr>
      <w:r>
        <w:rPr>
          <w:rFonts w:hint="eastAsia" w:ascii="宋体" w:hAnsi="宋体" w:cs="宋体"/>
          <w:szCs w:val="21"/>
          <w:highlight w:val="none"/>
        </w:rPr>
        <w:t>1.大型、中型和小型企业须同时满足所列指标的下限，否则下划一档；微型企业只须满足所列指标中的一项即可。</w:t>
      </w:r>
    </w:p>
    <w:p w14:paraId="039871C7">
      <w:pPr>
        <w:spacing w:line="360" w:lineRule="auto"/>
        <w:ind w:firstLine="525" w:firstLineChars="250"/>
        <w:jc w:val="left"/>
        <w:rPr>
          <w:rFonts w:ascii="宋体" w:hAnsi="宋体" w:cs="宋体"/>
          <w:szCs w:val="21"/>
          <w:highlight w:val="none"/>
        </w:rPr>
      </w:pPr>
      <w:r>
        <w:rPr>
          <w:rFonts w:hint="eastAsia" w:ascii="宋体" w:hAnsi="宋体" w:cs="宋体"/>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66F7667">
      <w:pPr>
        <w:spacing w:line="360" w:lineRule="auto"/>
        <w:ind w:firstLine="525" w:firstLineChars="250"/>
        <w:jc w:val="left"/>
        <w:rPr>
          <w:rFonts w:ascii="宋体" w:hAnsi="宋体" w:cs="宋体"/>
          <w:szCs w:val="21"/>
          <w:highlight w:val="none"/>
        </w:rPr>
      </w:pPr>
      <w:r>
        <w:rPr>
          <w:rFonts w:hint="eastAsia" w:ascii="宋体" w:hAnsi="宋体" w:cs="宋体"/>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1FE6333">
      <w:pPr>
        <w:spacing w:line="360" w:lineRule="auto"/>
        <w:ind w:firstLine="525" w:firstLineChars="250"/>
        <w:jc w:val="left"/>
        <w:rPr>
          <w:rFonts w:ascii="宋体" w:hAnsi="宋体" w:cs="宋体"/>
          <w:szCs w:val="21"/>
          <w:highlight w:val="none"/>
        </w:rPr>
      </w:pPr>
    </w:p>
    <w:p w14:paraId="1D029305">
      <w:pPr>
        <w:keepNext/>
        <w:keepLines/>
        <w:snapToGrid w:val="0"/>
        <w:spacing w:before="340" w:after="330" w:line="360" w:lineRule="auto"/>
        <w:ind w:firstLine="420" w:firstLineChars="200"/>
        <w:rPr>
          <w:rStyle w:val="48"/>
          <w:highlight w:val="none"/>
        </w:rPr>
      </w:pPr>
      <w:r>
        <w:rPr>
          <w:rFonts w:hint="eastAsia" w:ascii="宋体" w:hAnsi="宋体" w:cs="宋体"/>
          <w:highlight w:val="none"/>
        </w:rPr>
        <w:br w:type="page"/>
      </w:r>
      <w:bookmarkStart w:id="56" w:name="_Toc21637"/>
      <w:r>
        <w:rPr>
          <w:rStyle w:val="48"/>
          <w:rFonts w:hint="eastAsia"/>
          <w:highlight w:val="none"/>
        </w:rPr>
        <w:t>第四章 评审程序、评审方法和评审标准</w:t>
      </w:r>
    </w:p>
    <w:bookmarkEnd w:id="56"/>
    <w:p w14:paraId="4139EDDC">
      <w:pPr>
        <w:spacing w:line="360" w:lineRule="auto"/>
        <w:jc w:val="center"/>
        <w:outlineLvl w:val="1"/>
        <w:rPr>
          <w:rFonts w:ascii="宋体" w:hAnsi="宋体" w:cs="宋体"/>
          <w:b/>
          <w:sz w:val="32"/>
          <w:szCs w:val="32"/>
          <w:highlight w:val="none"/>
        </w:rPr>
      </w:pPr>
      <w:bookmarkStart w:id="57" w:name="_Toc7330"/>
      <w:bookmarkStart w:id="58" w:name="_Toc18475"/>
      <w:bookmarkStart w:id="59" w:name="_Toc1316"/>
      <w:bookmarkStart w:id="60" w:name="_Toc25990"/>
      <w:r>
        <w:rPr>
          <w:rFonts w:hint="eastAsia" w:ascii="宋体" w:hAnsi="宋体" w:cs="宋体"/>
          <w:b/>
          <w:sz w:val="32"/>
          <w:szCs w:val="32"/>
          <w:highlight w:val="none"/>
        </w:rPr>
        <w:t>一、评审程序和评审方法</w:t>
      </w:r>
      <w:bookmarkEnd w:id="57"/>
      <w:bookmarkEnd w:id="58"/>
      <w:bookmarkEnd w:id="59"/>
      <w:bookmarkEnd w:id="60"/>
    </w:p>
    <w:p w14:paraId="23848086">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 资格审查</w:t>
      </w:r>
    </w:p>
    <w:p w14:paraId="20C821A3">
      <w:pPr>
        <w:spacing w:line="360" w:lineRule="auto"/>
        <w:ind w:firstLine="420" w:firstLineChars="200"/>
        <w:rPr>
          <w:rFonts w:ascii="宋体" w:hAnsi="宋体" w:cs="宋体"/>
          <w:szCs w:val="21"/>
          <w:highlight w:val="none"/>
        </w:rPr>
      </w:pPr>
      <w:r>
        <w:rPr>
          <w:rFonts w:hint="eastAsia" w:ascii="宋体" w:hAnsi="宋体" w:cs="宋体"/>
          <w:szCs w:val="21"/>
          <w:highlight w:val="none"/>
        </w:rPr>
        <w:t>1.1 响应文件开启后，磋商小组依法对供应商的资格证明文件进行审查。</w:t>
      </w:r>
    </w:p>
    <w:p w14:paraId="6715D24A">
      <w:pPr>
        <w:spacing w:line="360" w:lineRule="auto"/>
        <w:ind w:firstLine="420" w:firstLineChars="200"/>
        <w:rPr>
          <w:rFonts w:ascii="宋体" w:hAnsi="宋体" w:cs="宋体"/>
          <w:szCs w:val="21"/>
          <w:highlight w:val="none"/>
        </w:rPr>
      </w:pPr>
      <w:r>
        <w:rPr>
          <w:rFonts w:hint="eastAsia" w:ascii="宋体" w:hAnsi="宋体" w:cs="宋体"/>
          <w:szCs w:val="21"/>
          <w:highlight w:val="none"/>
        </w:rPr>
        <w:t>注：磋商小组在资格审查结束前，对供应商进行信用查询。</w:t>
      </w:r>
    </w:p>
    <w:p w14:paraId="07D801DC">
      <w:pPr>
        <w:spacing w:line="360" w:lineRule="auto"/>
        <w:ind w:firstLine="420" w:firstLineChars="200"/>
        <w:rPr>
          <w:rFonts w:ascii="宋体" w:hAnsi="宋体" w:cs="宋体"/>
          <w:szCs w:val="21"/>
          <w:highlight w:val="none"/>
        </w:rPr>
      </w:pPr>
      <w:r>
        <w:rPr>
          <w:rFonts w:hint="eastAsia" w:ascii="宋体" w:hAnsi="宋体" w:cs="宋体"/>
          <w:szCs w:val="21"/>
          <w:highlight w:val="none"/>
        </w:rPr>
        <w:t>（1）查询渠道：“信用中国”网站(https://www.creditchina.gov.cn/)、中国政府采购网(http://www.ccgp.gov.cn/)链接入口。</w:t>
      </w:r>
    </w:p>
    <w:p w14:paraId="51700314">
      <w:pPr>
        <w:spacing w:line="360" w:lineRule="auto"/>
        <w:ind w:firstLine="420" w:firstLineChars="200"/>
        <w:rPr>
          <w:rFonts w:ascii="宋体" w:hAnsi="宋体" w:cs="宋体"/>
          <w:szCs w:val="21"/>
          <w:highlight w:val="none"/>
        </w:rPr>
      </w:pPr>
      <w:r>
        <w:rPr>
          <w:rFonts w:hint="eastAsia" w:ascii="宋体" w:hAnsi="宋体" w:cs="宋体"/>
          <w:szCs w:val="21"/>
          <w:highlight w:val="none"/>
        </w:rPr>
        <w:t>（2）信用查询截止时点：资格审查结束前。</w:t>
      </w:r>
    </w:p>
    <w:p w14:paraId="55FB22EE">
      <w:pPr>
        <w:spacing w:line="360" w:lineRule="auto"/>
        <w:ind w:firstLine="420" w:firstLineChars="200"/>
        <w:rPr>
          <w:rFonts w:ascii="宋体" w:hAnsi="宋体" w:cs="宋体"/>
          <w:szCs w:val="21"/>
          <w:highlight w:val="none"/>
        </w:rPr>
      </w:pPr>
      <w:r>
        <w:rPr>
          <w:rFonts w:hint="eastAsia" w:ascii="宋体" w:hAnsi="宋体" w:cs="宋体"/>
          <w:szCs w:val="21"/>
          <w:highlight w:val="none"/>
        </w:rPr>
        <w:t>（3）查询记录和证据留存方式：在查询网站中直接查询，截图另存为电子文档作为评审资料保存。</w:t>
      </w:r>
    </w:p>
    <w:p w14:paraId="296F43AB">
      <w:pPr>
        <w:spacing w:line="360" w:lineRule="auto"/>
        <w:ind w:firstLine="420" w:firstLineChars="200"/>
        <w:rPr>
          <w:rFonts w:ascii="宋体" w:hAnsi="宋体" w:cs="宋体"/>
          <w:szCs w:val="21"/>
          <w:highlight w:val="none"/>
        </w:rPr>
      </w:pPr>
      <w:r>
        <w:rPr>
          <w:rFonts w:hint="eastAsia" w:ascii="宋体" w:hAnsi="宋体" w:cs="宋体"/>
          <w:szCs w:val="21"/>
          <w:highlight w:val="none"/>
        </w:rPr>
        <w:t>（4）信用信息使用规则：对在“信用中国”网站（https://www.creditchina.gov.cn/） 、中国政府采购网（http://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6F188ABD">
      <w:pPr>
        <w:spacing w:line="360" w:lineRule="auto"/>
        <w:ind w:firstLine="420" w:firstLineChars="200"/>
        <w:rPr>
          <w:rFonts w:ascii="宋体" w:hAnsi="宋体" w:cs="宋体"/>
          <w:szCs w:val="21"/>
          <w:highlight w:val="none"/>
        </w:rPr>
      </w:pPr>
      <w:r>
        <w:rPr>
          <w:rFonts w:hint="eastAsia" w:ascii="宋体" w:hAnsi="宋体" w:cs="宋体"/>
          <w:szCs w:val="21"/>
          <w:highlight w:val="none"/>
        </w:rPr>
        <w:t>1.2 资格审查标准为本磋商文件中载明对供应商资格要求的条件。资格审查采用合格制，凡符合磋商文件规定的供应商资格要求的响应文件均通过资格审查。</w:t>
      </w:r>
    </w:p>
    <w:p w14:paraId="7B36DBAA">
      <w:pPr>
        <w:spacing w:line="360" w:lineRule="auto"/>
        <w:ind w:firstLine="420" w:firstLineChars="200"/>
        <w:rPr>
          <w:rFonts w:ascii="宋体" w:hAnsi="宋体" w:cs="宋体"/>
          <w:szCs w:val="21"/>
          <w:highlight w:val="none"/>
        </w:rPr>
      </w:pPr>
      <w:r>
        <w:rPr>
          <w:rFonts w:hint="eastAsia" w:ascii="宋体" w:hAnsi="宋体" w:cs="宋体"/>
          <w:szCs w:val="21"/>
          <w:highlight w:val="none"/>
        </w:rPr>
        <w:t>1.3 供应商有下列情形之一的，资格审查不通过，其响应文件按无效响应处理：</w:t>
      </w:r>
    </w:p>
    <w:p w14:paraId="33ABB059">
      <w:pPr>
        <w:spacing w:line="360" w:lineRule="auto"/>
        <w:ind w:firstLine="420" w:firstLineChars="200"/>
        <w:rPr>
          <w:rFonts w:ascii="宋体" w:hAnsi="宋体" w:cs="宋体"/>
          <w:szCs w:val="21"/>
          <w:highlight w:val="none"/>
        </w:rPr>
      </w:pPr>
      <w:r>
        <w:rPr>
          <w:rFonts w:hint="eastAsia" w:ascii="宋体" w:hAnsi="宋体" w:cs="宋体"/>
          <w:szCs w:val="21"/>
          <w:highlight w:val="none"/>
        </w:rPr>
        <w:t>（1）不具备磋商文件中规定的资格要求的；</w:t>
      </w:r>
    </w:p>
    <w:p w14:paraId="73EC437A">
      <w:pPr>
        <w:spacing w:line="360" w:lineRule="auto"/>
        <w:ind w:firstLine="420" w:firstLineChars="200"/>
        <w:rPr>
          <w:rFonts w:ascii="宋体" w:hAnsi="宋体" w:cs="宋体"/>
          <w:szCs w:val="21"/>
          <w:highlight w:val="none"/>
        </w:rPr>
      </w:pPr>
      <w:r>
        <w:rPr>
          <w:rFonts w:hint="eastAsia" w:ascii="宋体" w:hAnsi="宋体" w:cs="宋体"/>
          <w:szCs w:val="21"/>
          <w:highlight w:val="none"/>
        </w:rPr>
        <w:t>（2）未按磋商文件规定的方式获取本磋商文件的供应商；</w:t>
      </w:r>
    </w:p>
    <w:p w14:paraId="5139AB64">
      <w:pPr>
        <w:spacing w:line="360" w:lineRule="auto"/>
        <w:ind w:firstLine="420" w:firstLineChars="200"/>
        <w:rPr>
          <w:rFonts w:ascii="宋体" w:hAnsi="宋体" w:cs="宋体"/>
          <w:szCs w:val="21"/>
          <w:highlight w:val="none"/>
        </w:rPr>
      </w:pPr>
      <w:r>
        <w:rPr>
          <w:rFonts w:hint="eastAsia" w:ascii="宋体" w:hAnsi="宋体" w:cs="宋体"/>
          <w:szCs w:val="21"/>
          <w:highlight w:val="none"/>
        </w:rPr>
        <w:t>（3）响应文件的资格证明文件缺少任一项“供应商须知前附表”资格证明文件规定的“必须提供”的文件资料的；</w:t>
      </w:r>
    </w:p>
    <w:p w14:paraId="6E2207DB">
      <w:pPr>
        <w:spacing w:line="360" w:lineRule="auto"/>
        <w:ind w:firstLine="420" w:firstLineChars="200"/>
        <w:rPr>
          <w:rFonts w:ascii="宋体" w:hAnsi="宋体" w:cs="宋体"/>
          <w:szCs w:val="21"/>
          <w:highlight w:val="none"/>
        </w:rPr>
      </w:pPr>
      <w:r>
        <w:rPr>
          <w:rFonts w:hint="eastAsia" w:ascii="宋体" w:hAnsi="宋体" w:cs="宋体"/>
          <w:szCs w:val="21"/>
          <w:highlight w:val="none"/>
        </w:rPr>
        <w:t>（4）响应文件中的资格证明文件出现任一项不符合“供应商须知前附表”资格证明文件规定的“必须提供”的文件资料要求或者无效的；</w:t>
      </w:r>
    </w:p>
    <w:p w14:paraId="2EB988E7">
      <w:pPr>
        <w:spacing w:line="360" w:lineRule="auto"/>
        <w:ind w:firstLine="420" w:firstLineChars="200"/>
        <w:rPr>
          <w:rFonts w:ascii="宋体" w:hAnsi="宋体" w:cs="宋体"/>
          <w:szCs w:val="21"/>
          <w:highlight w:val="none"/>
        </w:rPr>
      </w:pPr>
      <w:r>
        <w:rPr>
          <w:rFonts w:hint="eastAsia" w:ascii="宋体" w:hAnsi="宋体" w:cs="宋体"/>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7D34538B">
      <w:pPr>
        <w:spacing w:line="360" w:lineRule="auto"/>
        <w:ind w:firstLine="420" w:firstLineChars="200"/>
        <w:rPr>
          <w:rFonts w:ascii="宋体" w:hAnsi="宋体" w:cs="宋体"/>
          <w:szCs w:val="21"/>
          <w:highlight w:val="none"/>
        </w:rPr>
      </w:pPr>
      <w:r>
        <w:rPr>
          <w:rFonts w:hint="eastAsia" w:ascii="宋体" w:hAnsi="宋体" w:cs="宋体"/>
          <w:szCs w:val="21"/>
          <w:highlight w:val="none"/>
        </w:rPr>
        <w:t>1.4 通过资格审查的合格供应商不足 3 家的，不得进入符合性审查环节，采购人或者采购代理机构应当重新开展采购活动。</w:t>
      </w:r>
    </w:p>
    <w:p w14:paraId="0EC68CCA">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 符合性审查</w:t>
      </w:r>
    </w:p>
    <w:p w14:paraId="31CAE794">
      <w:pPr>
        <w:spacing w:line="360" w:lineRule="auto"/>
        <w:ind w:firstLine="420" w:firstLineChars="200"/>
        <w:rPr>
          <w:rFonts w:ascii="宋体" w:hAnsi="宋体" w:cs="宋体"/>
          <w:szCs w:val="21"/>
          <w:highlight w:val="none"/>
        </w:rPr>
      </w:pPr>
      <w:bookmarkStart w:id="61" w:name="_Hlk42528882"/>
      <w:r>
        <w:rPr>
          <w:rFonts w:hint="eastAsia" w:ascii="宋体" w:hAnsi="宋体" w:cs="宋体"/>
          <w:szCs w:val="21"/>
          <w:highlight w:val="none"/>
        </w:rPr>
        <w:t>2.1 由磋商小组对通过资格审查的合格供应商的响应文件的竞标报价、商务、技术等实质性要求进行符合性审查，以确定其是否满足磋商文件的实质性要求。</w:t>
      </w:r>
    </w:p>
    <w:bookmarkEnd w:id="61"/>
    <w:p w14:paraId="0841CF8B">
      <w:pPr>
        <w:spacing w:line="360" w:lineRule="auto"/>
        <w:ind w:firstLine="420" w:firstLineChars="200"/>
        <w:rPr>
          <w:rFonts w:ascii="宋体" w:hAnsi="宋体" w:cs="宋体"/>
          <w:szCs w:val="21"/>
          <w:highlight w:val="none"/>
        </w:rPr>
      </w:pPr>
      <w:r>
        <w:rPr>
          <w:rFonts w:hint="eastAsia" w:ascii="宋体" w:hAnsi="宋体" w:cs="宋体"/>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0017E62">
      <w:pPr>
        <w:spacing w:line="360" w:lineRule="auto"/>
        <w:ind w:firstLine="420" w:firstLineChars="200"/>
        <w:rPr>
          <w:rFonts w:ascii="宋体" w:hAnsi="宋体" w:cs="宋体"/>
          <w:szCs w:val="21"/>
          <w:highlight w:val="none"/>
        </w:rPr>
      </w:pPr>
      <w:r>
        <w:rPr>
          <w:rFonts w:hint="eastAsia" w:ascii="宋体" w:hAnsi="宋体" w:cs="宋体"/>
          <w:szCs w:val="21"/>
          <w:highlight w:val="none"/>
        </w:rPr>
        <w:t>2.3 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签章。</w:t>
      </w:r>
    </w:p>
    <w:p w14:paraId="73DE8B11">
      <w:pPr>
        <w:spacing w:line="360" w:lineRule="auto"/>
        <w:ind w:firstLine="420" w:firstLineChars="200"/>
        <w:rPr>
          <w:rFonts w:ascii="宋体" w:hAnsi="宋体" w:cs="宋体"/>
          <w:spacing w:val="-6"/>
          <w:szCs w:val="21"/>
          <w:highlight w:val="none"/>
        </w:rPr>
      </w:pPr>
      <w:r>
        <w:rPr>
          <w:rFonts w:hint="eastAsia" w:ascii="宋体" w:hAnsi="宋体" w:cs="宋体"/>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7D635161">
      <w:pPr>
        <w:spacing w:line="360" w:lineRule="auto"/>
        <w:ind w:firstLine="396" w:firstLineChars="200"/>
        <w:rPr>
          <w:rFonts w:ascii="宋体" w:hAnsi="宋体" w:cs="宋体"/>
          <w:szCs w:val="21"/>
          <w:highlight w:val="none"/>
        </w:rPr>
      </w:pPr>
      <w:r>
        <w:rPr>
          <w:rFonts w:hint="eastAsia" w:ascii="宋体" w:hAnsi="宋体" w:cs="宋体"/>
          <w:spacing w:val="-6"/>
          <w:szCs w:val="21"/>
          <w:highlight w:val="none"/>
        </w:rPr>
        <w:t xml:space="preserve">2.4 </w:t>
      </w:r>
      <w:r>
        <w:rPr>
          <w:rFonts w:hint="eastAsia" w:ascii="宋体" w:hAnsi="宋体" w:cs="宋体"/>
          <w:szCs w:val="21"/>
          <w:highlight w:val="none"/>
        </w:rPr>
        <w:t>首次响应文件报价出现前后不一致的，按照下列规定修正：</w:t>
      </w:r>
    </w:p>
    <w:p w14:paraId="08FA1043">
      <w:pPr>
        <w:spacing w:line="360" w:lineRule="auto"/>
        <w:ind w:firstLine="420" w:firstLineChars="200"/>
        <w:rPr>
          <w:rFonts w:ascii="宋体" w:hAnsi="宋体" w:cs="宋体"/>
          <w:szCs w:val="21"/>
          <w:highlight w:val="none"/>
        </w:rPr>
      </w:pPr>
      <w:r>
        <w:rPr>
          <w:rFonts w:hint="eastAsia" w:ascii="宋体" w:hAnsi="宋体" w:cs="宋体"/>
          <w:szCs w:val="21"/>
          <w:highlight w:val="none"/>
        </w:rPr>
        <w:t>（1）响应文件中报价表内容与响应文件中相应内容不一致的，以报价表为准；</w:t>
      </w:r>
    </w:p>
    <w:p w14:paraId="5DB772C8">
      <w:pPr>
        <w:spacing w:line="360" w:lineRule="auto"/>
        <w:ind w:firstLine="420" w:firstLineChars="200"/>
        <w:rPr>
          <w:rFonts w:ascii="宋体" w:hAnsi="宋体" w:cs="宋体"/>
          <w:szCs w:val="21"/>
          <w:highlight w:val="none"/>
        </w:rPr>
      </w:pPr>
      <w:r>
        <w:rPr>
          <w:rFonts w:hint="eastAsia" w:ascii="宋体" w:hAnsi="宋体" w:cs="宋体"/>
          <w:szCs w:val="21"/>
          <w:highlight w:val="none"/>
        </w:rPr>
        <w:t>（2）大写金额和小写金额不一致的，以大写金额为准；</w:t>
      </w:r>
    </w:p>
    <w:p w14:paraId="2041B9E3">
      <w:pPr>
        <w:spacing w:line="360" w:lineRule="auto"/>
        <w:ind w:firstLine="420" w:firstLineChars="200"/>
        <w:rPr>
          <w:rFonts w:ascii="宋体" w:hAnsi="宋体" w:cs="宋体"/>
          <w:szCs w:val="21"/>
          <w:highlight w:val="none"/>
        </w:rPr>
      </w:pPr>
      <w:r>
        <w:rPr>
          <w:rFonts w:hint="eastAsia" w:ascii="宋体" w:hAnsi="宋体" w:cs="宋体"/>
          <w:szCs w:val="21"/>
          <w:highlight w:val="none"/>
        </w:rPr>
        <w:t>（3）单价金额小数点或者百分比有明显错位的，以报价表的总价为准，并修改单价；</w:t>
      </w:r>
    </w:p>
    <w:p w14:paraId="79EC33E2">
      <w:pPr>
        <w:spacing w:line="360" w:lineRule="auto"/>
        <w:ind w:firstLine="420" w:firstLineChars="200"/>
        <w:rPr>
          <w:rFonts w:ascii="宋体" w:hAnsi="宋体" w:cs="宋体"/>
          <w:szCs w:val="21"/>
          <w:highlight w:val="none"/>
        </w:rPr>
      </w:pPr>
      <w:r>
        <w:rPr>
          <w:rFonts w:hint="eastAsia" w:ascii="宋体" w:hAnsi="宋体" w:cs="宋体"/>
          <w:szCs w:val="21"/>
          <w:highlight w:val="none"/>
        </w:rPr>
        <w:t>（4）总价金额与按单价汇总金额不一致的，以单价金额计算结果为准。</w:t>
      </w:r>
    </w:p>
    <w:p w14:paraId="5BEC0EA9">
      <w:pPr>
        <w:spacing w:line="360" w:lineRule="auto"/>
        <w:ind w:firstLine="420" w:firstLineChars="200"/>
        <w:rPr>
          <w:rFonts w:ascii="宋体" w:hAnsi="宋体" w:cs="宋体"/>
          <w:szCs w:val="21"/>
          <w:highlight w:val="none"/>
        </w:rPr>
      </w:pPr>
      <w:r>
        <w:rPr>
          <w:rFonts w:hint="eastAsia" w:ascii="宋体" w:hAnsi="宋体" w:cs="宋体"/>
          <w:szCs w:val="21"/>
          <w:highlight w:val="none"/>
        </w:rPr>
        <w:t>同时出现两种以上不一致的，按照以上（1）-（4）规定的顺序逐条进行修正。修正后的报价经供应商确认后产生约束力，供应商不确认的，其响应文件按无效响应处理。</w:t>
      </w:r>
    </w:p>
    <w:p w14:paraId="27D4E4B4">
      <w:pPr>
        <w:spacing w:line="360" w:lineRule="auto"/>
        <w:ind w:firstLine="420" w:firstLineChars="200"/>
        <w:rPr>
          <w:rFonts w:ascii="宋体" w:hAnsi="宋体" w:cs="宋体"/>
          <w:szCs w:val="21"/>
          <w:highlight w:val="none"/>
        </w:rPr>
      </w:pPr>
      <w:r>
        <w:rPr>
          <w:rFonts w:hint="eastAsia" w:ascii="宋体" w:hAnsi="宋体" w:cs="宋体"/>
          <w:szCs w:val="21"/>
          <w:highlight w:val="none"/>
        </w:rPr>
        <w:t>2.5 商务技术报价评审</w:t>
      </w:r>
    </w:p>
    <w:p w14:paraId="2FF73FD7">
      <w:pPr>
        <w:spacing w:line="360" w:lineRule="auto"/>
        <w:ind w:firstLine="420" w:firstLineChars="200"/>
        <w:rPr>
          <w:rFonts w:ascii="宋体" w:hAnsi="宋体" w:cs="宋体"/>
          <w:szCs w:val="21"/>
          <w:highlight w:val="none"/>
        </w:rPr>
      </w:pPr>
      <w:r>
        <w:rPr>
          <w:rFonts w:hint="eastAsia" w:ascii="宋体" w:hAnsi="宋体" w:cs="宋体"/>
          <w:szCs w:val="21"/>
          <w:highlight w:val="none"/>
        </w:rPr>
        <w:t>在评审时，如发现下列情形之一的，将被视为响应文件无效处理：</w:t>
      </w:r>
    </w:p>
    <w:p w14:paraId="228FDA58">
      <w:pPr>
        <w:spacing w:line="360" w:lineRule="auto"/>
        <w:ind w:firstLine="420" w:firstLineChars="200"/>
        <w:rPr>
          <w:rFonts w:ascii="宋体" w:hAnsi="宋体" w:cs="宋体"/>
          <w:szCs w:val="21"/>
          <w:highlight w:val="none"/>
        </w:rPr>
      </w:pPr>
      <w:r>
        <w:rPr>
          <w:rFonts w:hint="eastAsia" w:ascii="宋体" w:hAnsi="宋体" w:cs="宋体"/>
          <w:szCs w:val="21"/>
          <w:highlight w:val="none"/>
        </w:rPr>
        <w:t>（1）商务技术评审</w:t>
      </w:r>
    </w:p>
    <w:p w14:paraId="6338284C">
      <w:pPr>
        <w:spacing w:line="360" w:lineRule="auto"/>
        <w:ind w:firstLine="420" w:firstLineChars="200"/>
        <w:rPr>
          <w:rFonts w:ascii="宋体" w:hAnsi="宋体" w:cs="宋体"/>
          <w:szCs w:val="21"/>
          <w:highlight w:val="none"/>
        </w:rPr>
      </w:pPr>
      <w:r>
        <w:rPr>
          <w:rFonts w:hint="eastAsia" w:ascii="宋体" w:hAnsi="宋体" w:cs="宋体"/>
          <w:szCs w:val="21"/>
          <w:highlight w:val="none"/>
        </w:rPr>
        <w:t>1）响应文件未按磋商文件要求签署、盖章；</w:t>
      </w:r>
    </w:p>
    <w:p w14:paraId="4D2F1064">
      <w:pPr>
        <w:spacing w:line="360" w:lineRule="auto"/>
        <w:ind w:firstLine="420" w:firstLineChars="200"/>
        <w:rPr>
          <w:rFonts w:ascii="宋体" w:hAnsi="宋体" w:cs="宋体"/>
          <w:szCs w:val="21"/>
          <w:highlight w:val="none"/>
        </w:rPr>
      </w:pPr>
      <w:r>
        <w:rPr>
          <w:rFonts w:hint="eastAsia" w:ascii="宋体" w:hAnsi="宋体" w:cs="宋体"/>
          <w:szCs w:val="21"/>
          <w:highlight w:val="none"/>
        </w:rPr>
        <w:t>2）委托代理人未能出具有效身份证或者出具的身份证与授权委托书中的信息不符的；</w:t>
      </w:r>
    </w:p>
    <w:p w14:paraId="3A036F68">
      <w:pPr>
        <w:spacing w:line="360" w:lineRule="auto"/>
        <w:ind w:firstLine="420" w:firstLineChars="200"/>
        <w:rPr>
          <w:rFonts w:ascii="宋体" w:hAnsi="宋体" w:cs="宋体"/>
          <w:szCs w:val="21"/>
          <w:highlight w:val="none"/>
        </w:rPr>
      </w:pPr>
      <w:r>
        <w:rPr>
          <w:rFonts w:hint="eastAsia" w:ascii="宋体" w:hAnsi="宋体" w:cs="宋体"/>
          <w:szCs w:val="21"/>
          <w:highlight w:val="none"/>
        </w:rPr>
        <w:t>3）提交的磋商保证金无效的或者未按照磋商文件的规定提交磋商保证金；</w:t>
      </w:r>
    </w:p>
    <w:p w14:paraId="6BA23A14">
      <w:pPr>
        <w:spacing w:line="360" w:lineRule="auto"/>
        <w:ind w:firstLine="420" w:firstLineChars="200"/>
        <w:rPr>
          <w:rFonts w:ascii="宋体" w:hAnsi="宋体" w:cs="宋体"/>
          <w:szCs w:val="21"/>
          <w:highlight w:val="none"/>
        </w:rPr>
      </w:pPr>
      <w:r>
        <w:rPr>
          <w:rFonts w:hint="eastAsia" w:ascii="宋体" w:hAnsi="宋体" w:cs="宋体"/>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082244F">
      <w:pPr>
        <w:spacing w:line="360" w:lineRule="auto"/>
        <w:ind w:firstLine="420" w:firstLineChars="200"/>
        <w:rPr>
          <w:rFonts w:ascii="宋体" w:hAnsi="宋体" w:cs="宋体"/>
          <w:szCs w:val="21"/>
          <w:highlight w:val="none"/>
        </w:rPr>
      </w:pPr>
      <w:r>
        <w:rPr>
          <w:rFonts w:hint="eastAsia" w:ascii="宋体" w:hAnsi="宋体" w:cs="宋体"/>
          <w:szCs w:val="21"/>
          <w:highlight w:val="none"/>
        </w:rPr>
        <w:t>5）商务要求允许负偏离的条款数超过“供应商须知前附表”规定项数的；</w:t>
      </w:r>
    </w:p>
    <w:p w14:paraId="0EF635C4">
      <w:pPr>
        <w:spacing w:line="360" w:lineRule="auto"/>
        <w:ind w:firstLine="420" w:firstLineChars="200"/>
        <w:rPr>
          <w:rFonts w:ascii="宋体" w:hAnsi="宋体" w:cs="宋体"/>
          <w:szCs w:val="21"/>
          <w:highlight w:val="none"/>
        </w:rPr>
      </w:pPr>
      <w:r>
        <w:rPr>
          <w:rFonts w:hint="eastAsia" w:ascii="宋体" w:hAnsi="宋体" w:cs="宋体"/>
          <w:szCs w:val="21"/>
          <w:highlight w:val="none"/>
        </w:rPr>
        <w:t>6）未对竞标有效期作出响应或者响应文件承诺的竞标有效期不满足磋商文件要求；</w:t>
      </w:r>
    </w:p>
    <w:p w14:paraId="2B4B90AC">
      <w:pPr>
        <w:spacing w:line="360" w:lineRule="auto"/>
        <w:ind w:firstLine="420" w:firstLineChars="200"/>
        <w:rPr>
          <w:rFonts w:ascii="宋体" w:hAnsi="宋体" w:cs="宋体"/>
          <w:szCs w:val="21"/>
          <w:highlight w:val="none"/>
        </w:rPr>
      </w:pPr>
      <w:r>
        <w:rPr>
          <w:rFonts w:hint="eastAsia" w:ascii="宋体" w:hAnsi="宋体" w:cs="宋体"/>
          <w:szCs w:val="21"/>
          <w:highlight w:val="none"/>
        </w:rPr>
        <w:t>7）响应文件的实质性内容未使用中文表述、使用计量单位不符合磋商文件要求；</w:t>
      </w:r>
    </w:p>
    <w:p w14:paraId="530922C0">
      <w:pPr>
        <w:spacing w:line="360" w:lineRule="auto"/>
        <w:ind w:firstLine="420" w:firstLineChars="200"/>
        <w:rPr>
          <w:rFonts w:ascii="宋体" w:hAnsi="宋体" w:cs="宋体"/>
          <w:szCs w:val="21"/>
          <w:highlight w:val="none"/>
        </w:rPr>
      </w:pPr>
      <w:r>
        <w:rPr>
          <w:rFonts w:hint="eastAsia" w:ascii="宋体" w:hAnsi="宋体" w:cs="宋体"/>
          <w:szCs w:val="21"/>
          <w:highlight w:val="none"/>
        </w:rPr>
        <w:t>8）响应文件中的文件资料因填写不齐全或者内容虚假或者出现其他情形而导致被磋商小组认定无效；</w:t>
      </w:r>
    </w:p>
    <w:p w14:paraId="4C07216C">
      <w:pPr>
        <w:spacing w:line="360" w:lineRule="auto"/>
        <w:ind w:firstLine="420" w:firstLineChars="200"/>
        <w:rPr>
          <w:rFonts w:ascii="宋体" w:hAnsi="宋体" w:cs="宋体"/>
          <w:szCs w:val="21"/>
          <w:highlight w:val="none"/>
        </w:rPr>
      </w:pPr>
      <w:r>
        <w:rPr>
          <w:rFonts w:hint="eastAsia" w:ascii="宋体" w:hAnsi="宋体" w:cs="宋体"/>
          <w:szCs w:val="21"/>
          <w:highlight w:val="none"/>
        </w:rPr>
        <w:t>9）响应文件含有采购人不能接受的附加条件；</w:t>
      </w:r>
    </w:p>
    <w:p w14:paraId="7E537343">
      <w:pPr>
        <w:spacing w:line="360" w:lineRule="auto"/>
        <w:ind w:firstLine="420" w:firstLineChars="200"/>
        <w:rPr>
          <w:rFonts w:ascii="宋体" w:hAnsi="宋体" w:cs="宋体"/>
          <w:szCs w:val="21"/>
          <w:highlight w:val="none"/>
        </w:rPr>
      </w:pPr>
      <w:r>
        <w:rPr>
          <w:rFonts w:hint="eastAsia" w:ascii="宋体" w:hAnsi="宋体" w:cs="宋体"/>
          <w:szCs w:val="21"/>
          <w:highlight w:val="none"/>
        </w:rPr>
        <w:t>10）属于“供应商须知正文”第 7.5 条情形；</w:t>
      </w:r>
    </w:p>
    <w:p w14:paraId="57F34978">
      <w:pPr>
        <w:spacing w:line="360" w:lineRule="auto"/>
        <w:ind w:firstLine="420" w:firstLineChars="200"/>
        <w:rPr>
          <w:rFonts w:ascii="宋体" w:hAnsi="宋体" w:cs="宋体"/>
          <w:szCs w:val="21"/>
          <w:highlight w:val="none"/>
        </w:rPr>
      </w:pPr>
      <w:r>
        <w:rPr>
          <w:rFonts w:hint="eastAsia" w:ascii="宋体" w:hAnsi="宋体" w:cs="宋体"/>
          <w:szCs w:val="21"/>
          <w:highlight w:val="none"/>
        </w:rPr>
        <w:t>11）技术要求允许负偏离的条款数超过“供应商须知前附表”规定项数；</w:t>
      </w:r>
    </w:p>
    <w:p w14:paraId="0360E5E7">
      <w:pPr>
        <w:spacing w:line="360" w:lineRule="auto"/>
        <w:ind w:firstLine="420" w:firstLineChars="200"/>
        <w:rPr>
          <w:rFonts w:ascii="宋体" w:hAnsi="宋体" w:cs="宋体"/>
          <w:szCs w:val="21"/>
          <w:highlight w:val="none"/>
        </w:rPr>
      </w:pPr>
      <w:r>
        <w:rPr>
          <w:rFonts w:hint="eastAsia" w:ascii="宋体" w:hAnsi="宋体" w:cs="宋体"/>
          <w:szCs w:val="21"/>
          <w:highlight w:val="none"/>
        </w:rPr>
        <w:t>12）虚假竞标，或者出现其他情形而导致被磋商小组认定无效；</w:t>
      </w:r>
    </w:p>
    <w:p w14:paraId="44AB4094">
      <w:pPr>
        <w:spacing w:line="360" w:lineRule="auto"/>
        <w:ind w:firstLine="420" w:firstLineChars="200"/>
        <w:rPr>
          <w:rFonts w:ascii="宋体" w:hAnsi="宋体" w:cs="宋体"/>
          <w:szCs w:val="21"/>
          <w:highlight w:val="none"/>
        </w:rPr>
      </w:pPr>
      <w:r>
        <w:rPr>
          <w:rFonts w:hint="eastAsia" w:ascii="宋体" w:hAnsi="宋体" w:cs="宋体"/>
          <w:szCs w:val="21"/>
          <w:highlight w:val="none"/>
        </w:rPr>
        <w:t>13）磋商文件未载明允许提供备选（替代）竞标方案或明确不允许提供备选（替代）竞标方案时，供应商提供了备选（替代）竞标方案的；</w:t>
      </w:r>
    </w:p>
    <w:p w14:paraId="04CA7D7D">
      <w:pPr>
        <w:spacing w:line="360" w:lineRule="auto"/>
        <w:ind w:firstLine="420" w:firstLineChars="200"/>
        <w:rPr>
          <w:rFonts w:ascii="宋体" w:hAnsi="宋体" w:cs="宋体"/>
          <w:szCs w:val="21"/>
          <w:highlight w:val="none"/>
        </w:rPr>
      </w:pPr>
      <w:r>
        <w:rPr>
          <w:rFonts w:hint="eastAsia" w:ascii="宋体" w:hAnsi="宋体" w:cs="宋体"/>
          <w:szCs w:val="21"/>
          <w:highlight w:val="none"/>
        </w:rPr>
        <w:t>14）响应文件标注的项目名称或者项目编号与磋商文件标注的项目名称或者项目编号不一致的；</w:t>
      </w:r>
    </w:p>
    <w:p w14:paraId="16F8236D">
      <w:pPr>
        <w:spacing w:line="360" w:lineRule="auto"/>
        <w:ind w:firstLine="420" w:firstLineChars="200"/>
        <w:rPr>
          <w:rFonts w:ascii="宋体" w:hAnsi="宋体" w:cs="宋体"/>
          <w:szCs w:val="21"/>
          <w:highlight w:val="none"/>
        </w:rPr>
      </w:pPr>
      <w:r>
        <w:rPr>
          <w:rFonts w:hint="eastAsia" w:ascii="宋体" w:hAnsi="宋体" w:cs="宋体"/>
          <w:szCs w:val="21"/>
          <w:highlight w:val="none"/>
        </w:rPr>
        <w:t>15）竞争性磋商文件明确不允许分包，响应文件拟分包的；</w:t>
      </w:r>
    </w:p>
    <w:p w14:paraId="67A7A844">
      <w:pPr>
        <w:spacing w:line="360" w:lineRule="auto"/>
        <w:ind w:firstLine="420" w:firstLineChars="200"/>
        <w:rPr>
          <w:rFonts w:ascii="宋体" w:hAnsi="宋体" w:cs="宋体"/>
          <w:szCs w:val="21"/>
          <w:highlight w:val="none"/>
        </w:rPr>
      </w:pPr>
      <w:r>
        <w:rPr>
          <w:rFonts w:hint="eastAsia" w:ascii="宋体" w:hAnsi="宋体" w:cs="宋体"/>
          <w:szCs w:val="21"/>
          <w:highlight w:val="none"/>
        </w:rPr>
        <w:t>16）未响应磋商文件实质性要求；</w:t>
      </w:r>
    </w:p>
    <w:p w14:paraId="4A8A28FE">
      <w:pPr>
        <w:spacing w:line="360" w:lineRule="auto"/>
        <w:ind w:firstLine="420" w:firstLineChars="200"/>
        <w:rPr>
          <w:rFonts w:ascii="宋体" w:hAnsi="宋体" w:cs="宋体"/>
          <w:szCs w:val="21"/>
          <w:highlight w:val="none"/>
        </w:rPr>
      </w:pPr>
      <w:r>
        <w:rPr>
          <w:rFonts w:hint="eastAsia" w:ascii="宋体" w:hAnsi="宋体" w:cs="宋体"/>
          <w:szCs w:val="21"/>
          <w:highlight w:val="none"/>
        </w:rPr>
        <w:t>17）法律、法规和磋商文件规定的其他无效情形。</w:t>
      </w:r>
    </w:p>
    <w:p w14:paraId="11DCC663">
      <w:pPr>
        <w:spacing w:line="360" w:lineRule="auto"/>
        <w:ind w:firstLine="420" w:firstLineChars="200"/>
        <w:rPr>
          <w:rFonts w:ascii="宋体" w:hAnsi="宋体" w:cs="宋体"/>
          <w:szCs w:val="21"/>
          <w:highlight w:val="none"/>
        </w:rPr>
      </w:pPr>
      <w:r>
        <w:rPr>
          <w:rFonts w:hint="eastAsia" w:ascii="宋体" w:hAnsi="宋体" w:cs="宋体"/>
          <w:szCs w:val="21"/>
          <w:highlight w:val="none"/>
        </w:rPr>
        <w:t>（2）报价评审</w:t>
      </w:r>
    </w:p>
    <w:p w14:paraId="73982B26">
      <w:pPr>
        <w:spacing w:line="360" w:lineRule="auto"/>
        <w:ind w:firstLine="420" w:firstLineChars="200"/>
        <w:rPr>
          <w:rFonts w:ascii="宋体" w:hAnsi="宋体" w:cs="宋体"/>
          <w:szCs w:val="21"/>
          <w:highlight w:val="none"/>
        </w:rPr>
      </w:pPr>
      <w:r>
        <w:rPr>
          <w:rFonts w:hint="eastAsia" w:ascii="宋体" w:hAnsi="宋体" w:cs="宋体"/>
          <w:szCs w:val="21"/>
          <w:highlight w:val="none"/>
        </w:rPr>
        <w:t>1） 响应文件未提供“供应商须知前附表” 报价文件中规定的“竞标报价表”；</w:t>
      </w:r>
    </w:p>
    <w:p w14:paraId="7F613F68">
      <w:pPr>
        <w:spacing w:line="360" w:lineRule="auto"/>
        <w:ind w:firstLine="420" w:firstLineChars="200"/>
        <w:rPr>
          <w:rFonts w:ascii="宋体" w:hAnsi="宋体" w:cs="宋体"/>
          <w:szCs w:val="21"/>
          <w:highlight w:val="none"/>
        </w:rPr>
      </w:pPr>
      <w:r>
        <w:rPr>
          <w:rFonts w:hint="eastAsia" w:ascii="宋体" w:hAnsi="宋体" w:cs="宋体"/>
          <w:szCs w:val="21"/>
          <w:highlight w:val="none"/>
        </w:rPr>
        <w:t>2）未采用人民币报价或者未按照磋商文件标明的币种报价；</w:t>
      </w:r>
    </w:p>
    <w:p w14:paraId="5B7063B0">
      <w:pPr>
        <w:spacing w:line="360" w:lineRule="auto"/>
        <w:ind w:firstLine="420" w:firstLineChars="200"/>
        <w:rPr>
          <w:rFonts w:ascii="宋体" w:hAnsi="宋体" w:cs="宋体"/>
          <w:szCs w:val="21"/>
          <w:highlight w:val="none"/>
        </w:rPr>
      </w:pPr>
      <w:r>
        <w:rPr>
          <w:rFonts w:hint="eastAsia" w:ascii="宋体" w:hAnsi="宋体" w:cs="宋体"/>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487848A4">
      <w:pPr>
        <w:spacing w:line="360" w:lineRule="auto"/>
        <w:ind w:firstLine="420" w:firstLineChars="200"/>
        <w:rPr>
          <w:rFonts w:ascii="宋体" w:hAnsi="宋体" w:cs="宋体"/>
          <w:szCs w:val="21"/>
          <w:highlight w:val="none"/>
        </w:rPr>
      </w:pPr>
      <w:r>
        <w:rPr>
          <w:rFonts w:hint="eastAsia" w:ascii="宋体" w:hAnsi="宋体" w:cs="宋体"/>
          <w:szCs w:val="21"/>
          <w:highlight w:val="none"/>
        </w:rPr>
        <w:t>4）竞标报价（包含首次报价、最后报价）超过所竞标分标规定的采购预算金额或者最高限价的（如本项目公布了最高限价）；竞标报价（包含首次报价、最后报价）超过磋商文件分项采购预算金额或者最高限价的（如本项目公布了最高限价）；</w:t>
      </w:r>
    </w:p>
    <w:p w14:paraId="52780546">
      <w:pPr>
        <w:spacing w:line="360" w:lineRule="auto"/>
        <w:ind w:firstLine="420" w:firstLineChars="200"/>
        <w:rPr>
          <w:rFonts w:ascii="宋体" w:hAnsi="宋体" w:cs="宋体"/>
          <w:szCs w:val="21"/>
          <w:highlight w:val="none"/>
        </w:rPr>
      </w:pPr>
      <w:r>
        <w:rPr>
          <w:rFonts w:hint="eastAsia" w:ascii="宋体" w:hAnsi="宋体" w:cs="宋体"/>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6D4D5820">
      <w:pPr>
        <w:spacing w:line="360" w:lineRule="auto"/>
        <w:ind w:firstLine="420" w:firstLineChars="200"/>
        <w:rPr>
          <w:rFonts w:ascii="宋体" w:hAnsi="宋体" w:cs="宋体"/>
          <w:szCs w:val="21"/>
          <w:highlight w:val="none"/>
        </w:rPr>
      </w:pPr>
      <w:r>
        <w:rPr>
          <w:rFonts w:hint="eastAsia" w:ascii="宋体" w:hAnsi="宋体" w:cs="宋体"/>
          <w:szCs w:val="21"/>
          <w:highlight w:val="none"/>
        </w:rPr>
        <w:t>6）响应文件响应的标的数量及单位与竞争性磋商采购文件要求实质性不一致的。</w:t>
      </w:r>
    </w:p>
    <w:p w14:paraId="07D4C360">
      <w:pPr>
        <w:spacing w:line="360" w:lineRule="auto"/>
        <w:ind w:firstLine="420" w:firstLineChars="200"/>
        <w:rPr>
          <w:rFonts w:ascii="宋体" w:hAnsi="宋体" w:cs="宋体"/>
          <w:szCs w:val="21"/>
          <w:highlight w:val="none"/>
        </w:rPr>
      </w:pPr>
      <w:r>
        <w:rPr>
          <w:rFonts w:hint="eastAsia" w:ascii="宋体" w:hAnsi="宋体" w:cs="宋体"/>
          <w:szCs w:val="21"/>
          <w:highlight w:val="none"/>
        </w:rPr>
        <w:t>2.6 磋商小组对响应文件进行评审，未实质性响应磋商文件的响应文件按无效处理，磋商小组应当将资格和符合性不通过的情况告知有关供应商。磋商小组从符合磋商文件规定的相应资格条件的供应商名单中确定不少于 3 家的供应商参加磋商。</w:t>
      </w:r>
    </w:p>
    <w:p w14:paraId="7FCE1BC6">
      <w:pPr>
        <w:spacing w:line="360" w:lineRule="auto"/>
        <w:ind w:firstLine="420" w:firstLineChars="200"/>
        <w:rPr>
          <w:rFonts w:ascii="宋体" w:hAnsi="宋体" w:cs="宋体"/>
          <w:szCs w:val="21"/>
          <w:highlight w:val="none"/>
        </w:rPr>
      </w:pPr>
      <w:r>
        <w:rPr>
          <w:rFonts w:hint="eastAsia" w:ascii="宋体" w:hAnsi="宋体" w:cs="宋体"/>
          <w:szCs w:val="21"/>
          <w:highlight w:val="none"/>
        </w:rPr>
        <w:t>2.7 通过符合性审查的合格供应商不足 3 家的，不得进入磋商环节，采购人或者采购代理机构应当重新开展采购活动。</w:t>
      </w:r>
    </w:p>
    <w:p w14:paraId="7A3C516C">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 磋商</w:t>
      </w:r>
    </w:p>
    <w:p w14:paraId="2B6C799E">
      <w:pPr>
        <w:tabs>
          <w:tab w:val="left" w:pos="2835"/>
        </w:tabs>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3.1 磋商小组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4FEFE37">
      <w:pPr>
        <w:tabs>
          <w:tab w:val="left" w:pos="2835"/>
        </w:tabs>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3.2 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D017768">
      <w:pPr>
        <w:tabs>
          <w:tab w:val="left" w:pos="2835"/>
        </w:tabs>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3.3 对磋商文件作出的实质性变动是磋商文件的有效组成部分，由磋商小组及时以电子澄清函形式同时通知所有参加磋商的供应商。</w:t>
      </w:r>
    </w:p>
    <w:p w14:paraId="10273915">
      <w:pPr>
        <w:tabs>
          <w:tab w:val="left" w:pos="2835"/>
        </w:tabs>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3.4 供应商必须按照磋商文件的变动情况和磋商小组的要求以回函的形式重新提交响应文件，并加盖电子签章。参加磋商的供应商未在规定时间内重新提交响应文件的，视同退出磋商，其响应文件按无效处理。</w:t>
      </w:r>
    </w:p>
    <w:p w14:paraId="5C6B3206">
      <w:pPr>
        <w:tabs>
          <w:tab w:val="left" w:pos="2835"/>
        </w:tabs>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3.5 磋商中，磋商的任何一方不得透露与磋商有关的其他供应商的技术资料、价格和其他信息。</w:t>
      </w:r>
    </w:p>
    <w:p w14:paraId="49AD5265">
      <w:pPr>
        <w:tabs>
          <w:tab w:val="left" w:pos="2835"/>
        </w:tabs>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3.6 采购代理机构对磋商过程和重要磋商内容进行记录。</w:t>
      </w:r>
    </w:p>
    <w:p w14:paraId="161D1C03">
      <w:pPr>
        <w:tabs>
          <w:tab w:val="left" w:pos="2835"/>
        </w:tabs>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3.7 根据《财政部关于政府采购竞争性磋商采购方式管理暂行办法有关问题的补充通知》（财库〔2015〕124 号）的规定，采用竞争性磋商采购方式采购的政府购买服务项目（含政府和社会资本合作项目），在采购过程中符合要求的供应商（社会资本）只有 2 家的，竞争性磋商采购活动可以继续进行。采购过程中符合要求的供应商（社会资本）只有 1 家的，采购人（项目实施机构）或者采购代理机构应当终止竞争性磋商采购活动，发布项目终止公告并说明原因，重新开展采购活动。</w:t>
      </w:r>
    </w:p>
    <w:p w14:paraId="0EB16094">
      <w:pPr>
        <w:tabs>
          <w:tab w:val="left" w:pos="2835"/>
        </w:tabs>
        <w:spacing w:line="360" w:lineRule="auto"/>
        <w:ind w:firstLine="420" w:firstLineChars="200"/>
        <w:rPr>
          <w:rFonts w:ascii="宋体" w:hAnsi="宋体" w:cs="宋体"/>
          <w:szCs w:val="21"/>
          <w:highlight w:val="none"/>
        </w:rPr>
      </w:pPr>
      <w:r>
        <w:rPr>
          <w:rFonts w:hint="eastAsia" w:ascii="宋体" w:hAnsi="宋体" w:cs="宋体"/>
          <w:kern w:val="0"/>
          <w:szCs w:val="21"/>
          <w:highlight w:val="none"/>
        </w:rPr>
        <w:t>3.8 除本章第 3.7 条情形外，对磋商过程提交的响应文件进行有效性、完整性和响应程度审查，通过审查的合格供应商不足 3 家的，采购人或者采购代理机构应当重新开展采购活动。</w:t>
      </w:r>
    </w:p>
    <w:p w14:paraId="3DD58AE9">
      <w:pPr>
        <w:spacing w:line="360" w:lineRule="auto"/>
        <w:ind w:firstLine="482" w:firstLineChars="200"/>
        <w:rPr>
          <w:rFonts w:ascii="宋体" w:hAnsi="宋体" w:cs="宋体"/>
          <w:szCs w:val="21"/>
          <w:highlight w:val="none"/>
        </w:rPr>
      </w:pPr>
      <w:r>
        <w:rPr>
          <w:rFonts w:hint="eastAsia" w:ascii="宋体" w:hAnsi="宋体" w:cs="宋体"/>
          <w:b/>
          <w:bCs/>
          <w:sz w:val="24"/>
          <w:highlight w:val="none"/>
        </w:rPr>
        <w:t>4. 最后报价</w:t>
      </w:r>
    </w:p>
    <w:p w14:paraId="2A3CBDE9">
      <w:pPr>
        <w:spacing w:line="360" w:lineRule="auto"/>
        <w:ind w:firstLine="420" w:firstLineChars="200"/>
        <w:rPr>
          <w:rFonts w:ascii="宋体" w:hAnsi="宋体" w:cs="宋体"/>
          <w:szCs w:val="21"/>
          <w:highlight w:val="none"/>
        </w:rPr>
      </w:pPr>
      <w:r>
        <w:rPr>
          <w:rFonts w:hint="eastAsia" w:ascii="宋体" w:hAnsi="宋体" w:cs="宋体"/>
          <w:szCs w:val="21"/>
          <w:highlight w:val="none"/>
        </w:rPr>
        <w:t>4.1 磋商文件能够详细列明采购标的的技术、服务要求的，磋商结束后，磋商小组应当要求所有继续参加磋商的供应商在规定时间内在“广西政府采购云平台”平台开标大厅提交最后报价，除本章第 4.3条外，提交最后报价的供应商不得少于 3 家，否则必须重新采购。</w:t>
      </w:r>
    </w:p>
    <w:p w14:paraId="5D1CB0E4">
      <w:pPr>
        <w:spacing w:line="360" w:lineRule="auto"/>
        <w:ind w:firstLine="420" w:firstLineChars="200"/>
        <w:rPr>
          <w:rFonts w:ascii="宋体" w:hAnsi="宋体" w:cs="宋体"/>
          <w:szCs w:val="21"/>
          <w:highlight w:val="none"/>
        </w:rPr>
      </w:pPr>
      <w:r>
        <w:rPr>
          <w:rFonts w:hint="eastAsia" w:ascii="宋体" w:hAnsi="宋体" w:cs="宋体"/>
          <w:szCs w:val="21"/>
          <w:highlight w:val="none"/>
        </w:rPr>
        <w:t>4.2 磋商文件不能详细列明采购标的的技术、服务要求，需经磋商由供应商提供最后设计方案或者解决方案的，磋商结束后，由磋商小组按照少数服从多数的原则投票推荐 3 家以上供应商的设计方案或者解决方案，并要求其在规定时间内在“广西政府采购云平台”平台开标大厅提交最后报价。</w:t>
      </w:r>
    </w:p>
    <w:p w14:paraId="35014D24">
      <w:pPr>
        <w:spacing w:line="360" w:lineRule="auto"/>
        <w:ind w:firstLine="420" w:firstLineChars="200"/>
        <w:rPr>
          <w:rFonts w:ascii="宋体" w:hAnsi="宋体" w:cs="宋体"/>
          <w:szCs w:val="21"/>
          <w:highlight w:val="none"/>
        </w:rPr>
      </w:pPr>
      <w:r>
        <w:rPr>
          <w:rFonts w:hint="eastAsia" w:ascii="宋体" w:hAnsi="宋体" w:cs="宋体"/>
          <w:szCs w:val="21"/>
          <w:highlight w:val="none"/>
        </w:rPr>
        <w:t>4.3 最后报价是供应商响应文件的有效组成部分。符合《政府采购竞争性磋商采购方式管理暂行办法》（财库〔2014〕214 号）第三条第四项“市场竞争不充分的科研项目，以及需要扶持的科技成果转化项目”和本章第 3.7 条情形的，提交最后报价的供应商可以为 2 家。</w:t>
      </w:r>
    </w:p>
    <w:p w14:paraId="095FA517">
      <w:pPr>
        <w:spacing w:line="360" w:lineRule="auto"/>
        <w:ind w:firstLine="420" w:firstLineChars="200"/>
        <w:rPr>
          <w:rFonts w:ascii="宋体" w:hAnsi="宋体" w:cs="宋体"/>
          <w:szCs w:val="21"/>
          <w:highlight w:val="none"/>
        </w:rPr>
      </w:pPr>
      <w:r>
        <w:rPr>
          <w:rFonts w:hint="eastAsia" w:ascii="宋体" w:hAnsi="宋体" w:cs="宋体"/>
          <w:szCs w:val="21"/>
          <w:highlight w:val="none"/>
        </w:rPr>
        <w:t>4.4 已经提交响应文件的供应商，在提交最后报价之前，可以根据磋商情况退出磋商，退出磋商的供应商的响应文件按无效响应处理。采购人、采购代理机构将退还退出磋商的供应商的保证金。</w:t>
      </w:r>
    </w:p>
    <w:p w14:paraId="2C782C5F">
      <w:pPr>
        <w:spacing w:line="360" w:lineRule="auto"/>
        <w:ind w:firstLine="420" w:firstLineChars="200"/>
        <w:rPr>
          <w:rFonts w:ascii="宋体" w:hAnsi="宋体" w:cs="宋体"/>
          <w:szCs w:val="21"/>
          <w:highlight w:val="none"/>
        </w:rPr>
      </w:pPr>
      <w:r>
        <w:rPr>
          <w:rFonts w:hint="eastAsia" w:ascii="宋体" w:hAnsi="宋体" w:cs="宋体"/>
          <w:szCs w:val="21"/>
          <w:highlight w:val="none"/>
        </w:rPr>
        <w:t>4.5 供应商未在规定时间内提交最后报价的，视同退出磋商，其响应文件按无效处理。</w:t>
      </w:r>
    </w:p>
    <w:p w14:paraId="03863588">
      <w:pPr>
        <w:spacing w:line="360" w:lineRule="auto"/>
        <w:ind w:firstLine="420" w:firstLineChars="200"/>
        <w:rPr>
          <w:rFonts w:ascii="宋体" w:hAnsi="宋体" w:cs="宋体"/>
          <w:szCs w:val="21"/>
          <w:highlight w:val="none"/>
        </w:rPr>
      </w:pPr>
      <w:r>
        <w:rPr>
          <w:rFonts w:hint="eastAsia" w:ascii="宋体" w:hAnsi="宋体" w:cs="宋体"/>
          <w:szCs w:val="21"/>
          <w:highlight w:val="none"/>
        </w:rPr>
        <w:t>4.6 最后报价统一开启后，磋商小组对最后报价进行有效性、完整性和响应程度的审查。</w:t>
      </w:r>
    </w:p>
    <w:p w14:paraId="2AD03C41">
      <w:pPr>
        <w:spacing w:line="360" w:lineRule="auto"/>
        <w:ind w:firstLine="420" w:firstLineChars="200"/>
        <w:rPr>
          <w:rFonts w:ascii="宋体" w:hAnsi="宋体" w:cs="宋体"/>
          <w:szCs w:val="21"/>
          <w:highlight w:val="none"/>
        </w:rPr>
      </w:pPr>
      <w:r>
        <w:rPr>
          <w:rFonts w:hint="eastAsia" w:ascii="宋体" w:hAnsi="宋体" w:cs="宋体"/>
          <w:szCs w:val="21"/>
          <w:highlight w:val="none"/>
        </w:rPr>
        <w:t>4.7 最后报价出现前后不一致的，按照本章第 2.4 条的规定修正。</w:t>
      </w:r>
    </w:p>
    <w:p w14:paraId="516340D6">
      <w:pPr>
        <w:spacing w:line="360" w:lineRule="auto"/>
        <w:ind w:firstLine="420" w:firstLineChars="200"/>
        <w:rPr>
          <w:rFonts w:ascii="宋体" w:hAnsi="宋体" w:cs="宋体"/>
          <w:szCs w:val="21"/>
          <w:highlight w:val="none"/>
        </w:rPr>
      </w:pPr>
      <w:r>
        <w:rPr>
          <w:rFonts w:hint="eastAsia" w:ascii="宋体" w:hAnsi="宋体" w:cs="宋体"/>
          <w:szCs w:val="21"/>
          <w:highlight w:val="none"/>
        </w:rPr>
        <w:t>4.8 修正后的报价出现下列情形的，按无效响应处理：</w:t>
      </w:r>
    </w:p>
    <w:p w14:paraId="6AD1CD92">
      <w:pPr>
        <w:spacing w:line="360" w:lineRule="auto"/>
        <w:ind w:firstLine="420" w:firstLineChars="200"/>
        <w:rPr>
          <w:rFonts w:ascii="宋体" w:hAnsi="宋体" w:cs="宋体"/>
          <w:szCs w:val="21"/>
          <w:highlight w:val="none"/>
        </w:rPr>
      </w:pPr>
      <w:r>
        <w:rPr>
          <w:rFonts w:hint="eastAsia" w:ascii="宋体" w:hAnsi="宋体" w:cs="宋体"/>
          <w:szCs w:val="21"/>
          <w:highlight w:val="none"/>
        </w:rPr>
        <w:t>（1）供应商不确认的（全流程电子化评标采取在线确认）；</w:t>
      </w:r>
    </w:p>
    <w:p w14:paraId="5364419C">
      <w:pPr>
        <w:spacing w:line="360" w:lineRule="auto"/>
        <w:ind w:firstLine="420" w:firstLineChars="200"/>
        <w:rPr>
          <w:rFonts w:ascii="宋体" w:hAnsi="宋体" w:cs="宋体"/>
          <w:szCs w:val="21"/>
          <w:highlight w:val="none"/>
        </w:rPr>
      </w:pPr>
      <w:r>
        <w:rPr>
          <w:rFonts w:hint="eastAsia" w:ascii="宋体" w:hAnsi="宋体" w:cs="宋体"/>
          <w:szCs w:val="21"/>
          <w:highlight w:val="none"/>
        </w:rPr>
        <w:t>（2）经供应商确认修正后的竞标报价（包含首次报价、最后报价）超过所竞标分标规定的采购预算金额或者最高限价的（如本项目公布了最高限价）；</w:t>
      </w:r>
    </w:p>
    <w:p w14:paraId="521D3F81">
      <w:pPr>
        <w:spacing w:line="360" w:lineRule="auto"/>
        <w:ind w:firstLine="420" w:firstLineChars="200"/>
        <w:rPr>
          <w:rFonts w:ascii="宋体" w:hAnsi="宋体" w:cs="宋体"/>
          <w:szCs w:val="21"/>
          <w:highlight w:val="none"/>
        </w:rPr>
      </w:pPr>
      <w:r>
        <w:rPr>
          <w:rFonts w:hint="eastAsia" w:ascii="宋体" w:hAnsi="宋体" w:cs="宋体"/>
          <w:szCs w:val="21"/>
          <w:highlight w:val="none"/>
        </w:rPr>
        <w:t>（3）经供应商确认修正后的竞标报价（包含首次报价、最后报价）超过分项采购预算金额或者最高限价的（如本项目公布了最高限价）。</w:t>
      </w:r>
    </w:p>
    <w:p w14:paraId="4FB82995">
      <w:pPr>
        <w:spacing w:line="360" w:lineRule="auto"/>
        <w:ind w:firstLine="420" w:firstLineChars="200"/>
        <w:rPr>
          <w:rFonts w:ascii="宋体" w:hAnsi="宋体" w:cs="宋体"/>
          <w:szCs w:val="21"/>
          <w:highlight w:val="none"/>
        </w:rPr>
      </w:pPr>
      <w:r>
        <w:rPr>
          <w:rFonts w:hint="eastAsia" w:ascii="宋体" w:hAnsi="宋体" w:cs="宋体"/>
          <w:szCs w:val="21"/>
          <w:highlight w:val="none"/>
        </w:rPr>
        <w:t>4.9 经供应商确认修正后的最后报价作为评审及签订合同的依据。</w:t>
      </w:r>
    </w:p>
    <w:p w14:paraId="00D55C0B">
      <w:pPr>
        <w:spacing w:line="360" w:lineRule="auto"/>
        <w:ind w:firstLine="420" w:firstLineChars="200"/>
        <w:rPr>
          <w:rFonts w:ascii="宋体" w:hAnsi="宋体" w:cs="宋体"/>
          <w:szCs w:val="21"/>
          <w:highlight w:val="none"/>
        </w:rPr>
      </w:pPr>
      <w:r>
        <w:rPr>
          <w:rFonts w:hint="eastAsia" w:ascii="宋体" w:hAnsi="宋体" w:cs="宋体"/>
          <w:szCs w:val="21"/>
          <w:highlight w:val="none"/>
        </w:rPr>
        <w:t>4.10 最后报价结束后，磋商小组不得再与供应商进行任何形式的商谈。</w:t>
      </w:r>
    </w:p>
    <w:p w14:paraId="2489B27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5. 比较与评价</w:t>
      </w:r>
    </w:p>
    <w:p w14:paraId="2B0AC1C1">
      <w:pPr>
        <w:spacing w:line="360" w:lineRule="auto"/>
        <w:ind w:firstLine="420" w:firstLineChars="200"/>
        <w:rPr>
          <w:rFonts w:ascii="宋体" w:hAnsi="宋体" w:cs="宋体"/>
          <w:szCs w:val="21"/>
          <w:highlight w:val="none"/>
        </w:rPr>
      </w:pPr>
      <w:r>
        <w:rPr>
          <w:rFonts w:hint="eastAsia" w:ascii="宋体" w:hAnsi="宋体" w:cs="宋体"/>
          <w:szCs w:val="21"/>
          <w:highlight w:val="none"/>
        </w:rPr>
        <w:t>5.1 评审方法：综合评分法。</w:t>
      </w:r>
    </w:p>
    <w:p w14:paraId="7634DADB">
      <w:pPr>
        <w:spacing w:line="360" w:lineRule="auto"/>
        <w:ind w:firstLine="420" w:firstLineChars="200"/>
        <w:rPr>
          <w:rFonts w:ascii="宋体" w:hAnsi="宋体" w:cs="宋体"/>
          <w:szCs w:val="21"/>
          <w:highlight w:val="none"/>
        </w:rPr>
      </w:pPr>
      <w:r>
        <w:rPr>
          <w:rFonts w:hint="eastAsia" w:ascii="宋体" w:hAnsi="宋体" w:cs="宋体"/>
          <w:szCs w:val="21"/>
          <w:highlight w:val="none"/>
        </w:rPr>
        <w:t>5.2 经磋商确定最终采购需求和提交最后报价的供应商后，由磋商小组采用综合评分法对提交最后报价的供应商的响应文件和最后报价进行综合评分。</w:t>
      </w:r>
    </w:p>
    <w:p w14:paraId="473E5317">
      <w:pPr>
        <w:spacing w:line="360" w:lineRule="auto"/>
        <w:ind w:firstLine="420" w:firstLineChars="200"/>
        <w:rPr>
          <w:rFonts w:ascii="宋体" w:hAnsi="宋体" w:cs="宋体"/>
          <w:szCs w:val="21"/>
          <w:highlight w:val="none"/>
        </w:rPr>
      </w:pPr>
      <w:r>
        <w:rPr>
          <w:rFonts w:hint="eastAsia" w:ascii="宋体" w:hAnsi="宋体" w:cs="宋体"/>
          <w:szCs w:val="21"/>
          <w:highlight w:val="none"/>
        </w:rPr>
        <w:t>5.3 评审时，磋商小组各成员应当独立对每个有效响应的文件进行评价、打分，然后汇总每个供应商每项评分因素的得分。</w:t>
      </w:r>
    </w:p>
    <w:p w14:paraId="77F0BD2D">
      <w:pPr>
        <w:spacing w:line="360" w:lineRule="auto"/>
        <w:ind w:firstLine="420" w:firstLineChars="200"/>
        <w:rPr>
          <w:rFonts w:ascii="宋体" w:hAnsi="宋体" w:cs="宋体"/>
          <w:szCs w:val="21"/>
          <w:highlight w:val="none"/>
        </w:rPr>
      </w:pPr>
      <w:r>
        <w:rPr>
          <w:rFonts w:hint="eastAsia" w:ascii="宋体" w:hAnsi="宋体" w:cs="宋体"/>
          <w:szCs w:val="21"/>
          <w:highlight w:val="none"/>
        </w:rPr>
        <w:t>（1）磋商小组按照磋商文件中规定的评审标准计算各供应商的报价得分。项目评审过程中，不得去掉最后报价中的最高报价和最低报价。</w:t>
      </w:r>
    </w:p>
    <w:p w14:paraId="11E92125">
      <w:pPr>
        <w:spacing w:line="360" w:lineRule="auto"/>
        <w:ind w:firstLine="420" w:firstLineChars="200"/>
        <w:rPr>
          <w:rFonts w:ascii="宋体" w:hAnsi="宋体" w:cs="宋体"/>
          <w:szCs w:val="21"/>
          <w:highlight w:val="none"/>
        </w:rPr>
      </w:pPr>
      <w:r>
        <w:rPr>
          <w:rFonts w:hint="eastAsia" w:ascii="宋体" w:hAnsi="宋体" w:cs="宋体"/>
          <w:szCs w:val="21"/>
          <w:highlight w:val="none"/>
        </w:rPr>
        <w:t>（2）各供应商的得分为磋商小组所有成员的有效评分的算术平均数。</w:t>
      </w:r>
    </w:p>
    <w:p w14:paraId="3E152161">
      <w:pPr>
        <w:spacing w:line="360" w:lineRule="auto"/>
        <w:ind w:firstLine="420" w:firstLineChars="200"/>
        <w:rPr>
          <w:rFonts w:ascii="宋体" w:hAnsi="宋体" w:cs="宋体"/>
          <w:szCs w:val="21"/>
          <w:highlight w:val="none"/>
        </w:rPr>
      </w:pPr>
      <w:r>
        <w:rPr>
          <w:rFonts w:hint="eastAsia" w:ascii="宋体" w:hAnsi="宋体" w:cs="宋体"/>
          <w:szCs w:val="21"/>
          <w:highlight w:val="none"/>
        </w:rPr>
        <w:t>5.4 评审价为供应商的最后报价进行政策性扣除后的价格，评审价只是作为评审时使用。最终成交供应商的成交金额等于最后报价（如有修正，以确认修正后的最后报价为准）。</w:t>
      </w:r>
    </w:p>
    <w:p w14:paraId="6690BBCB">
      <w:pPr>
        <w:spacing w:line="360" w:lineRule="auto"/>
        <w:ind w:firstLine="420" w:firstLineChars="200"/>
        <w:rPr>
          <w:rFonts w:ascii="宋体" w:hAnsi="宋体" w:cs="宋体"/>
          <w:kern w:val="0"/>
          <w:szCs w:val="21"/>
          <w:highlight w:val="none"/>
        </w:rPr>
      </w:pPr>
      <w:r>
        <w:rPr>
          <w:rFonts w:hint="eastAsia" w:ascii="宋体" w:hAnsi="宋体" w:cs="宋体"/>
          <w:szCs w:val="21"/>
          <w:highlight w:val="none"/>
        </w:rPr>
        <w:t>5.5 由磋商小组根据综合评分情况，按照评审得分由高到低顺序推荐 3 名以上成交候选供应商，并编写评</w:t>
      </w:r>
      <w:r>
        <w:rPr>
          <w:rFonts w:hint="eastAsia" w:ascii="宋体" w:hAnsi="宋体" w:cs="宋体"/>
          <w:kern w:val="0"/>
          <w:szCs w:val="21"/>
          <w:highlight w:val="none"/>
        </w:rPr>
        <w:t>审报告。符合本章第 4.3 条情形的，可以推荐 2 家成交候选供应商。评审得分相同的，按照最后报价由低到高的顺序推荐。评审得分且最后报价相同的，按照技术指标优劣顺序推荐。</w:t>
      </w:r>
    </w:p>
    <w:p w14:paraId="0ED5836D">
      <w:pPr>
        <w:spacing w:line="360" w:lineRule="auto"/>
        <w:ind w:firstLine="420" w:firstLineChars="200"/>
        <w:rPr>
          <w:rFonts w:ascii="宋体" w:hAnsi="宋体" w:cs="宋体"/>
          <w:szCs w:val="21"/>
          <w:highlight w:val="none"/>
        </w:rPr>
      </w:pPr>
      <w:r>
        <w:rPr>
          <w:rFonts w:hint="eastAsia" w:ascii="宋体" w:hAnsi="宋体" w:cs="宋体"/>
          <w:kern w:val="0"/>
          <w:szCs w:val="21"/>
          <w:highlight w:val="none"/>
        </w:rPr>
        <w:t>5.6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EC9766B">
      <w:pPr>
        <w:spacing w:line="360" w:lineRule="auto"/>
        <w:jc w:val="center"/>
        <w:rPr>
          <w:rFonts w:ascii="宋体" w:hAnsi="宋体" w:cs="宋体"/>
          <w:b/>
          <w:sz w:val="32"/>
          <w:szCs w:val="32"/>
          <w:highlight w:val="none"/>
        </w:rPr>
      </w:pPr>
      <w:r>
        <w:rPr>
          <w:rFonts w:hint="eastAsia" w:ascii="宋体" w:hAnsi="宋体" w:cs="宋体"/>
          <w:b/>
          <w:sz w:val="32"/>
          <w:szCs w:val="32"/>
          <w:highlight w:val="none"/>
        </w:rPr>
        <w:br w:type="page"/>
      </w:r>
      <w:r>
        <w:rPr>
          <w:rFonts w:hint="eastAsia" w:ascii="宋体" w:hAnsi="宋体" w:cs="宋体"/>
          <w:b/>
          <w:sz w:val="32"/>
          <w:szCs w:val="32"/>
          <w:highlight w:val="none"/>
        </w:rPr>
        <w:t>二、评审标准</w:t>
      </w:r>
    </w:p>
    <w:p w14:paraId="4E659BB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6.评审依据：</w:t>
      </w:r>
    </w:p>
    <w:p w14:paraId="63EE1CE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6.1资格审查和符合性审查</w:t>
      </w:r>
    </w:p>
    <w:p w14:paraId="49FB7757">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（1）对响应文件进行资格审查和符合性审查：</w:t>
      </w:r>
    </w:p>
    <w:p w14:paraId="5D17E5AF">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（2）只有通过了资格审查和符合性审查，被判定为合格的竞标人可进入综合评审。</w:t>
      </w:r>
    </w:p>
    <w:tbl>
      <w:tblPr>
        <w:tblStyle w:val="30"/>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847"/>
        <w:gridCol w:w="2686"/>
        <w:gridCol w:w="5122"/>
      </w:tblGrid>
      <w:tr w14:paraId="6028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Mar>
              <w:top w:w="0" w:type="dxa"/>
              <w:left w:w="0" w:type="dxa"/>
              <w:bottom w:w="0" w:type="dxa"/>
              <w:right w:w="0" w:type="dxa"/>
            </w:tcMar>
            <w:vAlign w:val="center"/>
          </w:tcPr>
          <w:p w14:paraId="7F7794B9">
            <w:pPr>
              <w:widowControl/>
              <w:spacing w:line="440" w:lineRule="exact"/>
              <w:jc w:val="center"/>
              <w:textAlignment w:val="center"/>
              <w:rPr>
                <w:rFonts w:ascii="宋体" w:hAnsi="宋体" w:cs="宋体"/>
                <w:bCs/>
                <w:szCs w:val="21"/>
                <w:highlight w:val="none"/>
              </w:rPr>
            </w:pPr>
            <w:r>
              <w:rPr>
                <w:rFonts w:hint="eastAsia" w:ascii="宋体" w:hAnsi="宋体" w:cs="宋体"/>
                <w:bCs/>
                <w:szCs w:val="21"/>
                <w:highlight w:val="none"/>
              </w:rPr>
              <w:t>序号</w:t>
            </w:r>
          </w:p>
        </w:tc>
        <w:tc>
          <w:tcPr>
            <w:tcW w:w="3533" w:type="dxa"/>
            <w:gridSpan w:val="2"/>
            <w:vAlign w:val="center"/>
          </w:tcPr>
          <w:p w14:paraId="01AD950E">
            <w:pPr>
              <w:widowControl/>
              <w:spacing w:line="440" w:lineRule="exact"/>
              <w:jc w:val="center"/>
              <w:textAlignment w:val="center"/>
              <w:rPr>
                <w:rFonts w:ascii="宋体" w:hAnsi="宋体" w:cs="宋体"/>
                <w:bCs/>
                <w:szCs w:val="21"/>
                <w:highlight w:val="none"/>
              </w:rPr>
            </w:pPr>
            <w:r>
              <w:rPr>
                <w:rFonts w:hint="eastAsia" w:ascii="宋体" w:hAnsi="宋体" w:cs="宋体"/>
                <w:bCs/>
                <w:szCs w:val="21"/>
                <w:highlight w:val="none"/>
              </w:rPr>
              <w:t>评审因素</w:t>
            </w:r>
          </w:p>
        </w:tc>
        <w:tc>
          <w:tcPr>
            <w:tcW w:w="5122" w:type="dxa"/>
            <w:vAlign w:val="center"/>
          </w:tcPr>
          <w:p w14:paraId="71F6D493">
            <w:pPr>
              <w:widowControl/>
              <w:spacing w:line="440" w:lineRule="exact"/>
              <w:jc w:val="center"/>
              <w:textAlignment w:val="center"/>
              <w:rPr>
                <w:rFonts w:ascii="宋体" w:hAnsi="宋体" w:cs="宋体"/>
                <w:bCs/>
                <w:szCs w:val="21"/>
                <w:highlight w:val="none"/>
              </w:rPr>
            </w:pPr>
            <w:r>
              <w:rPr>
                <w:rFonts w:hint="eastAsia" w:ascii="宋体" w:hAnsi="宋体" w:cs="宋体"/>
                <w:bCs/>
                <w:szCs w:val="21"/>
                <w:highlight w:val="none"/>
              </w:rPr>
              <w:t>评审标准</w:t>
            </w:r>
          </w:p>
        </w:tc>
      </w:tr>
      <w:tr w14:paraId="3272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restart"/>
            <w:vAlign w:val="center"/>
          </w:tcPr>
          <w:p w14:paraId="65ADC6FB">
            <w:pPr>
              <w:widowControl/>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1</w:t>
            </w:r>
          </w:p>
        </w:tc>
        <w:tc>
          <w:tcPr>
            <w:tcW w:w="847" w:type="dxa"/>
            <w:vMerge w:val="restart"/>
            <w:vAlign w:val="center"/>
          </w:tcPr>
          <w:p w14:paraId="5B5BF860">
            <w:pPr>
              <w:widowControl/>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资格</w:t>
            </w:r>
          </w:p>
          <w:p w14:paraId="6F6FC5F1">
            <w:pPr>
              <w:widowControl/>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审查</w:t>
            </w:r>
          </w:p>
        </w:tc>
        <w:tc>
          <w:tcPr>
            <w:tcW w:w="2686" w:type="dxa"/>
            <w:vAlign w:val="center"/>
          </w:tcPr>
          <w:p w14:paraId="2229087D">
            <w:pPr>
              <w:widowControl/>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营业执照</w:t>
            </w:r>
          </w:p>
        </w:tc>
        <w:tc>
          <w:tcPr>
            <w:tcW w:w="5122" w:type="dxa"/>
            <w:vAlign w:val="center"/>
          </w:tcPr>
          <w:p w14:paraId="5BE07CDA">
            <w:pPr>
              <w:widowControl/>
              <w:spacing w:line="440" w:lineRule="exact"/>
              <w:jc w:val="left"/>
              <w:textAlignment w:val="center"/>
              <w:rPr>
                <w:rFonts w:ascii="宋体" w:hAnsi="宋体" w:cs="宋体"/>
                <w:bCs/>
                <w:szCs w:val="21"/>
                <w:highlight w:val="none"/>
              </w:rPr>
            </w:pPr>
            <w:r>
              <w:rPr>
                <w:rFonts w:hint="eastAsia" w:ascii="宋体" w:hAnsi="宋体" w:cs="宋体"/>
                <w:szCs w:val="21"/>
                <w:highlight w:val="none"/>
              </w:rPr>
              <w:t>供应商为法人或者其他组织的提供其营业执照等证明文件（如营业执照或者事业单位法人证书或者执业许可证或者登记证书等）</w:t>
            </w:r>
          </w:p>
        </w:tc>
      </w:tr>
      <w:tr w14:paraId="0CB5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5C9B2E9E">
            <w:pPr>
              <w:widowControl/>
              <w:spacing w:line="440" w:lineRule="exact"/>
              <w:jc w:val="left"/>
              <w:textAlignment w:val="center"/>
              <w:rPr>
                <w:rFonts w:ascii="宋体" w:hAnsi="宋体" w:cs="宋体"/>
                <w:bCs/>
                <w:szCs w:val="21"/>
                <w:highlight w:val="none"/>
              </w:rPr>
            </w:pPr>
          </w:p>
        </w:tc>
        <w:tc>
          <w:tcPr>
            <w:tcW w:w="847" w:type="dxa"/>
            <w:vMerge w:val="continue"/>
            <w:vAlign w:val="center"/>
          </w:tcPr>
          <w:p w14:paraId="4C6D01A5">
            <w:pPr>
              <w:widowControl/>
              <w:spacing w:line="440" w:lineRule="exact"/>
              <w:jc w:val="left"/>
              <w:textAlignment w:val="center"/>
              <w:rPr>
                <w:rFonts w:ascii="宋体" w:hAnsi="宋体" w:cs="宋体"/>
                <w:bCs/>
                <w:szCs w:val="21"/>
                <w:highlight w:val="none"/>
              </w:rPr>
            </w:pPr>
          </w:p>
        </w:tc>
        <w:tc>
          <w:tcPr>
            <w:tcW w:w="2686" w:type="dxa"/>
            <w:vAlign w:val="center"/>
          </w:tcPr>
          <w:p w14:paraId="58B62C1A">
            <w:pPr>
              <w:widowControl/>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供应商依法缴纳税收的相关材料</w:t>
            </w:r>
          </w:p>
        </w:tc>
        <w:tc>
          <w:tcPr>
            <w:tcW w:w="5122" w:type="dxa"/>
            <w:vAlign w:val="center"/>
          </w:tcPr>
          <w:p w14:paraId="42FD93AB">
            <w:pPr>
              <w:widowControl/>
              <w:spacing w:line="440" w:lineRule="exact"/>
              <w:jc w:val="left"/>
              <w:textAlignment w:val="center"/>
              <w:rPr>
                <w:rFonts w:ascii="宋体" w:hAnsi="宋体" w:cs="宋体"/>
                <w:bCs/>
                <w:szCs w:val="21"/>
                <w:highlight w:val="none"/>
              </w:rPr>
            </w:pPr>
            <w:r>
              <w:rPr>
                <w:rFonts w:hint="eastAsia" w:ascii="宋体" w:hAnsi="宋体" w:cs="宋体"/>
                <w:szCs w:val="21"/>
                <w:highlight w:val="none"/>
              </w:rPr>
              <w:t>2025年</w:t>
            </w:r>
            <w:r>
              <w:rPr>
                <w:rFonts w:hint="eastAsia" w:ascii="宋体" w:hAnsi="宋体" w:cs="宋体"/>
                <w:szCs w:val="21"/>
                <w:highlight w:val="none"/>
                <w:lang w:val="en-US" w:eastAsia="zh-CN"/>
              </w:rPr>
              <w:t>3</w:t>
            </w:r>
            <w:r>
              <w:rPr>
                <w:rFonts w:hint="eastAsia" w:ascii="宋体" w:hAnsi="宋体" w:cs="宋体"/>
                <w:szCs w:val="21"/>
                <w:highlight w:val="none"/>
              </w:rPr>
              <w:t>月至响应文件提交</w:t>
            </w:r>
            <w:r>
              <w:rPr>
                <w:rFonts w:hint="eastAsia" w:ascii="宋体" w:hAnsi="宋体" w:cs="宋体"/>
                <w:szCs w:val="21"/>
                <w:highlight w:val="none"/>
                <w:lang w:eastAsia="zh-CN"/>
              </w:rPr>
              <w:t>截止时间止</w:t>
            </w:r>
            <w:bookmarkStart w:id="69" w:name="_GoBack"/>
            <w:bookmarkEnd w:id="69"/>
            <w:r>
              <w:rPr>
                <w:rFonts w:hint="eastAsia" w:ascii="宋体" w:hAnsi="宋体" w:cs="宋体"/>
                <w:szCs w:val="21"/>
                <w:highlight w:val="none"/>
              </w:rPr>
              <w:t>内任意连续3个月的依法缴纳税收的凭据扫描件；依法免税的，必须提供相应文件证明其依法免税。从成立之日起到响应文件提交截止时间止不足要求月数的，只需提供从成立之日起的依法缴纳税收相应证明文件</w:t>
            </w:r>
          </w:p>
        </w:tc>
      </w:tr>
      <w:tr w14:paraId="5B58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21076BA9">
            <w:pPr>
              <w:widowControl/>
              <w:spacing w:line="440" w:lineRule="exact"/>
              <w:jc w:val="left"/>
              <w:textAlignment w:val="center"/>
              <w:rPr>
                <w:rFonts w:ascii="宋体" w:hAnsi="宋体" w:cs="宋体"/>
                <w:bCs/>
                <w:szCs w:val="21"/>
                <w:highlight w:val="none"/>
              </w:rPr>
            </w:pPr>
          </w:p>
        </w:tc>
        <w:tc>
          <w:tcPr>
            <w:tcW w:w="847" w:type="dxa"/>
            <w:vMerge w:val="continue"/>
            <w:vAlign w:val="center"/>
          </w:tcPr>
          <w:p w14:paraId="19CA69F8">
            <w:pPr>
              <w:widowControl/>
              <w:spacing w:line="440" w:lineRule="exact"/>
              <w:jc w:val="left"/>
              <w:textAlignment w:val="center"/>
              <w:rPr>
                <w:rFonts w:ascii="宋体" w:hAnsi="宋体" w:cs="宋体"/>
                <w:bCs/>
                <w:szCs w:val="21"/>
                <w:highlight w:val="none"/>
              </w:rPr>
            </w:pPr>
          </w:p>
        </w:tc>
        <w:tc>
          <w:tcPr>
            <w:tcW w:w="2686" w:type="dxa"/>
            <w:vAlign w:val="center"/>
          </w:tcPr>
          <w:p w14:paraId="69285FDF">
            <w:pPr>
              <w:widowControl/>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供应商依法缴纳社会保障资金的相关材料</w:t>
            </w:r>
          </w:p>
        </w:tc>
        <w:tc>
          <w:tcPr>
            <w:tcW w:w="5122" w:type="dxa"/>
            <w:vAlign w:val="center"/>
          </w:tcPr>
          <w:p w14:paraId="32E0F5A9">
            <w:pPr>
              <w:widowControl/>
              <w:spacing w:line="440" w:lineRule="exact"/>
              <w:jc w:val="left"/>
              <w:textAlignment w:val="center"/>
              <w:rPr>
                <w:rFonts w:ascii="宋体" w:hAnsi="宋体" w:cs="宋体"/>
                <w:bCs/>
                <w:szCs w:val="21"/>
                <w:highlight w:val="none"/>
              </w:rPr>
            </w:pPr>
            <w:r>
              <w:rPr>
                <w:rFonts w:hint="eastAsia" w:ascii="宋体" w:hAnsi="宋体" w:cs="宋体"/>
                <w:szCs w:val="21"/>
                <w:highlight w:val="none"/>
              </w:rPr>
              <w:t>2025年</w:t>
            </w:r>
            <w:r>
              <w:rPr>
                <w:rFonts w:hint="eastAsia" w:ascii="宋体" w:hAnsi="宋体" w:cs="宋体"/>
                <w:szCs w:val="21"/>
                <w:highlight w:val="none"/>
                <w:lang w:val="en-US" w:eastAsia="zh-CN"/>
              </w:rPr>
              <w:t>3</w:t>
            </w:r>
            <w:r>
              <w:rPr>
                <w:rFonts w:hint="eastAsia" w:ascii="宋体" w:hAnsi="宋体" w:cs="宋体"/>
                <w:szCs w:val="21"/>
                <w:highlight w:val="none"/>
              </w:rPr>
              <w:t>月至响应文件提交</w:t>
            </w:r>
            <w:r>
              <w:rPr>
                <w:rFonts w:hint="eastAsia" w:ascii="宋体" w:hAnsi="宋体" w:cs="宋体"/>
                <w:szCs w:val="21"/>
                <w:highlight w:val="none"/>
                <w:lang w:eastAsia="zh-CN"/>
              </w:rPr>
              <w:t>截止时间止</w:t>
            </w:r>
            <w:r>
              <w:rPr>
                <w:rFonts w:hint="eastAsia" w:ascii="宋体" w:hAnsi="宋体" w:cs="宋体"/>
                <w:szCs w:val="21"/>
                <w:highlight w:val="none"/>
              </w:rPr>
              <w:t>内任意连续3个月的依法缴纳社会保障资金的缴费凭证（专用收据或者社会保险缴纳清单）扫描件；依法不需要缴纳社会保障资金的，必须提供相应文件证明不需要缴纳社会保障资金。从成立之日起到响应文件提交截止时间止不足要求月数的只需提供从成立之日起的依法缴纳社会保障资金的相应证明文件</w:t>
            </w:r>
          </w:p>
        </w:tc>
      </w:tr>
      <w:tr w14:paraId="1C68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0B189273">
            <w:pPr>
              <w:widowControl/>
              <w:spacing w:line="440" w:lineRule="exact"/>
              <w:jc w:val="left"/>
              <w:textAlignment w:val="center"/>
              <w:rPr>
                <w:rFonts w:ascii="宋体" w:hAnsi="宋体" w:cs="宋体"/>
                <w:bCs/>
                <w:szCs w:val="21"/>
                <w:highlight w:val="none"/>
              </w:rPr>
            </w:pPr>
          </w:p>
        </w:tc>
        <w:tc>
          <w:tcPr>
            <w:tcW w:w="847" w:type="dxa"/>
            <w:vMerge w:val="continue"/>
            <w:vAlign w:val="center"/>
          </w:tcPr>
          <w:p w14:paraId="4A925BF0">
            <w:pPr>
              <w:widowControl/>
              <w:spacing w:line="440" w:lineRule="exact"/>
              <w:jc w:val="left"/>
              <w:textAlignment w:val="center"/>
              <w:rPr>
                <w:rFonts w:ascii="宋体" w:hAnsi="宋体" w:cs="宋体"/>
                <w:bCs/>
                <w:szCs w:val="21"/>
                <w:highlight w:val="none"/>
              </w:rPr>
            </w:pPr>
          </w:p>
        </w:tc>
        <w:tc>
          <w:tcPr>
            <w:tcW w:w="2686" w:type="dxa"/>
            <w:vAlign w:val="center"/>
          </w:tcPr>
          <w:p w14:paraId="6C68CADC">
            <w:pPr>
              <w:widowControl/>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供应商财务状况报告</w:t>
            </w:r>
          </w:p>
        </w:tc>
        <w:tc>
          <w:tcPr>
            <w:tcW w:w="5122" w:type="dxa"/>
            <w:vAlign w:val="center"/>
          </w:tcPr>
          <w:p w14:paraId="1082AED7">
            <w:pPr>
              <w:widowControl/>
              <w:spacing w:line="440" w:lineRule="exact"/>
              <w:jc w:val="left"/>
              <w:textAlignment w:val="center"/>
              <w:rPr>
                <w:rFonts w:ascii="宋体" w:hAnsi="宋体" w:cs="宋体"/>
                <w:bCs/>
                <w:szCs w:val="21"/>
                <w:highlight w:val="none"/>
              </w:rPr>
            </w:pPr>
            <w:r>
              <w:rPr>
                <w:rFonts w:hint="eastAsia" w:ascii="宋体" w:hAnsi="宋体" w:cs="宋体"/>
                <w:szCs w:val="21"/>
                <w:highlight w:val="none"/>
              </w:rPr>
              <w:t>供应商上一年度（2024年）的年度财务报告，包括资产负债表、现金流量表、利润表（如供应商为磋商当年新成立公司的，应提供于公司成立之日后的财务报表）</w:t>
            </w:r>
          </w:p>
        </w:tc>
      </w:tr>
      <w:tr w14:paraId="73E8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52DD301A">
            <w:pPr>
              <w:rPr>
                <w:highlight w:val="none"/>
              </w:rPr>
            </w:pPr>
          </w:p>
        </w:tc>
        <w:tc>
          <w:tcPr>
            <w:tcW w:w="847" w:type="dxa"/>
            <w:vMerge w:val="continue"/>
            <w:vAlign w:val="center"/>
          </w:tcPr>
          <w:p w14:paraId="067F4C28">
            <w:pPr>
              <w:rPr>
                <w:highlight w:val="none"/>
              </w:rPr>
            </w:pPr>
          </w:p>
        </w:tc>
        <w:tc>
          <w:tcPr>
            <w:tcW w:w="2686" w:type="dxa"/>
            <w:shd w:val="clear" w:color="auto" w:fill="auto"/>
            <w:vAlign w:val="center"/>
          </w:tcPr>
          <w:p w14:paraId="39F9A43F">
            <w:pPr>
              <w:widowControl/>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供应商企业股东及出资情况</w:t>
            </w:r>
          </w:p>
        </w:tc>
        <w:tc>
          <w:tcPr>
            <w:tcW w:w="5122" w:type="dxa"/>
            <w:shd w:val="clear" w:color="auto" w:fill="auto"/>
            <w:vAlign w:val="center"/>
          </w:tcPr>
          <w:p w14:paraId="35D919C9">
            <w:pPr>
              <w:widowControl/>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供应商不存在单位负责人为同一人或者存在直接控股、管理关系</w:t>
            </w:r>
          </w:p>
        </w:tc>
      </w:tr>
      <w:tr w14:paraId="45CE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5C090E62">
            <w:pPr>
              <w:rPr>
                <w:highlight w:val="none"/>
              </w:rPr>
            </w:pPr>
          </w:p>
        </w:tc>
        <w:tc>
          <w:tcPr>
            <w:tcW w:w="847" w:type="dxa"/>
            <w:vMerge w:val="continue"/>
            <w:vAlign w:val="center"/>
          </w:tcPr>
          <w:p w14:paraId="0CD9A915">
            <w:pPr>
              <w:rPr>
                <w:highlight w:val="none"/>
              </w:rPr>
            </w:pPr>
          </w:p>
        </w:tc>
        <w:tc>
          <w:tcPr>
            <w:tcW w:w="2686" w:type="dxa"/>
            <w:shd w:val="clear" w:color="auto" w:fill="auto"/>
            <w:vAlign w:val="center"/>
          </w:tcPr>
          <w:p w14:paraId="797DF6B3">
            <w:pPr>
              <w:widowControl/>
              <w:spacing w:line="440" w:lineRule="exact"/>
              <w:jc w:val="left"/>
              <w:textAlignment w:val="center"/>
              <w:rPr>
                <w:rFonts w:hint="eastAsia" w:ascii="宋体" w:hAnsi="宋体" w:eastAsia="宋体" w:cs="宋体"/>
                <w:bCs/>
                <w:szCs w:val="21"/>
                <w:highlight w:val="none"/>
                <w:lang w:eastAsia="zh-CN"/>
              </w:rPr>
            </w:pPr>
            <w:r>
              <w:rPr>
                <w:rFonts w:hint="eastAsia" w:ascii="宋体" w:hAnsi="宋体" w:cs="宋体"/>
                <w:bCs/>
                <w:szCs w:val="21"/>
                <w:highlight w:val="none"/>
                <w:lang w:eastAsia="zh-CN"/>
              </w:rPr>
              <w:t>中小企业声明函</w:t>
            </w:r>
          </w:p>
        </w:tc>
        <w:tc>
          <w:tcPr>
            <w:tcW w:w="5122" w:type="dxa"/>
            <w:shd w:val="clear" w:color="auto" w:fill="auto"/>
            <w:vAlign w:val="center"/>
          </w:tcPr>
          <w:p w14:paraId="0467C78F">
            <w:pPr>
              <w:widowControl/>
              <w:spacing w:line="440" w:lineRule="exact"/>
              <w:jc w:val="left"/>
              <w:textAlignment w:val="center"/>
              <w:rPr>
                <w:rFonts w:hint="eastAsia" w:ascii="宋体" w:hAnsi="宋体" w:cs="宋体"/>
                <w:bCs/>
                <w:szCs w:val="21"/>
                <w:highlight w:val="none"/>
              </w:rPr>
            </w:pPr>
            <w:r>
              <w:rPr>
                <w:rFonts w:hint="eastAsia" w:ascii="宋体" w:hAnsi="宋体" w:cs="宋体"/>
                <w:szCs w:val="21"/>
              </w:rPr>
              <w:t>本项目属于专门面向中小企业采购的项目（供应商应为中小微企业、监狱企业、残疾人福利性单位）；</w:t>
            </w:r>
          </w:p>
        </w:tc>
      </w:tr>
      <w:tr w14:paraId="6C98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609E3A4E">
            <w:pPr>
              <w:rPr>
                <w:highlight w:val="none"/>
              </w:rPr>
            </w:pPr>
          </w:p>
        </w:tc>
        <w:tc>
          <w:tcPr>
            <w:tcW w:w="847" w:type="dxa"/>
            <w:vMerge w:val="continue"/>
            <w:vAlign w:val="center"/>
          </w:tcPr>
          <w:p w14:paraId="3E85324A">
            <w:pPr>
              <w:rPr>
                <w:highlight w:val="none"/>
              </w:rPr>
            </w:pPr>
          </w:p>
        </w:tc>
        <w:tc>
          <w:tcPr>
            <w:tcW w:w="2686" w:type="dxa"/>
            <w:shd w:val="clear" w:color="auto" w:fill="auto"/>
            <w:vAlign w:val="center"/>
          </w:tcPr>
          <w:p w14:paraId="6EEC60F0">
            <w:pPr>
              <w:widowControl/>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“信用中国”网页查询</w:t>
            </w:r>
          </w:p>
        </w:tc>
        <w:tc>
          <w:tcPr>
            <w:tcW w:w="5122" w:type="dxa"/>
            <w:shd w:val="clear" w:color="auto" w:fill="auto"/>
            <w:vAlign w:val="center"/>
          </w:tcPr>
          <w:p w14:paraId="7CC21C44">
            <w:pPr>
              <w:widowControl/>
              <w:spacing w:line="440" w:lineRule="exact"/>
              <w:jc w:val="left"/>
              <w:textAlignment w:val="center"/>
              <w:rPr>
                <w:rFonts w:ascii="宋体" w:hAnsi="宋体" w:cs="宋体"/>
                <w:szCs w:val="21"/>
                <w:highlight w:val="none"/>
              </w:rPr>
            </w:pPr>
            <w:r>
              <w:rPr>
                <w:rFonts w:hint="eastAsia" w:ascii="宋体" w:hAnsi="宋体" w:cs="宋体"/>
                <w:szCs w:val="21"/>
                <w:highlight w:val="none"/>
              </w:rPr>
              <w:t>未被“信用中国”网站（https://www.creditchina.gov.cn/） 、中国政府采购网（http://www.ccgp.gov.cn/）被列入失信被执行人、重大税收违法失信主体、政府采购严重违法失信行为记录名单。</w:t>
            </w:r>
          </w:p>
        </w:tc>
      </w:tr>
      <w:tr w14:paraId="5978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06965E53">
            <w:pPr>
              <w:widowControl/>
              <w:spacing w:line="440" w:lineRule="exact"/>
              <w:jc w:val="left"/>
              <w:textAlignment w:val="center"/>
              <w:rPr>
                <w:rFonts w:ascii="宋体" w:hAnsi="宋体" w:cs="宋体"/>
                <w:bCs/>
                <w:szCs w:val="21"/>
                <w:highlight w:val="none"/>
              </w:rPr>
            </w:pPr>
          </w:p>
        </w:tc>
        <w:tc>
          <w:tcPr>
            <w:tcW w:w="847" w:type="dxa"/>
            <w:vMerge w:val="continue"/>
            <w:vAlign w:val="center"/>
          </w:tcPr>
          <w:p w14:paraId="35F05B62">
            <w:pPr>
              <w:widowControl/>
              <w:spacing w:line="440" w:lineRule="exact"/>
              <w:jc w:val="left"/>
              <w:textAlignment w:val="center"/>
              <w:rPr>
                <w:rFonts w:ascii="宋体" w:hAnsi="宋体" w:cs="宋体"/>
                <w:bCs/>
                <w:szCs w:val="21"/>
                <w:highlight w:val="none"/>
              </w:rPr>
            </w:pPr>
          </w:p>
        </w:tc>
        <w:tc>
          <w:tcPr>
            <w:tcW w:w="2686" w:type="dxa"/>
            <w:vAlign w:val="center"/>
          </w:tcPr>
          <w:p w14:paraId="2CC6DF0B">
            <w:pPr>
              <w:widowControl/>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其他</w:t>
            </w:r>
          </w:p>
        </w:tc>
        <w:tc>
          <w:tcPr>
            <w:tcW w:w="5122" w:type="dxa"/>
            <w:vAlign w:val="center"/>
          </w:tcPr>
          <w:p w14:paraId="736B2C77">
            <w:pPr>
              <w:widowControl/>
              <w:spacing w:after="0" w:line="440" w:lineRule="exact"/>
              <w:jc w:val="left"/>
              <w:textAlignment w:val="center"/>
              <w:rPr>
                <w:rFonts w:hint="eastAsia" w:ascii="宋体" w:hAnsi="宋体" w:cs="宋体"/>
                <w:szCs w:val="21"/>
                <w:highlight w:val="none"/>
              </w:rPr>
            </w:pPr>
            <w:r>
              <w:rPr>
                <w:rFonts w:hint="eastAsia" w:ascii="宋体" w:hAnsi="宋体" w:cs="宋体"/>
                <w:bCs w:val="0"/>
                <w:szCs w:val="21"/>
                <w:highlight w:val="none"/>
              </w:rPr>
              <w:t>符合第二章供应商须知正文前附表第</w:t>
            </w:r>
            <w:r>
              <w:rPr>
                <w:rFonts w:hint="eastAsia" w:ascii="宋体" w:hAnsi="宋体" w:cs="宋体"/>
                <w:szCs w:val="21"/>
                <w:highlight w:val="none"/>
              </w:rPr>
              <w:t>12.1.1项</w:t>
            </w:r>
            <w:r>
              <w:rPr>
                <w:rFonts w:hint="eastAsia" w:ascii="宋体" w:hAnsi="宋体" w:cs="宋体"/>
                <w:bCs w:val="0"/>
                <w:szCs w:val="21"/>
                <w:highlight w:val="none"/>
              </w:rPr>
              <w:t>，资格证明文件中必须提供的内容。</w:t>
            </w:r>
          </w:p>
        </w:tc>
      </w:tr>
      <w:tr w14:paraId="45CC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restart"/>
            <w:vAlign w:val="center"/>
          </w:tcPr>
          <w:p w14:paraId="790C3114">
            <w:pPr>
              <w:widowControl/>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2</w:t>
            </w:r>
          </w:p>
        </w:tc>
        <w:tc>
          <w:tcPr>
            <w:tcW w:w="847" w:type="dxa"/>
            <w:vMerge w:val="restart"/>
            <w:vAlign w:val="center"/>
          </w:tcPr>
          <w:p w14:paraId="2E2506E9">
            <w:pPr>
              <w:widowControl/>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符合性审查</w:t>
            </w:r>
          </w:p>
        </w:tc>
        <w:tc>
          <w:tcPr>
            <w:tcW w:w="2686" w:type="dxa"/>
            <w:vAlign w:val="center"/>
          </w:tcPr>
          <w:p w14:paraId="23083A6F">
            <w:pPr>
              <w:widowControl/>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供应商名称</w:t>
            </w:r>
          </w:p>
        </w:tc>
        <w:tc>
          <w:tcPr>
            <w:tcW w:w="5122" w:type="dxa"/>
            <w:vAlign w:val="center"/>
          </w:tcPr>
          <w:p w14:paraId="5E7D821C">
            <w:pPr>
              <w:widowControl/>
              <w:spacing w:line="440" w:lineRule="exact"/>
              <w:jc w:val="left"/>
              <w:textAlignment w:val="center"/>
              <w:rPr>
                <w:rFonts w:hint="eastAsia" w:ascii="宋体" w:hAnsi="宋体" w:cs="宋体"/>
                <w:bCs w:val="0"/>
                <w:szCs w:val="21"/>
                <w:highlight w:val="none"/>
              </w:rPr>
            </w:pPr>
            <w:r>
              <w:rPr>
                <w:rFonts w:hint="eastAsia" w:ascii="宋体" w:hAnsi="宋体" w:cs="宋体"/>
                <w:bCs w:val="0"/>
                <w:szCs w:val="21"/>
                <w:highlight w:val="none"/>
              </w:rPr>
              <w:t>响应文件描述的供应商名称与营业执照或事业单位法人证书等证明文件名称一致。</w:t>
            </w:r>
          </w:p>
        </w:tc>
      </w:tr>
      <w:tr w14:paraId="2411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56A50386">
            <w:pPr>
              <w:widowControl/>
              <w:spacing w:line="440" w:lineRule="exact"/>
              <w:jc w:val="left"/>
              <w:textAlignment w:val="center"/>
              <w:rPr>
                <w:rFonts w:ascii="宋体" w:hAnsi="宋体" w:cs="宋体"/>
                <w:bCs/>
                <w:szCs w:val="21"/>
                <w:highlight w:val="none"/>
              </w:rPr>
            </w:pPr>
          </w:p>
        </w:tc>
        <w:tc>
          <w:tcPr>
            <w:tcW w:w="847" w:type="dxa"/>
            <w:vMerge w:val="continue"/>
            <w:vAlign w:val="center"/>
          </w:tcPr>
          <w:p w14:paraId="4449E6FB">
            <w:pPr>
              <w:widowControl/>
              <w:spacing w:line="440" w:lineRule="exact"/>
              <w:jc w:val="left"/>
              <w:textAlignment w:val="center"/>
              <w:rPr>
                <w:rFonts w:ascii="宋体" w:hAnsi="宋体" w:cs="宋体"/>
                <w:bCs/>
                <w:szCs w:val="21"/>
                <w:highlight w:val="none"/>
              </w:rPr>
            </w:pPr>
          </w:p>
        </w:tc>
        <w:tc>
          <w:tcPr>
            <w:tcW w:w="2686" w:type="dxa"/>
            <w:vAlign w:val="center"/>
          </w:tcPr>
          <w:p w14:paraId="713DC8FE">
            <w:pPr>
              <w:widowControl/>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响应文件签署</w:t>
            </w:r>
          </w:p>
        </w:tc>
        <w:tc>
          <w:tcPr>
            <w:tcW w:w="5122" w:type="dxa"/>
            <w:vAlign w:val="center"/>
          </w:tcPr>
          <w:p w14:paraId="463216BE">
            <w:pPr>
              <w:widowControl/>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有效的法定代表人身份证明（附身份证扫描件）或法定代表人授权委托书（附身份证</w:t>
            </w:r>
            <w:r>
              <w:rPr>
                <w:rFonts w:hint="eastAsia" w:ascii="宋体" w:hAnsi="宋体" w:cs="宋体"/>
                <w:szCs w:val="21"/>
                <w:highlight w:val="none"/>
              </w:rPr>
              <w:t>扫描</w:t>
            </w:r>
            <w:r>
              <w:rPr>
                <w:rFonts w:hint="eastAsia" w:ascii="宋体" w:hAnsi="宋体" w:cs="宋体"/>
                <w:bCs/>
                <w:szCs w:val="21"/>
                <w:highlight w:val="none"/>
              </w:rPr>
              <w:t>件，授权代理时提供）</w:t>
            </w:r>
          </w:p>
        </w:tc>
      </w:tr>
      <w:tr w14:paraId="16F0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46234B59">
            <w:pPr>
              <w:widowControl/>
              <w:spacing w:line="440" w:lineRule="exact"/>
              <w:jc w:val="left"/>
              <w:textAlignment w:val="center"/>
              <w:rPr>
                <w:rFonts w:ascii="宋体" w:hAnsi="宋体" w:cs="宋体"/>
                <w:bCs/>
                <w:szCs w:val="21"/>
                <w:highlight w:val="none"/>
              </w:rPr>
            </w:pPr>
          </w:p>
        </w:tc>
        <w:tc>
          <w:tcPr>
            <w:tcW w:w="847" w:type="dxa"/>
            <w:vMerge w:val="continue"/>
            <w:vAlign w:val="center"/>
          </w:tcPr>
          <w:p w14:paraId="317A7522">
            <w:pPr>
              <w:widowControl/>
              <w:spacing w:line="440" w:lineRule="exact"/>
              <w:jc w:val="left"/>
              <w:textAlignment w:val="center"/>
              <w:rPr>
                <w:rFonts w:ascii="宋体" w:hAnsi="宋体" w:cs="宋体"/>
                <w:bCs/>
                <w:szCs w:val="21"/>
                <w:highlight w:val="none"/>
              </w:rPr>
            </w:pPr>
          </w:p>
        </w:tc>
        <w:tc>
          <w:tcPr>
            <w:tcW w:w="2686" w:type="dxa"/>
            <w:vAlign w:val="center"/>
          </w:tcPr>
          <w:p w14:paraId="7EC919F9">
            <w:pPr>
              <w:widowControl/>
              <w:spacing w:line="360" w:lineRule="auto"/>
              <w:jc w:val="left"/>
              <w:rPr>
                <w:rFonts w:ascii="宋体" w:hAnsi="宋体" w:cs="宋体"/>
                <w:bCs/>
                <w:szCs w:val="21"/>
                <w:highlight w:val="none"/>
              </w:rPr>
            </w:pPr>
            <w:r>
              <w:rPr>
                <w:rFonts w:hint="eastAsia" w:ascii="宋体" w:hAnsi="宋体" w:cs="宋体"/>
                <w:kern w:val="0"/>
                <w:szCs w:val="21"/>
                <w:highlight w:val="none"/>
              </w:rPr>
              <w:t>人员要求</w:t>
            </w:r>
          </w:p>
        </w:tc>
        <w:tc>
          <w:tcPr>
            <w:tcW w:w="5122" w:type="dxa"/>
            <w:vAlign w:val="center"/>
          </w:tcPr>
          <w:p w14:paraId="0AA9B23E">
            <w:pPr>
              <w:widowControl/>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指派含建筑、结构、电气、给排水、暖通等5人以上专业团队提供技术服务，并派专业技术人员24小时提供技术咨询服务，出现技术服务现场需求时必须在l个小时内到达现场。</w:t>
            </w:r>
          </w:p>
        </w:tc>
      </w:tr>
      <w:tr w14:paraId="68C1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3999AA6C">
            <w:pPr>
              <w:widowControl/>
              <w:spacing w:line="440" w:lineRule="exact"/>
              <w:jc w:val="left"/>
              <w:textAlignment w:val="center"/>
              <w:rPr>
                <w:rFonts w:ascii="宋体" w:hAnsi="宋体" w:cs="宋体"/>
                <w:bCs/>
                <w:szCs w:val="21"/>
                <w:highlight w:val="none"/>
              </w:rPr>
            </w:pPr>
          </w:p>
        </w:tc>
        <w:tc>
          <w:tcPr>
            <w:tcW w:w="847" w:type="dxa"/>
            <w:vMerge w:val="continue"/>
            <w:vAlign w:val="center"/>
          </w:tcPr>
          <w:p w14:paraId="69393D6F">
            <w:pPr>
              <w:widowControl/>
              <w:spacing w:line="440" w:lineRule="exact"/>
              <w:jc w:val="left"/>
              <w:textAlignment w:val="center"/>
              <w:rPr>
                <w:rFonts w:ascii="宋体" w:hAnsi="宋体" w:cs="宋体"/>
                <w:bCs/>
                <w:szCs w:val="21"/>
                <w:highlight w:val="none"/>
              </w:rPr>
            </w:pPr>
          </w:p>
        </w:tc>
        <w:tc>
          <w:tcPr>
            <w:tcW w:w="2686" w:type="dxa"/>
            <w:vAlign w:val="center"/>
          </w:tcPr>
          <w:p w14:paraId="4D6FBFF8">
            <w:pPr>
              <w:widowControl/>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响应文件签字或盖章</w:t>
            </w:r>
          </w:p>
        </w:tc>
        <w:tc>
          <w:tcPr>
            <w:tcW w:w="5122" w:type="dxa"/>
            <w:vAlign w:val="center"/>
          </w:tcPr>
          <w:p w14:paraId="6EB13DAB">
            <w:pPr>
              <w:widowControl/>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按照采购文件规定要求签字或盖章的</w:t>
            </w:r>
          </w:p>
        </w:tc>
      </w:tr>
      <w:tr w14:paraId="2D90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24" w:type="dxa"/>
            <w:vMerge w:val="continue"/>
            <w:vAlign w:val="center"/>
          </w:tcPr>
          <w:p w14:paraId="1FEB395D">
            <w:pPr>
              <w:widowControl/>
              <w:spacing w:line="440" w:lineRule="exact"/>
              <w:jc w:val="left"/>
              <w:textAlignment w:val="center"/>
              <w:rPr>
                <w:rFonts w:ascii="宋体" w:hAnsi="宋体" w:cs="宋体"/>
                <w:bCs/>
                <w:szCs w:val="21"/>
                <w:highlight w:val="none"/>
              </w:rPr>
            </w:pPr>
          </w:p>
        </w:tc>
        <w:tc>
          <w:tcPr>
            <w:tcW w:w="847" w:type="dxa"/>
            <w:vMerge w:val="continue"/>
            <w:vAlign w:val="center"/>
          </w:tcPr>
          <w:p w14:paraId="123454F7">
            <w:pPr>
              <w:widowControl/>
              <w:spacing w:line="440" w:lineRule="exact"/>
              <w:jc w:val="left"/>
              <w:textAlignment w:val="center"/>
              <w:rPr>
                <w:rFonts w:ascii="宋体" w:hAnsi="宋体" w:cs="宋体"/>
                <w:bCs/>
                <w:szCs w:val="21"/>
                <w:highlight w:val="none"/>
              </w:rPr>
            </w:pPr>
          </w:p>
        </w:tc>
        <w:tc>
          <w:tcPr>
            <w:tcW w:w="2686" w:type="dxa"/>
            <w:vAlign w:val="center"/>
          </w:tcPr>
          <w:p w14:paraId="15254335">
            <w:pPr>
              <w:widowControl/>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磋商保证金</w:t>
            </w:r>
          </w:p>
        </w:tc>
        <w:tc>
          <w:tcPr>
            <w:tcW w:w="5122" w:type="dxa"/>
            <w:vAlign w:val="center"/>
          </w:tcPr>
          <w:p w14:paraId="7ECFCB05">
            <w:pPr>
              <w:widowControl/>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符合《采购文件》要求</w:t>
            </w:r>
          </w:p>
        </w:tc>
      </w:tr>
      <w:tr w14:paraId="50C6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357F3E62">
            <w:pPr>
              <w:widowControl/>
              <w:spacing w:line="440" w:lineRule="exact"/>
              <w:jc w:val="left"/>
              <w:textAlignment w:val="center"/>
              <w:rPr>
                <w:rFonts w:ascii="宋体" w:hAnsi="宋体" w:cs="宋体"/>
                <w:bCs/>
                <w:szCs w:val="21"/>
                <w:highlight w:val="none"/>
              </w:rPr>
            </w:pPr>
          </w:p>
        </w:tc>
        <w:tc>
          <w:tcPr>
            <w:tcW w:w="847" w:type="dxa"/>
            <w:vMerge w:val="continue"/>
            <w:vAlign w:val="center"/>
          </w:tcPr>
          <w:p w14:paraId="7A311C2D">
            <w:pPr>
              <w:widowControl/>
              <w:spacing w:line="440" w:lineRule="exact"/>
              <w:jc w:val="left"/>
              <w:textAlignment w:val="center"/>
              <w:rPr>
                <w:rFonts w:ascii="宋体" w:hAnsi="宋体" w:cs="宋体"/>
                <w:bCs/>
                <w:szCs w:val="21"/>
                <w:highlight w:val="none"/>
              </w:rPr>
            </w:pPr>
          </w:p>
        </w:tc>
        <w:tc>
          <w:tcPr>
            <w:tcW w:w="2686" w:type="dxa"/>
            <w:vAlign w:val="center"/>
          </w:tcPr>
          <w:p w14:paraId="5FAE16C7">
            <w:pPr>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竞标有效期</w:t>
            </w:r>
          </w:p>
        </w:tc>
        <w:tc>
          <w:tcPr>
            <w:tcW w:w="5122" w:type="dxa"/>
            <w:vAlign w:val="center"/>
          </w:tcPr>
          <w:p w14:paraId="60552225">
            <w:pPr>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符合《采购文件》要求</w:t>
            </w:r>
          </w:p>
        </w:tc>
      </w:tr>
      <w:tr w14:paraId="047F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5E1B65C7">
            <w:pPr>
              <w:widowControl/>
              <w:spacing w:line="440" w:lineRule="exact"/>
              <w:jc w:val="left"/>
              <w:textAlignment w:val="center"/>
              <w:rPr>
                <w:rFonts w:ascii="宋体" w:hAnsi="宋体" w:cs="宋体"/>
                <w:bCs/>
                <w:szCs w:val="21"/>
                <w:highlight w:val="none"/>
              </w:rPr>
            </w:pPr>
          </w:p>
        </w:tc>
        <w:tc>
          <w:tcPr>
            <w:tcW w:w="847" w:type="dxa"/>
            <w:vMerge w:val="continue"/>
            <w:vAlign w:val="center"/>
          </w:tcPr>
          <w:p w14:paraId="1B0A497A">
            <w:pPr>
              <w:widowControl/>
              <w:spacing w:line="440" w:lineRule="exact"/>
              <w:jc w:val="left"/>
              <w:textAlignment w:val="center"/>
              <w:rPr>
                <w:rFonts w:ascii="宋体" w:hAnsi="宋体" w:cs="宋体"/>
                <w:bCs/>
                <w:szCs w:val="21"/>
                <w:highlight w:val="none"/>
              </w:rPr>
            </w:pPr>
          </w:p>
        </w:tc>
        <w:tc>
          <w:tcPr>
            <w:tcW w:w="2686" w:type="dxa"/>
            <w:vAlign w:val="center"/>
          </w:tcPr>
          <w:p w14:paraId="7914B315">
            <w:pPr>
              <w:widowControl/>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竞标报价</w:t>
            </w:r>
          </w:p>
        </w:tc>
        <w:tc>
          <w:tcPr>
            <w:tcW w:w="5122" w:type="dxa"/>
            <w:vAlign w:val="center"/>
          </w:tcPr>
          <w:p w14:paraId="601190F1">
            <w:pPr>
              <w:widowControl/>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竞标报价满足采购文件要求</w:t>
            </w:r>
          </w:p>
        </w:tc>
      </w:tr>
      <w:tr w14:paraId="5BC5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7AAFF7CE">
            <w:pPr>
              <w:widowControl/>
              <w:spacing w:line="440" w:lineRule="exact"/>
              <w:jc w:val="left"/>
              <w:textAlignment w:val="center"/>
              <w:rPr>
                <w:rFonts w:ascii="宋体" w:hAnsi="宋体" w:cs="宋体"/>
                <w:bCs/>
                <w:szCs w:val="21"/>
                <w:highlight w:val="none"/>
              </w:rPr>
            </w:pPr>
          </w:p>
        </w:tc>
        <w:tc>
          <w:tcPr>
            <w:tcW w:w="847" w:type="dxa"/>
            <w:vMerge w:val="continue"/>
            <w:vAlign w:val="center"/>
          </w:tcPr>
          <w:p w14:paraId="55CC6204">
            <w:pPr>
              <w:widowControl/>
              <w:spacing w:line="440" w:lineRule="exact"/>
              <w:jc w:val="left"/>
              <w:textAlignment w:val="center"/>
              <w:rPr>
                <w:rFonts w:ascii="宋体" w:hAnsi="宋体" w:cs="宋体"/>
                <w:bCs/>
                <w:szCs w:val="21"/>
                <w:highlight w:val="none"/>
              </w:rPr>
            </w:pPr>
          </w:p>
        </w:tc>
        <w:tc>
          <w:tcPr>
            <w:tcW w:w="2686" w:type="dxa"/>
            <w:vAlign w:val="center"/>
          </w:tcPr>
          <w:p w14:paraId="14AFF308">
            <w:pPr>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其他实质性要求响应</w:t>
            </w:r>
          </w:p>
        </w:tc>
        <w:tc>
          <w:tcPr>
            <w:tcW w:w="5122" w:type="dxa"/>
            <w:vAlign w:val="center"/>
          </w:tcPr>
          <w:p w14:paraId="543B9283">
            <w:pPr>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竞标文件中无采购人不能接受的条件，且符合采购文件第三章采购需求所涉及的实质性要求。</w:t>
            </w:r>
          </w:p>
        </w:tc>
      </w:tr>
      <w:tr w14:paraId="28B7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5160ABAF">
            <w:pPr>
              <w:widowControl/>
              <w:spacing w:line="440" w:lineRule="exact"/>
              <w:jc w:val="left"/>
              <w:textAlignment w:val="center"/>
              <w:rPr>
                <w:rFonts w:ascii="宋体" w:hAnsi="宋体" w:cs="宋体"/>
                <w:bCs/>
                <w:szCs w:val="21"/>
                <w:highlight w:val="none"/>
              </w:rPr>
            </w:pPr>
          </w:p>
        </w:tc>
        <w:tc>
          <w:tcPr>
            <w:tcW w:w="847" w:type="dxa"/>
            <w:vMerge w:val="continue"/>
            <w:vAlign w:val="center"/>
          </w:tcPr>
          <w:p w14:paraId="7BB04578">
            <w:pPr>
              <w:widowControl/>
              <w:spacing w:line="440" w:lineRule="exact"/>
              <w:jc w:val="left"/>
              <w:textAlignment w:val="center"/>
              <w:rPr>
                <w:rFonts w:ascii="宋体" w:hAnsi="宋体" w:cs="宋体"/>
                <w:bCs/>
                <w:szCs w:val="21"/>
                <w:highlight w:val="none"/>
              </w:rPr>
            </w:pPr>
          </w:p>
        </w:tc>
        <w:tc>
          <w:tcPr>
            <w:tcW w:w="2686" w:type="dxa"/>
            <w:vAlign w:val="center"/>
          </w:tcPr>
          <w:p w14:paraId="5D137A46">
            <w:pPr>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响应文件格式</w:t>
            </w:r>
          </w:p>
        </w:tc>
        <w:tc>
          <w:tcPr>
            <w:tcW w:w="5122" w:type="dxa"/>
            <w:vAlign w:val="center"/>
          </w:tcPr>
          <w:p w14:paraId="42079A37">
            <w:pPr>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符合第二章供应商须知正文前附表第12.1.2项，报价商务技术文件中必须提供的内容。</w:t>
            </w:r>
          </w:p>
        </w:tc>
      </w:tr>
      <w:tr w14:paraId="1811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305218EA">
            <w:pPr>
              <w:widowControl/>
              <w:spacing w:line="440" w:lineRule="exact"/>
              <w:jc w:val="left"/>
              <w:textAlignment w:val="center"/>
              <w:rPr>
                <w:rFonts w:ascii="宋体" w:hAnsi="宋体" w:cs="宋体"/>
                <w:bCs/>
                <w:szCs w:val="21"/>
                <w:highlight w:val="none"/>
              </w:rPr>
            </w:pPr>
          </w:p>
        </w:tc>
        <w:tc>
          <w:tcPr>
            <w:tcW w:w="847" w:type="dxa"/>
            <w:vMerge w:val="continue"/>
            <w:vAlign w:val="center"/>
          </w:tcPr>
          <w:p w14:paraId="538D3702">
            <w:pPr>
              <w:widowControl/>
              <w:spacing w:line="440" w:lineRule="exact"/>
              <w:jc w:val="left"/>
              <w:textAlignment w:val="center"/>
              <w:rPr>
                <w:rFonts w:ascii="宋体" w:hAnsi="宋体" w:cs="宋体"/>
                <w:bCs/>
                <w:szCs w:val="21"/>
                <w:highlight w:val="none"/>
              </w:rPr>
            </w:pPr>
          </w:p>
        </w:tc>
        <w:tc>
          <w:tcPr>
            <w:tcW w:w="2686" w:type="dxa"/>
            <w:vAlign w:val="center"/>
          </w:tcPr>
          <w:p w14:paraId="2F33B4A2">
            <w:pPr>
              <w:widowControl/>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 xml:space="preserve">其他  </w:t>
            </w:r>
          </w:p>
        </w:tc>
        <w:tc>
          <w:tcPr>
            <w:tcW w:w="5122" w:type="dxa"/>
            <w:vAlign w:val="center"/>
          </w:tcPr>
          <w:p w14:paraId="659D16DE">
            <w:pPr>
              <w:widowControl/>
              <w:spacing w:line="440" w:lineRule="exact"/>
              <w:jc w:val="left"/>
              <w:textAlignment w:val="center"/>
              <w:rPr>
                <w:rFonts w:ascii="宋体" w:hAnsi="宋体" w:cs="宋体"/>
                <w:bCs/>
                <w:szCs w:val="21"/>
                <w:highlight w:val="none"/>
              </w:rPr>
            </w:pPr>
            <w:r>
              <w:rPr>
                <w:rFonts w:hint="eastAsia" w:ascii="宋体" w:hAnsi="宋体" w:cs="宋体"/>
                <w:bCs/>
                <w:szCs w:val="21"/>
                <w:highlight w:val="none"/>
              </w:rPr>
              <w:t>不存在采购文件规定的竞标无效的情形</w:t>
            </w:r>
          </w:p>
        </w:tc>
      </w:tr>
    </w:tbl>
    <w:p w14:paraId="5E0E8136">
      <w:pPr>
        <w:spacing w:line="360" w:lineRule="auto"/>
        <w:ind w:firstLine="482" w:firstLineChars="200"/>
        <w:rPr>
          <w:rFonts w:ascii="宋体" w:hAnsi="宋体" w:cs="宋体"/>
          <w:b/>
          <w:bCs/>
          <w:sz w:val="24"/>
          <w:highlight w:val="none"/>
        </w:rPr>
      </w:pPr>
    </w:p>
    <w:p w14:paraId="240F472B">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6.2综合评审</w:t>
      </w:r>
    </w:p>
    <w:p w14:paraId="3E823A1B">
      <w:pPr>
        <w:spacing w:line="360" w:lineRule="auto"/>
        <w:ind w:firstLine="420" w:firstLineChars="200"/>
        <w:rPr>
          <w:rFonts w:ascii="宋体" w:hAnsi="宋体" w:cs="宋体"/>
          <w:b/>
          <w:szCs w:val="21"/>
          <w:highlight w:val="none"/>
        </w:rPr>
      </w:pPr>
      <w:r>
        <w:rPr>
          <w:rFonts w:hint="eastAsia" w:ascii="宋体" w:hAnsi="宋体" w:cs="宋体"/>
          <w:bCs/>
          <w:szCs w:val="21"/>
          <w:highlight w:val="none"/>
        </w:rPr>
        <w:t>磋商小组将以磋商响应文件为评审依据，对供应商的报价、技术、商务等方面内容按百分制打分。（计分方法按四舍五入取至百分位）</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111"/>
        <w:gridCol w:w="764"/>
        <w:gridCol w:w="1453"/>
        <w:gridCol w:w="5105"/>
      </w:tblGrid>
      <w:tr w14:paraId="3DC8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Align w:val="center"/>
          </w:tcPr>
          <w:p w14:paraId="308B4DCF">
            <w:pPr>
              <w:adjustRightInd w:val="0"/>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序号</w:t>
            </w:r>
          </w:p>
        </w:tc>
        <w:tc>
          <w:tcPr>
            <w:tcW w:w="611" w:type="pct"/>
            <w:vAlign w:val="center"/>
          </w:tcPr>
          <w:p w14:paraId="4092A03E">
            <w:pPr>
              <w:adjustRightInd w:val="0"/>
              <w:spacing w:line="360" w:lineRule="auto"/>
              <w:jc w:val="center"/>
              <w:textAlignment w:val="baseline"/>
              <w:rPr>
                <w:rFonts w:ascii="宋体" w:hAnsi="宋体" w:cs="宋体"/>
                <w:szCs w:val="21"/>
                <w:highlight w:val="none"/>
              </w:rPr>
            </w:pPr>
            <w:r>
              <w:rPr>
                <w:rFonts w:hint="eastAsia" w:ascii="宋体" w:hAnsi="宋体" w:cs="宋体"/>
                <w:b/>
                <w:szCs w:val="21"/>
                <w:highlight w:val="none"/>
              </w:rPr>
              <w:t>评审因素</w:t>
            </w:r>
          </w:p>
        </w:tc>
        <w:tc>
          <w:tcPr>
            <w:tcW w:w="420" w:type="pct"/>
            <w:vAlign w:val="center"/>
          </w:tcPr>
          <w:p w14:paraId="559BE2F9">
            <w:pPr>
              <w:adjustRightInd w:val="0"/>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分值</w:t>
            </w:r>
          </w:p>
        </w:tc>
        <w:tc>
          <w:tcPr>
            <w:tcW w:w="3606" w:type="pct"/>
            <w:gridSpan w:val="2"/>
            <w:vAlign w:val="center"/>
          </w:tcPr>
          <w:p w14:paraId="3452E775">
            <w:pPr>
              <w:adjustRightInd w:val="0"/>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评标标准</w:t>
            </w:r>
          </w:p>
        </w:tc>
      </w:tr>
      <w:tr w14:paraId="7C4B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Align w:val="center"/>
          </w:tcPr>
          <w:p w14:paraId="40789442">
            <w:pPr>
              <w:adjustRightInd w:val="0"/>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1</w:t>
            </w:r>
          </w:p>
        </w:tc>
        <w:tc>
          <w:tcPr>
            <w:tcW w:w="611" w:type="pct"/>
            <w:vAlign w:val="center"/>
          </w:tcPr>
          <w:p w14:paraId="6B3B68C5">
            <w:pPr>
              <w:adjustRightInd w:val="0"/>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报价部分</w:t>
            </w:r>
          </w:p>
        </w:tc>
        <w:tc>
          <w:tcPr>
            <w:tcW w:w="420" w:type="pct"/>
            <w:vAlign w:val="center"/>
          </w:tcPr>
          <w:p w14:paraId="654F06BB">
            <w:pPr>
              <w:adjustRightInd w:val="0"/>
              <w:spacing w:line="360" w:lineRule="auto"/>
              <w:jc w:val="center"/>
              <w:textAlignment w:val="baseline"/>
              <w:rPr>
                <w:rFonts w:ascii="宋体" w:hAnsi="宋体" w:cs="宋体"/>
                <w:b/>
                <w:szCs w:val="21"/>
                <w:highlight w:val="none"/>
              </w:rPr>
            </w:pPr>
            <w:r>
              <w:rPr>
                <w:rFonts w:hint="eastAsia" w:ascii="宋体" w:hAnsi="宋体" w:cs="宋体"/>
                <w:b/>
                <w:szCs w:val="21"/>
                <w:highlight w:val="none"/>
                <w:lang w:val="en-US" w:eastAsia="zh-CN"/>
              </w:rPr>
              <w:t>20</w:t>
            </w:r>
            <w:r>
              <w:rPr>
                <w:rFonts w:hint="eastAsia" w:ascii="宋体" w:hAnsi="宋体" w:cs="宋体"/>
                <w:b/>
                <w:szCs w:val="21"/>
                <w:highlight w:val="none"/>
              </w:rPr>
              <w:t>分</w:t>
            </w:r>
          </w:p>
        </w:tc>
        <w:tc>
          <w:tcPr>
            <w:tcW w:w="3606" w:type="pct"/>
            <w:gridSpan w:val="2"/>
            <w:vAlign w:val="center"/>
          </w:tcPr>
          <w:p w14:paraId="4CD4B204">
            <w:pPr>
              <w:spacing w:line="360" w:lineRule="auto"/>
              <w:ind w:firstLine="420" w:firstLineChars="200"/>
              <w:rPr>
                <w:rFonts w:ascii="宋体" w:hAnsi="宋体" w:cs="宋体"/>
                <w:szCs w:val="21"/>
              </w:rPr>
            </w:pPr>
            <w:r>
              <w:rPr>
                <w:rFonts w:hint="eastAsia" w:ascii="宋体" w:hAnsi="宋体" w:cs="宋体"/>
                <w:bCs/>
                <w:szCs w:val="21"/>
              </w:rPr>
              <w:t>1.</w:t>
            </w:r>
            <w:r>
              <w:rPr>
                <w:rFonts w:hint="eastAsia" w:ascii="宋体" w:hAnsi="宋体" w:cs="宋体"/>
                <w:szCs w:val="21"/>
              </w:rPr>
              <w:t>评审价为供应商的最后报价。</w:t>
            </w:r>
          </w:p>
          <w:p w14:paraId="434E3D3F">
            <w:pPr>
              <w:spacing w:line="360" w:lineRule="auto"/>
              <w:ind w:firstLine="420" w:firstLineChars="200"/>
              <w:rPr>
                <w:rFonts w:ascii="宋体" w:hAnsi="宋体" w:cs="宋体"/>
                <w:szCs w:val="21"/>
              </w:rPr>
            </w:pPr>
            <w:r>
              <w:rPr>
                <w:bCs/>
                <w:szCs w:val="21"/>
              </w:rPr>
              <w:t>2.</w:t>
            </w:r>
            <w:r>
              <w:rPr>
                <w:rFonts w:hint="eastAsia" w:ascii="宋体" w:hAnsi="宋体" w:cs="宋体"/>
                <w:bCs/>
                <w:szCs w:val="21"/>
              </w:rPr>
              <w:t>本项目属于专门面向中小企业采购的项目（供应商应为中小微企业、监狱企业、残疾人福利性单位</w:t>
            </w:r>
            <w:r>
              <w:rPr>
                <w:bCs/>
                <w:szCs w:val="21"/>
              </w:rPr>
              <w:t>)</w:t>
            </w:r>
            <w:r>
              <w:rPr>
                <w:rFonts w:hint="eastAsia" w:ascii="宋体" w:hAnsi="宋体" w:cs="宋体"/>
                <w:bCs/>
                <w:szCs w:val="21"/>
              </w:rPr>
              <w:t>，不再进行政府采购政策性扣除计算。</w:t>
            </w:r>
          </w:p>
          <w:p w14:paraId="212B517F">
            <w:pPr>
              <w:pStyle w:val="27"/>
              <w:spacing w:line="360" w:lineRule="auto"/>
              <w:ind w:firstLine="420" w:firstLineChars="200"/>
              <w:rPr>
                <w:rFonts w:ascii="宋体" w:hAnsi="宋体" w:cs="宋体"/>
                <w:bCs/>
                <w:kern w:val="2"/>
                <w:sz w:val="21"/>
                <w:szCs w:val="21"/>
              </w:rPr>
            </w:pPr>
            <w:r>
              <w:rPr>
                <w:rFonts w:hint="eastAsia" w:ascii="宋体" w:hAnsi="宋体" w:cs="宋体"/>
                <w:bCs/>
                <w:kern w:val="2"/>
                <w:sz w:val="21"/>
                <w:szCs w:val="21"/>
              </w:rPr>
              <w:t>3.以进入比较与评价环节的最低的评审价为基准价，基准价得分为</w:t>
            </w:r>
            <w:r>
              <w:rPr>
                <w:rFonts w:hint="eastAsia" w:ascii="宋体" w:hAnsi="宋体" w:cs="宋体"/>
                <w:bCs/>
                <w:kern w:val="2"/>
                <w:sz w:val="21"/>
                <w:szCs w:val="21"/>
                <w:u w:val="single"/>
              </w:rPr>
              <w:t xml:space="preserve"> </w:t>
            </w:r>
            <w:r>
              <w:rPr>
                <w:rFonts w:hint="eastAsia" w:ascii="宋体" w:hAnsi="宋体" w:cs="宋体"/>
                <w:bCs/>
                <w:kern w:val="2"/>
                <w:sz w:val="21"/>
                <w:szCs w:val="21"/>
                <w:u w:val="single"/>
                <w:lang w:val="en-US" w:eastAsia="zh-CN"/>
              </w:rPr>
              <w:t>2</w:t>
            </w:r>
            <w:r>
              <w:rPr>
                <w:rFonts w:hint="eastAsia" w:ascii="宋体" w:hAnsi="宋体" w:cs="宋体"/>
                <w:bCs/>
                <w:kern w:val="2"/>
                <w:sz w:val="21"/>
                <w:szCs w:val="21"/>
                <w:u w:val="single"/>
              </w:rPr>
              <w:t>0 分</w:t>
            </w:r>
            <w:r>
              <w:rPr>
                <w:rFonts w:hint="eastAsia" w:ascii="宋体" w:hAnsi="宋体" w:cs="宋体"/>
                <w:bCs/>
                <w:kern w:val="2"/>
                <w:sz w:val="21"/>
                <w:szCs w:val="21"/>
              </w:rPr>
              <w:t>。</w:t>
            </w:r>
          </w:p>
          <w:p w14:paraId="0547127B">
            <w:pPr>
              <w:pStyle w:val="27"/>
              <w:spacing w:line="360" w:lineRule="auto"/>
              <w:ind w:firstLine="420" w:firstLineChars="200"/>
              <w:rPr>
                <w:rFonts w:ascii="宋体" w:hAnsi="宋体" w:cs="宋体"/>
                <w:bCs/>
                <w:kern w:val="2"/>
                <w:sz w:val="21"/>
                <w:szCs w:val="21"/>
              </w:rPr>
            </w:pPr>
            <w:r>
              <w:rPr>
                <w:rFonts w:hint="eastAsia" w:ascii="宋体" w:hAnsi="宋体" w:cs="宋体"/>
                <w:bCs/>
                <w:kern w:val="2"/>
                <w:sz w:val="21"/>
                <w:szCs w:val="21"/>
              </w:rPr>
              <w:t>4.价格分计算公式：</w:t>
            </w:r>
          </w:p>
          <w:p w14:paraId="3F71E9AB">
            <w:pPr>
              <w:rPr>
                <w:rFonts w:ascii="宋体" w:hAnsi="宋体" w:cs="宋体"/>
                <w:bCs/>
                <w:highlight w:val="none"/>
              </w:rPr>
            </w:pPr>
            <w:r>
              <w:rPr>
                <w:rFonts w:hint="eastAsia" w:ascii="宋体" w:hAnsi="宋体" w:cs="宋体"/>
                <w:bCs/>
                <w:kern w:val="2"/>
                <w:sz w:val="21"/>
                <w:szCs w:val="21"/>
              </w:rPr>
              <w:t>报价得分=（基准价/评审价）×</w:t>
            </w:r>
            <w:r>
              <w:rPr>
                <w:rFonts w:hint="eastAsia" w:ascii="宋体" w:hAnsi="宋体" w:cs="宋体"/>
                <w:bCs/>
                <w:kern w:val="2"/>
                <w:sz w:val="21"/>
                <w:szCs w:val="21"/>
                <w:u w:val="single"/>
                <w:lang w:val="en-US" w:eastAsia="zh-CN"/>
              </w:rPr>
              <w:t>2</w:t>
            </w:r>
            <w:r>
              <w:rPr>
                <w:rFonts w:hint="eastAsia" w:ascii="宋体" w:hAnsi="宋体" w:cs="宋体"/>
                <w:bCs/>
                <w:kern w:val="2"/>
                <w:sz w:val="21"/>
                <w:szCs w:val="21"/>
                <w:u w:val="single"/>
              </w:rPr>
              <w:t>0 分</w:t>
            </w:r>
          </w:p>
        </w:tc>
      </w:tr>
      <w:tr w14:paraId="7C34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Merge w:val="restart"/>
            <w:vAlign w:val="center"/>
          </w:tcPr>
          <w:p w14:paraId="4E302533">
            <w:pPr>
              <w:adjustRightInd w:val="0"/>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2</w:t>
            </w:r>
          </w:p>
        </w:tc>
        <w:tc>
          <w:tcPr>
            <w:tcW w:w="611" w:type="pct"/>
            <w:vMerge w:val="restart"/>
            <w:vAlign w:val="center"/>
          </w:tcPr>
          <w:p w14:paraId="52455E8D">
            <w:pPr>
              <w:adjustRightInd w:val="0"/>
              <w:spacing w:line="360" w:lineRule="auto"/>
              <w:jc w:val="center"/>
              <w:textAlignment w:val="baseline"/>
              <w:rPr>
                <w:rFonts w:ascii="宋体" w:hAnsi="宋体" w:cs="宋体"/>
                <w:b/>
                <w:szCs w:val="21"/>
                <w:highlight w:val="none"/>
              </w:rPr>
            </w:pPr>
            <w:r>
              <w:rPr>
                <w:rFonts w:hint="eastAsia" w:ascii="宋体" w:hAnsi="宋体" w:cs="宋体"/>
                <w:b/>
                <w:bCs/>
                <w:szCs w:val="21"/>
                <w:highlight w:val="none"/>
              </w:rPr>
              <w:t>技术部分</w:t>
            </w:r>
          </w:p>
        </w:tc>
        <w:tc>
          <w:tcPr>
            <w:tcW w:w="420" w:type="pct"/>
            <w:vMerge w:val="restart"/>
            <w:vAlign w:val="center"/>
          </w:tcPr>
          <w:p w14:paraId="4BD4F8A2">
            <w:pPr>
              <w:spacing w:line="360" w:lineRule="auto"/>
              <w:jc w:val="center"/>
              <w:textAlignment w:val="baseline"/>
              <w:rPr>
                <w:rFonts w:ascii="宋体" w:hAnsi="宋体" w:cs="宋体"/>
                <w:highlight w:val="none"/>
              </w:rPr>
            </w:pPr>
            <w:r>
              <w:rPr>
                <w:rFonts w:hint="eastAsia" w:ascii="宋体" w:hAnsi="宋体" w:cs="宋体"/>
                <w:b/>
                <w:bCs/>
                <w:highlight w:val="none"/>
                <w:lang w:val="en-US" w:eastAsia="zh-CN"/>
              </w:rPr>
              <w:t>74</w:t>
            </w:r>
            <w:r>
              <w:rPr>
                <w:rFonts w:hint="eastAsia" w:ascii="宋体" w:hAnsi="宋体" w:cs="宋体"/>
                <w:b/>
                <w:bCs/>
                <w:highlight w:val="none"/>
              </w:rPr>
              <w:t>分</w:t>
            </w:r>
          </w:p>
        </w:tc>
        <w:tc>
          <w:tcPr>
            <w:tcW w:w="799" w:type="pct"/>
            <w:vAlign w:val="center"/>
          </w:tcPr>
          <w:p w14:paraId="3C74EF9D">
            <w:pPr>
              <w:spacing w:line="360" w:lineRule="auto"/>
              <w:jc w:val="center"/>
              <w:textAlignment w:val="baseline"/>
              <w:rPr>
                <w:rFonts w:ascii="宋体" w:hAnsi="宋体" w:cs="宋体"/>
                <w:b/>
                <w:szCs w:val="21"/>
                <w:highlight w:val="none"/>
              </w:rPr>
            </w:pPr>
            <w:r>
              <w:rPr>
                <w:rFonts w:hint="eastAsia" w:ascii="宋体" w:hAnsi="宋体" w:cs="宋体"/>
                <w:b/>
                <w:szCs w:val="21"/>
              </w:rPr>
              <w:t>项目服务实施方案（满分</w:t>
            </w:r>
            <w:r>
              <w:rPr>
                <w:rFonts w:hint="eastAsia" w:ascii="宋体" w:hAnsi="宋体" w:cs="宋体"/>
                <w:b/>
                <w:szCs w:val="21"/>
                <w:lang w:val="en-US" w:eastAsia="zh-CN"/>
              </w:rPr>
              <w:t>2</w:t>
            </w:r>
            <w:r>
              <w:rPr>
                <w:rFonts w:hint="eastAsia" w:ascii="宋体" w:hAnsi="宋体" w:cs="宋体"/>
                <w:b/>
                <w:szCs w:val="21"/>
              </w:rPr>
              <w:t>2分）</w:t>
            </w:r>
          </w:p>
        </w:tc>
        <w:tc>
          <w:tcPr>
            <w:tcW w:w="2806" w:type="pct"/>
            <w:vAlign w:val="center"/>
          </w:tcPr>
          <w:p w14:paraId="70B013C6">
            <w:pPr>
              <w:spacing w:line="360" w:lineRule="auto"/>
              <w:ind w:firstLine="420" w:firstLineChars="200"/>
              <w:rPr>
                <w:rFonts w:ascii="宋体" w:hAnsi="宋体" w:cs="宋体"/>
                <w:szCs w:val="21"/>
              </w:rPr>
            </w:pPr>
            <w:r>
              <w:rPr>
                <w:rFonts w:hint="eastAsia" w:ascii="宋体" w:hAnsi="宋体" w:cs="宋体"/>
                <w:szCs w:val="21"/>
              </w:rPr>
              <w:t>一档（</w:t>
            </w:r>
            <w:r>
              <w:rPr>
                <w:rFonts w:hint="eastAsia" w:ascii="宋体" w:hAnsi="宋体" w:cs="宋体"/>
                <w:szCs w:val="21"/>
                <w:lang w:val="en-US" w:eastAsia="zh-CN"/>
              </w:rPr>
              <w:t>7</w:t>
            </w:r>
            <w:r>
              <w:rPr>
                <w:rFonts w:hint="eastAsia" w:ascii="宋体" w:hAnsi="宋体" w:cs="宋体"/>
                <w:szCs w:val="21"/>
              </w:rPr>
              <w:t>分）：提供的项目服务实施方案内容简单；</w:t>
            </w:r>
          </w:p>
          <w:p w14:paraId="6067B326">
            <w:pPr>
              <w:spacing w:line="360" w:lineRule="auto"/>
              <w:ind w:firstLine="420" w:firstLineChars="200"/>
              <w:rPr>
                <w:rFonts w:ascii="宋体" w:hAnsi="宋体" w:cs="宋体"/>
                <w:szCs w:val="21"/>
              </w:rPr>
            </w:pPr>
            <w:r>
              <w:rPr>
                <w:rFonts w:hint="eastAsia" w:ascii="宋体" w:hAnsi="宋体" w:cs="宋体"/>
                <w:szCs w:val="21"/>
              </w:rPr>
              <w:t>二档（</w:t>
            </w:r>
            <w:r>
              <w:rPr>
                <w:rFonts w:hint="eastAsia" w:ascii="宋体" w:hAnsi="宋体" w:cs="宋体"/>
                <w:szCs w:val="21"/>
                <w:lang w:val="en-US" w:eastAsia="zh-CN"/>
              </w:rPr>
              <w:t>12</w:t>
            </w:r>
            <w:r>
              <w:rPr>
                <w:rFonts w:hint="eastAsia" w:ascii="宋体" w:hAnsi="宋体" w:cs="宋体"/>
                <w:szCs w:val="21"/>
              </w:rPr>
              <w:t>分）：在一档的基础上，供应商根据采购文件《第三章 采购需求》编制项目服务实施方案，服务实施方案有对应的工作流程、人员配备、工作措施、工作方法、工作手段等。</w:t>
            </w:r>
          </w:p>
          <w:p w14:paraId="106560BE">
            <w:pPr>
              <w:spacing w:line="360" w:lineRule="auto"/>
              <w:ind w:firstLine="420" w:firstLineChars="200"/>
              <w:rPr>
                <w:rFonts w:ascii="宋体" w:hAnsi="宋体" w:cs="宋体"/>
                <w:szCs w:val="21"/>
              </w:rPr>
            </w:pPr>
            <w:r>
              <w:rPr>
                <w:rFonts w:hint="eastAsia" w:ascii="宋体" w:hAnsi="宋体" w:cs="宋体"/>
                <w:szCs w:val="21"/>
              </w:rPr>
              <w:t>三档（</w:t>
            </w:r>
            <w:r>
              <w:rPr>
                <w:rFonts w:hint="eastAsia" w:ascii="宋体" w:hAnsi="宋体" w:cs="宋体"/>
                <w:szCs w:val="21"/>
                <w:lang w:val="en-US" w:eastAsia="zh-CN"/>
              </w:rPr>
              <w:t>17</w:t>
            </w:r>
            <w:r>
              <w:rPr>
                <w:rFonts w:hint="eastAsia" w:ascii="宋体" w:hAnsi="宋体" w:cs="宋体"/>
                <w:szCs w:val="21"/>
              </w:rPr>
              <w:t>分）：在二档的基础上，对实施过程中可能存在的问题及产生问题的原因分析全面，有提出针对本项目的解决方案，有人员安排及技术路线；</w:t>
            </w:r>
          </w:p>
          <w:p w14:paraId="1A6864F5">
            <w:pPr>
              <w:spacing w:line="360" w:lineRule="auto"/>
              <w:ind w:firstLine="420" w:firstLineChars="200"/>
              <w:rPr>
                <w:rFonts w:ascii="宋体" w:hAnsi="宋体" w:cs="宋体"/>
                <w:szCs w:val="21"/>
              </w:rPr>
            </w:pPr>
            <w:r>
              <w:rPr>
                <w:rFonts w:hint="eastAsia" w:ascii="宋体" w:hAnsi="宋体" w:cs="宋体"/>
                <w:szCs w:val="21"/>
              </w:rPr>
              <w:t>四档（</w:t>
            </w:r>
            <w:r>
              <w:rPr>
                <w:rFonts w:hint="eastAsia" w:ascii="宋体" w:hAnsi="宋体" w:cs="宋体"/>
                <w:szCs w:val="21"/>
                <w:lang w:val="en-US" w:eastAsia="zh-CN"/>
              </w:rPr>
              <w:t>22</w:t>
            </w:r>
            <w:r>
              <w:rPr>
                <w:rFonts w:hint="eastAsia" w:ascii="宋体" w:hAnsi="宋体" w:cs="宋体"/>
                <w:szCs w:val="21"/>
              </w:rPr>
              <w:t>分）：在三档的基础上，提出的解决方案内容全面且有针对性，人员安排及技术路线科学，有具体的措施并针对本项目提出了合理化建议，项目成果符合规范要求，并达到质量要求及采购人要求。</w:t>
            </w:r>
          </w:p>
          <w:p w14:paraId="08FD0317">
            <w:pPr>
              <w:spacing w:line="360" w:lineRule="auto"/>
              <w:ind w:firstLine="420" w:firstLineChars="200"/>
              <w:rPr>
                <w:rFonts w:ascii="宋体" w:hAnsi="宋体" w:cs="宋体"/>
                <w:highlight w:val="none"/>
              </w:rPr>
            </w:pPr>
            <w:r>
              <w:rPr>
                <w:rFonts w:hint="eastAsia" w:ascii="宋体" w:hAnsi="宋体" w:cs="宋体"/>
                <w:szCs w:val="21"/>
              </w:rPr>
              <w:t>备注：未提项目服务实施方案的本项不得分。</w:t>
            </w:r>
          </w:p>
        </w:tc>
      </w:tr>
      <w:tr w14:paraId="47D6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Merge w:val="continue"/>
            <w:vAlign w:val="center"/>
          </w:tcPr>
          <w:p w14:paraId="17D5B347">
            <w:pPr>
              <w:adjustRightInd w:val="0"/>
              <w:spacing w:line="360" w:lineRule="auto"/>
              <w:jc w:val="center"/>
              <w:textAlignment w:val="baseline"/>
              <w:rPr>
                <w:rFonts w:ascii="宋体" w:hAnsi="宋体" w:cs="宋体"/>
                <w:b/>
                <w:szCs w:val="21"/>
                <w:highlight w:val="none"/>
              </w:rPr>
            </w:pPr>
          </w:p>
        </w:tc>
        <w:tc>
          <w:tcPr>
            <w:tcW w:w="611" w:type="pct"/>
            <w:vMerge w:val="continue"/>
            <w:vAlign w:val="center"/>
          </w:tcPr>
          <w:p w14:paraId="2B4EB6AF">
            <w:pPr>
              <w:adjustRightInd w:val="0"/>
              <w:spacing w:line="360" w:lineRule="auto"/>
              <w:jc w:val="center"/>
              <w:textAlignment w:val="baseline"/>
              <w:rPr>
                <w:rFonts w:ascii="宋体" w:hAnsi="宋体" w:cs="宋体"/>
                <w:b/>
                <w:szCs w:val="21"/>
                <w:highlight w:val="none"/>
              </w:rPr>
            </w:pPr>
          </w:p>
        </w:tc>
        <w:tc>
          <w:tcPr>
            <w:tcW w:w="420" w:type="pct"/>
            <w:vMerge w:val="continue"/>
            <w:vAlign w:val="center"/>
          </w:tcPr>
          <w:p w14:paraId="539D2DBA">
            <w:pPr>
              <w:spacing w:line="360" w:lineRule="auto"/>
              <w:jc w:val="center"/>
              <w:textAlignment w:val="baseline"/>
              <w:rPr>
                <w:rFonts w:ascii="宋体" w:hAnsi="宋体" w:cs="宋体"/>
                <w:b/>
                <w:szCs w:val="21"/>
                <w:highlight w:val="none"/>
              </w:rPr>
            </w:pPr>
          </w:p>
        </w:tc>
        <w:tc>
          <w:tcPr>
            <w:tcW w:w="799" w:type="pct"/>
            <w:shd w:val="clear" w:color="auto" w:fill="auto"/>
            <w:vAlign w:val="center"/>
          </w:tcPr>
          <w:p w14:paraId="339097D5">
            <w:pPr>
              <w:spacing w:line="360" w:lineRule="auto"/>
              <w:jc w:val="center"/>
              <w:textAlignment w:val="baseline"/>
              <w:rPr>
                <w:rFonts w:ascii="宋体" w:hAnsi="宋体" w:eastAsia="宋体" w:cs="宋体"/>
                <w:b/>
                <w:kern w:val="2"/>
                <w:sz w:val="21"/>
                <w:szCs w:val="21"/>
                <w:lang w:val="en-US" w:eastAsia="zh-CN" w:bidi="ar-SA"/>
              </w:rPr>
            </w:pPr>
            <w:r>
              <w:rPr>
                <w:rFonts w:hint="eastAsia" w:ascii="宋体" w:hAnsi="宋体" w:cs="宋体"/>
                <w:b/>
                <w:szCs w:val="21"/>
              </w:rPr>
              <w:t>时间进度安排措施（满分12分）</w:t>
            </w:r>
          </w:p>
        </w:tc>
        <w:tc>
          <w:tcPr>
            <w:tcW w:w="2806" w:type="pct"/>
            <w:shd w:val="clear" w:color="auto" w:fill="auto"/>
            <w:vAlign w:val="center"/>
          </w:tcPr>
          <w:p w14:paraId="31BDF5B0">
            <w:pPr>
              <w:spacing w:line="360" w:lineRule="auto"/>
              <w:ind w:firstLine="420" w:firstLineChars="200"/>
              <w:rPr>
                <w:rFonts w:cs="宋体"/>
                <w:szCs w:val="21"/>
              </w:rPr>
            </w:pPr>
            <w:r>
              <w:rPr>
                <w:rFonts w:hint="eastAsia" w:ascii="宋体" w:hAnsi="宋体" w:cs="宋体"/>
                <w:szCs w:val="21"/>
              </w:rPr>
              <w:t>一档（3分）：提供了简单的</w:t>
            </w:r>
            <w:r>
              <w:rPr>
                <w:rFonts w:hint="eastAsia" w:ascii="宋体" w:hAnsi="宋体" w:cs="宋体"/>
                <w:color w:val="000000"/>
                <w:szCs w:val="21"/>
              </w:rPr>
              <w:t>时间进度安排</w:t>
            </w:r>
            <w:r>
              <w:rPr>
                <w:rFonts w:hint="eastAsia" w:ascii="宋体" w:hAnsi="宋体" w:cs="宋体"/>
                <w:szCs w:val="21"/>
              </w:rPr>
              <w:t>计划；</w:t>
            </w:r>
          </w:p>
          <w:p w14:paraId="5FDBA339">
            <w:pPr>
              <w:spacing w:line="360" w:lineRule="auto"/>
              <w:ind w:firstLine="420" w:firstLineChars="200"/>
              <w:rPr>
                <w:rFonts w:ascii="宋体" w:hAnsi="宋体" w:cs="宋体"/>
                <w:szCs w:val="21"/>
              </w:rPr>
            </w:pPr>
            <w:r>
              <w:rPr>
                <w:rFonts w:hint="eastAsia" w:ascii="宋体" w:hAnsi="宋体" w:cs="宋体"/>
                <w:szCs w:val="21"/>
              </w:rPr>
              <w:t>二档（6分）：在一档的基础上，人员安排、技术等方面的时间进度安排措施，有控制时间进度安排的计划；</w:t>
            </w:r>
          </w:p>
          <w:p w14:paraId="22AD4981">
            <w:pPr>
              <w:spacing w:line="360" w:lineRule="auto"/>
              <w:ind w:firstLine="420" w:firstLineChars="200"/>
              <w:rPr>
                <w:rFonts w:ascii="宋体" w:hAnsi="宋体" w:cs="宋体"/>
                <w:szCs w:val="21"/>
              </w:rPr>
            </w:pPr>
            <w:r>
              <w:rPr>
                <w:rFonts w:hint="eastAsia" w:ascii="宋体" w:hAnsi="宋体" w:cs="宋体"/>
                <w:szCs w:val="21"/>
              </w:rPr>
              <w:t>三档（9分）：在二档的基础上，有人员安排、技术等方面的时间进度安排措施，有控制时间进度安排的计划及措施，有出现问题解决的时间及解决方案；</w:t>
            </w:r>
          </w:p>
          <w:p w14:paraId="6116D818">
            <w:pPr>
              <w:spacing w:line="360" w:lineRule="auto"/>
              <w:ind w:firstLine="420" w:firstLineChars="200"/>
              <w:rPr>
                <w:rFonts w:ascii="宋体" w:hAnsi="宋体" w:cs="宋体"/>
                <w:szCs w:val="21"/>
              </w:rPr>
            </w:pPr>
            <w:r>
              <w:rPr>
                <w:rFonts w:hint="eastAsia" w:ascii="宋体" w:hAnsi="宋体" w:cs="宋体"/>
                <w:szCs w:val="21"/>
              </w:rPr>
              <w:t>四档（12分）：在三档的基础上，有人员安排、技术等方面针对本项目的具体时间进度安排措施，有保障时间进度安排的承诺，有出现问题解决的时间及解决方案。</w:t>
            </w:r>
          </w:p>
          <w:p w14:paraId="09A2FA36">
            <w:pPr>
              <w:spacing w:line="360" w:lineRule="auto"/>
              <w:ind w:firstLine="420" w:firstLineChars="200"/>
              <w:rPr>
                <w:rFonts w:ascii="宋体" w:hAnsi="宋体" w:eastAsia="宋体" w:cs="宋体"/>
                <w:kern w:val="2"/>
                <w:sz w:val="21"/>
                <w:szCs w:val="21"/>
                <w:lang w:val="en-US" w:eastAsia="zh-CN" w:bidi="ar-SA"/>
              </w:rPr>
            </w:pPr>
            <w:r>
              <w:rPr>
                <w:rFonts w:hint="eastAsia" w:ascii="宋体" w:hAnsi="宋体" w:cs="宋体"/>
                <w:szCs w:val="21"/>
              </w:rPr>
              <w:t>备注：未提供时间进度安排措施内容的不得分。</w:t>
            </w:r>
          </w:p>
        </w:tc>
      </w:tr>
      <w:tr w14:paraId="7DE2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Merge w:val="continue"/>
            <w:vAlign w:val="center"/>
          </w:tcPr>
          <w:p w14:paraId="2628993B">
            <w:pPr>
              <w:adjustRightInd w:val="0"/>
              <w:spacing w:line="360" w:lineRule="auto"/>
              <w:jc w:val="center"/>
              <w:textAlignment w:val="baseline"/>
              <w:rPr>
                <w:rFonts w:ascii="宋体" w:hAnsi="宋体" w:cs="宋体"/>
                <w:b/>
                <w:szCs w:val="21"/>
                <w:highlight w:val="none"/>
              </w:rPr>
            </w:pPr>
          </w:p>
        </w:tc>
        <w:tc>
          <w:tcPr>
            <w:tcW w:w="611" w:type="pct"/>
            <w:vMerge w:val="continue"/>
            <w:vAlign w:val="center"/>
          </w:tcPr>
          <w:p w14:paraId="30C1F13E">
            <w:pPr>
              <w:adjustRightInd w:val="0"/>
              <w:spacing w:line="360" w:lineRule="auto"/>
              <w:jc w:val="center"/>
              <w:textAlignment w:val="baseline"/>
              <w:rPr>
                <w:rFonts w:ascii="宋体" w:hAnsi="宋体" w:cs="宋体"/>
                <w:b/>
                <w:szCs w:val="21"/>
                <w:highlight w:val="none"/>
              </w:rPr>
            </w:pPr>
          </w:p>
        </w:tc>
        <w:tc>
          <w:tcPr>
            <w:tcW w:w="420" w:type="pct"/>
            <w:vMerge w:val="continue"/>
            <w:vAlign w:val="center"/>
          </w:tcPr>
          <w:p w14:paraId="22D56BDB">
            <w:pPr>
              <w:spacing w:line="360" w:lineRule="auto"/>
              <w:jc w:val="center"/>
              <w:textAlignment w:val="baseline"/>
              <w:rPr>
                <w:rFonts w:ascii="宋体" w:hAnsi="宋体" w:cs="宋体"/>
                <w:b/>
                <w:szCs w:val="21"/>
                <w:highlight w:val="none"/>
              </w:rPr>
            </w:pPr>
          </w:p>
        </w:tc>
        <w:tc>
          <w:tcPr>
            <w:tcW w:w="799" w:type="pct"/>
            <w:shd w:val="clear" w:color="auto" w:fill="auto"/>
            <w:vAlign w:val="center"/>
          </w:tcPr>
          <w:p w14:paraId="61D6651B">
            <w:pPr>
              <w:spacing w:line="360" w:lineRule="auto"/>
              <w:jc w:val="center"/>
              <w:textAlignment w:val="baseline"/>
              <w:rPr>
                <w:rFonts w:ascii="宋体" w:hAnsi="宋体" w:eastAsia="宋体" w:cs="宋体"/>
                <w:b/>
                <w:kern w:val="2"/>
                <w:sz w:val="21"/>
                <w:szCs w:val="21"/>
                <w:lang w:val="en-US" w:eastAsia="zh-CN" w:bidi="ar-SA"/>
              </w:rPr>
            </w:pPr>
            <w:r>
              <w:rPr>
                <w:rFonts w:hint="eastAsia" w:ascii="宋体" w:hAnsi="宋体" w:cs="宋体"/>
                <w:b/>
                <w:szCs w:val="21"/>
              </w:rPr>
              <w:t>质量保证措施（满分20分）</w:t>
            </w:r>
          </w:p>
        </w:tc>
        <w:tc>
          <w:tcPr>
            <w:tcW w:w="2806" w:type="pct"/>
            <w:shd w:val="clear" w:color="auto" w:fill="auto"/>
            <w:vAlign w:val="center"/>
          </w:tcPr>
          <w:p w14:paraId="72CE7F69">
            <w:pPr>
              <w:spacing w:line="360" w:lineRule="auto"/>
              <w:ind w:firstLine="420" w:firstLineChars="200"/>
              <w:rPr>
                <w:rFonts w:ascii="宋体" w:hAnsi="宋体" w:cs="宋体"/>
                <w:szCs w:val="21"/>
              </w:rPr>
            </w:pPr>
            <w:r>
              <w:rPr>
                <w:rFonts w:hint="eastAsia" w:ascii="宋体" w:hAnsi="宋体" w:cs="宋体"/>
                <w:szCs w:val="21"/>
              </w:rPr>
              <w:t>一档（5分）：质量保证措施内容基本满足采购文件需求：包含质量目标，质量控制措施；</w:t>
            </w:r>
          </w:p>
          <w:p w14:paraId="01086796">
            <w:pPr>
              <w:pStyle w:val="27"/>
              <w:spacing w:beforeAutospacing="0" w:line="360" w:lineRule="auto"/>
              <w:ind w:firstLine="420" w:firstLineChars="200"/>
              <w:rPr>
                <w:rFonts w:ascii="宋体" w:hAnsi="Times New Roman" w:cs="宋体"/>
                <w:kern w:val="2"/>
                <w:sz w:val="21"/>
                <w:szCs w:val="21"/>
              </w:rPr>
            </w:pPr>
            <w:r>
              <w:rPr>
                <w:rFonts w:hint="eastAsia" w:ascii="宋体" w:hAnsi="宋体" w:cs="宋体"/>
                <w:kern w:val="2"/>
                <w:sz w:val="21"/>
                <w:szCs w:val="21"/>
              </w:rPr>
              <w:t>二档（10分）：在一档的基础上，质量保证措施内容满足采购文件需求，内容全面：包含质量方针、目标，质量管理工作流程、质量控制措施；</w:t>
            </w:r>
          </w:p>
          <w:p w14:paraId="348FEBEF">
            <w:pPr>
              <w:spacing w:line="360" w:lineRule="auto"/>
              <w:ind w:firstLine="420" w:firstLineChars="200"/>
              <w:rPr>
                <w:rFonts w:ascii="宋体" w:hAnsi="宋体" w:cs="宋体"/>
                <w:szCs w:val="21"/>
              </w:rPr>
            </w:pPr>
            <w:r>
              <w:rPr>
                <w:rFonts w:hint="eastAsia" w:ascii="宋体" w:hAnsi="宋体" w:cs="宋体"/>
                <w:szCs w:val="21"/>
              </w:rPr>
              <w:t>三档（15分）：在二档的基础上，质量保证措施内容满足采购文件需求，内容全面：包含质量方针、目标、质量控制措施、质量管理工作流程、质量监控布置、管理体系；</w:t>
            </w:r>
          </w:p>
          <w:p w14:paraId="2F960B59">
            <w:pPr>
              <w:spacing w:line="360" w:lineRule="auto"/>
              <w:ind w:firstLine="420" w:firstLineChars="200"/>
              <w:rPr>
                <w:rFonts w:ascii="宋体" w:hAnsi="宋体" w:cs="宋体"/>
                <w:szCs w:val="21"/>
              </w:rPr>
            </w:pPr>
            <w:r>
              <w:rPr>
                <w:rFonts w:hint="eastAsia" w:ascii="宋体" w:hAnsi="宋体" w:cs="宋体"/>
                <w:szCs w:val="21"/>
              </w:rPr>
              <w:t>四档（20分）：在三档的基础上，质量保证措施内容满足采购文件需求，内容全面、详细可行，包含：质量方针、目标，质量管理工作流程、质量监控布置、质量事故处理方案、管理体系、质量保证承诺。</w:t>
            </w:r>
          </w:p>
          <w:p w14:paraId="4F0615FB">
            <w:pPr>
              <w:spacing w:line="360" w:lineRule="auto"/>
              <w:ind w:firstLine="420" w:firstLineChars="200"/>
              <w:rPr>
                <w:rFonts w:ascii="宋体" w:hAnsi="宋体" w:eastAsia="宋体" w:cs="宋体"/>
                <w:kern w:val="2"/>
                <w:sz w:val="21"/>
                <w:szCs w:val="21"/>
                <w:lang w:val="en-US" w:eastAsia="zh-CN" w:bidi="ar-SA"/>
              </w:rPr>
            </w:pPr>
            <w:r>
              <w:rPr>
                <w:rFonts w:hint="eastAsia" w:ascii="宋体" w:hAnsi="宋体" w:cs="宋体"/>
                <w:szCs w:val="21"/>
              </w:rPr>
              <w:t>备注：未提供质量保证措施内容的不得分</w:t>
            </w:r>
          </w:p>
        </w:tc>
      </w:tr>
      <w:tr w14:paraId="0A76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Merge w:val="continue"/>
            <w:vAlign w:val="center"/>
          </w:tcPr>
          <w:p w14:paraId="6694FFE3">
            <w:pPr>
              <w:adjustRightInd w:val="0"/>
              <w:spacing w:line="360" w:lineRule="auto"/>
              <w:jc w:val="center"/>
              <w:textAlignment w:val="baseline"/>
              <w:rPr>
                <w:rFonts w:ascii="宋体" w:hAnsi="宋体" w:cs="宋体"/>
                <w:b/>
                <w:szCs w:val="21"/>
                <w:highlight w:val="none"/>
              </w:rPr>
            </w:pPr>
          </w:p>
        </w:tc>
        <w:tc>
          <w:tcPr>
            <w:tcW w:w="611" w:type="pct"/>
            <w:vMerge w:val="continue"/>
            <w:vAlign w:val="center"/>
          </w:tcPr>
          <w:p w14:paraId="3E5DE50F">
            <w:pPr>
              <w:adjustRightInd w:val="0"/>
              <w:spacing w:line="360" w:lineRule="auto"/>
              <w:jc w:val="center"/>
              <w:textAlignment w:val="baseline"/>
              <w:rPr>
                <w:rFonts w:ascii="宋体" w:hAnsi="宋体" w:cs="宋体"/>
                <w:b/>
                <w:szCs w:val="21"/>
                <w:highlight w:val="none"/>
              </w:rPr>
            </w:pPr>
          </w:p>
        </w:tc>
        <w:tc>
          <w:tcPr>
            <w:tcW w:w="420" w:type="pct"/>
            <w:vMerge w:val="continue"/>
            <w:vAlign w:val="center"/>
          </w:tcPr>
          <w:p w14:paraId="44147283">
            <w:pPr>
              <w:spacing w:line="360" w:lineRule="auto"/>
              <w:jc w:val="center"/>
              <w:textAlignment w:val="baseline"/>
              <w:rPr>
                <w:rFonts w:ascii="宋体" w:hAnsi="宋体" w:cs="宋体"/>
                <w:b/>
                <w:szCs w:val="21"/>
                <w:highlight w:val="none"/>
              </w:rPr>
            </w:pPr>
          </w:p>
        </w:tc>
        <w:tc>
          <w:tcPr>
            <w:tcW w:w="799" w:type="pct"/>
            <w:shd w:val="clear" w:color="auto" w:fill="auto"/>
            <w:vAlign w:val="center"/>
          </w:tcPr>
          <w:p w14:paraId="0A50AFE1">
            <w:pPr>
              <w:spacing w:line="360" w:lineRule="auto"/>
              <w:jc w:val="center"/>
              <w:textAlignment w:val="baseline"/>
              <w:rPr>
                <w:rFonts w:hint="eastAsia" w:ascii="宋体" w:hAnsi="宋体" w:eastAsia="宋体" w:cs="宋体"/>
                <w:b/>
                <w:kern w:val="2"/>
                <w:sz w:val="21"/>
                <w:szCs w:val="21"/>
                <w:lang w:val="en-US" w:eastAsia="zh-CN" w:bidi="ar-SA"/>
              </w:rPr>
            </w:pPr>
            <w:r>
              <w:rPr>
                <w:rFonts w:hint="eastAsia" w:ascii="宋体" w:hAnsi="宋体" w:cs="宋体"/>
                <w:b/>
                <w:szCs w:val="21"/>
              </w:rPr>
              <w:t>服务承诺（满分20分）</w:t>
            </w:r>
          </w:p>
        </w:tc>
        <w:tc>
          <w:tcPr>
            <w:tcW w:w="2806" w:type="pct"/>
            <w:shd w:val="clear" w:color="auto" w:fill="auto"/>
            <w:vAlign w:val="center"/>
          </w:tcPr>
          <w:p w14:paraId="1881C743">
            <w:pPr>
              <w:spacing w:line="360" w:lineRule="auto"/>
              <w:ind w:firstLine="420" w:firstLineChars="200"/>
              <w:rPr>
                <w:rFonts w:ascii="宋体" w:hAnsi="宋体" w:cs="宋体"/>
                <w:szCs w:val="21"/>
              </w:rPr>
            </w:pPr>
            <w:r>
              <w:rPr>
                <w:rFonts w:hint="eastAsia" w:ascii="宋体" w:hAnsi="宋体" w:cs="宋体"/>
                <w:szCs w:val="21"/>
              </w:rPr>
              <w:t>一档（5分）：提供符合项目基本要求的服务承诺方案；</w:t>
            </w:r>
          </w:p>
          <w:p w14:paraId="1EC132B2">
            <w:pPr>
              <w:spacing w:line="360" w:lineRule="auto"/>
              <w:ind w:firstLine="420" w:firstLineChars="200"/>
              <w:rPr>
                <w:rFonts w:cs="宋体"/>
                <w:szCs w:val="21"/>
              </w:rPr>
            </w:pPr>
            <w:r>
              <w:rPr>
                <w:rFonts w:hint="eastAsia" w:ascii="宋体" w:hAnsi="宋体" w:cs="宋体"/>
                <w:szCs w:val="21"/>
              </w:rPr>
              <w:t>二档（10分）：在一档的基础上，服务承诺方案有服务承诺管理流程，服务承诺方案可行，有培训计划但简单；</w:t>
            </w:r>
          </w:p>
          <w:p w14:paraId="488DD647">
            <w:pPr>
              <w:spacing w:line="360" w:lineRule="auto"/>
              <w:ind w:firstLine="420" w:firstLineChars="200"/>
              <w:rPr>
                <w:rFonts w:ascii="宋体" w:hAnsi="宋体" w:cs="宋体"/>
                <w:szCs w:val="21"/>
              </w:rPr>
            </w:pPr>
            <w:r>
              <w:rPr>
                <w:rFonts w:hint="eastAsia" w:ascii="宋体" w:hAnsi="宋体" w:cs="宋体"/>
                <w:szCs w:val="21"/>
              </w:rPr>
              <w:t>三档（15分）：在二档的基础上，服务承诺方案有服务承诺管理流程，服务承诺另包含有合理可行并且具有针对性的应急保障方案等，提供的</w:t>
            </w:r>
            <w:r>
              <w:rPr>
                <w:rFonts w:hint="eastAsia" w:ascii="宋体" w:hAnsi="宋体" w:cs="宋体"/>
                <w:bCs/>
                <w:szCs w:val="21"/>
              </w:rPr>
              <w:t>培训计划包括有培训内容、培训时间、地点、授课老师等</w:t>
            </w:r>
            <w:r>
              <w:rPr>
                <w:rFonts w:hint="eastAsia" w:ascii="宋体" w:hAnsi="宋体" w:cs="宋体"/>
                <w:szCs w:val="21"/>
              </w:rPr>
              <w:t>，项目组织制度基本完善；</w:t>
            </w:r>
          </w:p>
          <w:p w14:paraId="58F87555">
            <w:pPr>
              <w:spacing w:line="360" w:lineRule="auto"/>
              <w:ind w:firstLine="420" w:firstLineChars="200"/>
              <w:rPr>
                <w:rFonts w:ascii="宋体" w:hAnsi="宋体" w:cs="宋体"/>
                <w:szCs w:val="21"/>
              </w:rPr>
            </w:pPr>
            <w:r>
              <w:rPr>
                <w:rFonts w:hint="eastAsia" w:ascii="宋体" w:hAnsi="宋体" w:cs="宋体"/>
                <w:szCs w:val="21"/>
              </w:rPr>
              <w:t>四档（20分）：在三档基础上，服务承诺方案有服务承诺管理流程结合实际，服务承诺另包含有合理可行并且具有针对性的应急保障方案、保密承诺等，且描述了项目服务维护和应急保障方案的方法、服务响应时间以及实现方式，服务机构及联系人、技术人员名单等资料，提供的</w:t>
            </w:r>
            <w:r>
              <w:rPr>
                <w:rFonts w:hint="eastAsia" w:ascii="宋体" w:hAnsi="宋体" w:cs="宋体"/>
                <w:bCs/>
                <w:szCs w:val="21"/>
              </w:rPr>
              <w:t>培训计划包括有培训内容、培训时间、地点、授课老师等，并提供课程体系、培训方法和考核方法等</w:t>
            </w:r>
            <w:r>
              <w:rPr>
                <w:rFonts w:hint="eastAsia" w:ascii="宋体" w:hAnsi="宋体" w:cs="宋体"/>
                <w:szCs w:val="21"/>
              </w:rPr>
              <w:t>。</w:t>
            </w:r>
          </w:p>
          <w:p w14:paraId="3AF5EE60">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备注：未提供服务承诺的本项不得分。</w:t>
            </w:r>
          </w:p>
        </w:tc>
      </w:tr>
      <w:tr w14:paraId="5B07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vAlign w:val="center"/>
          </w:tcPr>
          <w:p w14:paraId="057CC9AE">
            <w:pPr>
              <w:adjustRightInd w:val="0"/>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3</w:t>
            </w:r>
          </w:p>
        </w:tc>
        <w:tc>
          <w:tcPr>
            <w:tcW w:w="611" w:type="pct"/>
            <w:vAlign w:val="center"/>
          </w:tcPr>
          <w:p w14:paraId="59EA3997">
            <w:pPr>
              <w:adjustRightInd w:val="0"/>
              <w:spacing w:line="360" w:lineRule="auto"/>
              <w:jc w:val="center"/>
              <w:textAlignment w:val="baseline"/>
              <w:rPr>
                <w:rFonts w:ascii="宋体" w:hAnsi="宋体" w:cs="宋体"/>
                <w:b/>
                <w:bCs/>
                <w:szCs w:val="21"/>
                <w:highlight w:val="none"/>
              </w:rPr>
            </w:pPr>
            <w:r>
              <w:rPr>
                <w:rFonts w:hint="eastAsia" w:ascii="宋体" w:hAnsi="宋体" w:cs="宋体"/>
                <w:b/>
                <w:bCs/>
                <w:szCs w:val="21"/>
                <w:highlight w:val="none"/>
              </w:rPr>
              <w:t>商务部分</w:t>
            </w:r>
          </w:p>
        </w:tc>
        <w:tc>
          <w:tcPr>
            <w:tcW w:w="420" w:type="pct"/>
            <w:vAlign w:val="center"/>
          </w:tcPr>
          <w:p w14:paraId="6767AB9F">
            <w:pPr>
              <w:spacing w:line="360" w:lineRule="auto"/>
              <w:jc w:val="center"/>
              <w:textAlignment w:val="baseline"/>
              <w:rPr>
                <w:rFonts w:ascii="宋体" w:hAnsi="宋体" w:cs="宋体"/>
                <w:b/>
                <w:szCs w:val="21"/>
                <w:highlight w:val="none"/>
              </w:rPr>
            </w:pPr>
            <w:r>
              <w:rPr>
                <w:rFonts w:hint="eastAsia" w:ascii="宋体" w:hAnsi="宋体" w:cs="宋体"/>
                <w:b/>
                <w:szCs w:val="21"/>
                <w:highlight w:val="none"/>
                <w:lang w:val="en-US" w:eastAsia="zh-CN"/>
              </w:rPr>
              <w:t>6</w:t>
            </w:r>
            <w:r>
              <w:rPr>
                <w:rFonts w:hint="eastAsia" w:ascii="宋体" w:hAnsi="宋体" w:cs="宋体"/>
                <w:b/>
                <w:szCs w:val="21"/>
                <w:highlight w:val="none"/>
              </w:rPr>
              <w:t>分</w:t>
            </w:r>
          </w:p>
        </w:tc>
        <w:tc>
          <w:tcPr>
            <w:tcW w:w="799" w:type="pct"/>
            <w:shd w:val="clear" w:color="auto" w:fill="auto"/>
            <w:vAlign w:val="center"/>
          </w:tcPr>
          <w:p w14:paraId="3799441D">
            <w:pPr>
              <w:spacing w:line="360" w:lineRule="auto"/>
              <w:jc w:val="center"/>
              <w:rPr>
                <w:rFonts w:ascii="宋体" w:hAnsi="宋体" w:eastAsia="宋体" w:cs="宋体"/>
                <w:color w:val="auto"/>
                <w:kern w:val="2"/>
                <w:sz w:val="21"/>
                <w:szCs w:val="21"/>
                <w:lang w:val="en-US" w:eastAsia="zh-CN" w:bidi="ar-SA"/>
              </w:rPr>
            </w:pPr>
            <w:r>
              <w:rPr>
                <w:rFonts w:hint="eastAsia" w:ascii="宋体" w:hAnsi="宋体" w:cs="宋体"/>
                <w:b/>
                <w:color w:val="auto"/>
                <w:szCs w:val="21"/>
              </w:rPr>
              <w:t>业绩实力（满分6分）</w:t>
            </w:r>
          </w:p>
        </w:tc>
        <w:tc>
          <w:tcPr>
            <w:tcW w:w="2806" w:type="pct"/>
            <w:shd w:val="clear" w:color="auto" w:fill="auto"/>
            <w:vAlign w:val="center"/>
          </w:tcPr>
          <w:p w14:paraId="00255056">
            <w:pPr>
              <w:pStyle w:val="2"/>
              <w:spacing w:line="360" w:lineRule="auto"/>
              <w:ind w:firstLine="420" w:firstLineChars="200"/>
              <w:rPr>
                <w:rFonts w:ascii="Times New Roman" w:hAnsi="Times New Roman" w:eastAsia="宋体" w:cs="Times New Roman"/>
                <w:color w:val="auto"/>
                <w:kern w:val="2"/>
                <w:sz w:val="21"/>
                <w:szCs w:val="24"/>
                <w:lang w:val="en-US" w:eastAsia="zh-CN" w:bidi="ar-SA"/>
              </w:rPr>
            </w:pPr>
            <w:r>
              <w:rPr>
                <w:rFonts w:hint="eastAsia"/>
                <w:color w:val="auto"/>
              </w:rPr>
              <w:t>202</w:t>
            </w:r>
            <w:r>
              <w:rPr>
                <w:rFonts w:hint="eastAsia"/>
                <w:color w:val="auto"/>
                <w:lang w:val="en-US" w:eastAsia="zh-CN"/>
              </w:rPr>
              <w:t>2</w:t>
            </w:r>
            <w:r>
              <w:rPr>
                <w:rFonts w:hint="eastAsia"/>
                <w:color w:val="auto"/>
              </w:rPr>
              <w:t>年 1 月 1 日以来至响应文件递交截止日期止，供应商具有同类业绩，每项得</w:t>
            </w:r>
            <w:r>
              <w:rPr>
                <w:rFonts w:hint="eastAsia"/>
                <w:color w:val="auto"/>
                <w:lang w:val="en-US" w:eastAsia="zh-CN"/>
              </w:rPr>
              <w:t>2</w:t>
            </w:r>
            <w:r>
              <w:rPr>
                <w:rFonts w:hint="eastAsia"/>
                <w:color w:val="auto"/>
              </w:rPr>
              <w:t>分，满分</w:t>
            </w:r>
            <w:r>
              <w:rPr>
                <w:rFonts w:hint="eastAsia"/>
                <w:color w:val="auto"/>
                <w:lang w:val="en-US" w:eastAsia="zh-CN"/>
              </w:rPr>
              <w:t>6</w:t>
            </w:r>
            <w:r>
              <w:rPr>
                <w:rFonts w:hint="eastAsia"/>
                <w:color w:val="auto"/>
              </w:rPr>
              <w:t>分。[以合同或者中标（成交）通知书复印件为准，并加盖供应商公章]。</w:t>
            </w:r>
          </w:p>
        </w:tc>
      </w:tr>
      <w:tr w14:paraId="4D21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14:paraId="2BD82F70">
            <w:pPr>
              <w:pStyle w:val="19"/>
              <w:spacing w:line="360" w:lineRule="auto"/>
              <w:rPr>
                <w:rFonts w:hAnsi="宋体" w:cs="宋体"/>
                <w:bCs/>
                <w:kern w:val="2"/>
                <w:sz w:val="21"/>
                <w:highlight w:val="none"/>
              </w:rPr>
            </w:pPr>
            <w:r>
              <w:rPr>
                <w:rFonts w:hint="eastAsia" w:hAnsi="宋体" w:cs="宋体"/>
                <w:b/>
                <w:bCs/>
                <w:kern w:val="2"/>
                <w:sz w:val="21"/>
                <w:highlight w:val="none"/>
              </w:rPr>
              <w:t>总得分 = 1 + 2 + 3</w:t>
            </w:r>
          </w:p>
        </w:tc>
      </w:tr>
    </w:tbl>
    <w:p w14:paraId="365983B1">
      <w:pPr>
        <w:spacing w:line="360" w:lineRule="auto"/>
        <w:ind w:firstLine="420" w:firstLineChars="200"/>
        <w:rPr>
          <w:rFonts w:ascii="宋体" w:hAnsi="宋体" w:cs="宋体"/>
          <w:highlight w:val="none"/>
        </w:rPr>
      </w:pPr>
    </w:p>
    <w:p w14:paraId="64B9681F">
      <w:pPr>
        <w:spacing w:line="360" w:lineRule="auto"/>
        <w:ind w:firstLine="422" w:firstLineChars="200"/>
        <w:rPr>
          <w:rFonts w:ascii="宋体" w:hAnsi="宋体" w:cs="宋体"/>
          <w:b/>
          <w:sz w:val="24"/>
          <w:highlight w:val="none"/>
        </w:rPr>
      </w:pPr>
      <w:r>
        <w:rPr>
          <w:rFonts w:hint="eastAsia" w:ascii="宋体" w:hAnsi="宋体" w:cs="宋体"/>
          <w:b/>
          <w:szCs w:val="21"/>
          <w:highlight w:val="none"/>
        </w:rPr>
        <w:br w:type="page"/>
      </w:r>
      <w:r>
        <w:rPr>
          <w:rFonts w:hint="eastAsia" w:ascii="宋体" w:hAnsi="宋体" w:cs="宋体"/>
          <w:b/>
          <w:sz w:val="24"/>
          <w:highlight w:val="none"/>
        </w:rPr>
        <w:t>7. 成交候选供应商推荐原则</w:t>
      </w:r>
    </w:p>
    <w:p w14:paraId="442133E2">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7.1由磋商小组根据综合评分情况，按照评审得分由高到低顺序推荐 3 名以上成交候选供应商，并编写评审报告，评审报告通过电子交易平台向采购人、采购代理机构提交。符合本章第 4.3 条情形的，可以推荐 2 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14C8221B">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7.2成交供应商拒绝签订政府采购合同的，采购人可以按照上款规定的原则确定其他候选供应商作为成交供应商并签订政府采购合同，也可以重新开展采购活动。拒绝签订政府采购合同的成交供应商不得参加对该项目重新开展的采购活动。</w:t>
      </w:r>
    </w:p>
    <w:p w14:paraId="104BB032">
      <w:pPr>
        <w:spacing w:line="360" w:lineRule="auto"/>
        <w:ind w:firstLine="420" w:firstLineChars="200"/>
        <w:rPr>
          <w:rFonts w:ascii="宋体" w:hAnsi="宋体" w:cs="宋体"/>
          <w:szCs w:val="21"/>
          <w:highlight w:val="none"/>
        </w:rPr>
      </w:pPr>
      <w:r>
        <w:rPr>
          <w:rFonts w:hint="eastAsia" w:ascii="宋体" w:hAnsi="宋体" w:cs="宋体"/>
          <w:bCs/>
          <w:szCs w:val="21"/>
          <w:highlight w:val="none"/>
        </w:rPr>
        <w:t>7.3磋商小组认为，某供应商的响应报价或者某些分项报价明显不合理，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1F04D08F">
      <w:pPr>
        <w:spacing w:line="360" w:lineRule="auto"/>
        <w:ind w:firstLine="420" w:firstLineChars="200"/>
        <w:rPr>
          <w:rFonts w:ascii="宋体" w:hAnsi="宋体" w:cs="宋体"/>
          <w:highlight w:val="none"/>
        </w:rPr>
      </w:pPr>
    </w:p>
    <w:p w14:paraId="1D2A147E">
      <w:pPr>
        <w:spacing w:line="360" w:lineRule="auto"/>
        <w:jc w:val="center"/>
        <w:rPr>
          <w:rFonts w:ascii="宋体" w:hAnsi="宋体" w:cs="宋体"/>
          <w:highlight w:val="none"/>
        </w:rPr>
      </w:pPr>
      <w:r>
        <w:rPr>
          <w:rFonts w:hint="eastAsia" w:ascii="宋体" w:hAnsi="宋体" w:cs="宋体"/>
          <w:highlight w:val="none"/>
        </w:rPr>
        <w:br w:type="page"/>
      </w:r>
    </w:p>
    <w:p w14:paraId="7AAE086B">
      <w:pPr>
        <w:spacing w:line="360" w:lineRule="auto"/>
        <w:jc w:val="center"/>
        <w:rPr>
          <w:rFonts w:ascii="宋体" w:hAnsi="宋体" w:cs="宋体"/>
          <w:highlight w:val="none"/>
        </w:rPr>
      </w:pPr>
    </w:p>
    <w:p w14:paraId="439B455B">
      <w:pPr>
        <w:spacing w:line="360" w:lineRule="auto"/>
        <w:jc w:val="center"/>
        <w:rPr>
          <w:rFonts w:ascii="宋体" w:hAnsi="宋体" w:cs="宋体"/>
          <w:highlight w:val="none"/>
        </w:rPr>
      </w:pPr>
    </w:p>
    <w:p w14:paraId="1741221E">
      <w:pPr>
        <w:spacing w:line="360" w:lineRule="auto"/>
        <w:jc w:val="center"/>
        <w:rPr>
          <w:rFonts w:ascii="宋体" w:hAnsi="宋体" w:cs="宋体"/>
          <w:highlight w:val="none"/>
        </w:rPr>
      </w:pPr>
    </w:p>
    <w:p w14:paraId="07CB4FBE">
      <w:pPr>
        <w:spacing w:line="360" w:lineRule="auto"/>
        <w:jc w:val="center"/>
        <w:rPr>
          <w:rFonts w:ascii="宋体" w:hAnsi="宋体" w:cs="宋体"/>
          <w:highlight w:val="none"/>
        </w:rPr>
      </w:pPr>
    </w:p>
    <w:p w14:paraId="1A6B5ABA">
      <w:pPr>
        <w:spacing w:line="360" w:lineRule="auto"/>
        <w:jc w:val="center"/>
        <w:rPr>
          <w:rFonts w:ascii="宋体" w:hAnsi="宋体" w:cs="宋体"/>
          <w:highlight w:val="none"/>
        </w:rPr>
      </w:pPr>
    </w:p>
    <w:p w14:paraId="6AAC91DB">
      <w:pPr>
        <w:spacing w:line="360" w:lineRule="auto"/>
        <w:jc w:val="center"/>
        <w:rPr>
          <w:rFonts w:ascii="宋体" w:hAnsi="宋体" w:cs="宋体"/>
          <w:highlight w:val="none"/>
        </w:rPr>
      </w:pPr>
    </w:p>
    <w:p w14:paraId="7910FE1D">
      <w:pPr>
        <w:spacing w:line="360" w:lineRule="auto"/>
        <w:jc w:val="center"/>
        <w:rPr>
          <w:rFonts w:ascii="宋体" w:hAnsi="宋体" w:cs="宋体"/>
          <w:highlight w:val="none"/>
        </w:rPr>
      </w:pPr>
    </w:p>
    <w:p w14:paraId="25592CE1">
      <w:pPr>
        <w:spacing w:line="360" w:lineRule="auto"/>
        <w:jc w:val="center"/>
        <w:rPr>
          <w:rFonts w:ascii="宋体" w:hAnsi="宋体" w:cs="宋体"/>
          <w:highlight w:val="none"/>
        </w:rPr>
      </w:pPr>
    </w:p>
    <w:p w14:paraId="23D0076F">
      <w:pPr>
        <w:pStyle w:val="4"/>
        <w:jc w:val="center"/>
        <w:rPr>
          <w:rFonts w:ascii="宋体" w:hAnsi="宋体" w:cs="宋体"/>
          <w:highlight w:val="none"/>
        </w:rPr>
      </w:pPr>
      <w:bookmarkStart w:id="62" w:name="_Toc21386"/>
      <w:r>
        <w:rPr>
          <w:rFonts w:hint="eastAsia" w:ascii="宋体" w:hAnsi="宋体" w:cs="宋体"/>
          <w:highlight w:val="none"/>
        </w:rPr>
        <w:t>第五章 响应文件格式</w:t>
      </w:r>
      <w:bookmarkEnd w:id="62"/>
    </w:p>
    <w:p w14:paraId="760A996C">
      <w:pPr>
        <w:jc w:val="center"/>
        <w:rPr>
          <w:rFonts w:ascii="宋体" w:hAnsi="宋体" w:cs="宋体"/>
          <w:bCs/>
          <w:sz w:val="32"/>
          <w:szCs w:val="32"/>
          <w:highlight w:val="none"/>
        </w:rPr>
      </w:pPr>
      <w:r>
        <w:rPr>
          <w:rFonts w:hint="eastAsia" w:ascii="宋体" w:hAnsi="宋体" w:cs="宋体"/>
          <w:bCs/>
          <w:sz w:val="24"/>
          <w:highlight w:val="none"/>
        </w:rPr>
        <w:br w:type="page"/>
      </w:r>
      <w:r>
        <w:rPr>
          <w:rFonts w:hint="eastAsia" w:ascii="宋体" w:hAnsi="宋体" w:cs="宋体"/>
          <w:b/>
          <w:bCs/>
          <w:sz w:val="32"/>
          <w:szCs w:val="32"/>
          <w:highlight w:val="none"/>
          <w:lang w:bidi="ar"/>
        </w:rPr>
        <w:t>（响应文件封面格式）</w:t>
      </w:r>
    </w:p>
    <w:p w14:paraId="19B30814">
      <w:pPr>
        <w:jc w:val="center"/>
        <w:rPr>
          <w:rFonts w:ascii="宋体" w:hAnsi="宋体" w:cs="宋体"/>
          <w:sz w:val="28"/>
          <w:szCs w:val="28"/>
          <w:highlight w:val="none"/>
        </w:rPr>
      </w:pPr>
      <w:r>
        <w:rPr>
          <w:rFonts w:hint="eastAsia" w:ascii="宋体" w:hAnsi="宋体" w:cs="宋体"/>
          <w:sz w:val="28"/>
          <w:szCs w:val="28"/>
          <w:highlight w:val="none"/>
          <w:lang w:bidi="ar"/>
        </w:rPr>
        <w:t xml:space="preserve"> </w:t>
      </w:r>
    </w:p>
    <w:p w14:paraId="08C40978">
      <w:pPr>
        <w:jc w:val="center"/>
        <w:rPr>
          <w:rFonts w:ascii="宋体" w:hAnsi="宋体" w:cs="宋体"/>
          <w:sz w:val="28"/>
          <w:szCs w:val="28"/>
          <w:highlight w:val="none"/>
        </w:rPr>
      </w:pPr>
      <w:r>
        <w:rPr>
          <w:rFonts w:hint="eastAsia" w:ascii="宋体" w:hAnsi="宋体" w:cs="宋体"/>
          <w:sz w:val="28"/>
          <w:szCs w:val="28"/>
          <w:highlight w:val="none"/>
          <w:lang w:bidi="ar"/>
        </w:rPr>
        <w:t xml:space="preserve"> </w:t>
      </w:r>
    </w:p>
    <w:p w14:paraId="2F334C2D">
      <w:pPr>
        <w:jc w:val="center"/>
        <w:rPr>
          <w:rFonts w:ascii="宋体" w:hAnsi="宋体" w:cs="宋体"/>
          <w:sz w:val="28"/>
          <w:szCs w:val="28"/>
          <w:highlight w:val="none"/>
        </w:rPr>
      </w:pPr>
      <w:r>
        <w:rPr>
          <w:rFonts w:hint="eastAsia" w:ascii="宋体" w:hAnsi="宋体" w:cs="宋体"/>
          <w:sz w:val="28"/>
          <w:szCs w:val="28"/>
          <w:highlight w:val="none"/>
          <w:lang w:bidi="ar"/>
        </w:rPr>
        <w:t xml:space="preserve"> </w:t>
      </w:r>
    </w:p>
    <w:p w14:paraId="00DC09B2">
      <w:pPr>
        <w:spacing w:line="240" w:lineRule="atLeast"/>
        <w:jc w:val="center"/>
        <w:rPr>
          <w:rFonts w:ascii="宋体" w:hAnsi="宋体" w:cs="宋体"/>
          <w:b/>
          <w:sz w:val="32"/>
          <w:szCs w:val="32"/>
          <w:highlight w:val="none"/>
        </w:rPr>
      </w:pPr>
      <w:r>
        <w:rPr>
          <w:rFonts w:hint="eastAsia" w:ascii="宋体" w:hAnsi="宋体" w:cs="宋体"/>
          <w:bCs/>
          <w:sz w:val="44"/>
          <w:szCs w:val="44"/>
          <w:highlight w:val="none"/>
          <w:lang w:bidi="ar"/>
        </w:rPr>
        <w:t>响  应  文  件</w:t>
      </w:r>
      <w:r>
        <w:rPr>
          <w:rFonts w:hint="eastAsia" w:ascii="宋体" w:hAnsi="宋体" w:cs="宋体"/>
          <w:b/>
          <w:sz w:val="32"/>
          <w:szCs w:val="32"/>
          <w:highlight w:val="none"/>
          <w:lang w:bidi="ar"/>
        </w:rPr>
        <w:t xml:space="preserve"> （封面）</w:t>
      </w:r>
    </w:p>
    <w:p w14:paraId="2FB29446">
      <w:pPr>
        <w:jc w:val="center"/>
        <w:rPr>
          <w:rFonts w:ascii="宋体" w:hAnsi="宋体" w:cs="宋体"/>
          <w:sz w:val="28"/>
          <w:szCs w:val="28"/>
          <w:highlight w:val="none"/>
        </w:rPr>
      </w:pPr>
      <w:r>
        <w:rPr>
          <w:rFonts w:hint="eastAsia" w:ascii="宋体" w:hAnsi="宋体" w:cs="宋体"/>
          <w:sz w:val="28"/>
          <w:szCs w:val="28"/>
          <w:highlight w:val="none"/>
          <w:lang w:bidi="ar"/>
        </w:rPr>
        <w:t xml:space="preserve"> </w:t>
      </w:r>
    </w:p>
    <w:p w14:paraId="1A8CC1B0">
      <w:pPr>
        <w:jc w:val="center"/>
        <w:rPr>
          <w:rFonts w:ascii="宋体" w:hAnsi="宋体" w:cs="宋体"/>
          <w:sz w:val="28"/>
          <w:szCs w:val="28"/>
          <w:highlight w:val="none"/>
        </w:rPr>
      </w:pPr>
      <w:r>
        <w:rPr>
          <w:rFonts w:hint="eastAsia" w:ascii="宋体" w:hAnsi="宋体" w:cs="宋体"/>
          <w:sz w:val="28"/>
          <w:szCs w:val="28"/>
          <w:highlight w:val="none"/>
          <w:lang w:bidi="ar"/>
        </w:rPr>
        <w:t xml:space="preserve"> </w:t>
      </w:r>
    </w:p>
    <w:p w14:paraId="3B8F020B">
      <w:pPr>
        <w:jc w:val="center"/>
        <w:rPr>
          <w:rFonts w:ascii="宋体" w:hAnsi="宋体" w:cs="宋体"/>
          <w:sz w:val="28"/>
          <w:szCs w:val="28"/>
          <w:highlight w:val="none"/>
        </w:rPr>
      </w:pPr>
      <w:r>
        <w:rPr>
          <w:rFonts w:hint="eastAsia" w:ascii="宋体" w:hAnsi="宋体" w:cs="宋体"/>
          <w:sz w:val="28"/>
          <w:szCs w:val="28"/>
          <w:highlight w:val="none"/>
          <w:lang w:bidi="ar"/>
        </w:rPr>
        <w:t xml:space="preserve"> </w:t>
      </w:r>
    </w:p>
    <w:p w14:paraId="3DBF855D">
      <w:pPr>
        <w:jc w:val="center"/>
        <w:rPr>
          <w:rFonts w:ascii="宋体" w:hAnsi="宋体" w:cs="宋体"/>
          <w:sz w:val="28"/>
          <w:szCs w:val="28"/>
          <w:highlight w:val="none"/>
        </w:rPr>
      </w:pPr>
      <w:r>
        <w:rPr>
          <w:rFonts w:hint="eastAsia" w:ascii="宋体" w:hAnsi="宋体" w:cs="宋体"/>
          <w:sz w:val="28"/>
          <w:szCs w:val="28"/>
          <w:highlight w:val="none"/>
          <w:lang w:bidi="ar"/>
        </w:rPr>
        <w:t xml:space="preserve"> </w:t>
      </w:r>
    </w:p>
    <w:p w14:paraId="153BDF20">
      <w:pPr>
        <w:spacing w:line="360" w:lineRule="auto"/>
        <w:ind w:firstLine="640" w:firstLineChars="200"/>
        <w:jc w:val="left"/>
        <w:rPr>
          <w:rFonts w:ascii="宋体" w:hAnsi="宋体" w:cs="宋体"/>
          <w:sz w:val="32"/>
          <w:szCs w:val="32"/>
          <w:highlight w:val="none"/>
        </w:rPr>
      </w:pPr>
      <w:r>
        <w:rPr>
          <w:rFonts w:hint="eastAsia" w:ascii="宋体" w:hAnsi="宋体" w:cs="宋体"/>
          <w:sz w:val="32"/>
          <w:szCs w:val="32"/>
          <w:highlight w:val="none"/>
          <w:lang w:bidi="ar"/>
        </w:rPr>
        <w:t>项目编号：</w:t>
      </w:r>
    </w:p>
    <w:p w14:paraId="7D409441">
      <w:pPr>
        <w:spacing w:line="360" w:lineRule="auto"/>
        <w:ind w:firstLine="640" w:firstLineChars="200"/>
        <w:jc w:val="left"/>
        <w:rPr>
          <w:rFonts w:ascii="宋体" w:hAnsi="宋体" w:cs="宋体"/>
          <w:sz w:val="32"/>
          <w:szCs w:val="32"/>
          <w:highlight w:val="none"/>
          <w:u w:val="single"/>
        </w:rPr>
      </w:pPr>
    </w:p>
    <w:p w14:paraId="32027B1E">
      <w:pPr>
        <w:spacing w:line="360" w:lineRule="auto"/>
        <w:ind w:firstLine="640" w:firstLineChars="200"/>
        <w:jc w:val="left"/>
        <w:rPr>
          <w:rFonts w:ascii="宋体" w:hAnsi="宋体" w:cs="宋体"/>
          <w:sz w:val="32"/>
          <w:szCs w:val="32"/>
          <w:highlight w:val="none"/>
        </w:rPr>
      </w:pPr>
      <w:r>
        <w:rPr>
          <w:rFonts w:hint="eastAsia" w:ascii="宋体" w:hAnsi="宋体" w:cs="宋体"/>
          <w:sz w:val="32"/>
          <w:szCs w:val="32"/>
          <w:highlight w:val="none"/>
          <w:lang w:bidi="ar"/>
        </w:rPr>
        <w:t>项目名称：</w:t>
      </w:r>
    </w:p>
    <w:p w14:paraId="5F7EFE06">
      <w:pPr>
        <w:spacing w:line="360" w:lineRule="auto"/>
        <w:ind w:firstLine="640" w:firstLineChars="200"/>
        <w:jc w:val="left"/>
        <w:rPr>
          <w:rFonts w:ascii="宋体" w:hAnsi="宋体" w:cs="宋体"/>
          <w:sz w:val="32"/>
          <w:szCs w:val="32"/>
          <w:highlight w:val="none"/>
          <w:u w:val="single"/>
        </w:rPr>
      </w:pPr>
    </w:p>
    <w:p w14:paraId="5A1CBE07">
      <w:pPr>
        <w:spacing w:line="360" w:lineRule="auto"/>
        <w:ind w:firstLine="640" w:firstLineChars="200"/>
        <w:jc w:val="left"/>
        <w:rPr>
          <w:rFonts w:ascii="宋体" w:hAnsi="宋体" w:cs="宋体"/>
          <w:sz w:val="32"/>
          <w:szCs w:val="32"/>
          <w:highlight w:val="none"/>
        </w:rPr>
      </w:pPr>
      <w:r>
        <w:rPr>
          <w:rFonts w:hint="eastAsia" w:ascii="宋体" w:hAnsi="宋体" w:cs="宋体"/>
          <w:sz w:val="32"/>
          <w:szCs w:val="32"/>
          <w:highlight w:val="none"/>
          <w:lang w:bidi="ar"/>
        </w:rPr>
        <w:t>所竞分标</w:t>
      </w:r>
      <w:r>
        <w:rPr>
          <w:rFonts w:hint="eastAsia" w:ascii="宋体" w:hAnsi="宋体" w:cs="宋体"/>
          <w:bCs/>
          <w:sz w:val="32"/>
          <w:szCs w:val="32"/>
          <w:highlight w:val="none"/>
          <w:lang w:bidi="ar"/>
        </w:rPr>
        <w:t>（如有则填写，无分标时填写“无”或者留空）</w:t>
      </w:r>
      <w:r>
        <w:rPr>
          <w:rFonts w:hint="eastAsia" w:ascii="宋体" w:hAnsi="宋体" w:cs="宋体"/>
          <w:sz w:val="32"/>
          <w:szCs w:val="32"/>
          <w:highlight w:val="none"/>
          <w:lang w:bidi="ar"/>
        </w:rPr>
        <w:t>：</w:t>
      </w:r>
    </w:p>
    <w:p w14:paraId="6C01B144">
      <w:pPr>
        <w:spacing w:line="360" w:lineRule="auto"/>
        <w:ind w:firstLine="640" w:firstLineChars="200"/>
        <w:jc w:val="left"/>
        <w:rPr>
          <w:rFonts w:ascii="宋体" w:hAnsi="宋体" w:cs="宋体"/>
          <w:sz w:val="32"/>
          <w:szCs w:val="32"/>
          <w:highlight w:val="none"/>
          <w:u w:val="single"/>
        </w:rPr>
      </w:pPr>
    </w:p>
    <w:p w14:paraId="1D4E37B5">
      <w:pPr>
        <w:spacing w:line="360" w:lineRule="auto"/>
        <w:ind w:firstLine="640" w:firstLineChars="200"/>
        <w:jc w:val="left"/>
        <w:rPr>
          <w:rFonts w:ascii="宋体" w:hAnsi="宋体" w:cs="宋体"/>
          <w:sz w:val="32"/>
          <w:szCs w:val="32"/>
          <w:highlight w:val="none"/>
          <w:u w:val="single"/>
        </w:rPr>
      </w:pPr>
      <w:r>
        <w:rPr>
          <w:rFonts w:hint="eastAsia" w:ascii="宋体" w:hAnsi="宋体" w:cs="宋体"/>
          <w:sz w:val="32"/>
          <w:szCs w:val="32"/>
          <w:highlight w:val="none"/>
          <w:lang w:bidi="ar"/>
        </w:rPr>
        <w:t>供应商名称：</w:t>
      </w:r>
    </w:p>
    <w:p w14:paraId="4F7BEF33">
      <w:pPr>
        <w:spacing w:line="360" w:lineRule="auto"/>
        <w:ind w:firstLine="640" w:firstLineChars="200"/>
        <w:jc w:val="left"/>
        <w:rPr>
          <w:rFonts w:ascii="宋体" w:hAnsi="宋体" w:cs="宋体"/>
          <w:sz w:val="32"/>
          <w:szCs w:val="32"/>
          <w:highlight w:val="none"/>
          <w:u w:val="single"/>
        </w:rPr>
      </w:pPr>
    </w:p>
    <w:p w14:paraId="2F5C11EE">
      <w:pPr>
        <w:spacing w:line="360" w:lineRule="auto"/>
        <w:ind w:firstLine="640" w:firstLineChars="200"/>
        <w:jc w:val="left"/>
        <w:rPr>
          <w:rFonts w:ascii="宋体" w:hAnsi="宋体" w:cs="宋体"/>
          <w:sz w:val="32"/>
          <w:szCs w:val="32"/>
          <w:highlight w:val="none"/>
          <w:u w:val="single"/>
        </w:rPr>
      </w:pPr>
    </w:p>
    <w:p w14:paraId="3518B16E">
      <w:pPr>
        <w:snapToGrid w:val="0"/>
        <w:spacing w:before="156" w:beforeLines="50" w:after="50"/>
        <w:jc w:val="center"/>
        <w:rPr>
          <w:rFonts w:ascii="宋体" w:hAnsi="宋体" w:cs="宋体"/>
          <w:sz w:val="32"/>
          <w:szCs w:val="32"/>
          <w:highlight w:val="none"/>
        </w:rPr>
      </w:pPr>
      <w:r>
        <w:rPr>
          <w:rFonts w:hint="eastAsia" w:ascii="宋体" w:hAnsi="宋体" w:cs="宋体"/>
          <w:sz w:val="32"/>
          <w:szCs w:val="32"/>
          <w:highlight w:val="none"/>
          <w:lang w:bidi="ar"/>
        </w:rPr>
        <w:t>年    月    日</w:t>
      </w:r>
    </w:p>
    <w:p w14:paraId="359CD0BF">
      <w:pPr>
        <w:snapToGrid w:val="0"/>
        <w:spacing w:before="156" w:beforeLines="50" w:after="50"/>
        <w:rPr>
          <w:rFonts w:ascii="宋体" w:hAnsi="宋体" w:cs="宋体"/>
          <w:b/>
          <w:bCs/>
          <w:sz w:val="32"/>
          <w:szCs w:val="32"/>
          <w:highlight w:val="none"/>
        </w:rPr>
      </w:pPr>
      <w:r>
        <w:rPr>
          <w:rFonts w:hint="eastAsia" w:ascii="宋体" w:hAnsi="宋体" w:cs="宋体"/>
          <w:sz w:val="32"/>
          <w:szCs w:val="32"/>
          <w:highlight w:val="none"/>
          <w:lang w:bidi="ar"/>
        </w:rPr>
        <w:br w:type="page"/>
      </w:r>
      <w:r>
        <w:rPr>
          <w:rFonts w:hint="eastAsia" w:ascii="宋体" w:hAnsi="宋体" w:cs="宋体"/>
          <w:b/>
          <w:bCs/>
          <w:sz w:val="32"/>
          <w:szCs w:val="32"/>
          <w:highlight w:val="none"/>
          <w:lang w:bidi="ar"/>
        </w:rPr>
        <w:t>一、资格证明文件格式</w:t>
      </w:r>
    </w:p>
    <w:p w14:paraId="1AB39647">
      <w:pPr>
        <w:snapToGrid w:val="0"/>
        <w:spacing w:before="156" w:beforeLines="50" w:after="50" w:line="360" w:lineRule="auto"/>
        <w:jc w:val="left"/>
        <w:rPr>
          <w:rFonts w:ascii="宋体" w:hAnsi="宋体" w:cs="宋体"/>
          <w:b/>
          <w:sz w:val="24"/>
          <w:highlight w:val="none"/>
        </w:rPr>
      </w:pPr>
      <w:r>
        <w:rPr>
          <w:rFonts w:hint="eastAsia" w:ascii="宋体" w:hAnsi="宋体" w:cs="宋体"/>
          <w:b/>
          <w:sz w:val="32"/>
          <w:szCs w:val="32"/>
          <w:highlight w:val="none"/>
          <w:lang w:bidi="ar"/>
        </w:rPr>
        <w:t>1.资格证明文件封面格式：</w:t>
      </w:r>
    </w:p>
    <w:p w14:paraId="64F97DE2">
      <w:pPr>
        <w:jc w:val="center"/>
        <w:rPr>
          <w:rFonts w:ascii="宋体" w:hAnsi="宋体" w:cs="宋体"/>
          <w:sz w:val="28"/>
          <w:szCs w:val="28"/>
          <w:highlight w:val="none"/>
        </w:rPr>
      </w:pPr>
      <w:r>
        <w:rPr>
          <w:rFonts w:hint="eastAsia" w:ascii="宋体" w:hAnsi="宋体" w:cs="宋体"/>
          <w:sz w:val="28"/>
          <w:szCs w:val="28"/>
          <w:highlight w:val="none"/>
          <w:lang w:bidi="ar"/>
        </w:rPr>
        <w:t xml:space="preserve"> </w:t>
      </w:r>
    </w:p>
    <w:p w14:paraId="3C1ACE0A">
      <w:pPr>
        <w:jc w:val="center"/>
        <w:rPr>
          <w:rFonts w:ascii="宋体" w:hAnsi="宋体" w:cs="宋体"/>
          <w:sz w:val="28"/>
          <w:szCs w:val="28"/>
          <w:highlight w:val="none"/>
        </w:rPr>
      </w:pPr>
      <w:r>
        <w:rPr>
          <w:rFonts w:hint="eastAsia" w:ascii="宋体" w:hAnsi="宋体" w:cs="宋体"/>
          <w:sz w:val="28"/>
          <w:szCs w:val="28"/>
          <w:highlight w:val="none"/>
          <w:lang w:bidi="ar"/>
        </w:rPr>
        <w:t xml:space="preserve"> </w:t>
      </w:r>
    </w:p>
    <w:p w14:paraId="62A0C79B">
      <w:pPr>
        <w:autoSpaceDE w:val="0"/>
        <w:snapToGrid w:val="0"/>
        <w:spacing w:before="156" w:beforeLines="50" w:after="50"/>
        <w:jc w:val="center"/>
        <w:rPr>
          <w:rFonts w:ascii="宋体" w:hAnsi="宋体" w:cs="宋体"/>
          <w:bCs/>
          <w:sz w:val="44"/>
          <w:szCs w:val="44"/>
          <w:highlight w:val="none"/>
        </w:rPr>
      </w:pPr>
      <w:r>
        <w:rPr>
          <w:rFonts w:hint="eastAsia" w:ascii="宋体" w:hAnsi="宋体" w:cs="宋体"/>
          <w:bCs/>
          <w:sz w:val="44"/>
          <w:szCs w:val="44"/>
          <w:highlight w:val="none"/>
          <w:lang w:bidi="ar"/>
        </w:rPr>
        <w:t>资  格  证  明  文  件</w:t>
      </w:r>
    </w:p>
    <w:p w14:paraId="41B9F69A">
      <w:pPr>
        <w:jc w:val="center"/>
        <w:rPr>
          <w:rFonts w:ascii="宋体" w:hAnsi="宋体" w:cs="宋体"/>
          <w:sz w:val="28"/>
          <w:szCs w:val="28"/>
          <w:highlight w:val="none"/>
        </w:rPr>
      </w:pPr>
      <w:r>
        <w:rPr>
          <w:rFonts w:hint="eastAsia" w:ascii="宋体" w:hAnsi="宋体" w:cs="宋体"/>
          <w:sz w:val="28"/>
          <w:szCs w:val="28"/>
          <w:highlight w:val="none"/>
          <w:lang w:bidi="ar"/>
        </w:rPr>
        <w:t xml:space="preserve"> </w:t>
      </w:r>
    </w:p>
    <w:p w14:paraId="0F584AD5">
      <w:pPr>
        <w:jc w:val="center"/>
        <w:rPr>
          <w:rFonts w:ascii="宋体" w:hAnsi="宋体" w:cs="宋体"/>
          <w:sz w:val="28"/>
          <w:szCs w:val="28"/>
          <w:highlight w:val="none"/>
        </w:rPr>
      </w:pPr>
      <w:r>
        <w:rPr>
          <w:rFonts w:hint="eastAsia" w:ascii="宋体" w:hAnsi="宋体" w:cs="宋体"/>
          <w:sz w:val="28"/>
          <w:szCs w:val="28"/>
          <w:highlight w:val="none"/>
          <w:lang w:bidi="ar"/>
        </w:rPr>
        <w:t xml:space="preserve"> </w:t>
      </w:r>
    </w:p>
    <w:p w14:paraId="3338CDF2">
      <w:pPr>
        <w:jc w:val="center"/>
        <w:rPr>
          <w:rFonts w:ascii="宋体" w:hAnsi="宋体" w:cs="宋体"/>
          <w:sz w:val="28"/>
          <w:szCs w:val="28"/>
          <w:highlight w:val="none"/>
        </w:rPr>
      </w:pPr>
      <w:r>
        <w:rPr>
          <w:rFonts w:hint="eastAsia" w:ascii="宋体" w:hAnsi="宋体" w:cs="宋体"/>
          <w:sz w:val="28"/>
          <w:szCs w:val="28"/>
          <w:highlight w:val="none"/>
          <w:lang w:bidi="ar"/>
        </w:rPr>
        <w:t xml:space="preserve"> </w:t>
      </w:r>
    </w:p>
    <w:p w14:paraId="2A579A86">
      <w:pPr>
        <w:jc w:val="center"/>
        <w:rPr>
          <w:rFonts w:ascii="宋体" w:hAnsi="宋体" w:cs="宋体"/>
          <w:sz w:val="28"/>
          <w:szCs w:val="28"/>
          <w:highlight w:val="none"/>
        </w:rPr>
      </w:pPr>
      <w:r>
        <w:rPr>
          <w:rFonts w:hint="eastAsia" w:ascii="宋体" w:hAnsi="宋体" w:cs="宋体"/>
          <w:sz w:val="28"/>
          <w:szCs w:val="28"/>
          <w:highlight w:val="none"/>
          <w:lang w:bidi="ar"/>
        </w:rPr>
        <w:t xml:space="preserve"> </w:t>
      </w:r>
    </w:p>
    <w:p w14:paraId="30638EA3">
      <w:pPr>
        <w:autoSpaceDE w:val="0"/>
        <w:ind w:firstLine="640" w:firstLineChars="200"/>
        <w:rPr>
          <w:rFonts w:ascii="宋体" w:hAnsi="宋体" w:cs="宋体"/>
          <w:bCs/>
          <w:sz w:val="32"/>
          <w:szCs w:val="32"/>
          <w:highlight w:val="none"/>
        </w:rPr>
      </w:pPr>
      <w:r>
        <w:rPr>
          <w:rFonts w:hint="eastAsia" w:ascii="宋体" w:hAnsi="宋体" w:cs="宋体"/>
          <w:bCs/>
          <w:sz w:val="32"/>
          <w:szCs w:val="32"/>
          <w:highlight w:val="none"/>
          <w:lang w:bidi="ar"/>
        </w:rPr>
        <w:t>项目名称：</w:t>
      </w:r>
    </w:p>
    <w:p w14:paraId="578CCABD">
      <w:pPr>
        <w:autoSpaceDE w:val="0"/>
        <w:ind w:firstLine="640" w:firstLineChars="200"/>
        <w:rPr>
          <w:rFonts w:ascii="宋体" w:hAnsi="宋体" w:cs="宋体"/>
          <w:bCs/>
          <w:sz w:val="32"/>
          <w:szCs w:val="32"/>
          <w:highlight w:val="none"/>
        </w:rPr>
      </w:pPr>
      <w:r>
        <w:rPr>
          <w:rFonts w:hint="eastAsia" w:ascii="宋体" w:hAnsi="宋体" w:cs="宋体"/>
          <w:bCs/>
          <w:sz w:val="32"/>
          <w:szCs w:val="32"/>
          <w:highlight w:val="none"/>
          <w:lang w:bidi="ar"/>
        </w:rPr>
        <w:t xml:space="preserve"> </w:t>
      </w:r>
    </w:p>
    <w:p w14:paraId="58BC266B">
      <w:pPr>
        <w:autoSpaceDE w:val="0"/>
        <w:ind w:firstLine="640" w:firstLineChars="200"/>
        <w:rPr>
          <w:rFonts w:ascii="宋体" w:hAnsi="宋体" w:cs="宋体"/>
          <w:bCs/>
          <w:sz w:val="32"/>
          <w:szCs w:val="32"/>
          <w:highlight w:val="none"/>
        </w:rPr>
      </w:pPr>
      <w:r>
        <w:rPr>
          <w:rFonts w:hint="eastAsia" w:ascii="宋体" w:hAnsi="宋体" w:cs="宋体"/>
          <w:bCs/>
          <w:sz w:val="32"/>
          <w:szCs w:val="32"/>
          <w:highlight w:val="none"/>
          <w:lang w:bidi="ar"/>
        </w:rPr>
        <w:t>项目编号：</w:t>
      </w:r>
    </w:p>
    <w:p w14:paraId="1504FE66">
      <w:pPr>
        <w:autoSpaceDE w:val="0"/>
        <w:ind w:firstLine="640" w:firstLineChars="200"/>
        <w:rPr>
          <w:rFonts w:ascii="宋体" w:hAnsi="宋体" w:cs="宋体"/>
          <w:bCs/>
          <w:sz w:val="32"/>
          <w:szCs w:val="32"/>
          <w:highlight w:val="none"/>
        </w:rPr>
      </w:pPr>
      <w:r>
        <w:rPr>
          <w:rFonts w:hint="eastAsia" w:ascii="宋体" w:hAnsi="宋体" w:cs="宋体"/>
          <w:bCs/>
          <w:sz w:val="32"/>
          <w:szCs w:val="32"/>
          <w:highlight w:val="none"/>
          <w:lang w:bidi="ar"/>
        </w:rPr>
        <w:t xml:space="preserve"> </w:t>
      </w:r>
    </w:p>
    <w:p w14:paraId="095E0139">
      <w:pPr>
        <w:autoSpaceDE w:val="0"/>
        <w:ind w:firstLine="640" w:firstLineChars="200"/>
        <w:rPr>
          <w:rFonts w:ascii="宋体" w:hAnsi="宋体" w:cs="宋体"/>
          <w:bCs/>
          <w:sz w:val="32"/>
          <w:szCs w:val="32"/>
          <w:highlight w:val="none"/>
        </w:rPr>
      </w:pPr>
      <w:r>
        <w:rPr>
          <w:rFonts w:hint="eastAsia" w:ascii="宋体" w:hAnsi="宋体" w:cs="宋体"/>
          <w:bCs/>
          <w:sz w:val="32"/>
          <w:szCs w:val="32"/>
          <w:highlight w:val="none"/>
          <w:lang w:bidi="ar"/>
        </w:rPr>
        <w:t>所竞分标（如有则填写，无分标时填写“无”或者留空）：</w:t>
      </w:r>
    </w:p>
    <w:p w14:paraId="06DEBF12">
      <w:pPr>
        <w:autoSpaceDE w:val="0"/>
        <w:ind w:firstLine="640" w:firstLineChars="200"/>
        <w:rPr>
          <w:rFonts w:ascii="宋体" w:hAnsi="宋体" w:cs="宋体"/>
          <w:bCs/>
          <w:sz w:val="32"/>
          <w:szCs w:val="32"/>
          <w:highlight w:val="none"/>
        </w:rPr>
      </w:pPr>
      <w:r>
        <w:rPr>
          <w:rFonts w:hint="eastAsia" w:ascii="宋体" w:hAnsi="宋体" w:cs="宋体"/>
          <w:bCs/>
          <w:sz w:val="32"/>
          <w:szCs w:val="32"/>
          <w:highlight w:val="none"/>
          <w:lang w:bidi="ar"/>
        </w:rPr>
        <w:t xml:space="preserve"> </w:t>
      </w:r>
    </w:p>
    <w:p w14:paraId="3D5FBA3A">
      <w:pPr>
        <w:pStyle w:val="27"/>
        <w:autoSpaceDE w:val="0"/>
        <w:ind w:firstLine="640" w:firstLineChars="200"/>
        <w:rPr>
          <w:rFonts w:ascii="宋体" w:hAnsi="宋体" w:cs="宋体"/>
          <w:bCs/>
          <w:kern w:val="2"/>
          <w:sz w:val="32"/>
          <w:szCs w:val="32"/>
          <w:highlight w:val="none"/>
        </w:rPr>
      </w:pPr>
      <w:r>
        <w:rPr>
          <w:rFonts w:hint="eastAsia" w:ascii="宋体" w:hAnsi="宋体" w:cs="宋体"/>
          <w:bCs/>
          <w:kern w:val="2"/>
          <w:sz w:val="32"/>
          <w:szCs w:val="32"/>
          <w:highlight w:val="none"/>
          <w:lang w:bidi="ar"/>
        </w:rPr>
        <w:t>供应商名称：</w:t>
      </w:r>
    </w:p>
    <w:p w14:paraId="71368A8D">
      <w:pPr>
        <w:autoSpaceDE w:val="0"/>
        <w:ind w:firstLine="640" w:firstLineChars="200"/>
        <w:rPr>
          <w:rFonts w:ascii="宋体" w:hAnsi="宋体" w:cs="宋体"/>
          <w:bCs/>
          <w:sz w:val="32"/>
          <w:szCs w:val="32"/>
          <w:highlight w:val="none"/>
        </w:rPr>
      </w:pPr>
      <w:r>
        <w:rPr>
          <w:rFonts w:hint="eastAsia" w:ascii="宋体" w:hAnsi="宋体" w:cs="宋体"/>
          <w:bCs/>
          <w:sz w:val="32"/>
          <w:szCs w:val="32"/>
          <w:highlight w:val="none"/>
          <w:lang w:bidi="ar"/>
        </w:rPr>
        <w:t xml:space="preserve"> </w:t>
      </w:r>
    </w:p>
    <w:p w14:paraId="075A0EC5">
      <w:pPr>
        <w:autoSpaceDE w:val="0"/>
        <w:ind w:firstLine="640" w:firstLineChars="200"/>
        <w:rPr>
          <w:rFonts w:ascii="宋体" w:hAnsi="宋体" w:cs="宋体"/>
          <w:bCs/>
          <w:sz w:val="32"/>
          <w:szCs w:val="32"/>
          <w:highlight w:val="none"/>
        </w:rPr>
      </w:pPr>
      <w:r>
        <w:rPr>
          <w:rFonts w:hint="eastAsia" w:ascii="宋体" w:hAnsi="宋体" w:cs="宋体"/>
          <w:bCs/>
          <w:sz w:val="32"/>
          <w:szCs w:val="32"/>
          <w:highlight w:val="none"/>
          <w:lang w:bidi="ar"/>
        </w:rPr>
        <w:t xml:space="preserve"> </w:t>
      </w:r>
    </w:p>
    <w:p w14:paraId="092A4ADB">
      <w:pPr>
        <w:snapToGrid w:val="0"/>
        <w:spacing w:before="156" w:beforeLines="50" w:after="50"/>
        <w:jc w:val="center"/>
        <w:rPr>
          <w:rFonts w:ascii="宋体" w:hAnsi="宋体" w:cs="宋体"/>
          <w:sz w:val="32"/>
          <w:szCs w:val="32"/>
          <w:highlight w:val="none"/>
        </w:rPr>
      </w:pPr>
      <w:r>
        <w:rPr>
          <w:rFonts w:hint="eastAsia" w:ascii="宋体" w:hAnsi="宋体" w:cs="宋体"/>
          <w:sz w:val="32"/>
          <w:szCs w:val="32"/>
          <w:highlight w:val="none"/>
          <w:lang w:bidi="ar"/>
        </w:rPr>
        <w:t>年    月    日</w:t>
      </w:r>
    </w:p>
    <w:p w14:paraId="4E67E58A">
      <w:pPr>
        <w:snapToGrid w:val="0"/>
        <w:spacing w:before="156" w:beforeLines="50" w:after="50" w:line="360" w:lineRule="auto"/>
        <w:ind w:left="142"/>
        <w:jc w:val="left"/>
        <w:rPr>
          <w:rFonts w:ascii="宋体" w:hAnsi="宋体" w:cs="宋体"/>
          <w:b/>
          <w:bCs/>
          <w:sz w:val="32"/>
          <w:szCs w:val="32"/>
          <w:highlight w:val="none"/>
        </w:rPr>
      </w:pPr>
      <w:r>
        <w:rPr>
          <w:rFonts w:hint="eastAsia" w:ascii="宋体" w:hAnsi="宋体" w:cs="宋体"/>
          <w:sz w:val="24"/>
          <w:highlight w:val="none"/>
          <w:lang w:bidi="ar"/>
        </w:rPr>
        <w:br w:type="page"/>
      </w:r>
      <w:r>
        <w:rPr>
          <w:rFonts w:hint="eastAsia" w:ascii="宋体" w:hAnsi="宋体" w:cs="宋体"/>
          <w:b/>
          <w:bCs/>
          <w:sz w:val="32"/>
          <w:szCs w:val="32"/>
          <w:highlight w:val="none"/>
          <w:lang w:bidi="ar"/>
        </w:rPr>
        <w:t>2.资格证明文件目录</w:t>
      </w:r>
    </w:p>
    <w:p w14:paraId="64C79179">
      <w:pPr>
        <w:snapToGrid w:val="0"/>
        <w:spacing w:before="156" w:beforeLines="50" w:after="50" w:line="360" w:lineRule="auto"/>
        <w:ind w:firstLine="645"/>
        <w:rPr>
          <w:rFonts w:ascii="宋体" w:hAnsi="宋体" w:cs="宋体"/>
          <w:sz w:val="32"/>
          <w:szCs w:val="32"/>
          <w:highlight w:val="none"/>
        </w:rPr>
      </w:pPr>
      <w:r>
        <w:rPr>
          <w:rFonts w:hint="eastAsia" w:ascii="宋体" w:hAnsi="宋体" w:cs="宋体"/>
          <w:sz w:val="32"/>
          <w:szCs w:val="32"/>
          <w:highlight w:val="none"/>
          <w:lang w:bidi="ar"/>
        </w:rPr>
        <w:t>根据磋商文件供应商须知前附表12.1.1要求提供的材料自行编写目录（部分格式后附）。</w:t>
      </w:r>
    </w:p>
    <w:p w14:paraId="7553F79B">
      <w:pPr>
        <w:pStyle w:val="27"/>
        <w:ind w:firstLine="640" w:firstLineChars="200"/>
        <w:jc w:val="center"/>
        <w:rPr>
          <w:rFonts w:ascii="宋体" w:hAnsi="宋体" w:cs="宋体"/>
          <w:kern w:val="2"/>
          <w:sz w:val="32"/>
          <w:szCs w:val="32"/>
          <w:highlight w:val="none"/>
        </w:rPr>
      </w:pPr>
      <w:r>
        <w:rPr>
          <w:rFonts w:hint="eastAsia" w:ascii="宋体" w:hAnsi="宋体" w:cs="宋体"/>
          <w:kern w:val="2"/>
          <w:sz w:val="32"/>
          <w:szCs w:val="32"/>
          <w:highlight w:val="none"/>
          <w:lang w:bidi="ar"/>
        </w:rPr>
        <w:t xml:space="preserve"> </w:t>
      </w:r>
    </w:p>
    <w:p w14:paraId="7676FDD7">
      <w:pPr>
        <w:autoSpaceDE w:val="0"/>
        <w:spacing w:before="340" w:after="330" w:line="360" w:lineRule="auto"/>
        <w:jc w:val="center"/>
        <w:rPr>
          <w:rFonts w:ascii="宋体" w:hAnsi="宋体" w:cs="宋体"/>
          <w:b/>
          <w:bCs/>
          <w:sz w:val="44"/>
          <w:szCs w:val="44"/>
          <w:highlight w:val="none"/>
        </w:rPr>
      </w:pPr>
      <w:r>
        <w:rPr>
          <w:rFonts w:hint="eastAsia" w:ascii="宋体" w:hAnsi="宋体" w:cs="宋体"/>
          <w:b/>
          <w:sz w:val="44"/>
          <w:szCs w:val="44"/>
          <w:highlight w:val="none"/>
          <w:lang w:bidi="ar"/>
        </w:rPr>
        <w:br w:type="page"/>
      </w:r>
      <w:r>
        <w:rPr>
          <w:rFonts w:hint="eastAsia" w:ascii="宋体" w:hAnsi="宋体" w:cs="宋体"/>
          <w:b/>
          <w:bCs/>
          <w:sz w:val="44"/>
          <w:szCs w:val="44"/>
          <w:highlight w:val="none"/>
          <w:lang w:bidi="ar"/>
        </w:rPr>
        <w:t>供应商基本情况表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993"/>
        <w:gridCol w:w="2126"/>
        <w:gridCol w:w="1436"/>
        <w:gridCol w:w="2341"/>
      </w:tblGrid>
      <w:tr w14:paraId="572E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4FC2FCD0">
            <w:pPr>
              <w:autoSpaceDE w:val="0"/>
              <w:autoSpaceDN w:val="0"/>
              <w:spacing w:line="360" w:lineRule="auto"/>
              <w:jc w:val="center"/>
              <w:rPr>
                <w:rFonts w:ascii="宋体" w:hAnsi="宋体" w:cs="宋体"/>
                <w:kern w:val="0"/>
                <w:sz w:val="24"/>
                <w:highlight w:val="none"/>
              </w:rPr>
            </w:pPr>
            <w:r>
              <w:rPr>
                <w:rFonts w:hint="eastAsia" w:ascii="宋体" w:hAnsi="宋体" w:cs="宋体"/>
                <w:kern w:val="0"/>
                <w:sz w:val="24"/>
                <w:highlight w:val="none"/>
                <w:lang w:bidi="ar"/>
              </w:rPr>
              <w:t>供应商名称（盖章）</w:t>
            </w:r>
          </w:p>
        </w:tc>
        <w:tc>
          <w:tcPr>
            <w:tcW w:w="68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B862648">
            <w:pPr>
              <w:autoSpaceDE w:val="0"/>
              <w:autoSpaceDN w:val="0"/>
              <w:spacing w:line="360" w:lineRule="auto"/>
              <w:jc w:val="center"/>
              <w:rPr>
                <w:rFonts w:ascii="宋体" w:hAnsi="宋体" w:cs="宋体"/>
                <w:kern w:val="0"/>
                <w:sz w:val="24"/>
                <w:highlight w:val="none"/>
              </w:rPr>
            </w:pPr>
          </w:p>
        </w:tc>
      </w:tr>
      <w:tr w14:paraId="612C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07912BD5">
            <w:pPr>
              <w:autoSpaceDE w:val="0"/>
              <w:autoSpaceDN w:val="0"/>
              <w:spacing w:line="360" w:lineRule="auto"/>
              <w:jc w:val="center"/>
              <w:rPr>
                <w:rFonts w:ascii="宋体" w:hAnsi="宋体" w:cs="宋体"/>
                <w:kern w:val="0"/>
                <w:sz w:val="24"/>
                <w:highlight w:val="none"/>
              </w:rPr>
            </w:pPr>
            <w:r>
              <w:rPr>
                <w:rFonts w:hint="eastAsia" w:ascii="宋体" w:hAnsi="宋体" w:cs="宋体"/>
                <w:kern w:val="0"/>
                <w:sz w:val="24"/>
                <w:highlight w:val="none"/>
                <w:lang w:bidi="ar"/>
              </w:rPr>
              <w:t>注册地址</w:t>
            </w:r>
          </w:p>
        </w:tc>
        <w:tc>
          <w:tcPr>
            <w:tcW w:w="3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C1CDD0">
            <w:pPr>
              <w:autoSpaceDE w:val="0"/>
              <w:autoSpaceDN w:val="0"/>
              <w:spacing w:line="360" w:lineRule="auto"/>
              <w:jc w:val="center"/>
              <w:rPr>
                <w:rFonts w:ascii="宋体" w:hAnsi="宋体" w:cs="宋体"/>
                <w:kern w:val="0"/>
                <w:sz w:val="24"/>
                <w:highlight w:val="none"/>
              </w:rPr>
            </w:pP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14:paraId="3C794D95">
            <w:pPr>
              <w:autoSpaceDE w:val="0"/>
              <w:autoSpaceDN w:val="0"/>
              <w:spacing w:line="360" w:lineRule="auto"/>
              <w:jc w:val="center"/>
              <w:rPr>
                <w:rFonts w:ascii="宋体" w:hAnsi="宋体" w:cs="宋体"/>
                <w:kern w:val="0"/>
                <w:sz w:val="24"/>
                <w:highlight w:val="none"/>
              </w:rPr>
            </w:pPr>
            <w:r>
              <w:rPr>
                <w:rFonts w:hint="eastAsia" w:ascii="宋体" w:hAnsi="宋体" w:cs="宋体"/>
                <w:kern w:val="0"/>
                <w:sz w:val="24"/>
                <w:highlight w:val="none"/>
                <w:lang w:bidi="ar"/>
              </w:rPr>
              <w:t>邮政编码</w:t>
            </w: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7FDE9574">
            <w:pPr>
              <w:autoSpaceDE w:val="0"/>
              <w:autoSpaceDN w:val="0"/>
              <w:spacing w:line="360" w:lineRule="auto"/>
              <w:jc w:val="center"/>
              <w:rPr>
                <w:rFonts w:ascii="宋体" w:hAnsi="宋体" w:cs="宋体"/>
                <w:kern w:val="0"/>
                <w:sz w:val="24"/>
                <w:highlight w:val="none"/>
              </w:rPr>
            </w:pPr>
          </w:p>
        </w:tc>
      </w:tr>
      <w:tr w14:paraId="5709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76" w:type="dxa"/>
            <w:vMerge w:val="restart"/>
            <w:tcBorders>
              <w:top w:val="nil"/>
              <w:left w:val="single" w:color="auto" w:sz="4" w:space="0"/>
              <w:bottom w:val="single" w:color="auto" w:sz="4" w:space="0"/>
              <w:right w:val="single" w:color="auto" w:sz="4" w:space="0"/>
            </w:tcBorders>
            <w:shd w:val="clear" w:color="auto" w:fill="auto"/>
            <w:vAlign w:val="center"/>
          </w:tcPr>
          <w:p w14:paraId="51C91F70">
            <w:pPr>
              <w:autoSpaceDE w:val="0"/>
              <w:autoSpaceDN w:val="0"/>
              <w:spacing w:line="360" w:lineRule="auto"/>
              <w:jc w:val="center"/>
              <w:rPr>
                <w:rFonts w:ascii="宋体" w:hAnsi="宋体" w:cs="宋体"/>
                <w:kern w:val="0"/>
                <w:sz w:val="24"/>
                <w:highlight w:val="none"/>
              </w:rPr>
            </w:pPr>
            <w:r>
              <w:rPr>
                <w:rFonts w:hint="eastAsia" w:ascii="宋体" w:hAnsi="宋体" w:cs="宋体"/>
                <w:kern w:val="0"/>
                <w:sz w:val="24"/>
                <w:highlight w:val="none"/>
                <w:lang w:bidi="ar"/>
              </w:rPr>
              <w:t>联系方式</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002674A">
            <w:pPr>
              <w:autoSpaceDE w:val="0"/>
              <w:autoSpaceDN w:val="0"/>
              <w:spacing w:line="360" w:lineRule="auto"/>
              <w:jc w:val="center"/>
              <w:rPr>
                <w:rFonts w:ascii="宋体" w:hAnsi="宋体" w:cs="宋体"/>
                <w:kern w:val="0"/>
                <w:sz w:val="24"/>
                <w:highlight w:val="none"/>
              </w:rPr>
            </w:pPr>
            <w:r>
              <w:rPr>
                <w:rFonts w:hint="eastAsia" w:ascii="宋体" w:hAnsi="宋体" w:cs="宋体"/>
                <w:kern w:val="0"/>
                <w:sz w:val="24"/>
                <w:highlight w:val="none"/>
                <w:lang w:bidi="ar"/>
              </w:rPr>
              <w:t>联系人</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3C2BB525">
            <w:pPr>
              <w:autoSpaceDE w:val="0"/>
              <w:autoSpaceDN w:val="0"/>
              <w:spacing w:line="360" w:lineRule="auto"/>
              <w:jc w:val="center"/>
              <w:rPr>
                <w:rFonts w:ascii="宋体" w:hAnsi="宋体" w:cs="宋体"/>
                <w:kern w:val="0"/>
                <w:sz w:val="24"/>
                <w:highlight w:val="none"/>
              </w:rPr>
            </w:pP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14:paraId="215501DD">
            <w:pPr>
              <w:autoSpaceDE w:val="0"/>
              <w:autoSpaceDN w:val="0"/>
              <w:spacing w:line="360" w:lineRule="auto"/>
              <w:jc w:val="center"/>
              <w:rPr>
                <w:rFonts w:ascii="宋体" w:hAnsi="宋体" w:cs="宋体"/>
                <w:kern w:val="0"/>
                <w:sz w:val="24"/>
                <w:highlight w:val="none"/>
              </w:rPr>
            </w:pPr>
            <w:r>
              <w:rPr>
                <w:rFonts w:hint="eastAsia" w:ascii="宋体" w:hAnsi="宋体" w:cs="宋体"/>
                <w:kern w:val="0"/>
                <w:sz w:val="24"/>
                <w:highlight w:val="none"/>
                <w:lang w:bidi="ar"/>
              </w:rPr>
              <w:t>电 话</w:t>
            </w: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716C73CC">
            <w:pPr>
              <w:autoSpaceDE w:val="0"/>
              <w:autoSpaceDN w:val="0"/>
              <w:spacing w:line="360" w:lineRule="auto"/>
              <w:jc w:val="center"/>
              <w:rPr>
                <w:rFonts w:ascii="宋体" w:hAnsi="宋体" w:cs="宋体"/>
                <w:kern w:val="0"/>
                <w:sz w:val="24"/>
                <w:highlight w:val="none"/>
              </w:rPr>
            </w:pPr>
          </w:p>
        </w:tc>
      </w:tr>
      <w:tr w14:paraId="6C51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76" w:type="dxa"/>
            <w:vMerge w:val="continue"/>
            <w:tcBorders>
              <w:top w:val="nil"/>
              <w:left w:val="single" w:color="auto" w:sz="4" w:space="0"/>
              <w:bottom w:val="single" w:color="auto" w:sz="4" w:space="0"/>
              <w:right w:val="single" w:color="auto" w:sz="4" w:space="0"/>
            </w:tcBorders>
            <w:shd w:val="clear" w:color="auto" w:fill="auto"/>
            <w:vAlign w:val="center"/>
          </w:tcPr>
          <w:p w14:paraId="455E1469">
            <w:pPr>
              <w:rPr>
                <w:sz w:val="20"/>
                <w:szCs w:val="20"/>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FA7F504">
            <w:pPr>
              <w:autoSpaceDE w:val="0"/>
              <w:autoSpaceDN w:val="0"/>
              <w:spacing w:line="360" w:lineRule="auto"/>
              <w:jc w:val="center"/>
              <w:rPr>
                <w:rFonts w:ascii="宋体" w:hAnsi="宋体" w:cs="宋体"/>
                <w:kern w:val="0"/>
                <w:sz w:val="24"/>
                <w:highlight w:val="none"/>
              </w:rPr>
            </w:pPr>
            <w:r>
              <w:rPr>
                <w:rFonts w:hint="eastAsia" w:ascii="宋体" w:hAnsi="宋体" w:cs="宋体"/>
                <w:kern w:val="0"/>
                <w:sz w:val="24"/>
                <w:highlight w:val="none"/>
                <w:lang w:bidi="ar"/>
              </w:rPr>
              <w:t>传 真</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3583FF47">
            <w:pPr>
              <w:autoSpaceDE w:val="0"/>
              <w:autoSpaceDN w:val="0"/>
              <w:spacing w:line="360" w:lineRule="auto"/>
              <w:jc w:val="center"/>
              <w:rPr>
                <w:rFonts w:ascii="宋体" w:hAnsi="宋体" w:cs="宋体"/>
                <w:kern w:val="0"/>
                <w:sz w:val="24"/>
                <w:highlight w:val="none"/>
              </w:rPr>
            </w:pP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14:paraId="5FFF9B65">
            <w:pPr>
              <w:autoSpaceDE w:val="0"/>
              <w:autoSpaceDN w:val="0"/>
              <w:spacing w:line="360" w:lineRule="auto"/>
              <w:jc w:val="center"/>
              <w:rPr>
                <w:rFonts w:ascii="宋体" w:hAnsi="宋体" w:cs="宋体"/>
                <w:kern w:val="0"/>
                <w:sz w:val="24"/>
                <w:highlight w:val="none"/>
              </w:rPr>
            </w:pPr>
            <w:r>
              <w:rPr>
                <w:rFonts w:hint="eastAsia" w:ascii="宋体" w:hAnsi="宋体" w:cs="宋体"/>
                <w:kern w:val="0"/>
                <w:sz w:val="24"/>
                <w:highlight w:val="none"/>
                <w:lang w:bidi="ar"/>
              </w:rPr>
              <w:t>网 址</w:t>
            </w: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69407BA">
            <w:pPr>
              <w:autoSpaceDE w:val="0"/>
              <w:autoSpaceDN w:val="0"/>
              <w:spacing w:line="360" w:lineRule="auto"/>
              <w:jc w:val="center"/>
              <w:rPr>
                <w:rFonts w:ascii="宋体" w:hAnsi="宋体" w:cs="宋体"/>
                <w:kern w:val="0"/>
                <w:sz w:val="24"/>
                <w:highlight w:val="none"/>
              </w:rPr>
            </w:pPr>
          </w:p>
        </w:tc>
      </w:tr>
      <w:tr w14:paraId="6D72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7ADC0CB9">
            <w:pPr>
              <w:autoSpaceDE w:val="0"/>
              <w:autoSpaceDN w:val="0"/>
              <w:spacing w:line="360" w:lineRule="auto"/>
              <w:jc w:val="center"/>
              <w:rPr>
                <w:rFonts w:ascii="宋体" w:hAnsi="宋体" w:cs="宋体"/>
                <w:kern w:val="0"/>
                <w:sz w:val="24"/>
                <w:highlight w:val="none"/>
              </w:rPr>
            </w:pPr>
            <w:r>
              <w:rPr>
                <w:rFonts w:hint="eastAsia" w:ascii="宋体" w:hAnsi="宋体" w:cs="宋体"/>
                <w:kern w:val="0"/>
                <w:sz w:val="24"/>
                <w:highlight w:val="none"/>
                <w:lang w:bidi="ar"/>
              </w:rPr>
              <w:t>组织结构</w:t>
            </w:r>
          </w:p>
        </w:tc>
        <w:tc>
          <w:tcPr>
            <w:tcW w:w="68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5FE6494">
            <w:pPr>
              <w:autoSpaceDE w:val="0"/>
              <w:autoSpaceDN w:val="0"/>
              <w:spacing w:line="360" w:lineRule="auto"/>
              <w:jc w:val="center"/>
              <w:rPr>
                <w:rFonts w:ascii="宋体" w:hAnsi="宋体" w:cs="宋体"/>
                <w:kern w:val="0"/>
                <w:sz w:val="24"/>
                <w:highlight w:val="none"/>
              </w:rPr>
            </w:pPr>
          </w:p>
        </w:tc>
      </w:tr>
      <w:tr w14:paraId="5FE7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2FDAFD83">
            <w:pPr>
              <w:autoSpaceDE w:val="0"/>
              <w:autoSpaceDN w:val="0"/>
              <w:spacing w:line="360" w:lineRule="auto"/>
              <w:jc w:val="center"/>
              <w:rPr>
                <w:rFonts w:ascii="宋体" w:hAnsi="宋体" w:cs="宋体"/>
                <w:kern w:val="0"/>
                <w:sz w:val="24"/>
                <w:highlight w:val="none"/>
              </w:rPr>
            </w:pPr>
            <w:r>
              <w:rPr>
                <w:rFonts w:hint="eastAsia" w:ascii="宋体" w:hAnsi="宋体" w:cs="宋体"/>
                <w:kern w:val="0"/>
                <w:sz w:val="24"/>
                <w:highlight w:val="none"/>
                <w:lang w:bidi="ar"/>
              </w:rPr>
              <w:t>法定代表人</w:t>
            </w:r>
          </w:p>
        </w:tc>
        <w:tc>
          <w:tcPr>
            <w:tcW w:w="3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40FACB">
            <w:pPr>
              <w:autoSpaceDE w:val="0"/>
              <w:autoSpaceDN w:val="0"/>
              <w:spacing w:line="360" w:lineRule="auto"/>
              <w:jc w:val="center"/>
              <w:rPr>
                <w:rFonts w:ascii="宋体" w:hAnsi="宋体" w:cs="宋体"/>
                <w:kern w:val="0"/>
                <w:sz w:val="24"/>
                <w:highlight w:val="none"/>
              </w:rPr>
            </w:pP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14:paraId="2DC961A9">
            <w:pPr>
              <w:autoSpaceDE w:val="0"/>
              <w:autoSpaceDN w:val="0"/>
              <w:spacing w:line="360" w:lineRule="auto"/>
              <w:jc w:val="center"/>
              <w:rPr>
                <w:rFonts w:ascii="宋体" w:hAnsi="宋体" w:cs="宋体"/>
                <w:kern w:val="0"/>
                <w:sz w:val="24"/>
                <w:highlight w:val="none"/>
              </w:rPr>
            </w:pPr>
            <w:r>
              <w:rPr>
                <w:rFonts w:hint="eastAsia" w:ascii="宋体" w:hAnsi="宋体" w:cs="宋体"/>
                <w:kern w:val="0"/>
                <w:sz w:val="24"/>
                <w:highlight w:val="none"/>
                <w:lang w:bidi="ar"/>
              </w:rPr>
              <w:t>电话</w:t>
            </w: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4BB73035">
            <w:pPr>
              <w:autoSpaceDE w:val="0"/>
              <w:autoSpaceDN w:val="0"/>
              <w:spacing w:line="360" w:lineRule="auto"/>
              <w:jc w:val="center"/>
              <w:rPr>
                <w:rFonts w:ascii="宋体" w:hAnsi="宋体" w:cs="宋体"/>
                <w:kern w:val="0"/>
                <w:sz w:val="24"/>
                <w:highlight w:val="none"/>
              </w:rPr>
            </w:pPr>
          </w:p>
        </w:tc>
      </w:tr>
      <w:tr w14:paraId="26E2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34061A53">
            <w:pPr>
              <w:autoSpaceDE w:val="0"/>
              <w:autoSpaceDN w:val="0"/>
              <w:spacing w:line="360" w:lineRule="auto"/>
              <w:jc w:val="center"/>
              <w:rPr>
                <w:rFonts w:ascii="宋体" w:hAnsi="宋体" w:cs="宋体"/>
                <w:kern w:val="0"/>
                <w:sz w:val="24"/>
                <w:highlight w:val="none"/>
              </w:rPr>
            </w:pPr>
            <w:r>
              <w:rPr>
                <w:rFonts w:hint="eastAsia" w:ascii="宋体" w:hAnsi="宋体" w:cs="宋体"/>
                <w:kern w:val="0"/>
                <w:sz w:val="24"/>
                <w:highlight w:val="none"/>
                <w:lang w:bidi="ar"/>
              </w:rPr>
              <w:t>成立时间</w:t>
            </w:r>
          </w:p>
        </w:tc>
        <w:tc>
          <w:tcPr>
            <w:tcW w:w="3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B72284">
            <w:pPr>
              <w:autoSpaceDE w:val="0"/>
              <w:autoSpaceDN w:val="0"/>
              <w:spacing w:line="360" w:lineRule="auto"/>
              <w:jc w:val="center"/>
              <w:rPr>
                <w:rFonts w:ascii="宋体" w:hAnsi="宋体" w:cs="宋体"/>
                <w:kern w:val="0"/>
                <w:sz w:val="24"/>
                <w:highlight w:val="none"/>
              </w:rPr>
            </w:pPr>
          </w:p>
        </w:tc>
        <w:tc>
          <w:tcPr>
            <w:tcW w:w="37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F94758">
            <w:pPr>
              <w:autoSpaceDE w:val="0"/>
              <w:autoSpaceDN w:val="0"/>
              <w:spacing w:line="360" w:lineRule="auto"/>
              <w:rPr>
                <w:rFonts w:ascii="宋体" w:hAnsi="宋体" w:cs="宋体"/>
                <w:kern w:val="0"/>
                <w:sz w:val="24"/>
                <w:highlight w:val="none"/>
              </w:rPr>
            </w:pPr>
            <w:r>
              <w:rPr>
                <w:rFonts w:hint="eastAsia" w:ascii="宋体" w:hAnsi="宋体" w:cs="宋体"/>
                <w:kern w:val="0"/>
                <w:sz w:val="24"/>
                <w:highlight w:val="none"/>
                <w:lang w:bidi="ar"/>
              </w:rPr>
              <w:t>员工总人数：</w:t>
            </w:r>
          </w:p>
        </w:tc>
      </w:tr>
      <w:tr w14:paraId="7AA3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68887799">
            <w:pPr>
              <w:autoSpaceDE w:val="0"/>
              <w:autoSpaceDN w:val="0"/>
              <w:spacing w:line="360" w:lineRule="auto"/>
              <w:jc w:val="center"/>
              <w:rPr>
                <w:rFonts w:ascii="宋体" w:hAnsi="宋体" w:cs="宋体"/>
                <w:kern w:val="0"/>
                <w:sz w:val="24"/>
                <w:highlight w:val="none"/>
              </w:rPr>
            </w:pPr>
            <w:r>
              <w:rPr>
                <w:rFonts w:hint="eastAsia" w:ascii="宋体" w:hAnsi="宋体" w:cs="宋体"/>
                <w:kern w:val="0"/>
                <w:sz w:val="24"/>
                <w:highlight w:val="none"/>
                <w:lang w:bidi="ar"/>
              </w:rPr>
              <w:t>营业执照号</w:t>
            </w:r>
          </w:p>
        </w:tc>
        <w:tc>
          <w:tcPr>
            <w:tcW w:w="68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9CCA29F">
            <w:pPr>
              <w:autoSpaceDE w:val="0"/>
              <w:autoSpaceDN w:val="0"/>
              <w:spacing w:line="360" w:lineRule="auto"/>
              <w:jc w:val="center"/>
              <w:rPr>
                <w:rFonts w:ascii="宋体" w:hAnsi="宋体" w:cs="宋体"/>
                <w:kern w:val="0"/>
                <w:sz w:val="24"/>
                <w:highlight w:val="none"/>
              </w:rPr>
            </w:pPr>
          </w:p>
        </w:tc>
      </w:tr>
      <w:tr w14:paraId="4DA1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34C6734A">
            <w:pPr>
              <w:autoSpaceDE w:val="0"/>
              <w:autoSpaceDN w:val="0"/>
              <w:spacing w:line="360" w:lineRule="auto"/>
              <w:jc w:val="center"/>
              <w:rPr>
                <w:rFonts w:ascii="宋体" w:hAnsi="宋体" w:cs="宋体"/>
                <w:kern w:val="0"/>
                <w:sz w:val="24"/>
                <w:highlight w:val="none"/>
              </w:rPr>
            </w:pPr>
            <w:r>
              <w:rPr>
                <w:rFonts w:hint="eastAsia" w:ascii="宋体" w:hAnsi="宋体" w:cs="宋体"/>
                <w:kern w:val="0"/>
                <w:sz w:val="24"/>
                <w:highlight w:val="none"/>
                <w:lang w:bidi="ar"/>
              </w:rPr>
              <w:t>注册资金</w:t>
            </w:r>
          </w:p>
        </w:tc>
        <w:tc>
          <w:tcPr>
            <w:tcW w:w="68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AEC706">
            <w:pPr>
              <w:autoSpaceDE w:val="0"/>
              <w:autoSpaceDN w:val="0"/>
              <w:spacing w:line="360" w:lineRule="auto"/>
              <w:jc w:val="center"/>
              <w:rPr>
                <w:rFonts w:ascii="宋体" w:hAnsi="宋体" w:cs="宋体"/>
                <w:kern w:val="0"/>
                <w:sz w:val="24"/>
                <w:highlight w:val="none"/>
              </w:rPr>
            </w:pPr>
          </w:p>
        </w:tc>
      </w:tr>
      <w:tr w14:paraId="03DB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631D98B5">
            <w:pPr>
              <w:autoSpaceDE w:val="0"/>
              <w:autoSpaceDN w:val="0"/>
              <w:spacing w:line="360" w:lineRule="auto"/>
              <w:jc w:val="center"/>
              <w:rPr>
                <w:rFonts w:ascii="宋体" w:hAnsi="宋体" w:cs="宋体"/>
                <w:kern w:val="0"/>
                <w:sz w:val="24"/>
                <w:highlight w:val="none"/>
              </w:rPr>
            </w:pPr>
            <w:r>
              <w:rPr>
                <w:rFonts w:hint="eastAsia" w:ascii="宋体" w:hAnsi="宋体" w:cs="宋体"/>
                <w:kern w:val="0"/>
                <w:sz w:val="24"/>
                <w:highlight w:val="none"/>
                <w:lang w:bidi="ar"/>
              </w:rPr>
              <w:t>开户银行</w:t>
            </w:r>
          </w:p>
        </w:tc>
        <w:tc>
          <w:tcPr>
            <w:tcW w:w="68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86C944A">
            <w:pPr>
              <w:autoSpaceDE w:val="0"/>
              <w:autoSpaceDN w:val="0"/>
              <w:spacing w:line="360" w:lineRule="auto"/>
              <w:jc w:val="center"/>
              <w:rPr>
                <w:rFonts w:ascii="宋体" w:hAnsi="宋体" w:cs="宋体"/>
                <w:kern w:val="0"/>
                <w:sz w:val="24"/>
                <w:highlight w:val="none"/>
              </w:rPr>
            </w:pPr>
          </w:p>
        </w:tc>
      </w:tr>
      <w:tr w14:paraId="3708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0BA255C0">
            <w:pPr>
              <w:autoSpaceDE w:val="0"/>
              <w:autoSpaceDN w:val="0"/>
              <w:spacing w:line="360" w:lineRule="auto"/>
              <w:jc w:val="center"/>
              <w:rPr>
                <w:rFonts w:ascii="宋体" w:hAnsi="宋体" w:cs="宋体"/>
                <w:kern w:val="0"/>
                <w:sz w:val="24"/>
                <w:highlight w:val="none"/>
              </w:rPr>
            </w:pPr>
            <w:r>
              <w:rPr>
                <w:rFonts w:hint="eastAsia" w:ascii="宋体" w:hAnsi="宋体" w:cs="宋体"/>
                <w:kern w:val="0"/>
                <w:sz w:val="24"/>
                <w:highlight w:val="none"/>
                <w:lang w:bidi="ar"/>
              </w:rPr>
              <w:t>账号</w:t>
            </w:r>
          </w:p>
        </w:tc>
        <w:tc>
          <w:tcPr>
            <w:tcW w:w="68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C04ADCA">
            <w:pPr>
              <w:autoSpaceDE w:val="0"/>
              <w:autoSpaceDN w:val="0"/>
              <w:spacing w:line="360" w:lineRule="auto"/>
              <w:jc w:val="center"/>
              <w:rPr>
                <w:rFonts w:ascii="宋体" w:hAnsi="宋体" w:cs="宋体"/>
                <w:kern w:val="0"/>
                <w:sz w:val="24"/>
                <w:highlight w:val="none"/>
              </w:rPr>
            </w:pPr>
          </w:p>
        </w:tc>
      </w:tr>
      <w:tr w14:paraId="2123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79F69A65">
            <w:pPr>
              <w:autoSpaceDE w:val="0"/>
              <w:autoSpaceDN w:val="0"/>
              <w:spacing w:line="360" w:lineRule="auto"/>
              <w:jc w:val="center"/>
              <w:rPr>
                <w:rFonts w:ascii="宋体" w:hAnsi="宋体" w:cs="宋体"/>
                <w:kern w:val="0"/>
                <w:sz w:val="24"/>
                <w:highlight w:val="none"/>
              </w:rPr>
            </w:pPr>
            <w:r>
              <w:rPr>
                <w:rFonts w:hint="eastAsia" w:ascii="宋体" w:hAnsi="宋体" w:cs="宋体"/>
                <w:kern w:val="0"/>
                <w:sz w:val="24"/>
                <w:highlight w:val="none"/>
                <w:lang w:bidi="ar"/>
              </w:rPr>
              <w:t>经营范围</w:t>
            </w:r>
          </w:p>
        </w:tc>
        <w:tc>
          <w:tcPr>
            <w:tcW w:w="68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475073C">
            <w:pPr>
              <w:autoSpaceDE w:val="0"/>
              <w:autoSpaceDN w:val="0"/>
              <w:spacing w:line="360" w:lineRule="auto"/>
              <w:rPr>
                <w:rFonts w:ascii="宋体" w:hAnsi="宋体" w:cs="宋体"/>
                <w:kern w:val="0"/>
                <w:sz w:val="24"/>
                <w:highlight w:val="none"/>
              </w:rPr>
            </w:pPr>
          </w:p>
        </w:tc>
      </w:tr>
      <w:tr w14:paraId="0430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52569E6A">
            <w:pPr>
              <w:autoSpaceDE w:val="0"/>
              <w:autoSpaceDN w:val="0"/>
              <w:spacing w:line="360" w:lineRule="auto"/>
              <w:jc w:val="center"/>
              <w:rPr>
                <w:rFonts w:ascii="宋体" w:hAnsi="宋体" w:cs="宋体"/>
                <w:kern w:val="0"/>
                <w:sz w:val="24"/>
                <w:highlight w:val="none"/>
              </w:rPr>
            </w:pPr>
            <w:r>
              <w:rPr>
                <w:rFonts w:hint="eastAsia" w:ascii="宋体" w:hAnsi="宋体" w:cs="宋体"/>
                <w:kern w:val="0"/>
                <w:sz w:val="24"/>
                <w:highlight w:val="none"/>
                <w:lang w:bidi="ar"/>
              </w:rPr>
              <w:t>备注</w:t>
            </w:r>
          </w:p>
        </w:tc>
        <w:tc>
          <w:tcPr>
            <w:tcW w:w="68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EC501E7">
            <w:pPr>
              <w:autoSpaceDE w:val="0"/>
              <w:autoSpaceDN w:val="0"/>
              <w:spacing w:line="360" w:lineRule="auto"/>
              <w:jc w:val="center"/>
              <w:rPr>
                <w:rFonts w:ascii="宋体" w:hAnsi="宋体" w:cs="宋体"/>
                <w:kern w:val="0"/>
                <w:sz w:val="24"/>
                <w:highlight w:val="none"/>
              </w:rPr>
            </w:pPr>
          </w:p>
        </w:tc>
      </w:tr>
    </w:tbl>
    <w:p w14:paraId="33A712FE">
      <w:pPr>
        <w:autoSpaceDE w:val="0"/>
        <w:autoSpaceDN w:val="0"/>
        <w:adjustRightInd w:val="0"/>
        <w:spacing w:line="360" w:lineRule="auto"/>
        <w:rPr>
          <w:rFonts w:ascii="宋体" w:hAnsi="宋体" w:cs="宋体"/>
          <w:b/>
          <w:kern w:val="0"/>
          <w:sz w:val="24"/>
          <w:highlight w:val="none"/>
        </w:rPr>
      </w:pPr>
      <w:r>
        <w:rPr>
          <w:rFonts w:hint="eastAsia" w:ascii="宋体" w:hAnsi="宋体" w:cs="宋体"/>
          <w:b/>
          <w:kern w:val="0"/>
          <w:sz w:val="24"/>
          <w:highlight w:val="none"/>
          <w:lang w:bidi="ar"/>
        </w:rPr>
        <w:t>注：附供应商营业执照副本。</w:t>
      </w:r>
    </w:p>
    <w:p w14:paraId="77FE51C9">
      <w:pPr>
        <w:autoSpaceDE w:val="0"/>
        <w:autoSpaceDN w:val="0"/>
        <w:spacing w:before="340" w:after="330" w:line="360" w:lineRule="auto"/>
        <w:jc w:val="center"/>
        <w:rPr>
          <w:rFonts w:ascii="宋体" w:hAnsi="宋体" w:cs="宋体"/>
          <w:b/>
          <w:bCs/>
          <w:sz w:val="44"/>
          <w:szCs w:val="44"/>
          <w:highlight w:val="none"/>
        </w:rPr>
      </w:pPr>
      <w:r>
        <w:rPr>
          <w:rFonts w:hint="eastAsia" w:ascii="宋体" w:hAnsi="宋体" w:cs="宋体"/>
          <w:b/>
          <w:kern w:val="0"/>
          <w:szCs w:val="21"/>
          <w:highlight w:val="none"/>
          <w:lang w:bidi="ar"/>
        </w:rPr>
        <w:br w:type="page"/>
      </w:r>
      <w:r>
        <w:rPr>
          <w:rFonts w:hint="eastAsia" w:ascii="宋体" w:hAnsi="宋体" w:cs="宋体"/>
          <w:b/>
          <w:bCs/>
          <w:sz w:val="44"/>
          <w:szCs w:val="44"/>
          <w:highlight w:val="none"/>
          <w:lang w:bidi="ar"/>
        </w:rPr>
        <w:t>供应商直接控股、管理关系信息表</w:t>
      </w:r>
    </w:p>
    <w:tbl>
      <w:tblPr>
        <w:tblStyle w:val="30"/>
        <w:tblW w:w="9476" w:type="dxa"/>
        <w:jc w:val="center"/>
        <w:tblLayout w:type="fixed"/>
        <w:tblCellMar>
          <w:top w:w="0" w:type="dxa"/>
          <w:left w:w="0" w:type="dxa"/>
          <w:bottom w:w="0" w:type="dxa"/>
          <w:right w:w="0" w:type="dxa"/>
        </w:tblCellMar>
      </w:tblPr>
      <w:tblGrid>
        <w:gridCol w:w="813"/>
        <w:gridCol w:w="3075"/>
        <w:gridCol w:w="1545"/>
        <w:gridCol w:w="3000"/>
        <w:gridCol w:w="1043"/>
      </w:tblGrid>
      <w:tr w14:paraId="61A73812">
        <w:tblPrEx>
          <w:tblCellMar>
            <w:top w:w="0" w:type="dxa"/>
            <w:left w:w="0" w:type="dxa"/>
            <w:bottom w:w="0" w:type="dxa"/>
            <w:right w:w="0" w:type="dxa"/>
          </w:tblCellMar>
        </w:tblPrEx>
        <w:trPr>
          <w:trHeight w:val="404" w:hRule="atLeast"/>
          <w:jc w:val="center"/>
        </w:trPr>
        <w:tc>
          <w:tcPr>
            <w:tcW w:w="9476" w:type="dxa"/>
            <w:gridSpan w:val="5"/>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A990CCD">
            <w:pPr>
              <w:jc w:val="center"/>
              <w:rPr>
                <w:rFonts w:ascii="宋体" w:hAnsi="宋体" w:cs="宋体"/>
                <w:b/>
                <w:bCs/>
                <w:kern w:val="0"/>
                <w:sz w:val="24"/>
                <w:highlight w:val="none"/>
              </w:rPr>
            </w:pPr>
            <w:r>
              <w:rPr>
                <w:rFonts w:hint="eastAsia" w:ascii="宋体" w:hAnsi="宋体" w:cs="宋体"/>
                <w:b/>
                <w:bCs/>
                <w:kern w:val="0"/>
                <w:sz w:val="28"/>
                <w:szCs w:val="28"/>
                <w:highlight w:val="none"/>
                <w:lang w:bidi="ar"/>
              </w:rPr>
              <w:t>供应商直接控股股东信息表</w:t>
            </w:r>
          </w:p>
        </w:tc>
      </w:tr>
      <w:tr w14:paraId="4CEDEFEE">
        <w:tblPrEx>
          <w:tblCellMar>
            <w:top w:w="0" w:type="dxa"/>
            <w:left w:w="0" w:type="dxa"/>
            <w:bottom w:w="0" w:type="dxa"/>
            <w:right w:w="0" w:type="dxa"/>
          </w:tblCellMar>
        </w:tblPrEx>
        <w:trPr>
          <w:jc w:val="center"/>
        </w:trPr>
        <w:tc>
          <w:tcPr>
            <w:tcW w:w="813"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9852E78">
            <w:pPr>
              <w:jc w:val="center"/>
              <w:rPr>
                <w:rFonts w:ascii="宋体" w:hAnsi="宋体" w:cs="宋体"/>
                <w:b/>
                <w:bCs/>
                <w:kern w:val="0"/>
                <w:sz w:val="24"/>
                <w:highlight w:val="none"/>
              </w:rPr>
            </w:pPr>
            <w:r>
              <w:rPr>
                <w:rFonts w:hint="eastAsia" w:ascii="宋体" w:hAnsi="宋体" w:cs="宋体"/>
                <w:b/>
                <w:bCs/>
                <w:kern w:val="0"/>
                <w:sz w:val="24"/>
                <w:highlight w:val="none"/>
                <w:lang w:bidi="ar"/>
              </w:rPr>
              <w:t>序号</w:t>
            </w:r>
          </w:p>
        </w:tc>
        <w:tc>
          <w:tcPr>
            <w:tcW w:w="3075" w:type="dxa"/>
            <w:tcBorders>
              <w:top w:val="single" w:color="auto" w:sz="4" w:space="0"/>
              <w:left w:val="nil"/>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1068959">
            <w:pPr>
              <w:jc w:val="center"/>
              <w:rPr>
                <w:rFonts w:ascii="宋体" w:hAnsi="宋体" w:cs="宋体"/>
                <w:b/>
                <w:bCs/>
                <w:kern w:val="0"/>
                <w:sz w:val="24"/>
                <w:highlight w:val="none"/>
              </w:rPr>
            </w:pPr>
            <w:r>
              <w:rPr>
                <w:rFonts w:hint="eastAsia" w:ascii="宋体" w:hAnsi="宋体" w:cs="宋体"/>
                <w:b/>
                <w:bCs/>
                <w:kern w:val="0"/>
                <w:sz w:val="24"/>
                <w:highlight w:val="none"/>
                <w:lang w:bidi="ar"/>
              </w:rPr>
              <w:t>直接控股股东名称</w:t>
            </w:r>
          </w:p>
        </w:tc>
        <w:tc>
          <w:tcPr>
            <w:tcW w:w="1545" w:type="dxa"/>
            <w:tcBorders>
              <w:top w:val="single" w:color="auto" w:sz="4" w:space="0"/>
              <w:left w:val="nil"/>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85C1B23">
            <w:pPr>
              <w:jc w:val="center"/>
              <w:rPr>
                <w:rFonts w:ascii="宋体" w:hAnsi="宋体" w:cs="宋体"/>
                <w:b/>
                <w:bCs/>
                <w:kern w:val="0"/>
                <w:sz w:val="24"/>
                <w:highlight w:val="none"/>
              </w:rPr>
            </w:pPr>
            <w:r>
              <w:rPr>
                <w:rFonts w:hint="eastAsia" w:ascii="宋体" w:hAnsi="宋体" w:cs="宋体"/>
                <w:b/>
                <w:bCs/>
                <w:kern w:val="0"/>
                <w:sz w:val="24"/>
                <w:highlight w:val="none"/>
                <w:lang w:bidi="ar"/>
              </w:rPr>
              <w:t>出资比例</w:t>
            </w:r>
          </w:p>
        </w:tc>
        <w:tc>
          <w:tcPr>
            <w:tcW w:w="3000" w:type="dxa"/>
            <w:tcBorders>
              <w:top w:val="single" w:color="auto" w:sz="4" w:space="0"/>
              <w:left w:val="nil"/>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865FB12">
            <w:pPr>
              <w:jc w:val="center"/>
              <w:rPr>
                <w:rFonts w:ascii="宋体" w:hAnsi="宋体" w:cs="宋体"/>
                <w:b/>
                <w:bCs/>
                <w:kern w:val="0"/>
                <w:sz w:val="24"/>
                <w:highlight w:val="none"/>
              </w:rPr>
            </w:pPr>
            <w:r>
              <w:rPr>
                <w:rFonts w:hint="eastAsia" w:ascii="宋体" w:hAnsi="宋体" w:cs="宋体"/>
                <w:b/>
                <w:bCs/>
                <w:kern w:val="0"/>
                <w:sz w:val="24"/>
                <w:highlight w:val="none"/>
                <w:lang w:bidi="ar"/>
              </w:rPr>
              <w:t>身份证号码或者统一社会信用代码</w:t>
            </w:r>
          </w:p>
        </w:tc>
        <w:tc>
          <w:tcPr>
            <w:tcW w:w="1043" w:type="dxa"/>
            <w:tcBorders>
              <w:top w:val="single" w:color="auto" w:sz="4" w:space="0"/>
              <w:left w:val="nil"/>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DA23283">
            <w:pPr>
              <w:jc w:val="center"/>
              <w:rPr>
                <w:rFonts w:ascii="宋体" w:hAnsi="宋体" w:cs="宋体"/>
                <w:b/>
                <w:bCs/>
                <w:kern w:val="0"/>
                <w:sz w:val="24"/>
                <w:highlight w:val="none"/>
              </w:rPr>
            </w:pPr>
            <w:r>
              <w:rPr>
                <w:rFonts w:hint="eastAsia" w:ascii="宋体" w:hAnsi="宋体" w:cs="宋体"/>
                <w:b/>
                <w:bCs/>
                <w:kern w:val="0"/>
                <w:sz w:val="24"/>
                <w:highlight w:val="none"/>
                <w:lang w:bidi="ar"/>
              </w:rPr>
              <w:t>备注</w:t>
            </w:r>
          </w:p>
        </w:tc>
      </w:tr>
      <w:tr w14:paraId="402A9645">
        <w:tblPrEx>
          <w:tblCellMar>
            <w:top w:w="0" w:type="dxa"/>
            <w:left w:w="0" w:type="dxa"/>
            <w:bottom w:w="0" w:type="dxa"/>
            <w:right w:w="0" w:type="dxa"/>
          </w:tblCellMar>
        </w:tblPrEx>
        <w:trPr>
          <w:jc w:val="center"/>
        </w:trPr>
        <w:tc>
          <w:tcPr>
            <w:tcW w:w="81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CE8FB63">
            <w:pPr>
              <w:jc w:val="center"/>
              <w:rPr>
                <w:rFonts w:ascii="宋体" w:hAnsi="宋体" w:cs="宋体"/>
                <w:kern w:val="0"/>
                <w:sz w:val="24"/>
                <w:highlight w:val="none"/>
              </w:rPr>
            </w:pPr>
            <w:r>
              <w:rPr>
                <w:rFonts w:hint="eastAsia" w:ascii="宋体" w:hAnsi="宋体" w:cs="宋体"/>
                <w:kern w:val="0"/>
                <w:sz w:val="24"/>
                <w:highlight w:val="none"/>
                <w:lang w:bidi="ar"/>
              </w:rPr>
              <w:t>1</w:t>
            </w:r>
          </w:p>
        </w:tc>
        <w:tc>
          <w:tcPr>
            <w:tcW w:w="3075"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BDBA1C3">
            <w:pPr>
              <w:jc w:val="center"/>
              <w:rPr>
                <w:rFonts w:ascii="宋体" w:hAnsi="宋体" w:cs="宋体"/>
                <w:kern w:val="0"/>
                <w:sz w:val="24"/>
                <w:highlight w:val="none"/>
              </w:rPr>
            </w:pPr>
          </w:p>
        </w:tc>
        <w:tc>
          <w:tcPr>
            <w:tcW w:w="1545"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D67FBE7">
            <w:pPr>
              <w:jc w:val="center"/>
              <w:rPr>
                <w:rFonts w:ascii="宋体" w:hAnsi="宋体" w:cs="宋体"/>
                <w:kern w:val="0"/>
                <w:sz w:val="24"/>
                <w:highlight w:val="none"/>
              </w:rPr>
            </w:pPr>
          </w:p>
        </w:tc>
        <w:tc>
          <w:tcPr>
            <w:tcW w:w="3000"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7CE8B02">
            <w:pPr>
              <w:jc w:val="center"/>
              <w:rPr>
                <w:rFonts w:ascii="宋体" w:hAnsi="宋体" w:cs="宋体"/>
                <w:kern w:val="0"/>
                <w:sz w:val="24"/>
                <w:highlight w:val="none"/>
              </w:rPr>
            </w:pPr>
          </w:p>
        </w:tc>
        <w:tc>
          <w:tcPr>
            <w:tcW w:w="1043"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DC29770">
            <w:pPr>
              <w:jc w:val="center"/>
              <w:rPr>
                <w:rFonts w:ascii="宋体" w:hAnsi="宋体" w:cs="宋体"/>
                <w:kern w:val="0"/>
                <w:sz w:val="24"/>
                <w:highlight w:val="none"/>
              </w:rPr>
            </w:pPr>
          </w:p>
        </w:tc>
      </w:tr>
      <w:tr w14:paraId="6FC01C59">
        <w:tblPrEx>
          <w:tblCellMar>
            <w:top w:w="0" w:type="dxa"/>
            <w:left w:w="0" w:type="dxa"/>
            <w:bottom w:w="0" w:type="dxa"/>
            <w:right w:w="0" w:type="dxa"/>
          </w:tblCellMar>
        </w:tblPrEx>
        <w:trPr>
          <w:jc w:val="center"/>
        </w:trPr>
        <w:tc>
          <w:tcPr>
            <w:tcW w:w="81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FD71CB6">
            <w:pPr>
              <w:jc w:val="center"/>
              <w:rPr>
                <w:rFonts w:ascii="宋体" w:hAnsi="宋体" w:cs="宋体"/>
                <w:kern w:val="0"/>
                <w:sz w:val="24"/>
                <w:highlight w:val="none"/>
              </w:rPr>
            </w:pPr>
            <w:r>
              <w:rPr>
                <w:rFonts w:hint="eastAsia" w:ascii="宋体" w:hAnsi="宋体" w:cs="宋体"/>
                <w:kern w:val="0"/>
                <w:sz w:val="24"/>
                <w:highlight w:val="none"/>
                <w:lang w:bidi="ar"/>
              </w:rPr>
              <w:t>2</w:t>
            </w:r>
          </w:p>
        </w:tc>
        <w:tc>
          <w:tcPr>
            <w:tcW w:w="3075"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18F89A4">
            <w:pPr>
              <w:jc w:val="center"/>
              <w:rPr>
                <w:rFonts w:ascii="宋体" w:hAnsi="宋体" w:cs="宋体"/>
                <w:kern w:val="0"/>
                <w:sz w:val="24"/>
                <w:highlight w:val="none"/>
              </w:rPr>
            </w:pPr>
          </w:p>
        </w:tc>
        <w:tc>
          <w:tcPr>
            <w:tcW w:w="1545"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82C99A2">
            <w:pPr>
              <w:jc w:val="center"/>
              <w:rPr>
                <w:rFonts w:ascii="宋体" w:hAnsi="宋体" w:cs="宋体"/>
                <w:kern w:val="0"/>
                <w:sz w:val="24"/>
                <w:highlight w:val="none"/>
              </w:rPr>
            </w:pPr>
          </w:p>
        </w:tc>
        <w:tc>
          <w:tcPr>
            <w:tcW w:w="3000"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205F3B6">
            <w:pPr>
              <w:jc w:val="center"/>
              <w:rPr>
                <w:rFonts w:ascii="宋体" w:hAnsi="宋体" w:cs="宋体"/>
                <w:kern w:val="0"/>
                <w:sz w:val="24"/>
                <w:highlight w:val="none"/>
              </w:rPr>
            </w:pPr>
          </w:p>
        </w:tc>
        <w:tc>
          <w:tcPr>
            <w:tcW w:w="1043"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07FB433">
            <w:pPr>
              <w:jc w:val="center"/>
              <w:rPr>
                <w:rFonts w:ascii="宋体" w:hAnsi="宋体" w:cs="宋体"/>
                <w:kern w:val="0"/>
                <w:sz w:val="24"/>
                <w:highlight w:val="none"/>
              </w:rPr>
            </w:pPr>
          </w:p>
        </w:tc>
      </w:tr>
      <w:tr w14:paraId="529D5ED2">
        <w:tblPrEx>
          <w:tblCellMar>
            <w:top w:w="0" w:type="dxa"/>
            <w:left w:w="0" w:type="dxa"/>
            <w:bottom w:w="0" w:type="dxa"/>
            <w:right w:w="0" w:type="dxa"/>
          </w:tblCellMar>
        </w:tblPrEx>
        <w:trPr>
          <w:jc w:val="center"/>
        </w:trPr>
        <w:tc>
          <w:tcPr>
            <w:tcW w:w="81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FE2ACF5">
            <w:pPr>
              <w:jc w:val="center"/>
              <w:rPr>
                <w:rFonts w:ascii="宋体" w:hAnsi="宋体" w:cs="宋体"/>
                <w:kern w:val="0"/>
                <w:sz w:val="24"/>
                <w:highlight w:val="none"/>
              </w:rPr>
            </w:pPr>
            <w:r>
              <w:rPr>
                <w:rFonts w:hint="eastAsia" w:ascii="宋体" w:hAnsi="宋体" w:cs="宋体"/>
                <w:kern w:val="0"/>
                <w:sz w:val="24"/>
                <w:highlight w:val="none"/>
                <w:lang w:bidi="ar"/>
              </w:rPr>
              <w:t>…</w:t>
            </w:r>
          </w:p>
        </w:tc>
        <w:tc>
          <w:tcPr>
            <w:tcW w:w="3075"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E57B10C">
            <w:pPr>
              <w:jc w:val="center"/>
              <w:rPr>
                <w:rFonts w:ascii="宋体" w:hAnsi="宋体" w:cs="宋体"/>
                <w:kern w:val="0"/>
                <w:sz w:val="24"/>
                <w:highlight w:val="none"/>
              </w:rPr>
            </w:pPr>
          </w:p>
        </w:tc>
        <w:tc>
          <w:tcPr>
            <w:tcW w:w="1545"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87D64FC">
            <w:pPr>
              <w:jc w:val="center"/>
              <w:rPr>
                <w:rFonts w:ascii="宋体" w:hAnsi="宋体" w:cs="宋体"/>
                <w:kern w:val="0"/>
                <w:sz w:val="24"/>
                <w:highlight w:val="none"/>
              </w:rPr>
            </w:pPr>
          </w:p>
        </w:tc>
        <w:tc>
          <w:tcPr>
            <w:tcW w:w="3000"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3913EE6">
            <w:pPr>
              <w:jc w:val="center"/>
              <w:rPr>
                <w:rFonts w:ascii="宋体" w:hAnsi="宋体" w:cs="宋体"/>
                <w:kern w:val="0"/>
                <w:sz w:val="24"/>
                <w:highlight w:val="none"/>
              </w:rPr>
            </w:pPr>
          </w:p>
        </w:tc>
        <w:tc>
          <w:tcPr>
            <w:tcW w:w="1043"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F34FE03">
            <w:pPr>
              <w:jc w:val="center"/>
              <w:rPr>
                <w:rFonts w:ascii="宋体" w:hAnsi="宋体" w:cs="宋体"/>
                <w:kern w:val="0"/>
                <w:sz w:val="24"/>
                <w:highlight w:val="none"/>
              </w:rPr>
            </w:pPr>
          </w:p>
        </w:tc>
      </w:tr>
      <w:tr w14:paraId="789E2755">
        <w:tblPrEx>
          <w:tblCellMar>
            <w:top w:w="0" w:type="dxa"/>
            <w:left w:w="0" w:type="dxa"/>
            <w:bottom w:w="0" w:type="dxa"/>
            <w:right w:w="0" w:type="dxa"/>
          </w:tblCellMar>
        </w:tblPrEx>
        <w:trPr>
          <w:jc w:val="center"/>
        </w:trPr>
        <w:tc>
          <w:tcPr>
            <w:tcW w:w="9476" w:type="dxa"/>
            <w:gridSpan w:val="5"/>
            <w:tcBorders>
              <w:top w:val="single" w:color="auto" w:sz="4" w:space="0"/>
              <w:left w:val="single" w:color="auto" w:sz="4" w:space="0"/>
              <w:bottom w:val="single" w:color="auto" w:sz="4" w:space="0"/>
              <w:right w:val="single" w:color="auto" w:sz="4" w:space="0"/>
            </w:tcBorders>
            <w:shd w:val="clear" w:color="auto" w:fill="FFFFFF"/>
            <w:noWrap/>
            <w:tcMar>
              <w:top w:w="120" w:type="dxa"/>
              <w:left w:w="120" w:type="dxa"/>
              <w:bottom w:w="120" w:type="dxa"/>
              <w:right w:w="120" w:type="dxa"/>
            </w:tcMar>
            <w:vAlign w:val="center"/>
          </w:tcPr>
          <w:p w14:paraId="451BF46D">
            <w:pPr>
              <w:rPr>
                <w:rFonts w:ascii="宋体" w:hAnsi="宋体" w:cs="宋体"/>
                <w:kern w:val="0"/>
                <w:sz w:val="24"/>
                <w:highlight w:val="none"/>
              </w:rPr>
            </w:pPr>
            <w:r>
              <w:rPr>
                <w:rFonts w:hint="eastAsia" w:ascii="宋体" w:hAnsi="宋体" w:cs="宋体"/>
                <w:kern w:val="0"/>
                <w:sz w:val="24"/>
                <w:highlight w:val="none"/>
                <w:lang w:bidi="ar"/>
              </w:rPr>
              <w:t>说明：</w:t>
            </w:r>
          </w:p>
          <w:p w14:paraId="7103F1CF">
            <w:pPr>
              <w:rPr>
                <w:rFonts w:ascii="宋体" w:hAnsi="宋体" w:cs="宋体"/>
                <w:kern w:val="0"/>
                <w:sz w:val="24"/>
                <w:highlight w:val="none"/>
              </w:rPr>
            </w:pPr>
            <w:r>
              <w:rPr>
                <w:rFonts w:hint="eastAsia" w:ascii="宋体" w:hAnsi="宋体" w:cs="宋体"/>
                <w:kern w:val="0"/>
                <w:sz w:val="24"/>
                <w:highlight w:val="none"/>
                <w:lang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F63CBD9">
            <w:pPr>
              <w:rPr>
                <w:rFonts w:ascii="宋体" w:hAnsi="宋体" w:cs="宋体"/>
                <w:kern w:val="0"/>
                <w:sz w:val="24"/>
                <w:highlight w:val="none"/>
              </w:rPr>
            </w:pPr>
            <w:r>
              <w:rPr>
                <w:rFonts w:hint="eastAsia" w:ascii="宋体" w:hAnsi="宋体" w:cs="宋体"/>
                <w:kern w:val="0"/>
                <w:sz w:val="24"/>
                <w:highlight w:val="none"/>
                <w:lang w:bidi="ar"/>
              </w:rPr>
              <w:t>2.本表所指的控股关系仅限于直接控股关系，不包括间接的控股关系。公司实际控制人与公司之间的关系不属于本表所指的直接控股关系。</w:t>
            </w:r>
          </w:p>
          <w:p w14:paraId="242187BE">
            <w:pPr>
              <w:rPr>
                <w:rFonts w:ascii="宋体" w:hAnsi="宋体" w:cs="宋体"/>
                <w:b/>
                <w:bCs/>
                <w:kern w:val="0"/>
                <w:sz w:val="24"/>
                <w:highlight w:val="none"/>
              </w:rPr>
            </w:pPr>
            <w:r>
              <w:rPr>
                <w:rFonts w:hint="eastAsia" w:ascii="宋体" w:hAnsi="宋体" w:cs="宋体"/>
                <w:kern w:val="0"/>
                <w:sz w:val="24"/>
                <w:highlight w:val="none"/>
                <w:lang w:bidi="ar"/>
              </w:rPr>
              <w:t>3.供应商不存在直接控股股东的，则填“无”。</w:t>
            </w:r>
          </w:p>
        </w:tc>
      </w:tr>
      <w:tr w14:paraId="7F6509D7">
        <w:tblPrEx>
          <w:tblCellMar>
            <w:top w:w="0" w:type="dxa"/>
            <w:left w:w="0" w:type="dxa"/>
            <w:bottom w:w="0" w:type="dxa"/>
            <w:right w:w="0" w:type="dxa"/>
          </w:tblCellMar>
        </w:tblPrEx>
        <w:trPr>
          <w:jc w:val="center"/>
        </w:trPr>
        <w:tc>
          <w:tcPr>
            <w:tcW w:w="9476" w:type="dxa"/>
            <w:gridSpan w:val="5"/>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3F2E019">
            <w:pPr>
              <w:jc w:val="center"/>
              <w:rPr>
                <w:rFonts w:ascii="宋体" w:hAnsi="宋体" w:cs="宋体"/>
                <w:b/>
                <w:bCs/>
                <w:kern w:val="0"/>
                <w:sz w:val="24"/>
                <w:highlight w:val="none"/>
              </w:rPr>
            </w:pPr>
            <w:r>
              <w:rPr>
                <w:rFonts w:hint="eastAsia" w:ascii="宋体" w:hAnsi="宋体" w:cs="宋体"/>
                <w:b/>
                <w:bCs/>
                <w:kern w:val="0"/>
                <w:sz w:val="28"/>
                <w:szCs w:val="28"/>
                <w:highlight w:val="none"/>
                <w:lang w:bidi="ar"/>
              </w:rPr>
              <w:t>供应商直接管理关系信息表</w:t>
            </w:r>
          </w:p>
        </w:tc>
      </w:tr>
      <w:tr w14:paraId="0429EE6C">
        <w:tblPrEx>
          <w:tblCellMar>
            <w:top w:w="0" w:type="dxa"/>
            <w:left w:w="0" w:type="dxa"/>
            <w:bottom w:w="0" w:type="dxa"/>
            <w:right w:w="0" w:type="dxa"/>
          </w:tblCellMar>
        </w:tblPrEx>
        <w:trPr>
          <w:jc w:val="center"/>
        </w:trPr>
        <w:tc>
          <w:tcPr>
            <w:tcW w:w="813"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E49E303">
            <w:pPr>
              <w:jc w:val="center"/>
              <w:rPr>
                <w:rFonts w:ascii="宋体" w:hAnsi="宋体" w:cs="宋体"/>
                <w:b/>
                <w:bCs/>
                <w:kern w:val="0"/>
                <w:sz w:val="24"/>
                <w:highlight w:val="none"/>
              </w:rPr>
            </w:pPr>
            <w:r>
              <w:rPr>
                <w:rFonts w:hint="eastAsia" w:ascii="宋体" w:hAnsi="宋体" w:cs="宋体"/>
                <w:b/>
                <w:bCs/>
                <w:kern w:val="0"/>
                <w:sz w:val="24"/>
                <w:highlight w:val="none"/>
                <w:lang w:bidi="ar"/>
              </w:rPr>
              <w:t>序号</w:t>
            </w:r>
          </w:p>
        </w:tc>
        <w:tc>
          <w:tcPr>
            <w:tcW w:w="4620" w:type="dxa"/>
            <w:gridSpan w:val="2"/>
            <w:tcBorders>
              <w:top w:val="single" w:color="auto" w:sz="4" w:space="0"/>
              <w:left w:val="nil"/>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AC216C0">
            <w:pPr>
              <w:jc w:val="center"/>
              <w:rPr>
                <w:rFonts w:ascii="宋体" w:hAnsi="宋体" w:cs="宋体"/>
                <w:b/>
                <w:bCs/>
                <w:kern w:val="0"/>
                <w:sz w:val="24"/>
                <w:highlight w:val="none"/>
              </w:rPr>
            </w:pPr>
            <w:r>
              <w:rPr>
                <w:rFonts w:hint="eastAsia" w:ascii="宋体" w:hAnsi="宋体" w:cs="宋体"/>
                <w:b/>
                <w:bCs/>
                <w:kern w:val="0"/>
                <w:sz w:val="24"/>
                <w:highlight w:val="none"/>
                <w:lang w:bidi="ar"/>
              </w:rPr>
              <w:t>直接管理关系单位名称</w:t>
            </w:r>
          </w:p>
        </w:tc>
        <w:tc>
          <w:tcPr>
            <w:tcW w:w="3000" w:type="dxa"/>
            <w:tcBorders>
              <w:top w:val="single" w:color="auto" w:sz="4" w:space="0"/>
              <w:left w:val="nil"/>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667FCAC">
            <w:pPr>
              <w:jc w:val="center"/>
              <w:rPr>
                <w:rFonts w:ascii="宋体" w:hAnsi="宋体" w:cs="宋体"/>
                <w:b/>
                <w:bCs/>
                <w:kern w:val="0"/>
                <w:sz w:val="24"/>
                <w:highlight w:val="none"/>
              </w:rPr>
            </w:pPr>
            <w:r>
              <w:rPr>
                <w:rFonts w:hint="eastAsia" w:ascii="宋体" w:hAnsi="宋体" w:cs="宋体"/>
                <w:b/>
                <w:bCs/>
                <w:kern w:val="0"/>
                <w:sz w:val="24"/>
                <w:highlight w:val="none"/>
                <w:lang w:bidi="ar"/>
              </w:rPr>
              <w:t>统一社会信用代码</w:t>
            </w:r>
          </w:p>
        </w:tc>
        <w:tc>
          <w:tcPr>
            <w:tcW w:w="1043" w:type="dxa"/>
            <w:tcBorders>
              <w:top w:val="single" w:color="auto" w:sz="4" w:space="0"/>
              <w:left w:val="nil"/>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75E7FE2">
            <w:pPr>
              <w:jc w:val="center"/>
              <w:rPr>
                <w:rFonts w:ascii="宋体" w:hAnsi="宋体" w:cs="宋体"/>
                <w:b/>
                <w:bCs/>
                <w:kern w:val="0"/>
                <w:sz w:val="24"/>
                <w:highlight w:val="none"/>
              </w:rPr>
            </w:pPr>
            <w:r>
              <w:rPr>
                <w:rFonts w:hint="eastAsia" w:ascii="宋体" w:hAnsi="宋体" w:cs="宋体"/>
                <w:b/>
                <w:bCs/>
                <w:kern w:val="0"/>
                <w:sz w:val="24"/>
                <w:highlight w:val="none"/>
                <w:lang w:bidi="ar"/>
              </w:rPr>
              <w:t>备注</w:t>
            </w:r>
          </w:p>
        </w:tc>
      </w:tr>
      <w:tr w14:paraId="29944F05">
        <w:tblPrEx>
          <w:tblCellMar>
            <w:top w:w="0" w:type="dxa"/>
            <w:left w:w="0" w:type="dxa"/>
            <w:bottom w:w="0" w:type="dxa"/>
            <w:right w:w="0" w:type="dxa"/>
          </w:tblCellMar>
        </w:tblPrEx>
        <w:trPr>
          <w:jc w:val="center"/>
        </w:trPr>
        <w:tc>
          <w:tcPr>
            <w:tcW w:w="81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C7B731A">
            <w:pPr>
              <w:jc w:val="center"/>
              <w:rPr>
                <w:rFonts w:ascii="宋体" w:hAnsi="宋体" w:cs="宋体"/>
                <w:kern w:val="0"/>
                <w:sz w:val="24"/>
                <w:highlight w:val="none"/>
              </w:rPr>
            </w:pPr>
            <w:r>
              <w:rPr>
                <w:rFonts w:hint="eastAsia" w:ascii="宋体" w:hAnsi="宋体" w:cs="宋体"/>
                <w:kern w:val="0"/>
                <w:sz w:val="24"/>
                <w:highlight w:val="none"/>
                <w:lang w:bidi="ar"/>
              </w:rPr>
              <w:t>1</w:t>
            </w:r>
          </w:p>
        </w:tc>
        <w:tc>
          <w:tcPr>
            <w:tcW w:w="4620" w:type="dxa"/>
            <w:gridSpan w:val="2"/>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6373FB7">
            <w:pPr>
              <w:jc w:val="center"/>
              <w:rPr>
                <w:rFonts w:ascii="宋体" w:hAnsi="宋体" w:cs="宋体"/>
                <w:kern w:val="0"/>
                <w:sz w:val="24"/>
                <w:highlight w:val="none"/>
              </w:rPr>
            </w:pPr>
          </w:p>
        </w:tc>
        <w:tc>
          <w:tcPr>
            <w:tcW w:w="3000"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3E0819E">
            <w:pPr>
              <w:jc w:val="center"/>
              <w:rPr>
                <w:rFonts w:ascii="宋体" w:hAnsi="宋体" w:cs="宋体"/>
                <w:kern w:val="0"/>
                <w:sz w:val="24"/>
                <w:highlight w:val="none"/>
              </w:rPr>
            </w:pPr>
          </w:p>
        </w:tc>
        <w:tc>
          <w:tcPr>
            <w:tcW w:w="1043"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B58F2C0">
            <w:pPr>
              <w:jc w:val="center"/>
              <w:rPr>
                <w:rFonts w:ascii="宋体" w:hAnsi="宋体" w:cs="宋体"/>
                <w:kern w:val="0"/>
                <w:sz w:val="24"/>
                <w:highlight w:val="none"/>
              </w:rPr>
            </w:pPr>
          </w:p>
        </w:tc>
      </w:tr>
      <w:tr w14:paraId="0D9BB235">
        <w:tblPrEx>
          <w:tblCellMar>
            <w:top w:w="0" w:type="dxa"/>
            <w:left w:w="0" w:type="dxa"/>
            <w:bottom w:w="0" w:type="dxa"/>
            <w:right w:w="0" w:type="dxa"/>
          </w:tblCellMar>
        </w:tblPrEx>
        <w:trPr>
          <w:jc w:val="center"/>
        </w:trPr>
        <w:tc>
          <w:tcPr>
            <w:tcW w:w="81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3FD7AE6">
            <w:pPr>
              <w:jc w:val="center"/>
              <w:rPr>
                <w:rFonts w:ascii="宋体" w:hAnsi="宋体" w:cs="宋体"/>
                <w:kern w:val="0"/>
                <w:sz w:val="24"/>
                <w:highlight w:val="none"/>
              </w:rPr>
            </w:pPr>
            <w:r>
              <w:rPr>
                <w:rFonts w:hint="eastAsia" w:ascii="宋体" w:hAnsi="宋体" w:cs="宋体"/>
                <w:kern w:val="0"/>
                <w:sz w:val="24"/>
                <w:highlight w:val="none"/>
                <w:lang w:bidi="ar"/>
              </w:rPr>
              <w:t>2</w:t>
            </w:r>
          </w:p>
        </w:tc>
        <w:tc>
          <w:tcPr>
            <w:tcW w:w="4620" w:type="dxa"/>
            <w:gridSpan w:val="2"/>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9E0366A">
            <w:pPr>
              <w:jc w:val="center"/>
              <w:rPr>
                <w:rFonts w:ascii="宋体" w:hAnsi="宋体" w:cs="宋体"/>
                <w:kern w:val="0"/>
                <w:sz w:val="24"/>
                <w:highlight w:val="none"/>
              </w:rPr>
            </w:pPr>
          </w:p>
        </w:tc>
        <w:tc>
          <w:tcPr>
            <w:tcW w:w="3000"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AC748BF">
            <w:pPr>
              <w:jc w:val="center"/>
              <w:rPr>
                <w:rFonts w:ascii="宋体" w:hAnsi="宋体" w:cs="宋体"/>
                <w:kern w:val="0"/>
                <w:sz w:val="24"/>
                <w:highlight w:val="none"/>
              </w:rPr>
            </w:pPr>
          </w:p>
        </w:tc>
        <w:tc>
          <w:tcPr>
            <w:tcW w:w="1043"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EA2A1ED">
            <w:pPr>
              <w:jc w:val="center"/>
              <w:rPr>
                <w:rFonts w:ascii="宋体" w:hAnsi="宋体" w:cs="宋体"/>
                <w:kern w:val="0"/>
                <w:sz w:val="24"/>
                <w:highlight w:val="none"/>
              </w:rPr>
            </w:pPr>
          </w:p>
        </w:tc>
      </w:tr>
      <w:tr w14:paraId="31AC3B96">
        <w:tblPrEx>
          <w:tblCellMar>
            <w:top w:w="0" w:type="dxa"/>
            <w:left w:w="0" w:type="dxa"/>
            <w:bottom w:w="0" w:type="dxa"/>
            <w:right w:w="0" w:type="dxa"/>
          </w:tblCellMar>
        </w:tblPrEx>
        <w:trPr>
          <w:jc w:val="center"/>
        </w:trPr>
        <w:tc>
          <w:tcPr>
            <w:tcW w:w="81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2903E64">
            <w:pPr>
              <w:jc w:val="center"/>
              <w:rPr>
                <w:rFonts w:ascii="宋体" w:hAnsi="宋体" w:cs="宋体"/>
                <w:kern w:val="0"/>
                <w:sz w:val="24"/>
                <w:highlight w:val="none"/>
              </w:rPr>
            </w:pPr>
            <w:r>
              <w:rPr>
                <w:rFonts w:hint="eastAsia" w:ascii="宋体" w:hAnsi="宋体" w:cs="宋体"/>
                <w:kern w:val="0"/>
                <w:sz w:val="24"/>
                <w:highlight w:val="none"/>
                <w:lang w:bidi="ar"/>
              </w:rPr>
              <w:t>…</w:t>
            </w:r>
          </w:p>
        </w:tc>
        <w:tc>
          <w:tcPr>
            <w:tcW w:w="4620" w:type="dxa"/>
            <w:gridSpan w:val="2"/>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4C49666">
            <w:pPr>
              <w:jc w:val="center"/>
              <w:rPr>
                <w:rFonts w:ascii="宋体" w:hAnsi="宋体" w:cs="宋体"/>
                <w:kern w:val="0"/>
                <w:sz w:val="24"/>
                <w:highlight w:val="none"/>
              </w:rPr>
            </w:pPr>
          </w:p>
        </w:tc>
        <w:tc>
          <w:tcPr>
            <w:tcW w:w="3000"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F7CE1F3">
            <w:pPr>
              <w:jc w:val="center"/>
              <w:rPr>
                <w:rFonts w:ascii="宋体" w:hAnsi="宋体" w:cs="宋体"/>
                <w:kern w:val="0"/>
                <w:sz w:val="24"/>
                <w:highlight w:val="none"/>
              </w:rPr>
            </w:pPr>
          </w:p>
        </w:tc>
        <w:tc>
          <w:tcPr>
            <w:tcW w:w="1043"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1EAF97C">
            <w:pPr>
              <w:jc w:val="center"/>
              <w:rPr>
                <w:rFonts w:ascii="宋体" w:hAnsi="宋体" w:cs="宋体"/>
                <w:kern w:val="0"/>
                <w:sz w:val="24"/>
                <w:highlight w:val="none"/>
              </w:rPr>
            </w:pPr>
          </w:p>
        </w:tc>
      </w:tr>
      <w:tr w14:paraId="5F5977FE">
        <w:tblPrEx>
          <w:tblCellMar>
            <w:top w:w="0" w:type="dxa"/>
            <w:left w:w="0" w:type="dxa"/>
            <w:bottom w:w="0" w:type="dxa"/>
            <w:right w:w="0" w:type="dxa"/>
          </w:tblCellMar>
        </w:tblPrEx>
        <w:trPr>
          <w:jc w:val="center"/>
        </w:trPr>
        <w:tc>
          <w:tcPr>
            <w:tcW w:w="9476" w:type="dxa"/>
            <w:gridSpan w:val="5"/>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C202836">
            <w:pPr>
              <w:rPr>
                <w:rFonts w:ascii="宋体" w:hAnsi="宋体" w:cs="宋体"/>
                <w:kern w:val="0"/>
                <w:sz w:val="24"/>
                <w:highlight w:val="none"/>
              </w:rPr>
            </w:pPr>
            <w:r>
              <w:rPr>
                <w:rFonts w:hint="eastAsia" w:ascii="宋体" w:hAnsi="宋体" w:cs="宋体"/>
                <w:kern w:val="0"/>
                <w:sz w:val="24"/>
                <w:highlight w:val="none"/>
                <w:lang w:bidi="ar"/>
              </w:rPr>
              <w:t>说明：</w:t>
            </w:r>
          </w:p>
          <w:p w14:paraId="207B2427">
            <w:pPr>
              <w:rPr>
                <w:rFonts w:ascii="宋体" w:hAnsi="宋体" w:cs="宋体"/>
                <w:kern w:val="0"/>
                <w:sz w:val="24"/>
                <w:highlight w:val="none"/>
              </w:rPr>
            </w:pPr>
            <w:r>
              <w:rPr>
                <w:rFonts w:hint="eastAsia" w:ascii="宋体" w:hAnsi="宋体" w:cs="宋体"/>
                <w:kern w:val="0"/>
                <w:sz w:val="24"/>
                <w:highlight w:val="none"/>
                <w:lang w:bidi="ar"/>
              </w:rPr>
              <w:t>1.管理关系：是指不具有出资持股关系的其他单位之间存在的管理与被管理关系，如一些上下级关系的事业单位和团体组织。</w:t>
            </w:r>
          </w:p>
          <w:p w14:paraId="3D66B02D">
            <w:pPr>
              <w:rPr>
                <w:rFonts w:ascii="宋体" w:hAnsi="宋体" w:cs="宋体"/>
                <w:kern w:val="0"/>
                <w:sz w:val="24"/>
                <w:highlight w:val="none"/>
              </w:rPr>
            </w:pPr>
            <w:r>
              <w:rPr>
                <w:rFonts w:hint="eastAsia" w:ascii="宋体" w:hAnsi="宋体" w:cs="宋体"/>
                <w:kern w:val="0"/>
                <w:sz w:val="24"/>
                <w:highlight w:val="none"/>
                <w:lang w:bidi="ar"/>
              </w:rPr>
              <w:t>2.本表所指的管理关系仅限于直接管理关系，不包括间接的管理关系。</w:t>
            </w:r>
          </w:p>
          <w:p w14:paraId="53EEA82B">
            <w:pPr>
              <w:rPr>
                <w:rFonts w:ascii="宋体" w:hAnsi="宋体" w:cs="宋体"/>
                <w:kern w:val="0"/>
                <w:sz w:val="24"/>
                <w:highlight w:val="none"/>
              </w:rPr>
            </w:pPr>
            <w:r>
              <w:rPr>
                <w:rFonts w:hint="eastAsia" w:ascii="宋体" w:hAnsi="宋体" w:cs="宋体"/>
                <w:kern w:val="0"/>
                <w:sz w:val="24"/>
                <w:highlight w:val="none"/>
                <w:lang w:bidi="ar"/>
              </w:rPr>
              <w:t>3.供应商不存在直接管理关系的，则填“无”</w:t>
            </w:r>
          </w:p>
        </w:tc>
      </w:tr>
    </w:tbl>
    <w:p w14:paraId="28CE6F7E">
      <w:pPr>
        <w:autoSpaceDE w:val="0"/>
        <w:snapToGrid w:val="0"/>
        <w:spacing w:line="360" w:lineRule="auto"/>
        <w:ind w:firstLine="4800" w:firstLineChars="2000"/>
        <w:rPr>
          <w:rFonts w:ascii="宋体" w:hAnsi="宋体" w:cs="宋体"/>
          <w:kern w:val="0"/>
          <w:sz w:val="24"/>
          <w:highlight w:val="none"/>
        </w:rPr>
      </w:pPr>
      <w:r>
        <w:rPr>
          <w:rFonts w:hint="eastAsia" w:ascii="宋体" w:hAnsi="宋体" w:cs="宋体"/>
          <w:kern w:val="0"/>
          <w:sz w:val="24"/>
          <w:highlight w:val="none"/>
          <w:lang w:bidi="ar"/>
        </w:rPr>
        <w:t xml:space="preserve"> </w:t>
      </w:r>
    </w:p>
    <w:p w14:paraId="32080F2F">
      <w:pPr>
        <w:autoSpaceDE w:val="0"/>
        <w:snapToGrid w:val="0"/>
        <w:spacing w:line="360" w:lineRule="auto"/>
        <w:ind w:firstLine="4800" w:firstLineChars="2000"/>
        <w:rPr>
          <w:rFonts w:ascii="宋体" w:hAnsi="宋体" w:cs="宋体"/>
          <w:kern w:val="0"/>
          <w:sz w:val="24"/>
          <w:highlight w:val="none"/>
        </w:rPr>
      </w:pPr>
      <w:r>
        <w:rPr>
          <w:rFonts w:hint="eastAsia" w:ascii="宋体" w:hAnsi="宋体" w:cs="宋体"/>
          <w:kern w:val="0"/>
          <w:sz w:val="24"/>
          <w:highlight w:val="none"/>
          <w:lang w:bidi="ar"/>
        </w:rPr>
        <w:t>供应商(电子签章)：</w:t>
      </w:r>
    </w:p>
    <w:p w14:paraId="40320E65">
      <w:pPr>
        <w:autoSpaceDE w:val="0"/>
        <w:snapToGrid w:val="0"/>
        <w:spacing w:line="360" w:lineRule="auto"/>
        <w:ind w:firstLine="4800" w:firstLineChars="2000"/>
        <w:rPr>
          <w:rFonts w:ascii="宋体" w:hAnsi="宋体" w:cs="宋体"/>
          <w:b/>
          <w:kern w:val="0"/>
          <w:sz w:val="24"/>
          <w:highlight w:val="none"/>
        </w:rPr>
      </w:pPr>
      <w:r>
        <w:rPr>
          <w:rFonts w:hint="eastAsia" w:ascii="宋体" w:hAnsi="宋体" w:cs="宋体"/>
          <w:kern w:val="0"/>
          <w:sz w:val="24"/>
          <w:highlight w:val="none"/>
          <w:lang w:bidi="ar"/>
        </w:rPr>
        <w:t>日期：     年   月   日</w:t>
      </w:r>
    </w:p>
    <w:p w14:paraId="28C864A2">
      <w:pPr>
        <w:spacing w:after="156" w:afterLines="50"/>
        <w:jc w:val="center"/>
        <w:rPr>
          <w:rFonts w:ascii="宋体" w:hAnsi="宋体" w:cs="宋体"/>
          <w:b/>
          <w:sz w:val="32"/>
          <w:szCs w:val="32"/>
          <w:highlight w:val="none"/>
        </w:rPr>
      </w:pPr>
      <w:r>
        <w:rPr>
          <w:rFonts w:hint="eastAsia" w:ascii="宋体" w:hAnsi="宋体" w:cs="宋体"/>
          <w:szCs w:val="21"/>
          <w:highlight w:val="none"/>
          <w:lang w:bidi="ar"/>
        </w:rPr>
        <w:br w:type="page"/>
      </w:r>
      <w:r>
        <w:rPr>
          <w:rFonts w:hint="eastAsia" w:ascii="宋体" w:hAnsi="宋体" w:cs="宋体"/>
          <w:b/>
          <w:sz w:val="32"/>
          <w:szCs w:val="32"/>
          <w:highlight w:val="none"/>
          <w:lang w:bidi="ar"/>
        </w:rPr>
        <w:t>中小企业声明函（服务）</w:t>
      </w:r>
    </w:p>
    <w:p w14:paraId="4887830B">
      <w:pPr>
        <w:spacing w:line="360" w:lineRule="auto"/>
        <w:ind w:firstLine="480"/>
        <w:jc w:val="left"/>
        <w:rPr>
          <w:rFonts w:ascii="宋体" w:hAnsi="宋体" w:cs="宋体"/>
          <w:sz w:val="24"/>
          <w:highlight w:val="none"/>
          <w:shd w:val="clear" w:color="auto" w:fill="FFFFFF"/>
        </w:rPr>
      </w:pPr>
      <w:r>
        <w:rPr>
          <w:rFonts w:hint="eastAsia" w:ascii="宋体" w:hAnsi="宋体" w:cs="宋体"/>
          <w:sz w:val="24"/>
          <w:highlight w:val="none"/>
          <w:shd w:val="clear" w:color="auto" w:fill="FFFFFF"/>
          <w:lang w:bidi="ar"/>
        </w:rPr>
        <w:t>本公司（联合体）郑重声明，根据《政府采购促进中小企业发展管理办法》（财库﹝2020﹞46 号）的规定，本公司（联合体）参加</w:t>
      </w:r>
      <w:r>
        <w:rPr>
          <w:rFonts w:hint="eastAsia" w:ascii="宋体" w:hAnsi="宋体" w:cs="宋体"/>
          <w:sz w:val="24"/>
          <w:highlight w:val="none"/>
          <w:u w:val="single"/>
          <w:shd w:val="clear" w:color="auto" w:fill="FFFFFF"/>
          <w:lang w:bidi="ar"/>
        </w:rPr>
        <w:t>（单位名称）</w:t>
      </w:r>
      <w:r>
        <w:rPr>
          <w:rFonts w:hint="eastAsia" w:ascii="宋体" w:hAnsi="宋体" w:cs="宋体"/>
          <w:sz w:val="24"/>
          <w:highlight w:val="none"/>
          <w:shd w:val="clear" w:color="auto" w:fill="FFFFFF"/>
          <w:lang w:bidi="ar"/>
        </w:rPr>
        <w:t>的</w:t>
      </w:r>
      <w:r>
        <w:rPr>
          <w:rFonts w:hint="eastAsia" w:ascii="宋体" w:hAnsi="宋体" w:cs="宋体"/>
          <w:sz w:val="24"/>
          <w:highlight w:val="none"/>
          <w:u w:val="single"/>
          <w:shd w:val="clear" w:color="auto" w:fill="FFFFFF"/>
          <w:lang w:bidi="ar"/>
        </w:rPr>
        <w:t>（项目名称）</w:t>
      </w:r>
      <w:r>
        <w:rPr>
          <w:rFonts w:hint="eastAsia" w:ascii="宋体" w:hAnsi="宋体" w:cs="宋体"/>
          <w:sz w:val="24"/>
          <w:highlight w:val="none"/>
          <w:shd w:val="clear" w:color="auto" w:fill="FFFFFF"/>
          <w:lang w:bidi="ar"/>
        </w:rPr>
        <w:t>采购活动，工程的施工单位全部为符合政策要求的中小企业（或者：服务全部由符合政策要求的中小企业承接）。相关企业（含联合体中的中小企业、签订分包意向协议的中小企业）的具体情况如下：</w:t>
      </w:r>
    </w:p>
    <w:p w14:paraId="35FD661C">
      <w:pPr>
        <w:spacing w:line="360" w:lineRule="auto"/>
        <w:ind w:firstLine="480"/>
        <w:jc w:val="left"/>
        <w:rPr>
          <w:rFonts w:ascii="宋体" w:hAnsi="宋体" w:cs="宋体"/>
          <w:sz w:val="24"/>
          <w:highlight w:val="none"/>
          <w:shd w:val="clear" w:color="auto" w:fill="FFFFFF"/>
        </w:rPr>
      </w:pPr>
      <w:r>
        <w:rPr>
          <w:rFonts w:hint="eastAsia" w:ascii="宋体" w:hAnsi="宋体" w:cs="宋体"/>
          <w:sz w:val="24"/>
          <w:highlight w:val="none"/>
          <w:shd w:val="clear" w:color="auto" w:fill="FFFFFF"/>
          <w:lang w:bidi="ar"/>
        </w:rPr>
        <w:t>1.</w:t>
      </w:r>
      <w:r>
        <w:rPr>
          <w:rFonts w:hint="eastAsia" w:ascii="宋体" w:hAnsi="宋体" w:cs="宋体"/>
          <w:sz w:val="24"/>
          <w:highlight w:val="none"/>
          <w:u w:val="single"/>
          <w:shd w:val="clear" w:color="auto" w:fill="FFFFFF"/>
          <w:lang w:bidi="ar"/>
        </w:rPr>
        <w:t>（标的名称）</w:t>
      </w:r>
      <w:r>
        <w:rPr>
          <w:rFonts w:hint="eastAsia" w:ascii="宋体" w:hAnsi="宋体" w:cs="宋体"/>
          <w:sz w:val="24"/>
          <w:highlight w:val="none"/>
          <w:shd w:val="clear" w:color="auto" w:fill="FFFFFF"/>
          <w:lang w:bidi="ar"/>
        </w:rPr>
        <w:t>，属于</w:t>
      </w:r>
      <w:r>
        <w:rPr>
          <w:rFonts w:hint="eastAsia" w:ascii="宋体" w:hAnsi="宋体" w:cs="宋体"/>
          <w:sz w:val="24"/>
          <w:highlight w:val="none"/>
          <w:u w:val="single"/>
          <w:shd w:val="clear" w:color="auto" w:fill="FFFFFF"/>
          <w:lang w:bidi="ar"/>
        </w:rPr>
        <w:t>其他未列明行业</w:t>
      </w:r>
      <w:r>
        <w:rPr>
          <w:rFonts w:hint="eastAsia" w:ascii="宋体" w:hAnsi="宋体" w:cs="宋体"/>
          <w:sz w:val="24"/>
          <w:highlight w:val="none"/>
          <w:shd w:val="clear" w:color="auto" w:fill="FFFFFF"/>
          <w:lang w:bidi="ar"/>
        </w:rPr>
        <w:t>；承建（承接）企业为</w:t>
      </w:r>
      <w:r>
        <w:rPr>
          <w:rFonts w:hint="eastAsia" w:ascii="宋体" w:hAnsi="宋体" w:cs="宋体"/>
          <w:sz w:val="24"/>
          <w:highlight w:val="none"/>
          <w:u w:val="single"/>
          <w:shd w:val="clear" w:color="auto" w:fill="FFFFFF"/>
          <w:lang w:bidi="ar"/>
        </w:rPr>
        <w:t>（企业名称）</w:t>
      </w:r>
      <w:r>
        <w:rPr>
          <w:rFonts w:hint="eastAsia" w:ascii="宋体" w:hAnsi="宋体" w:cs="宋体"/>
          <w:sz w:val="24"/>
          <w:highlight w:val="none"/>
          <w:shd w:val="clear" w:color="auto" w:fill="FFFFFF"/>
          <w:lang w:bidi="ar"/>
        </w:rPr>
        <w:t>，从业人员_____人，营业收入为_____万元，资产总额为_____万元，属于</w:t>
      </w:r>
      <w:r>
        <w:rPr>
          <w:rFonts w:hint="eastAsia" w:ascii="宋体" w:hAnsi="宋体" w:cs="宋体"/>
          <w:sz w:val="24"/>
          <w:highlight w:val="none"/>
          <w:u w:val="single"/>
          <w:shd w:val="clear" w:color="auto" w:fill="FFFFFF"/>
          <w:lang w:bidi="ar"/>
        </w:rPr>
        <w:t>（中型企业、小型企业、微型企业）</w:t>
      </w:r>
      <w:r>
        <w:rPr>
          <w:rFonts w:hint="eastAsia" w:ascii="宋体" w:hAnsi="宋体" w:cs="宋体"/>
          <w:sz w:val="24"/>
          <w:highlight w:val="none"/>
          <w:shd w:val="clear" w:color="auto" w:fill="FFFFFF"/>
          <w:lang w:bidi="ar"/>
        </w:rPr>
        <w:t>；</w:t>
      </w:r>
    </w:p>
    <w:p w14:paraId="48B6ED2D">
      <w:pPr>
        <w:spacing w:line="360" w:lineRule="auto"/>
        <w:ind w:firstLine="480"/>
        <w:jc w:val="left"/>
        <w:rPr>
          <w:rFonts w:ascii="宋体" w:hAnsi="宋体" w:cs="宋体"/>
          <w:sz w:val="24"/>
          <w:highlight w:val="none"/>
          <w:shd w:val="clear" w:color="auto" w:fill="FFFFFF"/>
        </w:rPr>
      </w:pPr>
      <w:r>
        <w:rPr>
          <w:rFonts w:hint="eastAsia" w:ascii="宋体" w:hAnsi="宋体" w:cs="宋体"/>
          <w:sz w:val="24"/>
          <w:highlight w:val="none"/>
          <w:shd w:val="clear" w:color="auto" w:fill="FFFFFF"/>
          <w:lang w:bidi="ar"/>
        </w:rPr>
        <w:t>2.</w:t>
      </w:r>
      <w:r>
        <w:rPr>
          <w:rFonts w:hint="eastAsia" w:ascii="宋体" w:hAnsi="宋体" w:cs="宋体"/>
          <w:sz w:val="24"/>
          <w:highlight w:val="none"/>
          <w:u w:val="single"/>
          <w:shd w:val="clear" w:color="auto" w:fill="FFFFFF"/>
          <w:lang w:bidi="ar"/>
        </w:rPr>
        <w:t>（标的名称）</w:t>
      </w:r>
      <w:r>
        <w:rPr>
          <w:rFonts w:hint="eastAsia" w:ascii="宋体" w:hAnsi="宋体" w:cs="宋体"/>
          <w:sz w:val="24"/>
          <w:highlight w:val="none"/>
          <w:shd w:val="clear" w:color="auto" w:fill="FFFFFF"/>
          <w:lang w:bidi="ar"/>
        </w:rPr>
        <w:t>，属于</w:t>
      </w:r>
      <w:r>
        <w:rPr>
          <w:rFonts w:hint="eastAsia" w:ascii="宋体" w:hAnsi="宋体" w:cs="宋体"/>
          <w:sz w:val="24"/>
          <w:highlight w:val="none"/>
          <w:u w:val="single"/>
          <w:shd w:val="clear" w:color="auto" w:fill="FFFFFF"/>
          <w:lang w:bidi="ar"/>
        </w:rPr>
        <w:t>其他未列明行业</w:t>
      </w:r>
      <w:r>
        <w:rPr>
          <w:rFonts w:hint="eastAsia" w:ascii="宋体" w:hAnsi="宋体" w:cs="宋体"/>
          <w:sz w:val="24"/>
          <w:highlight w:val="none"/>
          <w:shd w:val="clear" w:color="auto" w:fill="FFFFFF"/>
          <w:lang w:bidi="ar"/>
        </w:rPr>
        <w:t>；承建（承接）企业为</w:t>
      </w:r>
      <w:r>
        <w:rPr>
          <w:rFonts w:hint="eastAsia" w:ascii="宋体" w:hAnsi="宋体" w:cs="宋体"/>
          <w:sz w:val="24"/>
          <w:highlight w:val="none"/>
          <w:u w:val="single"/>
          <w:shd w:val="clear" w:color="auto" w:fill="FFFFFF"/>
          <w:lang w:bidi="ar"/>
        </w:rPr>
        <w:t>（企业名称）</w:t>
      </w:r>
      <w:r>
        <w:rPr>
          <w:rFonts w:hint="eastAsia" w:ascii="宋体" w:hAnsi="宋体" w:cs="宋体"/>
          <w:sz w:val="24"/>
          <w:highlight w:val="none"/>
          <w:shd w:val="clear" w:color="auto" w:fill="FFFFFF"/>
          <w:lang w:bidi="ar"/>
        </w:rPr>
        <w:t>，从业人员_____人，营业收入为_____万元，资产总额为_____万元，属于（中型企业、小型企业、微型企业）；</w:t>
      </w:r>
    </w:p>
    <w:p w14:paraId="7EC3568B">
      <w:pPr>
        <w:spacing w:line="360" w:lineRule="auto"/>
        <w:ind w:firstLine="480"/>
        <w:jc w:val="left"/>
        <w:rPr>
          <w:rFonts w:ascii="宋体" w:hAnsi="宋体" w:cs="宋体"/>
          <w:sz w:val="24"/>
          <w:highlight w:val="none"/>
          <w:shd w:val="clear" w:color="auto" w:fill="FFFFFF"/>
        </w:rPr>
      </w:pPr>
      <w:r>
        <w:rPr>
          <w:rFonts w:hint="eastAsia" w:ascii="宋体" w:hAnsi="宋体" w:cs="宋体"/>
          <w:sz w:val="24"/>
          <w:highlight w:val="none"/>
          <w:shd w:val="clear" w:color="auto" w:fill="FFFFFF"/>
          <w:lang w:bidi="ar"/>
        </w:rPr>
        <w:t>……</w:t>
      </w:r>
    </w:p>
    <w:p w14:paraId="64E7E275">
      <w:pPr>
        <w:spacing w:line="360" w:lineRule="auto"/>
        <w:ind w:firstLine="480"/>
        <w:jc w:val="left"/>
        <w:rPr>
          <w:rFonts w:ascii="宋体" w:hAnsi="宋体" w:cs="宋体"/>
          <w:sz w:val="24"/>
          <w:highlight w:val="none"/>
          <w:shd w:val="clear" w:color="auto" w:fill="FFFFFF"/>
        </w:rPr>
      </w:pPr>
      <w:r>
        <w:rPr>
          <w:rFonts w:hint="eastAsia" w:ascii="宋体" w:hAnsi="宋体" w:cs="宋体"/>
          <w:sz w:val="24"/>
          <w:highlight w:val="none"/>
          <w:shd w:val="clear" w:color="auto" w:fill="FFFFFF"/>
          <w:lang w:bidi="ar"/>
        </w:rPr>
        <w:t>以上企业，不属于大企业的分支机构，不存在控股股东为大企业的情形，也不存在与大企业的负责人为同一人的情形。</w:t>
      </w:r>
    </w:p>
    <w:p w14:paraId="786D6F58">
      <w:pPr>
        <w:spacing w:line="360" w:lineRule="auto"/>
        <w:ind w:firstLine="480"/>
        <w:jc w:val="left"/>
        <w:rPr>
          <w:rFonts w:ascii="宋体" w:hAnsi="宋体" w:cs="宋体"/>
          <w:sz w:val="24"/>
          <w:highlight w:val="none"/>
          <w:shd w:val="clear" w:color="auto" w:fill="FFFFFF"/>
        </w:rPr>
      </w:pPr>
      <w:r>
        <w:rPr>
          <w:rFonts w:hint="eastAsia" w:ascii="宋体" w:hAnsi="宋体" w:cs="宋体"/>
          <w:sz w:val="24"/>
          <w:highlight w:val="none"/>
          <w:shd w:val="clear" w:color="auto" w:fill="FFFFFF"/>
          <w:lang w:bidi="ar"/>
        </w:rPr>
        <w:t>本企业对上述声明内容的真实性负责。如有虚假，将依法承担相应责任。</w:t>
      </w:r>
    </w:p>
    <w:p w14:paraId="08D99AEE">
      <w:pPr>
        <w:spacing w:line="360" w:lineRule="auto"/>
        <w:ind w:firstLine="480"/>
        <w:jc w:val="left"/>
        <w:rPr>
          <w:rFonts w:ascii="宋体" w:hAnsi="宋体" w:cs="宋体"/>
          <w:sz w:val="24"/>
          <w:highlight w:val="none"/>
          <w:shd w:val="clear" w:color="auto" w:fill="FFFFFF"/>
        </w:rPr>
      </w:pPr>
      <w:r>
        <w:rPr>
          <w:rFonts w:hint="eastAsia" w:ascii="宋体" w:hAnsi="宋体" w:cs="宋体"/>
          <w:sz w:val="24"/>
          <w:highlight w:val="none"/>
          <w:shd w:val="clear" w:color="auto" w:fill="FFFFFF"/>
          <w:lang w:bidi="ar"/>
        </w:rPr>
        <w:t xml:space="preserve"> </w:t>
      </w:r>
    </w:p>
    <w:p w14:paraId="5BC9ACBE">
      <w:pPr>
        <w:spacing w:line="360" w:lineRule="auto"/>
        <w:ind w:firstLine="4800" w:firstLineChars="20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lang w:bidi="ar"/>
        </w:rPr>
        <w:t>企业名称（电子签章）：</w:t>
      </w:r>
    </w:p>
    <w:p w14:paraId="759AF25A">
      <w:pPr>
        <w:spacing w:line="360" w:lineRule="auto"/>
        <w:ind w:firstLine="4800" w:firstLineChars="20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lang w:bidi="ar"/>
        </w:rPr>
        <w:t>日期：     年   月   日</w:t>
      </w:r>
    </w:p>
    <w:p w14:paraId="05FB0ED6">
      <w:pPr>
        <w:spacing w:line="360" w:lineRule="auto"/>
        <w:rPr>
          <w:rFonts w:ascii="宋体" w:hAnsi="宋体" w:cs="宋体"/>
          <w:sz w:val="24"/>
          <w:highlight w:val="none"/>
        </w:rPr>
      </w:pPr>
      <w:r>
        <w:rPr>
          <w:rFonts w:hint="eastAsia" w:ascii="宋体" w:hAnsi="宋体" w:cs="宋体"/>
          <w:sz w:val="24"/>
          <w:highlight w:val="none"/>
          <w:lang w:bidi="ar"/>
        </w:rPr>
        <w:t xml:space="preserve"> </w:t>
      </w:r>
    </w:p>
    <w:p w14:paraId="0F1C0376">
      <w:pPr>
        <w:spacing w:line="360" w:lineRule="auto"/>
        <w:jc w:val="left"/>
        <w:rPr>
          <w:rFonts w:ascii="宋体" w:hAnsi="宋体" w:cs="宋体"/>
          <w:sz w:val="24"/>
          <w:highlight w:val="none"/>
        </w:rPr>
      </w:pPr>
      <w:r>
        <w:rPr>
          <w:rFonts w:hint="eastAsia" w:ascii="宋体" w:hAnsi="宋体" w:cs="宋体"/>
          <w:sz w:val="24"/>
          <w:highlight w:val="none"/>
          <w:lang w:bidi="ar"/>
        </w:rPr>
        <w:t>备注：</w:t>
      </w:r>
    </w:p>
    <w:p w14:paraId="475D1048">
      <w:pPr>
        <w:autoSpaceDE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1.供应商须在响应文件中提供《中小企业声明函》，否则不予价格扣除；供应商提供的《中小企业声明函》与事实不符的，依照《中华人民共和国政府采购法》第七十七条第一款的规定追究法律责任。</w:t>
      </w:r>
    </w:p>
    <w:p w14:paraId="7808281E">
      <w:pPr>
        <w:autoSpaceDE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2.从业人员、营业收入、资产总额填报上一年度数据，无上一年度数据的新成立企业可不填报。</w:t>
      </w:r>
    </w:p>
    <w:p w14:paraId="299D565D">
      <w:pPr>
        <w:autoSpaceDE w:val="0"/>
        <w:spacing w:before="340" w:after="330" w:line="360" w:lineRule="auto"/>
        <w:jc w:val="center"/>
        <w:rPr>
          <w:rFonts w:ascii="宋体" w:hAnsi="宋体" w:cs="宋体"/>
          <w:b/>
          <w:bCs/>
          <w:sz w:val="32"/>
          <w:szCs w:val="32"/>
          <w:highlight w:val="none"/>
        </w:rPr>
      </w:pPr>
      <w:r>
        <w:rPr>
          <w:rFonts w:hint="eastAsia" w:ascii="宋体" w:hAnsi="宋体" w:cs="宋体"/>
          <w:szCs w:val="21"/>
          <w:highlight w:val="none"/>
          <w:lang w:bidi="ar"/>
        </w:rPr>
        <w:br w:type="page"/>
      </w:r>
      <w:r>
        <w:rPr>
          <w:rFonts w:hint="eastAsia" w:ascii="宋体" w:hAnsi="宋体" w:cs="宋体"/>
          <w:b/>
          <w:sz w:val="32"/>
          <w:szCs w:val="32"/>
          <w:highlight w:val="none"/>
          <w:lang w:bidi="ar"/>
        </w:rPr>
        <w:t>残疾人福利性单位声明函</w:t>
      </w:r>
    </w:p>
    <w:p w14:paraId="42C0E9AA">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highlight w:val="none"/>
          <w:u w:val="single"/>
          <w:lang w:bidi="ar"/>
        </w:rPr>
        <w:t xml:space="preserve">       </w:t>
      </w:r>
      <w:r>
        <w:rPr>
          <w:rFonts w:hint="eastAsia" w:ascii="宋体" w:hAnsi="宋体" w:cs="宋体"/>
          <w:sz w:val="24"/>
          <w:highlight w:val="none"/>
          <w:lang w:bidi="ar"/>
        </w:rPr>
        <w:t>单位的</w:t>
      </w:r>
      <w:r>
        <w:rPr>
          <w:rFonts w:hint="eastAsia" w:ascii="宋体" w:hAnsi="宋体" w:cs="宋体"/>
          <w:sz w:val="24"/>
          <w:highlight w:val="none"/>
          <w:u w:val="single"/>
          <w:lang w:bidi="ar"/>
        </w:rPr>
        <w:t xml:space="preserve">        </w:t>
      </w:r>
      <w:r>
        <w:rPr>
          <w:rFonts w:hint="eastAsia" w:ascii="宋体" w:hAnsi="宋体" w:cs="宋体"/>
          <w:sz w:val="24"/>
          <w:highlight w:val="none"/>
          <w:lang w:bidi="ar"/>
        </w:rPr>
        <w:t>项目采购活动提供本单位制造的货物（由本单位承担工程/提供服务），或者提供其他残疾人福利性单位制造的货物（不包括使用非残疾人福利性单位注册商标的货物）。</w:t>
      </w:r>
    </w:p>
    <w:p w14:paraId="6FB4FC11">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本单位对上述声明的真实性负责。如有虚假，将依法承担相应责任。</w:t>
      </w:r>
    </w:p>
    <w:p w14:paraId="160E6BDC">
      <w:pPr>
        <w:spacing w:line="360" w:lineRule="auto"/>
        <w:rPr>
          <w:rFonts w:ascii="宋体" w:hAnsi="宋体" w:cs="宋体"/>
          <w:sz w:val="24"/>
          <w:highlight w:val="none"/>
        </w:rPr>
      </w:pPr>
      <w:r>
        <w:rPr>
          <w:rFonts w:hint="eastAsia" w:ascii="宋体" w:hAnsi="宋体" w:cs="宋体"/>
          <w:sz w:val="24"/>
          <w:highlight w:val="none"/>
          <w:lang w:bidi="ar"/>
        </w:rPr>
        <w:t xml:space="preserve"> </w:t>
      </w:r>
    </w:p>
    <w:p w14:paraId="45502D82">
      <w:pPr>
        <w:autoSpaceDE w:val="0"/>
        <w:spacing w:line="360" w:lineRule="auto"/>
        <w:ind w:firstLine="4320" w:firstLineChars="1800"/>
        <w:rPr>
          <w:rFonts w:ascii="宋体" w:hAnsi="宋体" w:cs="宋体"/>
          <w:sz w:val="24"/>
          <w:highlight w:val="none"/>
        </w:rPr>
      </w:pPr>
      <w:r>
        <w:rPr>
          <w:rFonts w:hint="eastAsia" w:ascii="宋体" w:hAnsi="宋体" w:cs="宋体"/>
          <w:sz w:val="24"/>
          <w:highlight w:val="none"/>
          <w:lang w:bidi="ar"/>
        </w:rPr>
        <w:t>单位名称（电子签章）：</w:t>
      </w:r>
    </w:p>
    <w:p w14:paraId="481321D7">
      <w:pPr>
        <w:autoSpaceDE w:val="0"/>
        <w:spacing w:line="360" w:lineRule="auto"/>
        <w:ind w:firstLine="4320" w:firstLineChars="1800"/>
        <w:rPr>
          <w:rFonts w:ascii="宋体" w:hAnsi="宋体" w:cs="宋体"/>
          <w:sz w:val="24"/>
          <w:highlight w:val="none"/>
        </w:rPr>
      </w:pPr>
      <w:r>
        <w:rPr>
          <w:rFonts w:hint="eastAsia" w:ascii="宋体" w:hAnsi="宋体" w:cs="宋体"/>
          <w:sz w:val="24"/>
          <w:highlight w:val="none"/>
          <w:lang w:bidi="ar"/>
        </w:rPr>
        <w:t>日  期：     年   月   日</w:t>
      </w:r>
    </w:p>
    <w:p w14:paraId="0CFF4F8E">
      <w:pPr>
        <w:spacing w:line="360" w:lineRule="auto"/>
        <w:rPr>
          <w:rFonts w:ascii="宋体" w:hAnsi="宋体" w:cs="宋体"/>
          <w:sz w:val="24"/>
          <w:highlight w:val="none"/>
        </w:rPr>
      </w:pPr>
      <w:r>
        <w:rPr>
          <w:rFonts w:hint="eastAsia" w:ascii="宋体" w:hAnsi="宋体" w:cs="宋体"/>
          <w:sz w:val="24"/>
          <w:highlight w:val="none"/>
          <w:lang w:bidi="ar"/>
        </w:rPr>
        <w:t xml:space="preserve"> </w:t>
      </w:r>
    </w:p>
    <w:p w14:paraId="06202C3B">
      <w:pPr>
        <w:spacing w:line="360" w:lineRule="auto"/>
        <w:rPr>
          <w:rFonts w:ascii="宋体" w:hAnsi="宋体" w:cs="宋体"/>
          <w:sz w:val="24"/>
          <w:highlight w:val="none"/>
        </w:rPr>
      </w:pPr>
      <w:r>
        <w:rPr>
          <w:rFonts w:hint="eastAsia" w:ascii="宋体" w:hAnsi="宋体" w:cs="宋体"/>
          <w:sz w:val="24"/>
          <w:highlight w:val="none"/>
          <w:lang w:bidi="ar"/>
        </w:rPr>
        <w:t>注：请根据自己的真实情况出具《残疾人福利性单位声明函》。依法享受中小企业优惠政策的，采购人或者采购代理机构在公告中标结果时，同时公告其《残疾人福利性单位声明函》，接受社会监督。</w:t>
      </w:r>
    </w:p>
    <w:p w14:paraId="7C10BF28">
      <w:pPr>
        <w:autoSpaceDE w:val="0"/>
        <w:spacing w:before="340" w:after="330" w:line="360" w:lineRule="auto"/>
        <w:jc w:val="center"/>
        <w:rPr>
          <w:rFonts w:ascii="宋体" w:hAnsi="宋体" w:cs="宋体"/>
          <w:b/>
          <w:bCs/>
          <w:sz w:val="44"/>
          <w:szCs w:val="44"/>
          <w:highlight w:val="none"/>
        </w:rPr>
      </w:pPr>
      <w:r>
        <w:rPr>
          <w:rFonts w:hint="eastAsia" w:ascii="宋体" w:hAnsi="宋体" w:cs="宋体"/>
          <w:szCs w:val="21"/>
          <w:highlight w:val="none"/>
          <w:lang w:bidi="ar"/>
        </w:rPr>
        <w:br w:type="page"/>
      </w:r>
      <w:r>
        <w:rPr>
          <w:rFonts w:hint="eastAsia" w:ascii="宋体" w:hAnsi="宋体" w:cs="宋体"/>
          <w:b/>
          <w:bCs/>
          <w:sz w:val="44"/>
          <w:szCs w:val="44"/>
          <w:highlight w:val="none"/>
          <w:lang w:bidi="ar"/>
        </w:rPr>
        <w:t>竞标声明</w:t>
      </w:r>
    </w:p>
    <w:p w14:paraId="39F8BE2F">
      <w:pPr>
        <w:spacing w:before="156" w:beforeLines="50" w:after="50" w:line="360" w:lineRule="auto"/>
        <w:contextualSpacing/>
        <w:rPr>
          <w:rFonts w:ascii="宋体" w:hAnsi="宋体" w:cs="宋体"/>
          <w:sz w:val="24"/>
          <w:highlight w:val="none"/>
        </w:rPr>
      </w:pPr>
      <w:r>
        <w:rPr>
          <w:rFonts w:hint="eastAsia" w:ascii="宋体" w:hAnsi="宋体" w:cs="宋体"/>
          <w:sz w:val="24"/>
          <w:highlight w:val="none"/>
          <w:lang w:bidi="ar"/>
        </w:rPr>
        <w:t>致：</w:t>
      </w:r>
      <w:r>
        <w:rPr>
          <w:rFonts w:hint="eastAsia" w:ascii="宋体" w:hAnsi="宋体" w:cs="宋体"/>
          <w:sz w:val="24"/>
          <w:highlight w:val="none"/>
          <w:u w:val="single"/>
          <w:lang w:bidi="ar"/>
        </w:rPr>
        <w:t>（采购代理机构名称）</w:t>
      </w:r>
      <w:r>
        <w:rPr>
          <w:rFonts w:hint="eastAsia" w:ascii="宋体" w:hAnsi="宋体" w:cs="宋体"/>
          <w:sz w:val="24"/>
          <w:highlight w:val="none"/>
          <w:lang w:bidi="ar"/>
        </w:rPr>
        <w:t>：</w:t>
      </w:r>
    </w:p>
    <w:p w14:paraId="33C8383F">
      <w:pPr>
        <w:autoSpaceDE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u w:val="single"/>
          <w:lang w:bidi="ar"/>
        </w:rPr>
        <w:t>（供应商名称）</w:t>
      </w:r>
      <w:r>
        <w:rPr>
          <w:rFonts w:hint="eastAsia" w:ascii="宋体" w:hAnsi="宋体" w:cs="宋体"/>
          <w:sz w:val="24"/>
          <w:highlight w:val="none"/>
          <w:lang w:bidi="ar"/>
        </w:rPr>
        <w:t>系中华人民共和国合法供应商，经营地址</w:t>
      </w:r>
      <w:r>
        <w:rPr>
          <w:rFonts w:hint="eastAsia" w:ascii="宋体" w:hAnsi="宋体" w:cs="宋体"/>
          <w:sz w:val="24"/>
          <w:highlight w:val="none"/>
          <w:u w:val="single"/>
          <w:lang w:bidi="ar"/>
        </w:rPr>
        <w:t xml:space="preserve">                   </w:t>
      </w:r>
      <w:r>
        <w:rPr>
          <w:rFonts w:hint="eastAsia" w:ascii="宋体" w:hAnsi="宋体" w:cs="宋体"/>
          <w:sz w:val="24"/>
          <w:highlight w:val="none"/>
          <w:lang w:bidi="ar"/>
        </w:rPr>
        <w:t>。</w:t>
      </w:r>
    </w:p>
    <w:p w14:paraId="51B32759">
      <w:pPr>
        <w:autoSpaceDE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bidi="ar"/>
        </w:rPr>
        <w:t>我方愿意参加贵方组织的</w:t>
      </w:r>
      <w:r>
        <w:rPr>
          <w:rFonts w:hint="eastAsia" w:ascii="宋体" w:hAnsi="宋体" w:cs="宋体"/>
          <w:sz w:val="24"/>
          <w:highlight w:val="none"/>
          <w:u w:val="single"/>
          <w:lang w:bidi="ar"/>
        </w:rPr>
        <w:t>（项目名称）</w:t>
      </w:r>
      <w:r>
        <w:rPr>
          <w:rFonts w:hint="eastAsia" w:ascii="宋体" w:hAnsi="宋体" w:cs="宋体"/>
          <w:sz w:val="24"/>
          <w:highlight w:val="none"/>
          <w:lang w:bidi="ar"/>
        </w:rPr>
        <w:t>项目的竞标，为便于贵方公正、择优地确定成交供应商及其竞标产品和服务，我方就本次竞标有关事项郑重声明如下：</w:t>
      </w:r>
    </w:p>
    <w:p w14:paraId="76D5FCB3">
      <w:pPr>
        <w:autoSpaceDE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bidi="ar"/>
        </w:rPr>
        <w:t>1.我方向贵方提交的所有响应文件、资料都是准确的和真实的。</w:t>
      </w:r>
    </w:p>
    <w:p w14:paraId="5DA2E6CE">
      <w:pPr>
        <w:autoSpaceDE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bidi="ar"/>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6080484">
      <w:pPr>
        <w:autoSpaceDE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bidi="ar"/>
        </w:rPr>
        <w:t>3.在此，我方宣布同意如下：</w:t>
      </w:r>
    </w:p>
    <w:p w14:paraId="6C4C7D5D">
      <w:pPr>
        <w:autoSpaceDE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bidi="ar"/>
        </w:rPr>
        <w:t>（1）将按磋商文件的约定履行合同责任和义务；</w:t>
      </w:r>
    </w:p>
    <w:p w14:paraId="1DCE02F4">
      <w:pPr>
        <w:autoSpaceDE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bidi="ar"/>
        </w:rPr>
        <w:t>（2）已详细审查全部磋商文件，包括澄清或者更正公告（如有）；</w:t>
      </w:r>
    </w:p>
    <w:p w14:paraId="4AD5CBE4">
      <w:pPr>
        <w:autoSpaceDE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bidi="ar"/>
        </w:rPr>
        <w:t>（3）同意提供按照贵方可能要求的与磋商有关的一切数据或者资料；</w:t>
      </w:r>
    </w:p>
    <w:p w14:paraId="0BC59B4D">
      <w:pPr>
        <w:autoSpaceDE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bidi="ar"/>
        </w:rPr>
        <w:t>（4）响应磋商文件规定的竞标有效期。</w:t>
      </w:r>
    </w:p>
    <w:p w14:paraId="11E34A4B">
      <w:pPr>
        <w:autoSpaceDE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bidi="ar"/>
        </w:rPr>
        <w:t>4.我方承诺符合《中华人民共和国政府采购法》第二十二条规定：</w:t>
      </w:r>
    </w:p>
    <w:p w14:paraId="33A452F9">
      <w:pPr>
        <w:autoSpaceDE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bidi="ar"/>
        </w:rPr>
        <w:t>（1）具有独立承担民事责任的能力；</w:t>
      </w:r>
    </w:p>
    <w:p w14:paraId="2618BD48">
      <w:pPr>
        <w:autoSpaceDE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bidi="ar"/>
        </w:rPr>
        <w:t>（2）具有良好的商业信誉和健全的财务会计制度；</w:t>
      </w:r>
    </w:p>
    <w:p w14:paraId="0D0D09BD">
      <w:pPr>
        <w:autoSpaceDE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bidi="ar"/>
        </w:rPr>
        <w:t>（3）具有履行合同所必需的设备和专业技术能力；</w:t>
      </w:r>
    </w:p>
    <w:p w14:paraId="7494C0FA">
      <w:pPr>
        <w:autoSpaceDE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bidi="ar"/>
        </w:rPr>
        <w:t>（4）有依法缴纳税收和社会保障资金的良好记录；</w:t>
      </w:r>
    </w:p>
    <w:p w14:paraId="4F9D4C3D">
      <w:pPr>
        <w:autoSpaceDE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bidi="ar"/>
        </w:rPr>
        <w:t>（5）参加政府采购活动前三年内，在经营活动中没有重大违法记录；</w:t>
      </w:r>
    </w:p>
    <w:p w14:paraId="259E1279">
      <w:pPr>
        <w:autoSpaceDE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bidi="ar"/>
        </w:rPr>
        <w:t>（6）法律、行政法规规定的其他条件。</w:t>
      </w:r>
    </w:p>
    <w:p w14:paraId="2D7E4915">
      <w:pPr>
        <w:autoSpaceDE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bidi="ar"/>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C59AB94">
      <w:pPr>
        <w:autoSpaceDE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bidi="ar"/>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6EA5828">
      <w:pPr>
        <w:autoSpaceDE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bidi="ar"/>
        </w:rPr>
        <w:t>□我方本次响应文件</w:t>
      </w:r>
      <w:r>
        <w:rPr>
          <w:rFonts w:hint="eastAsia" w:ascii="宋体" w:hAnsi="宋体" w:cs="宋体"/>
          <w:kern w:val="0"/>
          <w:sz w:val="24"/>
          <w:highlight w:val="none"/>
          <w:lang w:bidi="ar"/>
        </w:rPr>
        <w:t>内容中</w:t>
      </w:r>
      <w:r>
        <w:rPr>
          <w:rFonts w:hint="eastAsia" w:ascii="宋体" w:hAnsi="宋体" w:cs="宋体"/>
          <w:sz w:val="24"/>
          <w:highlight w:val="none"/>
          <w:lang w:bidi="ar"/>
        </w:rPr>
        <w:t>未</w:t>
      </w:r>
      <w:r>
        <w:rPr>
          <w:rFonts w:hint="eastAsia" w:ascii="宋体" w:hAnsi="宋体" w:cs="宋体"/>
          <w:kern w:val="0"/>
          <w:sz w:val="24"/>
          <w:highlight w:val="none"/>
          <w:lang w:bidi="ar"/>
        </w:rPr>
        <w:t>涉及商业秘密；</w:t>
      </w:r>
    </w:p>
    <w:p w14:paraId="0AB4CA06">
      <w:pPr>
        <w:autoSpaceDE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bidi="ar"/>
        </w:rPr>
        <w:t>□我方本次响应文件</w:t>
      </w:r>
      <w:r>
        <w:rPr>
          <w:rFonts w:hint="eastAsia" w:ascii="宋体" w:hAnsi="宋体" w:cs="宋体"/>
          <w:kern w:val="0"/>
          <w:sz w:val="24"/>
          <w:highlight w:val="none"/>
          <w:lang w:bidi="ar"/>
        </w:rPr>
        <w:t>涉及商业秘密的内容有：</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w:t>
      </w:r>
    </w:p>
    <w:p w14:paraId="6DBE8E29">
      <w:pPr>
        <w:pStyle w:val="27"/>
        <w:autoSpaceDE w:val="0"/>
        <w:spacing w:line="360" w:lineRule="auto"/>
        <w:ind w:firstLine="480" w:firstLineChars="200"/>
        <w:contextualSpacing/>
        <w:rPr>
          <w:rFonts w:ascii="宋体" w:hAnsi="宋体" w:cs="宋体"/>
          <w:highlight w:val="none"/>
          <w:u w:val="single"/>
        </w:rPr>
      </w:pPr>
      <w:r>
        <w:rPr>
          <w:rFonts w:hint="eastAsia" w:ascii="宋体" w:hAnsi="宋体" w:cs="宋体"/>
          <w:highlight w:val="none"/>
          <w:lang w:bidi="ar"/>
        </w:rPr>
        <w:t>7.与本磋商有关的一切正式往来信函请寄：</w:t>
      </w:r>
      <w:r>
        <w:rPr>
          <w:rFonts w:hint="eastAsia" w:ascii="宋体" w:hAnsi="宋体" w:cs="宋体"/>
          <w:highlight w:val="none"/>
          <w:u w:val="single"/>
          <w:lang w:bidi="ar"/>
        </w:rPr>
        <w:t xml:space="preserve">                </w:t>
      </w:r>
      <w:r>
        <w:rPr>
          <w:rFonts w:hint="eastAsia" w:ascii="宋体" w:hAnsi="宋体" w:cs="宋体"/>
          <w:highlight w:val="none"/>
          <w:lang w:bidi="ar"/>
        </w:rPr>
        <w:t>邮政编号：</w:t>
      </w:r>
      <w:r>
        <w:rPr>
          <w:rFonts w:hint="eastAsia" w:ascii="宋体" w:hAnsi="宋体" w:cs="宋体"/>
          <w:highlight w:val="none"/>
          <w:u w:val="single"/>
          <w:lang w:bidi="ar"/>
        </w:rPr>
        <w:t xml:space="preserve">      </w:t>
      </w:r>
    </w:p>
    <w:p w14:paraId="0C983832">
      <w:pPr>
        <w:pStyle w:val="27"/>
        <w:autoSpaceDE w:val="0"/>
        <w:spacing w:line="360" w:lineRule="auto"/>
        <w:ind w:firstLine="480" w:firstLineChars="200"/>
        <w:contextualSpacing/>
        <w:rPr>
          <w:rFonts w:ascii="宋体" w:hAnsi="宋体" w:cs="宋体"/>
          <w:highlight w:val="none"/>
        </w:rPr>
      </w:pPr>
      <w:r>
        <w:rPr>
          <w:rFonts w:hint="eastAsia" w:ascii="宋体" w:hAnsi="宋体" w:cs="宋体"/>
          <w:highlight w:val="none"/>
          <w:lang w:bidi="ar"/>
        </w:rPr>
        <w:t>电话/传真：</w:t>
      </w:r>
      <w:r>
        <w:rPr>
          <w:rFonts w:hint="eastAsia" w:ascii="宋体" w:hAnsi="宋体" w:cs="宋体"/>
          <w:highlight w:val="none"/>
          <w:u w:val="single"/>
          <w:lang w:bidi="ar"/>
        </w:rPr>
        <w:t xml:space="preserve">                        </w:t>
      </w:r>
      <w:r>
        <w:rPr>
          <w:rFonts w:hint="eastAsia" w:ascii="宋体" w:hAnsi="宋体" w:cs="宋体"/>
          <w:highlight w:val="none"/>
          <w:lang w:bidi="ar"/>
        </w:rPr>
        <w:t xml:space="preserve"> 电子函件：</w:t>
      </w:r>
      <w:r>
        <w:rPr>
          <w:rFonts w:hint="eastAsia" w:ascii="宋体" w:hAnsi="宋体" w:cs="宋体"/>
          <w:highlight w:val="none"/>
          <w:u w:val="single"/>
          <w:lang w:bidi="ar"/>
        </w:rPr>
        <w:t xml:space="preserve">                        </w:t>
      </w:r>
    </w:p>
    <w:p w14:paraId="2B2739AD">
      <w:pPr>
        <w:pStyle w:val="27"/>
        <w:autoSpaceDE w:val="0"/>
        <w:spacing w:beforeAutospacing="1" w:afterAutospacing="1" w:line="360" w:lineRule="auto"/>
        <w:ind w:firstLine="480" w:firstLineChars="200"/>
        <w:contextualSpacing/>
        <w:rPr>
          <w:rFonts w:ascii="宋体" w:hAnsi="宋体" w:cs="宋体"/>
          <w:kern w:val="2"/>
          <w:highlight w:val="none"/>
        </w:rPr>
      </w:pPr>
      <w:r>
        <w:rPr>
          <w:rFonts w:hint="eastAsia" w:ascii="宋体" w:hAnsi="宋体" w:cs="宋体"/>
          <w:kern w:val="2"/>
          <w:highlight w:val="none"/>
          <w:lang w:bidi="ar"/>
        </w:rPr>
        <w:t>开户银行：</w:t>
      </w:r>
      <w:r>
        <w:rPr>
          <w:rFonts w:hint="eastAsia" w:ascii="宋体" w:hAnsi="宋体" w:cs="宋体"/>
          <w:kern w:val="2"/>
          <w:highlight w:val="none"/>
          <w:u w:val="single"/>
          <w:lang w:bidi="ar"/>
        </w:rPr>
        <w:t xml:space="preserve">                         </w:t>
      </w:r>
      <w:r>
        <w:rPr>
          <w:rFonts w:hint="eastAsia" w:ascii="宋体" w:hAnsi="宋体" w:cs="宋体"/>
          <w:kern w:val="2"/>
          <w:highlight w:val="none"/>
          <w:lang w:bidi="ar"/>
        </w:rPr>
        <w:t xml:space="preserve">  账号：</w:t>
      </w:r>
      <w:r>
        <w:rPr>
          <w:rFonts w:hint="eastAsia" w:ascii="宋体" w:hAnsi="宋体" w:cs="宋体"/>
          <w:kern w:val="2"/>
          <w:highlight w:val="none"/>
          <w:u w:val="single"/>
          <w:lang w:bidi="ar"/>
        </w:rPr>
        <w:t xml:space="preserve">                           </w:t>
      </w:r>
    </w:p>
    <w:p w14:paraId="20C1453C">
      <w:pPr>
        <w:pStyle w:val="27"/>
        <w:autoSpaceDE w:val="0"/>
        <w:spacing w:beforeAutospacing="1" w:afterAutospacing="1" w:line="360" w:lineRule="auto"/>
        <w:ind w:firstLine="480" w:firstLineChars="200"/>
        <w:contextualSpacing/>
        <w:rPr>
          <w:rFonts w:ascii="宋体" w:hAnsi="宋体" w:cs="宋体"/>
          <w:kern w:val="2"/>
          <w:highlight w:val="none"/>
        </w:rPr>
      </w:pPr>
      <w:r>
        <w:rPr>
          <w:rFonts w:hint="eastAsia" w:ascii="宋体" w:hAnsi="宋体" w:cs="宋体"/>
          <w:kern w:val="2"/>
          <w:highlight w:val="none"/>
          <w:lang w:bidi="ar"/>
        </w:rPr>
        <w:t>8.以上事项如有虚假或者隐瞒，我方愿意承担一切后果，并不再寻求任何旨在减轻或者免除法律责任的辩解。</w:t>
      </w:r>
    </w:p>
    <w:p w14:paraId="1D3FFBD4">
      <w:pPr>
        <w:pStyle w:val="27"/>
        <w:autoSpaceDE w:val="0"/>
        <w:spacing w:beforeAutospacing="1" w:afterAutospacing="1" w:line="360" w:lineRule="auto"/>
        <w:ind w:firstLine="480" w:firstLineChars="200"/>
        <w:contextualSpacing/>
        <w:rPr>
          <w:rFonts w:ascii="宋体" w:hAnsi="宋体" w:cs="宋体"/>
          <w:kern w:val="2"/>
          <w:highlight w:val="none"/>
        </w:rPr>
      </w:pPr>
      <w:r>
        <w:rPr>
          <w:rFonts w:hint="eastAsia" w:ascii="宋体" w:hAnsi="宋体" w:cs="宋体"/>
          <w:kern w:val="2"/>
          <w:highlight w:val="none"/>
          <w:lang w:bidi="ar"/>
        </w:rPr>
        <w:t>特此承诺。</w:t>
      </w:r>
    </w:p>
    <w:p w14:paraId="7033B469">
      <w:pPr>
        <w:pStyle w:val="27"/>
        <w:autoSpaceDE w:val="0"/>
        <w:spacing w:beforeAutospacing="1" w:afterAutospacing="1" w:line="360" w:lineRule="auto"/>
        <w:ind w:firstLine="480" w:firstLineChars="200"/>
        <w:contextualSpacing/>
        <w:rPr>
          <w:rFonts w:ascii="宋体" w:hAnsi="宋体" w:cs="宋体"/>
          <w:kern w:val="2"/>
          <w:highlight w:val="none"/>
        </w:rPr>
      </w:pPr>
      <w:r>
        <w:rPr>
          <w:rFonts w:hint="eastAsia" w:ascii="宋体" w:hAnsi="宋体" w:cs="宋体"/>
          <w:kern w:val="2"/>
          <w:highlight w:val="none"/>
          <w:lang w:bidi="ar"/>
        </w:rPr>
        <w:t>注：如为联合体竞标，盖章处须加盖联合体各方公章并由联合体各方法定代表人签署，否则其响应文件按无效响应处理。</w:t>
      </w:r>
    </w:p>
    <w:p w14:paraId="673E0C59">
      <w:pPr>
        <w:spacing w:line="360" w:lineRule="auto"/>
        <w:ind w:firstLine="4320" w:firstLineChars="1800"/>
        <w:rPr>
          <w:rFonts w:ascii="宋体" w:hAnsi="宋体" w:cs="宋体"/>
          <w:sz w:val="24"/>
          <w:highlight w:val="none"/>
        </w:rPr>
      </w:pPr>
      <w:r>
        <w:rPr>
          <w:rFonts w:hint="eastAsia" w:ascii="宋体" w:hAnsi="宋体" w:cs="宋体"/>
          <w:sz w:val="24"/>
          <w:highlight w:val="none"/>
          <w:lang w:bidi="ar"/>
        </w:rPr>
        <w:t xml:space="preserve"> </w:t>
      </w:r>
    </w:p>
    <w:p w14:paraId="247B3ACF">
      <w:pPr>
        <w:spacing w:line="360" w:lineRule="auto"/>
        <w:ind w:firstLine="4320" w:firstLineChars="1800"/>
        <w:rPr>
          <w:rFonts w:ascii="宋体" w:hAnsi="宋体" w:cs="宋体"/>
          <w:sz w:val="24"/>
          <w:highlight w:val="none"/>
        </w:rPr>
      </w:pPr>
      <w:r>
        <w:rPr>
          <w:rFonts w:hint="eastAsia" w:ascii="宋体" w:hAnsi="宋体" w:cs="宋体"/>
          <w:sz w:val="24"/>
          <w:highlight w:val="none"/>
          <w:lang w:bidi="ar"/>
        </w:rPr>
        <w:t>法定代表人（签字或签章）：</w:t>
      </w:r>
      <w:r>
        <w:rPr>
          <w:rFonts w:hint="eastAsia" w:ascii="宋体" w:hAnsi="宋体" w:cs="宋体"/>
          <w:sz w:val="24"/>
          <w:highlight w:val="none"/>
          <w:u w:val="single"/>
          <w:lang w:bidi="ar"/>
        </w:rPr>
        <w:t xml:space="preserve">            </w:t>
      </w:r>
    </w:p>
    <w:p w14:paraId="34CCC16D">
      <w:pPr>
        <w:spacing w:line="360" w:lineRule="auto"/>
        <w:ind w:firstLine="4320" w:firstLineChars="1800"/>
        <w:rPr>
          <w:rFonts w:ascii="宋体" w:hAnsi="宋体" w:cs="宋体"/>
          <w:sz w:val="24"/>
          <w:highlight w:val="none"/>
          <w:u w:val="single"/>
        </w:rPr>
      </w:pPr>
      <w:r>
        <w:rPr>
          <w:rFonts w:hint="eastAsia" w:ascii="宋体" w:hAnsi="宋体" w:cs="宋体"/>
          <w:sz w:val="24"/>
          <w:highlight w:val="none"/>
          <w:lang w:bidi="ar"/>
        </w:rPr>
        <w:t>供应商（电子签章）：</w:t>
      </w:r>
      <w:r>
        <w:rPr>
          <w:rFonts w:hint="eastAsia" w:ascii="宋体" w:hAnsi="宋体" w:cs="宋体"/>
          <w:sz w:val="24"/>
          <w:highlight w:val="none"/>
          <w:u w:val="single"/>
          <w:lang w:bidi="ar"/>
        </w:rPr>
        <w:t xml:space="preserve">                  </w:t>
      </w:r>
    </w:p>
    <w:p w14:paraId="6CDA558C">
      <w:pPr>
        <w:spacing w:line="360" w:lineRule="auto"/>
        <w:ind w:firstLine="4320" w:firstLineChars="1800"/>
        <w:rPr>
          <w:rFonts w:ascii="宋体" w:hAnsi="宋体" w:cs="宋体"/>
          <w:sz w:val="24"/>
          <w:highlight w:val="none"/>
        </w:rPr>
      </w:pPr>
      <w:r>
        <w:rPr>
          <w:rFonts w:hint="eastAsia" w:ascii="宋体" w:hAnsi="宋体" w:cs="宋体"/>
          <w:sz w:val="24"/>
          <w:highlight w:val="none"/>
          <w:lang w:bidi="ar"/>
        </w:rPr>
        <w:t>日期：     年   月   日</w:t>
      </w:r>
    </w:p>
    <w:p w14:paraId="1EAE52F7">
      <w:pPr>
        <w:autoSpaceDE w:val="0"/>
        <w:spacing w:before="340" w:after="330" w:line="360" w:lineRule="auto"/>
        <w:jc w:val="center"/>
        <w:rPr>
          <w:rFonts w:ascii="宋体" w:hAnsi="宋体" w:cs="宋体"/>
          <w:b/>
          <w:bCs/>
          <w:sz w:val="44"/>
          <w:szCs w:val="44"/>
          <w:highlight w:val="none"/>
        </w:rPr>
      </w:pPr>
      <w:r>
        <w:rPr>
          <w:rFonts w:hint="eastAsia" w:ascii="宋体" w:hAnsi="宋体" w:cs="宋体"/>
          <w:sz w:val="24"/>
          <w:highlight w:val="none"/>
          <w:lang w:bidi="ar"/>
        </w:rPr>
        <w:br w:type="page"/>
      </w:r>
      <w:r>
        <w:rPr>
          <w:rFonts w:hint="eastAsia" w:ascii="宋体" w:hAnsi="宋体" w:cs="宋体"/>
          <w:b/>
          <w:bCs/>
          <w:sz w:val="44"/>
          <w:szCs w:val="44"/>
          <w:highlight w:val="none"/>
          <w:lang w:bidi="ar"/>
        </w:rPr>
        <w:t>政府采购项目竞标资格承诺函</w:t>
      </w:r>
    </w:p>
    <w:p w14:paraId="1B99AA9C">
      <w:pPr>
        <w:autoSpaceDE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bidi="ar"/>
        </w:rPr>
        <w:t>本公司郑重承诺，根据《中华人民共和国政府采购法》第二十二条的规定，本公司为参加政府采购活动的合格供应商。即本公司同时满足以下条件：</w:t>
      </w:r>
    </w:p>
    <w:p w14:paraId="7563F4E3">
      <w:pPr>
        <w:autoSpaceDE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bidi="ar"/>
        </w:rPr>
        <w:t>1.具有独立承担民事责任的能力。</w:t>
      </w:r>
    </w:p>
    <w:p w14:paraId="5A8A14A2">
      <w:pPr>
        <w:autoSpaceDE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bidi="ar"/>
        </w:rPr>
        <w:t>2.具有良好的商业信誉和健全的财务会计制度。</w:t>
      </w:r>
    </w:p>
    <w:p w14:paraId="501DF784">
      <w:pPr>
        <w:autoSpaceDE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bidi="ar"/>
        </w:rPr>
        <w:t>3.具有履行合同所必需的设备和专业技术能力。</w:t>
      </w:r>
    </w:p>
    <w:p w14:paraId="60D161A6">
      <w:pPr>
        <w:autoSpaceDE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bidi="ar"/>
        </w:rPr>
        <w:t>4.有依法缴纳税收和社会保障资金的良好记录。</w:t>
      </w:r>
    </w:p>
    <w:p w14:paraId="028227AB">
      <w:pPr>
        <w:autoSpaceDE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bidi="ar"/>
        </w:rPr>
        <w:t>5. 提交投标文件截止日期前三年内，在经营活动中没有重大违法记录。</w:t>
      </w:r>
    </w:p>
    <w:p w14:paraId="5E739AE4">
      <w:pPr>
        <w:autoSpaceDE w:val="0"/>
        <w:spacing w:line="360" w:lineRule="auto"/>
        <w:ind w:firstLine="480" w:firstLineChars="200"/>
        <w:contextualSpacing/>
        <w:rPr>
          <w:rFonts w:ascii="宋体" w:hAnsi="宋体" w:cs="宋体"/>
          <w:sz w:val="24"/>
          <w:highlight w:val="none"/>
        </w:rPr>
      </w:pPr>
      <w:r>
        <w:rPr>
          <w:rFonts w:hint="eastAsia" w:ascii="宋体" w:hAnsi="宋体" w:cs="宋体"/>
          <w:sz w:val="24"/>
          <w:highlight w:val="none"/>
          <w:lang w:bidi="ar"/>
        </w:rPr>
        <w:t>本公司对上述承诺的真实性负责，并接受政府采购、税务、社会保障等监督管理部门、采购文件规定的资格审查机构、社会公众的监督和检查。如有虚假，将依法承担相应责任。</w:t>
      </w:r>
    </w:p>
    <w:p w14:paraId="57C08846">
      <w:pPr>
        <w:spacing w:line="360" w:lineRule="auto"/>
        <w:ind w:firstLine="4320" w:firstLineChars="1800"/>
        <w:rPr>
          <w:rFonts w:ascii="宋体" w:hAnsi="宋体" w:cs="宋体"/>
          <w:sz w:val="24"/>
          <w:highlight w:val="none"/>
        </w:rPr>
      </w:pPr>
      <w:r>
        <w:rPr>
          <w:rFonts w:hint="eastAsia" w:ascii="宋体" w:hAnsi="宋体" w:cs="宋体"/>
          <w:sz w:val="24"/>
          <w:highlight w:val="none"/>
          <w:lang w:bidi="ar"/>
        </w:rPr>
        <w:t xml:space="preserve"> </w:t>
      </w:r>
    </w:p>
    <w:p w14:paraId="473A9394">
      <w:pPr>
        <w:spacing w:line="360" w:lineRule="auto"/>
        <w:ind w:firstLine="4320" w:firstLineChars="1800"/>
        <w:rPr>
          <w:rFonts w:ascii="宋体" w:hAnsi="宋体" w:cs="宋体"/>
          <w:sz w:val="24"/>
          <w:highlight w:val="none"/>
        </w:rPr>
      </w:pPr>
      <w:r>
        <w:rPr>
          <w:rFonts w:hint="eastAsia" w:ascii="宋体" w:hAnsi="宋体" w:cs="宋体"/>
          <w:sz w:val="24"/>
          <w:highlight w:val="none"/>
          <w:lang w:bidi="ar"/>
        </w:rPr>
        <w:t>法定代表人（签字或签章）：</w:t>
      </w:r>
      <w:r>
        <w:rPr>
          <w:rFonts w:hint="eastAsia" w:ascii="宋体" w:hAnsi="宋体" w:cs="宋体"/>
          <w:sz w:val="24"/>
          <w:highlight w:val="none"/>
          <w:u w:val="single"/>
          <w:lang w:bidi="ar"/>
        </w:rPr>
        <w:t xml:space="preserve">            </w:t>
      </w:r>
    </w:p>
    <w:p w14:paraId="12666BA6">
      <w:pPr>
        <w:spacing w:line="360" w:lineRule="auto"/>
        <w:ind w:firstLine="4320" w:firstLineChars="1800"/>
        <w:rPr>
          <w:rFonts w:ascii="宋体" w:hAnsi="宋体" w:cs="宋体"/>
          <w:sz w:val="24"/>
          <w:highlight w:val="none"/>
          <w:u w:val="single"/>
        </w:rPr>
      </w:pPr>
      <w:r>
        <w:rPr>
          <w:rFonts w:hint="eastAsia" w:ascii="宋体" w:hAnsi="宋体" w:cs="宋体"/>
          <w:sz w:val="24"/>
          <w:highlight w:val="none"/>
          <w:lang w:bidi="ar"/>
        </w:rPr>
        <w:t>供应商（电子签章）：</w:t>
      </w:r>
      <w:r>
        <w:rPr>
          <w:rFonts w:hint="eastAsia" w:ascii="宋体" w:hAnsi="宋体" w:cs="宋体"/>
          <w:sz w:val="24"/>
          <w:highlight w:val="none"/>
          <w:u w:val="single"/>
          <w:lang w:bidi="ar"/>
        </w:rPr>
        <w:t xml:space="preserve">                  </w:t>
      </w:r>
    </w:p>
    <w:p w14:paraId="1168A152">
      <w:pPr>
        <w:spacing w:line="360" w:lineRule="auto"/>
        <w:ind w:firstLine="4320" w:firstLineChars="1800"/>
        <w:rPr>
          <w:rFonts w:ascii="宋体" w:hAnsi="宋体" w:cs="宋体"/>
          <w:sz w:val="24"/>
          <w:highlight w:val="none"/>
        </w:rPr>
      </w:pPr>
      <w:r>
        <w:rPr>
          <w:rFonts w:hint="eastAsia" w:ascii="宋体" w:hAnsi="宋体" w:cs="宋体"/>
          <w:sz w:val="24"/>
          <w:highlight w:val="none"/>
          <w:lang w:bidi="ar"/>
        </w:rPr>
        <w:t>日期：     年   月   日</w:t>
      </w:r>
    </w:p>
    <w:p w14:paraId="115C07B1">
      <w:pPr>
        <w:spacing w:line="360" w:lineRule="auto"/>
        <w:rPr>
          <w:rFonts w:ascii="宋体" w:hAnsi="宋体" w:cs="宋体"/>
          <w:b/>
          <w:sz w:val="32"/>
          <w:szCs w:val="32"/>
          <w:highlight w:val="none"/>
        </w:rPr>
      </w:pPr>
      <w:r>
        <w:rPr>
          <w:rFonts w:hint="eastAsia" w:ascii="宋体" w:hAnsi="宋体" w:cs="宋体"/>
          <w:sz w:val="24"/>
          <w:highlight w:val="none"/>
          <w:lang w:bidi="ar"/>
        </w:rPr>
        <w:br w:type="page"/>
      </w:r>
      <w:r>
        <w:rPr>
          <w:rFonts w:hint="eastAsia" w:ascii="宋体" w:hAnsi="宋体" w:cs="宋体"/>
          <w:b/>
          <w:bCs/>
          <w:sz w:val="32"/>
          <w:szCs w:val="32"/>
          <w:highlight w:val="none"/>
          <w:lang w:bidi="ar"/>
        </w:rPr>
        <w:t>二、</w:t>
      </w:r>
      <w:r>
        <w:rPr>
          <w:rFonts w:hint="eastAsia" w:ascii="宋体" w:hAnsi="宋体" w:cs="宋体"/>
          <w:b/>
          <w:sz w:val="32"/>
          <w:szCs w:val="32"/>
          <w:highlight w:val="none"/>
          <w:lang w:bidi="ar"/>
        </w:rPr>
        <w:t xml:space="preserve">报价商务技术文件格式 </w:t>
      </w:r>
    </w:p>
    <w:p w14:paraId="276D9E4D">
      <w:pPr>
        <w:snapToGrid w:val="0"/>
        <w:spacing w:before="156" w:beforeLines="50" w:after="50" w:line="360" w:lineRule="auto"/>
        <w:jc w:val="left"/>
        <w:rPr>
          <w:rFonts w:ascii="宋体" w:hAnsi="宋体" w:cs="宋体"/>
          <w:b/>
          <w:sz w:val="32"/>
          <w:szCs w:val="32"/>
          <w:highlight w:val="none"/>
        </w:rPr>
      </w:pPr>
      <w:r>
        <w:rPr>
          <w:rFonts w:hint="eastAsia" w:ascii="宋体" w:hAnsi="宋体" w:cs="宋体"/>
          <w:b/>
          <w:sz w:val="32"/>
          <w:szCs w:val="32"/>
          <w:highlight w:val="none"/>
          <w:lang w:bidi="ar"/>
        </w:rPr>
        <w:t>1.报价商务技术文件封面格式</w:t>
      </w:r>
    </w:p>
    <w:p w14:paraId="2F2A5982">
      <w:pPr>
        <w:jc w:val="center"/>
        <w:rPr>
          <w:rFonts w:ascii="宋体" w:hAnsi="宋体" w:cs="宋体"/>
          <w:sz w:val="28"/>
          <w:szCs w:val="28"/>
          <w:highlight w:val="none"/>
        </w:rPr>
      </w:pPr>
      <w:r>
        <w:rPr>
          <w:rFonts w:hint="eastAsia" w:ascii="宋体" w:hAnsi="宋体" w:cs="宋体"/>
          <w:sz w:val="28"/>
          <w:szCs w:val="28"/>
          <w:highlight w:val="none"/>
          <w:lang w:bidi="ar"/>
        </w:rPr>
        <w:t xml:space="preserve"> </w:t>
      </w:r>
    </w:p>
    <w:p w14:paraId="60D8BF1C">
      <w:pPr>
        <w:jc w:val="center"/>
        <w:rPr>
          <w:rFonts w:ascii="宋体" w:hAnsi="宋体" w:cs="宋体"/>
          <w:sz w:val="28"/>
          <w:szCs w:val="28"/>
          <w:highlight w:val="none"/>
        </w:rPr>
      </w:pPr>
      <w:r>
        <w:rPr>
          <w:rFonts w:hint="eastAsia" w:ascii="宋体" w:hAnsi="宋体" w:cs="宋体"/>
          <w:sz w:val="28"/>
          <w:szCs w:val="28"/>
          <w:highlight w:val="none"/>
          <w:lang w:bidi="ar"/>
        </w:rPr>
        <w:t xml:space="preserve"> </w:t>
      </w:r>
    </w:p>
    <w:p w14:paraId="4CB54A73">
      <w:pPr>
        <w:snapToGrid w:val="0"/>
        <w:spacing w:before="156" w:beforeLines="50" w:after="50"/>
        <w:jc w:val="center"/>
        <w:rPr>
          <w:rFonts w:ascii="宋体" w:hAnsi="宋体" w:cs="宋体"/>
          <w:bCs/>
          <w:sz w:val="44"/>
          <w:szCs w:val="44"/>
          <w:highlight w:val="none"/>
        </w:rPr>
      </w:pPr>
      <w:r>
        <w:rPr>
          <w:rFonts w:hint="eastAsia" w:ascii="宋体" w:hAnsi="宋体" w:cs="宋体"/>
          <w:bCs/>
          <w:sz w:val="44"/>
          <w:szCs w:val="44"/>
          <w:highlight w:val="none"/>
          <w:lang w:bidi="ar"/>
        </w:rPr>
        <w:t>报  价  商  务  技  术  文  件</w:t>
      </w:r>
    </w:p>
    <w:p w14:paraId="60C868E0">
      <w:pPr>
        <w:jc w:val="center"/>
        <w:rPr>
          <w:rFonts w:ascii="宋体" w:hAnsi="宋体" w:cs="宋体"/>
          <w:sz w:val="28"/>
          <w:szCs w:val="28"/>
          <w:highlight w:val="none"/>
        </w:rPr>
      </w:pPr>
      <w:r>
        <w:rPr>
          <w:rFonts w:hint="eastAsia" w:ascii="宋体" w:hAnsi="宋体" w:cs="宋体"/>
          <w:sz w:val="28"/>
          <w:szCs w:val="28"/>
          <w:highlight w:val="none"/>
          <w:lang w:bidi="ar"/>
        </w:rPr>
        <w:t xml:space="preserve"> </w:t>
      </w:r>
    </w:p>
    <w:p w14:paraId="475317E9">
      <w:pPr>
        <w:jc w:val="center"/>
        <w:rPr>
          <w:rFonts w:ascii="宋体" w:hAnsi="宋体" w:cs="宋体"/>
          <w:sz w:val="28"/>
          <w:szCs w:val="28"/>
          <w:highlight w:val="none"/>
        </w:rPr>
      </w:pPr>
      <w:r>
        <w:rPr>
          <w:rFonts w:hint="eastAsia" w:ascii="宋体" w:hAnsi="宋体" w:cs="宋体"/>
          <w:sz w:val="28"/>
          <w:szCs w:val="28"/>
          <w:highlight w:val="none"/>
          <w:lang w:bidi="ar"/>
        </w:rPr>
        <w:t xml:space="preserve"> </w:t>
      </w:r>
    </w:p>
    <w:p w14:paraId="481DDC58">
      <w:pPr>
        <w:jc w:val="center"/>
        <w:rPr>
          <w:rFonts w:ascii="宋体" w:hAnsi="宋体" w:cs="宋体"/>
          <w:sz w:val="28"/>
          <w:szCs w:val="28"/>
          <w:highlight w:val="none"/>
        </w:rPr>
      </w:pPr>
      <w:r>
        <w:rPr>
          <w:rFonts w:hint="eastAsia" w:ascii="宋体" w:hAnsi="宋体" w:cs="宋体"/>
          <w:sz w:val="28"/>
          <w:szCs w:val="28"/>
          <w:highlight w:val="none"/>
          <w:lang w:bidi="ar"/>
        </w:rPr>
        <w:t xml:space="preserve"> </w:t>
      </w:r>
    </w:p>
    <w:p w14:paraId="54EE3BAF">
      <w:pPr>
        <w:jc w:val="center"/>
        <w:rPr>
          <w:rFonts w:ascii="宋体" w:hAnsi="宋体" w:cs="宋体"/>
          <w:sz w:val="28"/>
          <w:szCs w:val="28"/>
          <w:highlight w:val="none"/>
        </w:rPr>
      </w:pPr>
      <w:r>
        <w:rPr>
          <w:rFonts w:hint="eastAsia" w:ascii="宋体" w:hAnsi="宋体" w:cs="宋体"/>
          <w:sz w:val="28"/>
          <w:szCs w:val="28"/>
          <w:highlight w:val="none"/>
          <w:lang w:bidi="ar"/>
        </w:rPr>
        <w:t xml:space="preserve"> </w:t>
      </w:r>
    </w:p>
    <w:p w14:paraId="0AE54005">
      <w:pPr>
        <w:autoSpaceDE w:val="0"/>
        <w:ind w:firstLine="640" w:firstLineChars="200"/>
        <w:rPr>
          <w:rFonts w:ascii="宋体" w:hAnsi="宋体" w:cs="宋体"/>
          <w:bCs/>
          <w:sz w:val="32"/>
          <w:szCs w:val="32"/>
          <w:highlight w:val="none"/>
        </w:rPr>
      </w:pPr>
      <w:r>
        <w:rPr>
          <w:rFonts w:hint="eastAsia" w:ascii="宋体" w:hAnsi="宋体" w:cs="宋体"/>
          <w:bCs/>
          <w:sz w:val="32"/>
          <w:szCs w:val="32"/>
          <w:highlight w:val="none"/>
          <w:lang w:bidi="ar"/>
        </w:rPr>
        <w:t>项目名称：</w:t>
      </w:r>
    </w:p>
    <w:p w14:paraId="0DDAFB8F">
      <w:pPr>
        <w:autoSpaceDE w:val="0"/>
        <w:ind w:firstLine="640" w:firstLineChars="200"/>
        <w:rPr>
          <w:rFonts w:ascii="宋体" w:hAnsi="宋体" w:cs="宋体"/>
          <w:bCs/>
          <w:sz w:val="32"/>
          <w:szCs w:val="32"/>
          <w:highlight w:val="none"/>
        </w:rPr>
      </w:pPr>
      <w:r>
        <w:rPr>
          <w:rFonts w:hint="eastAsia" w:ascii="宋体" w:hAnsi="宋体" w:cs="宋体"/>
          <w:bCs/>
          <w:sz w:val="32"/>
          <w:szCs w:val="32"/>
          <w:highlight w:val="none"/>
          <w:lang w:bidi="ar"/>
        </w:rPr>
        <w:t xml:space="preserve"> </w:t>
      </w:r>
    </w:p>
    <w:p w14:paraId="1325BBF9">
      <w:pPr>
        <w:autoSpaceDE w:val="0"/>
        <w:ind w:firstLine="640" w:firstLineChars="200"/>
        <w:rPr>
          <w:rFonts w:ascii="宋体" w:hAnsi="宋体" w:cs="宋体"/>
          <w:bCs/>
          <w:sz w:val="32"/>
          <w:szCs w:val="32"/>
          <w:highlight w:val="none"/>
        </w:rPr>
      </w:pPr>
      <w:r>
        <w:rPr>
          <w:rFonts w:hint="eastAsia" w:ascii="宋体" w:hAnsi="宋体" w:cs="宋体"/>
          <w:bCs/>
          <w:sz w:val="32"/>
          <w:szCs w:val="32"/>
          <w:highlight w:val="none"/>
          <w:lang w:bidi="ar"/>
        </w:rPr>
        <w:t>项目编号：</w:t>
      </w:r>
    </w:p>
    <w:p w14:paraId="0C13A9F2">
      <w:pPr>
        <w:autoSpaceDE w:val="0"/>
        <w:ind w:firstLine="640" w:firstLineChars="200"/>
        <w:rPr>
          <w:rFonts w:ascii="宋体" w:hAnsi="宋体" w:cs="宋体"/>
          <w:bCs/>
          <w:sz w:val="32"/>
          <w:szCs w:val="32"/>
          <w:highlight w:val="none"/>
        </w:rPr>
      </w:pPr>
      <w:r>
        <w:rPr>
          <w:rFonts w:hint="eastAsia" w:ascii="宋体" w:hAnsi="宋体" w:cs="宋体"/>
          <w:bCs/>
          <w:sz w:val="32"/>
          <w:szCs w:val="32"/>
          <w:highlight w:val="none"/>
          <w:lang w:bidi="ar"/>
        </w:rPr>
        <w:t xml:space="preserve"> </w:t>
      </w:r>
    </w:p>
    <w:p w14:paraId="2D813F7A">
      <w:pPr>
        <w:autoSpaceDE w:val="0"/>
        <w:ind w:firstLine="640" w:firstLineChars="200"/>
        <w:rPr>
          <w:rFonts w:ascii="宋体" w:hAnsi="宋体" w:cs="宋体"/>
          <w:bCs/>
          <w:sz w:val="32"/>
          <w:szCs w:val="32"/>
          <w:highlight w:val="none"/>
        </w:rPr>
      </w:pPr>
      <w:r>
        <w:rPr>
          <w:rFonts w:hint="eastAsia" w:ascii="宋体" w:hAnsi="宋体" w:cs="宋体"/>
          <w:bCs/>
          <w:sz w:val="32"/>
          <w:szCs w:val="32"/>
          <w:highlight w:val="none"/>
          <w:lang w:bidi="ar"/>
        </w:rPr>
        <w:t>所竞分标（如有则填写，无分标时填写“无”或者留空）：</w:t>
      </w:r>
    </w:p>
    <w:p w14:paraId="630C140A">
      <w:pPr>
        <w:autoSpaceDE w:val="0"/>
        <w:ind w:firstLine="640" w:firstLineChars="200"/>
        <w:rPr>
          <w:rFonts w:ascii="宋体" w:hAnsi="宋体" w:cs="宋体"/>
          <w:bCs/>
          <w:sz w:val="32"/>
          <w:szCs w:val="32"/>
          <w:highlight w:val="none"/>
        </w:rPr>
      </w:pPr>
      <w:r>
        <w:rPr>
          <w:rFonts w:hint="eastAsia" w:ascii="宋体" w:hAnsi="宋体" w:cs="宋体"/>
          <w:bCs/>
          <w:sz w:val="32"/>
          <w:szCs w:val="32"/>
          <w:highlight w:val="none"/>
          <w:lang w:bidi="ar"/>
        </w:rPr>
        <w:t xml:space="preserve"> </w:t>
      </w:r>
    </w:p>
    <w:p w14:paraId="08A7481F">
      <w:pPr>
        <w:autoSpaceDE w:val="0"/>
        <w:ind w:firstLine="640" w:firstLineChars="200"/>
        <w:rPr>
          <w:rFonts w:ascii="宋体" w:hAnsi="宋体" w:cs="宋体"/>
          <w:bCs/>
          <w:sz w:val="32"/>
          <w:szCs w:val="32"/>
          <w:highlight w:val="none"/>
        </w:rPr>
      </w:pPr>
      <w:r>
        <w:rPr>
          <w:rFonts w:hint="eastAsia" w:ascii="宋体" w:hAnsi="宋体" w:cs="宋体"/>
          <w:bCs/>
          <w:sz w:val="32"/>
          <w:szCs w:val="32"/>
          <w:highlight w:val="none"/>
          <w:lang w:bidi="ar"/>
        </w:rPr>
        <w:t>供应商名称：</w:t>
      </w:r>
    </w:p>
    <w:p w14:paraId="288E3FA6">
      <w:pPr>
        <w:autoSpaceDE w:val="0"/>
        <w:ind w:firstLine="640" w:firstLineChars="200"/>
        <w:rPr>
          <w:rFonts w:ascii="宋体" w:hAnsi="宋体" w:cs="宋体"/>
          <w:bCs/>
          <w:sz w:val="32"/>
          <w:szCs w:val="32"/>
          <w:highlight w:val="none"/>
        </w:rPr>
      </w:pPr>
      <w:r>
        <w:rPr>
          <w:rFonts w:hint="eastAsia" w:ascii="宋体" w:hAnsi="宋体" w:cs="宋体"/>
          <w:bCs/>
          <w:sz w:val="32"/>
          <w:szCs w:val="32"/>
          <w:highlight w:val="none"/>
          <w:lang w:bidi="ar"/>
        </w:rPr>
        <w:t xml:space="preserve"> </w:t>
      </w:r>
    </w:p>
    <w:p w14:paraId="57DF5AED">
      <w:pPr>
        <w:autoSpaceDE w:val="0"/>
        <w:ind w:firstLine="640" w:firstLineChars="200"/>
        <w:rPr>
          <w:rFonts w:ascii="宋体" w:hAnsi="宋体" w:cs="宋体"/>
          <w:bCs/>
          <w:sz w:val="32"/>
          <w:szCs w:val="32"/>
          <w:highlight w:val="none"/>
        </w:rPr>
      </w:pPr>
      <w:r>
        <w:rPr>
          <w:rFonts w:hint="eastAsia" w:ascii="宋体" w:hAnsi="宋体" w:cs="宋体"/>
          <w:bCs/>
          <w:sz w:val="32"/>
          <w:szCs w:val="32"/>
          <w:highlight w:val="none"/>
          <w:lang w:bidi="ar"/>
        </w:rPr>
        <w:t xml:space="preserve"> </w:t>
      </w:r>
    </w:p>
    <w:p w14:paraId="2BA92A3B">
      <w:pPr>
        <w:snapToGrid w:val="0"/>
        <w:spacing w:before="156" w:beforeLines="50" w:after="50"/>
        <w:jc w:val="center"/>
        <w:rPr>
          <w:rFonts w:ascii="宋体" w:hAnsi="宋体" w:cs="宋体"/>
          <w:sz w:val="32"/>
          <w:szCs w:val="32"/>
          <w:highlight w:val="none"/>
        </w:rPr>
      </w:pPr>
      <w:r>
        <w:rPr>
          <w:rFonts w:hint="eastAsia" w:ascii="宋体" w:hAnsi="宋体" w:cs="宋体"/>
          <w:sz w:val="32"/>
          <w:szCs w:val="32"/>
          <w:highlight w:val="none"/>
          <w:lang w:bidi="ar"/>
        </w:rPr>
        <w:t>年    月    日</w:t>
      </w:r>
    </w:p>
    <w:p w14:paraId="4C43F983">
      <w:pPr>
        <w:snapToGrid w:val="0"/>
        <w:spacing w:before="156" w:beforeLines="50" w:after="50" w:line="360" w:lineRule="auto"/>
        <w:ind w:left="142"/>
        <w:jc w:val="left"/>
        <w:rPr>
          <w:rFonts w:ascii="宋体" w:hAnsi="宋体" w:cs="宋体"/>
          <w:b/>
          <w:bCs/>
          <w:sz w:val="24"/>
          <w:highlight w:val="none"/>
        </w:rPr>
      </w:pPr>
      <w:r>
        <w:rPr>
          <w:rFonts w:hint="eastAsia" w:ascii="宋体" w:hAnsi="宋体" w:cs="宋体"/>
          <w:sz w:val="24"/>
          <w:highlight w:val="none"/>
          <w:lang w:bidi="ar"/>
        </w:rPr>
        <w:br w:type="page"/>
      </w:r>
      <w:r>
        <w:rPr>
          <w:rFonts w:hint="eastAsia" w:ascii="宋体" w:hAnsi="宋体" w:cs="宋体"/>
          <w:b/>
          <w:bCs/>
          <w:sz w:val="32"/>
          <w:szCs w:val="32"/>
          <w:highlight w:val="none"/>
          <w:lang w:bidi="ar"/>
        </w:rPr>
        <w:t>2.报价商务技术文件目录</w:t>
      </w:r>
    </w:p>
    <w:p w14:paraId="385C6446">
      <w:pPr>
        <w:snapToGrid w:val="0"/>
        <w:spacing w:before="156" w:beforeLines="50" w:after="50" w:line="360" w:lineRule="auto"/>
        <w:ind w:firstLine="640" w:firstLineChars="200"/>
        <w:rPr>
          <w:rFonts w:ascii="宋体" w:hAnsi="宋体" w:cs="宋体"/>
          <w:sz w:val="32"/>
          <w:szCs w:val="32"/>
          <w:highlight w:val="none"/>
        </w:rPr>
      </w:pPr>
      <w:r>
        <w:rPr>
          <w:rFonts w:hint="eastAsia" w:ascii="宋体" w:hAnsi="宋体" w:cs="宋体"/>
          <w:sz w:val="32"/>
          <w:szCs w:val="32"/>
          <w:highlight w:val="none"/>
          <w:lang w:bidi="ar"/>
        </w:rPr>
        <w:t>根据磋商文件规定及供应商提供的材料自行编写目录（部分格式后附）。</w:t>
      </w:r>
    </w:p>
    <w:p w14:paraId="6E0DA587">
      <w:pPr>
        <w:spacing w:line="400" w:lineRule="exact"/>
        <w:rPr>
          <w:rFonts w:ascii="宋体" w:hAnsi="宋体" w:cs="宋体"/>
          <w:sz w:val="32"/>
          <w:szCs w:val="32"/>
          <w:highlight w:val="none"/>
        </w:rPr>
      </w:pPr>
      <w:r>
        <w:rPr>
          <w:rFonts w:hint="eastAsia" w:ascii="宋体" w:hAnsi="宋体" w:cs="宋体"/>
          <w:sz w:val="32"/>
          <w:szCs w:val="32"/>
          <w:highlight w:val="none"/>
          <w:lang w:bidi="ar"/>
        </w:rPr>
        <w:t xml:space="preserve"> </w:t>
      </w:r>
    </w:p>
    <w:p w14:paraId="72A47E31">
      <w:pPr>
        <w:autoSpaceDE w:val="0"/>
        <w:spacing w:before="340" w:after="330" w:line="360" w:lineRule="auto"/>
        <w:jc w:val="center"/>
        <w:rPr>
          <w:rFonts w:ascii="宋体" w:hAnsi="宋体" w:cs="宋体"/>
          <w:b/>
          <w:bCs/>
          <w:sz w:val="44"/>
          <w:szCs w:val="44"/>
          <w:highlight w:val="none"/>
        </w:rPr>
      </w:pPr>
      <w:r>
        <w:rPr>
          <w:rFonts w:hint="eastAsia" w:ascii="宋体" w:hAnsi="宋体" w:cs="宋体"/>
          <w:sz w:val="44"/>
          <w:szCs w:val="44"/>
          <w:highlight w:val="none"/>
          <w:lang w:bidi="ar"/>
        </w:rPr>
        <w:br w:type="page"/>
      </w:r>
      <w:r>
        <w:rPr>
          <w:rFonts w:hint="eastAsia" w:ascii="宋体" w:hAnsi="宋体" w:cs="宋体"/>
          <w:b/>
          <w:bCs/>
          <w:sz w:val="44"/>
          <w:szCs w:val="44"/>
          <w:highlight w:val="none"/>
          <w:lang w:bidi="ar"/>
        </w:rPr>
        <w:t>竞标报价表</w:t>
      </w:r>
    </w:p>
    <w:p w14:paraId="6BAF33B2">
      <w:pPr>
        <w:snapToGrid w:val="0"/>
        <w:spacing w:line="360" w:lineRule="auto"/>
        <w:rPr>
          <w:rFonts w:ascii="宋体" w:hAnsi="宋体" w:cs="宋体"/>
          <w:sz w:val="24"/>
          <w:highlight w:val="none"/>
          <w:u w:val="single"/>
        </w:rPr>
      </w:pPr>
      <w:r>
        <w:rPr>
          <w:rFonts w:hint="eastAsia" w:ascii="宋体" w:hAnsi="宋体" w:cs="宋体"/>
          <w:sz w:val="24"/>
          <w:highlight w:val="none"/>
          <w:lang w:bidi="ar"/>
        </w:rPr>
        <w:t>项目名称：</w:t>
      </w:r>
      <w:r>
        <w:rPr>
          <w:rFonts w:hint="eastAsia" w:ascii="宋体" w:hAnsi="宋体" w:cs="宋体"/>
          <w:sz w:val="24"/>
          <w:highlight w:val="none"/>
          <w:u w:val="single"/>
          <w:lang w:bidi="ar"/>
        </w:rPr>
        <w:t xml:space="preserve">                           </w:t>
      </w:r>
    </w:p>
    <w:p w14:paraId="1D949A20">
      <w:pPr>
        <w:snapToGrid w:val="0"/>
        <w:spacing w:line="360" w:lineRule="auto"/>
        <w:rPr>
          <w:rFonts w:ascii="宋体" w:hAnsi="宋体" w:cs="宋体"/>
          <w:sz w:val="24"/>
          <w:highlight w:val="none"/>
        </w:rPr>
      </w:pPr>
      <w:r>
        <w:rPr>
          <w:rFonts w:hint="eastAsia" w:ascii="宋体" w:hAnsi="宋体" w:cs="宋体"/>
          <w:sz w:val="24"/>
          <w:highlight w:val="none"/>
          <w:lang w:bidi="ar"/>
        </w:rPr>
        <w:t>项目编号：</w:t>
      </w:r>
      <w:r>
        <w:rPr>
          <w:rFonts w:hint="eastAsia" w:ascii="宋体" w:hAnsi="宋体" w:cs="宋体"/>
          <w:sz w:val="24"/>
          <w:highlight w:val="none"/>
          <w:u w:val="single"/>
          <w:lang w:bidi="ar"/>
        </w:rPr>
        <w:t xml:space="preserve">                           </w:t>
      </w:r>
    </w:p>
    <w:p w14:paraId="6976099F">
      <w:pPr>
        <w:snapToGrid w:val="0"/>
        <w:spacing w:line="360" w:lineRule="auto"/>
        <w:rPr>
          <w:rFonts w:ascii="宋体" w:hAnsi="宋体" w:cs="宋体"/>
          <w:sz w:val="24"/>
          <w:highlight w:val="none"/>
          <w:u w:val="single"/>
        </w:rPr>
      </w:pPr>
      <w:r>
        <w:rPr>
          <w:rFonts w:hint="eastAsia" w:ascii="宋体" w:hAnsi="宋体" w:cs="宋体"/>
          <w:sz w:val="24"/>
          <w:highlight w:val="none"/>
          <w:lang w:bidi="ar"/>
        </w:rPr>
        <w:t>分标（如有）：</w:t>
      </w:r>
      <w:r>
        <w:rPr>
          <w:rFonts w:hint="eastAsia" w:ascii="宋体" w:hAnsi="宋体" w:cs="宋体"/>
          <w:sz w:val="24"/>
          <w:highlight w:val="none"/>
          <w:u w:val="single"/>
          <w:lang w:bidi="ar"/>
        </w:rPr>
        <w:t xml:space="preserve">                       </w:t>
      </w:r>
    </w:p>
    <w:p w14:paraId="72FB024F">
      <w:pPr>
        <w:snapToGrid w:val="0"/>
        <w:spacing w:line="360" w:lineRule="auto"/>
        <w:rPr>
          <w:rFonts w:ascii="宋体" w:hAnsi="宋体" w:cs="宋体"/>
          <w:sz w:val="24"/>
          <w:highlight w:val="none"/>
          <w:u w:val="single"/>
        </w:rPr>
      </w:pPr>
      <w:r>
        <w:rPr>
          <w:rFonts w:hint="eastAsia" w:ascii="宋体" w:hAnsi="宋体" w:cs="宋体"/>
          <w:sz w:val="24"/>
          <w:highlight w:val="none"/>
          <w:lang w:bidi="ar"/>
        </w:rPr>
        <w:t>供应商名称：</w:t>
      </w:r>
      <w:r>
        <w:rPr>
          <w:rFonts w:hint="eastAsia" w:ascii="宋体" w:hAnsi="宋体" w:cs="宋体"/>
          <w:sz w:val="24"/>
          <w:highlight w:val="none"/>
          <w:u w:val="single"/>
          <w:lang w:bidi="ar"/>
        </w:rPr>
        <w:t xml:space="preserve">                         </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494"/>
        <w:gridCol w:w="1898"/>
        <w:gridCol w:w="1816"/>
        <w:gridCol w:w="1419"/>
        <w:gridCol w:w="881"/>
      </w:tblGrid>
      <w:tr w14:paraId="6109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0725565A">
            <w:pPr>
              <w:spacing w:line="360" w:lineRule="auto"/>
              <w:jc w:val="center"/>
              <w:rPr>
                <w:rFonts w:ascii="宋体" w:hAnsi="宋体" w:cs="宋体"/>
                <w:sz w:val="24"/>
                <w:highlight w:val="none"/>
              </w:rPr>
            </w:pPr>
            <w:r>
              <w:rPr>
                <w:rFonts w:hint="eastAsia" w:ascii="宋体" w:hAnsi="宋体" w:cs="宋体"/>
                <w:sz w:val="24"/>
                <w:highlight w:val="none"/>
              </w:rPr>
              <w:t>序号</w:t>
            </w:r>
          </w:p>
        </w:tc>
        <w:tc>
          <w:tcPr>
            <w:tcW w:w="2494" w:type="dxa"/>
            <w:tcBorders>
              <w:top w:val="single" w:color="auto" w:sz="4" w:space="0"/>
              <w:left w:val="single" w:color="auto" w:sz="4" w:space="0"/>
              <w:bottom w:val="single" w:color="auto" w:sz="4" w:space="0"/>
              <w:right w:val="single" w:color="auto" w:sz="4" w:space="0"/>
            </w:tcBorders>
            <w:vAlign w:val="center"/>
          </w:tcPr>
          <w:p w14:paraId="60582072">
            <w:pPr>
              <w:spacing w:line="360" w:lineRule="auto"/>
              <w:jc w:val="center"/>
              <w:rPr>
                <w:rFonts w:ascii="宋体" w:hAnsi="宋体" w:cs="宋体"/>
                <w:sz w:val="24"/>
                <w:highlight w:val="none"/>
              </w:rPr>
            </w:pPr>
            <w:r>
              <w:rPr>
                <w:rFonts w:hint="eastAsia" w:ascii="宋体" w:hAnsi="宋体" w:cs="宋体"/>
                <w:sz w:val="24"/>
                <w:highlight w:val="none"/>
              </w:rPr>
              <w:t>分项服务名称</w:t>
            </w:r>
          </w:p>
        </w:tc>
        <w:tc>
          <w:tcPr>
            <w:tcW w:w="1898" w:type="dxa"/>
            <w:tcBorders>
              <w:top w:val="single" w:color="auto" w:sz="4" w:space="0"/>
              <w:left w:val="single" w:color="auto" w:sz="4" w:space="0"/>
              <w:bottom w:val="single" w:color="auto" w:sz="4" w:space="0"/>
              <w:right w:val="single" w:color="auto" w:sz="4" w:space="0"/>
            </w:tcBorders>
            <w:vAlign w:val="center"/>
          </w:tcPr>
          <w:p w14:paraId="1243095B">
            <w:pPr>
              <w:spacing w:line="360" w:lineRule="auto"/>
              <w:jc w:val="center"/>
              <w:rPr>
                <w:rFonts w:ascii="宋体" w:hAnsi="宋体" w:cs="宋体"/>
                <w:sz w:val="24"/>
                <w:highlight w:val="none"/>
              </w:rPr>
            </w:pPr>
            <w:r>
              <w:rPr>
                <w:rFonts w:hint="eastAsia" w:ascii="宋体" w:hAnsi="宋体" w:cs="宋体"/>
                <w:sz w:val="24"/>
                <w:highlight w:val="none"/>
              </w:rPr>
              <w:t>数量（项）</w:t>
            </w:r>
          </w:p>
        </w:tc>
        <w:tc>
          <w:tcPr>
            <w:tcW w:w="1816" w:type="dxa"/>
            <w:tcBorders>
              <w:top w:val="single" w:color="auto" w:sz="4" w:space="0"/>
              <w:left w:val="single" w:color="auto" w:sz="4" w:space="0"/>
              <w:bottom w:val="single" w:color="auto" w:sz="4" w:space="0"/>
              <w:right w:val="single" w:color="auto" w:sz="4" w:space="0"/>
            </w:tcBorders>
            <w:vAlign w:val="center"/>
          </w:tcPr>
          <w:p w14:paraId="35FE44CD">
            <w:pPr>
              <w:spacing w:line="360" w:lineRule="auto"/>
              <w:jc w:val="center"/>
              <w:rPr>
                <w:rFonts w:ascii="宋体" w:hAnsi="宋体" w:cs="宋体"/>
                <w:sz w:val="24"/>
                <w:highlight w:val="none"/>
              </w:rPr>
            </w:pPr>
            <w:r>
              <w:rPr>
                <w:rFonts w:hint="eastAsia" w:ascii="宋体" w:hAnsi="宋体" w:cs="宋体"/>
                <w:sz w:val="24"/>
                <w:highlight w:val="none"/>
              </w:rPr>
              <w:t>单价（元/项）</w:t>
            </w:r>
          </w:p>
        </w:tc>
        <w:tc>
          <w:tcPr>
            <w:tcW w:w="1419" w:type="dxa"/>
            <w:tcBorders>
              <w:top w:val="single" w:color="auto" w:sz="4" w:space="0"/>
              <w:left w:val="single" w:color="auto" w:sz="4" w:space="0"/>
              <w:bottom w:val="single" w:color="auto" w:sz="4" w:space="0"/>
              <w:right w:val="single" w:color="auto" w:sz="4" w:space="0"/>
            </w:tcBorders>
            <w:vAlign w:val="center"/>
          </w:tcPr>
          <w:p w14:paraId="59FBEAEA">
            <w:pPr>
              <w:spacing w:line="360" w:lineRule="auto"/>
              <w:jc w:val="center"/>
              <w:rPr>
                <w:rFonts w:ascii="宋体" w:hAnsi="宋体" w:cs="宋体"/>
                <w:sz w:val="24"/>
                <w:highlight w:val="none"/>
              </w:rPr>
            </w:pPr>
            <w:r>
              <w:rPr>
                <w:rFonts w:hint="eastAsia" w:ascii="宋体" w:hAnsi="宋体" w:cs="宋体"/>
                <w:sz w:val="24"/>
                <w:highlight w:val="none"/>
              </w:rPr>
              <w:t>总价（元）</w:t>
            </w:r>
          </w:p>
        </w:tc>
        <w:tc>
          <w:tcPr>
            <w:tcW w:w="881" w:type="dxa"/>
            <w:tcBorders>
              <w:top w:val="single" w:color="auto" w:sz="4" w:space="0"/>
              <w:left w:val="single" w:color="auto" w:sz="4" w:space="0"/>
              <w:bottom w:val="single" w:color="auto" w:sz="4" w:space="0"/>
              <w:right w:val="single" w:color="auto" w:sz="4" w:space="0"/>
            </w:tcBorders>
            <w:vAlign w:val="center"/>
          </w:tcPr>
          <w:p w14:paraId="704DA050">
            <w:pPr>
              <w:spacing w:line="360" w:lineRule="auto"/>
              <w:jc w:val="center"/>
              <w:rPr>
                <w:rFonts w:ascii="宋体" w:hAnsi="宋体" w:cs="宋体"/>
                <w:sz w:val="24"/>
                <w:highlight w:val="none"/>
              </w:rPr>
            </w:pPr>
            <w:r>
              <w:rPr>
                <w:rFonts w:hint="eastAsia" w:ascii="宋体" w:hAnsi="宋体" w:cs="宋体"/>
                <w:sz w:val="24"/>
                <w:highlight w:val="none"/>
              </w:rPr>
              <w:t>备注</w:t>
            </w:r>
          </w:p>
        </w:tc>
      </w:tr>
      <w:tr w14:paraId="76E6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A0A5484">
            <w:pPr>
              <w:spacing w:line="360" w:lineRule="auto"/>
              <w:jc w:val="center"/>
              <w:rPr>
                <w:rFonts w:ascii="宋体" w:hAnsi="宋体" w:cs="宋体"/>
                <w:sz w:val="24"/>
                <w:highlight w:val="none"/>
              </w:rPr>
            </w:pPr>
            <w:r>
              <w:rPr>
                <w:rFonts w:hint="eastAsia" w:ascii="宋体" w:hAnsi="宋体" w:cs="宋体"/>
                <w:sz w:val="24"/>
                <w:highlight w:val="none"/>
              </w:rPr>
              <w:t>1</w:t>
            </w:r>
          </w:p>
        </w:tc>
        <w:tc>
          <w:tcPr>
            <w:tcW w:w="2494" w:type="dxa"/>
            <w:tcBorders>
              <w:top w:val="single" w:color="auto" w:sz="4" w:space="0"/>
              <w:left w:val="single" w:color="auto" w:sz="4" w:space="0"/>
              <w:bottom w:val="single" w:color="auto" w:sz="4" w:space="0"/>
              <w:right w:val="single" w:color="auto" w:sz="4" w:space="0"/>
            </w:tcBorders>
            <w:vAlign w:val="center"/>
          </w:tcPr>
          <w:p w14:paraId="1061182A">
            <w:pPr>
              <w:spacing w:line="360" w:lineRule="auto"/>
              <w:jc w:val="center"/>
              <w:rPr>
                <w:rFonts w:ascii="宋体" w:hAnsi="宋体" w:cs="宋体"/>
                <w:sz w:val="24"/>
                <w:highlight w:val="none"/>
              </w:rPr>
            </w:pPr>
          </w:p>
        </w:tc>
        <w:tc>
          <w:tcPr>
            <w:tcW w:w="1898" w:type="dxa"/>
            <w:tcBorders>
              <w:top w:val="single" w:color="auto" w:sz="4" w:space="0"/>
              <w:left w:val="single" w:color="auto" w:sz="4" w:space="0"/>
              <w:bottom w:val="single" w:color="auto" w:sz="4" w:space="0"/>
              <w:right w:val="single" w:color="auto" w:sz="4" w:space="0"/>
            </w:tcBorders>
            <w:vAlign w:val="center"/>
          </w:tcPr>
          <w:p w14:paraId="05EEFB77">
            <w:pPr>
              <w:spacing w:line="360" w:lineRule="auto"/>
              <w:jc w:val="center"/>
              <w:rPr>
                <w:rFonts w:ascii="宋体" w:hAnsi="宋体" w:cs="宋体"/>
                <w:sz w:val="24"/>
                <w:highlight w:val="none"/>
              </w:rPr>
            </w:pPr>
          </w:p>
        </w:tc>
        <w:tc>
          <w:tcPr>
            <w:tcW w:w="1816" w:type="dxa"/>
            <w:tcBorders>
              <w:top w:val="single" w:color="auto" w:sz="4" w:space="0"/>
              <w:left w:val="single" w:color="auto" w:sz="4" w:space="0"/>
              <w:bottom w:val="single" w:color="auto" w:sz="4" w:space="0"/>
              <w:right w:val="single" w:color="auto" w:sz="4" w:space="0"/>
            </w:tcBorders>
          </w:tcPr>
          <w:p w14:paraId="57388DB4">
            <w:pPr>
              <w:spacing w:line="360" w:lineRule="auto"/>
              <w:rPr>
                <w:rFonts w:ascii="宋体" w:hAnsi="宋体" w:cs="宋体"/>
                <w:sz w:val="24"/>
                <w:highlight w:val="none"/>
              </w:rPr>
            </w:pPr>
          </w:p>
        </w:tc>
        <w:tc>
          <w:tcPr>
            <w:tcW w:w="1419" w:type="dxa"/>
            <w:tcBorders>
              <w:top w:val="single" w:color="auto" w:sz="4" w:space="0"/>
              <w:left w:val="single" w:color="auto" w:sz="4" w:space="0"/>
              <w:bottom w:val="single" w:color="auto" w:sz="4" w:space="0"/>
              <w:right w:val="single" w:color="auto" w:sz="4" w:space="0"/>
            </w:tcBorders>
          </w:tcPr>
          <w:p w14:paraId="7B0F4349">
            <w:pPr>
              <w:spacing w:line="360" w:lineRule="auto"/>
              <w:rPr>
                <w:rFonts w:ascii="宋体" w:hAnsi="宋体" w:cs="宋体"/>
                <w:sz w:val="24"/>
                <w:highlight w:val="none"/>
              </w:rPr>
            </w:pPr>
          </w:p>
        </w:tc>
        <w:tc>
          <w:tcPr>
            <w:tcW w:w="881" w:type="dxa"/>
            <w:tcBorders>
              <w:top w:val="single" w:color="auto" w:sz="4" w:space="0"/>
              <w:left w:val="single" w:color="auto" w:sz="4" w:space="0"/>
              <w:bottom w:val="single" w:color="auto" w:sz="4" w:space="0"/>
              <w:right w:val="single" w:color="auto" w:sz="4" w:space="0"/>
            </w:tcBorders>
            <w:vAlign w:val="center"/>
          </w:tcPr>
          <w:p w14:paraId="089D6C4C">
            <w:pPr>
              <w:spacing w:line="360" w:lineRule="auto"/>
              <w:rPr>
                <w:rFonts w:ascii="宋体" w:hAnsi="宋体" w:cs="宋体"/>
                <w:sz w:val="24"/>
                <w:highlight w:val="none"/>
              </w:rPr>
            </w:pPr>
          </w:p>
        </w:tc>
      </w:tr>
      <w:tr w14:paraId="1C71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16415FD0">
            <w:pPr>
              <w:spacing w:line="360" w:lineRule="auto"/>
              <w:jc w:val="center"/>
              <w:rPr>
                <w:rFonts w:ascii="宋体" w:hAnsi="宋体" w:cs="宋体"/>
                <w:sz w:val="24"/>
                <w:highlight w:val="none"/>
              </w:rPr>
            </w:pPr>
          </w:p>
        </w:tc>
        <w:tc>
          <w:tcPr>
            <w:tcW w:w="2494" w:type="dxa"/>
            <w:tcBorders>
              <w:top w:val="single" w:color="auto" w:sz="4" w:space="0"/>
              <w:left w:val="single" w:color="auto" w:sz="4" w:space="0"/>
              <w:bottom w:val="single" w:color="auto" w:sz="4" w:space="0"/>
              <w:right w:val="single" w:color="auto" w:sz="4" w:space="0"/>
            </w:tcBorders>
            <w:vAlign w:val="center"/>
          </w:tcPr>
          <w:p w14:paraId="77F7B90E">
            <w:pPr>
              <w:spacing w:line="360" w:lineRule="auto"/>
              <w:jc w:val="center"/>
              <w:rPr>
                <w:rFonts w:ascii="宋体" w:hAnsi="宋体" w:cs="宋体"/>
                <w:sz w:val="24"/>
                <w:highlight w:val="none"/>
              </w:rPr>
            </w:pPr>
            <w:r>
              <w:rPr>
                <w:rFonts w:hint="eastAsia" w:ascii="宋体" w:hAnsi="宋体" w:cs="宋体"/>
                <w:sz w:val="24"/>
                <w:highlight w:val="none"/>
              </w:rPr>
              <w:t>......</w:t>
            </w:r>
          </w:p>
        </w:tc>
        <w:tc>
          <w:tcPr>
            <w:tcW w:w="1898" w:type="dxa"/>
            <w:tcBorders>
              <w:top w:val="single" w:color="auto" w:sz="4" w:space="0"/>
              <w:left w:val="single" w:color="auto" w:sz="4" w:space="0"/>
              <w:bottom w:val="single" w:color="auto" w:sz="4" w:space="0"/>
              <w:right w:val="single" w:color="auto" w:sz="4" w:space="0"/>
            </w:tcBorders>
            <w:vAlign w:val="center"/>
          </w:tcPr>
          <w:p w14:paraId="252D600D">
            <w:pPr>
              <w:spacing w:line="360" w:lineRule="auto"/>
              <w:rPr>
                <w:rFonts w:ascii="宋体" w:hAnsi="宋体" w:cs="宋体"/>
                <w:sz w:val="24"/>
                <w:highlight w:val="none"/>
              </w:rPr>
            </w:pPr>
          </w:p>
        </w:tc>
        <w:tc>
          <w:tcPr>
            <w:tcW w:w="1816" w:type="dxa"/>
            <w:tcBorders>
              <w:top w:val="single" w:color="auto" w:sz="4" w:space="0"/>
              <w:left w:val="single" w:color="auto" w:sz="4" w:space="0"/>
              <w:bottom w:val="single" w:color="auto" w:sz="4" w:space="0"/>
              <w:right w:val="single" w:color="auto" w:sz="4" w:space="0"/>
            </w:tcBorders>
          </w:tcPr>
          <w:p w14:paraId="14FE86EA">
            <w:pPr>
              <w:spacing w:line="360" w:lineRule="auto"/>
              <w:rPr>
                <w:rFonts w:ascii="宋体" w:hAnsi="宋体" w:cs="宋体"/>
                <w:sz w:val="24"/>
                <w:highlight w:val="none"/>
              </w:rPr>
            </w:pPr>
          </w:p>
        </w:tc>
        <w:tc>
          <w:tcPr>
            <w:tcW w:w="1419" w:type="dxa"/>
            <w:tcBorders>
              <w:top w:val="single" w:color="auto" w:sz="4" w:space="0"/>
              <w:left w:val="single" w:color="auto" w:sz="4" w:space="0"/>
              <w:bottom w:val="single" w:color="auto" w:sz="4" w:space="0"/>
              <w:right w:val="single" w:color="auto" w:sz="4" w:space="0"/>
            </w:tcBorders>
          </w:tcPr>
          <w:p w14:paraId="699D62B3">
            <w:pPr>
              <w:spacing w:line="360" w:lineRule="auto"/>
              <w:rPr>
                <w:rFonts w:ascii="宋体" w:hAnsi="宋体" w:cs="宋体"/>
                <w:sz w:val="24"/>
                <w:highlight w:val="none"/>
              </w:rPr>
            </w:pPr>
          </w:p>
        </w:tc>
        <w:tc>
          <w:tcPr>
            <w:tcW w:w="881" w:type="dxa"/>
            <w:tcBorders>
              <w:top w:val="single" w:color="auto" w:sz="4" w:space="0"/>
              <w:left w:val="single" w:color="auto" w:sz="4" w:space="0"/>
              <w:bottom w:val="single" w:color="auto" w:sz="4" w:space="0"/>
              <w:right w:val="single" w:color="auto" w:sz="4" w:space="0"/>
            </w:tcBorders>
            <w:vAlign w:val="center"/>
          </w:tcPr>
          <w:p w14:paraId="7A70521F">
            <w:pPr>
              <w:spacing w:line="360" w:lineRule="auto"/>
              <w:rPr>
                <w:rFonts w:ascii="宋体" w:hAnsi="宋体" w:cs="宋体"/>
                <w:sz w:val="24"/>
                <w:highlight w:val="none"/>
              </w:rPr>
            </w:pPr>
          </w:p>
        </w:tc>
      </w:tr>
      <w:tr w14:paraId="71E9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right"/>
        </w:trPr>
        <w:tc>
          <w:tcPr>
            <w:tcW w:w="6795" w:type="dxa"/>
            <w:gridSpan w:val="4"/>
            <w:tcBorders>
              <w:top w:val="single" w:color="auto" w:sz="4" w:space="0"/>
              <w:left w:val="single" w:color="auto" w:sz="4" w:space="0"/>
              <w:bottom w:val="single" w:color="auto" w:sz="4" w:space="0"/>
              <w:right w:val="single" w:color="auto" w:sz="4" w:space="0"/>
            </w:tcBorders>
            <w:vAlign w:val="center"/>
          </w:tcPr>
          <w:p w14:paraId="613A4491">
            <w:pPr>
              <w:spacing w:line="360" w:lineRule="auto"/>
              <w:rPr>
                <w:rFonts w:ascii="宋体" w:hAnsi="宋体" w:cs="宋体"/>
                <w:sz w:val="24"/>
                <w:highlight w:val="none"/>
              </w:rPr>
            </w:pPr>
            <w:r>
              <w:rPr>
                <w:rFonts w:hint="eastAsia" w:ascii="宋体" w:hAnsi="宋体" w:cs="宋体"/>
                <w:sz w:val="24"/>
                <w:highlight w:val="none"/>
              </w:rPr>
              <w:t>合计（元）</w:t>
            </w:r>
          </w:p>
        </w:tc>
        <w:tc>
          <w:tcPr>
            <w:tcW w:w="1419" w:type="dxa"/>
            <w:tcBorders>
              <w:top w:val="single" w:color="auto" w:sz="4" w:space="0"/>
              <w:left w:val="single" w:color="auto" w:sz="4" w:space="0"/>
              <w:bottom w:val="single" w:color="auto" w:sz="4" w:space="0"/>
              <w:right w:val="single" w:color="auto" w:sz="4" w:space="0"/>
            </w:tcBorders>
          </w:tcPr>
          <w:p w14:paraId="6BA1135B">
            <w:pPr>
              <w:spacing w:line="360" w:lineRule="auto"/>
              <w:rPr>
                <w:rFonts w:ascii="宋体" w:hAnsi="宋体" w:cs="宋体"/>
                <w:sz w:val="24"/>
                <w:highlight w:val="none"/>
              </w:rPr>
            </w:pPr>
          </w:p>
        </w:tc>
        <w:tc>
          <w:tcPr>
            <w:tcW w:w="881" w:type="dxa"/>
            <w:tcBorders>
              <w:top w:val="single" w:color="auto" w:sz="4" w:space="0"/>
              <w:left w:val="single" w:color="auto" w:sz="4" w:space="0"/>
              <w:bottom w:val="single" w:color="auto" w:sz="4" w:space="0"/>
              <w:right w:val="single" w:color="auto" w:sz="4" w:space="0"/>
            </w:tcBorders>
            <w:vAlign w:val="center"/>
          </w:tcPr>
          <w:p w14:paraId="4A3B7D0D">
            <w:pPr>
              <w:spacing w:line="360" w:lineRule="auto"/>
              <w:rPr>
                <w:rFonts w:ascii="宋体" w:hAnsi="宋体" w:cs="宋体"/>
                <w:sz w:val="24"/>
                <w:highlight w:val="none"/>
              </w:rPr>
            </w:pPr>
          </w:p>
        </w:tc>
      </w:tr>
      <w:tr w14:paraId="7ACA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right"/>
        </w:trPr>
        <w:tc>
          <w:tcPr>
            <w:tcW w:w="9095" w:type="dxa"/>
            <w:gridSpan w:val="6"/>
            <w:tcBorders>
              <w:top w:val="single" w:color="auto" w:sz="4" w:space="0"/>
              <w:left w:val="single" w:color="auto" w:sz="4" w:space="0"/>
              <w:bottom w:val="single" w:color="auto" w:sz="4" w:space="0"/>
              <w:right w:val="single" w:color="auto" w:sz="4" w:space="0"/>
            </w:tcBorders>
            <w:vAlign w:val="center"/>
          </w:tcPr>
          <w:p w14:paraId="208873F9">
            <w:pPr>
              <w:spacing w:line="360" w:lineRule="auto"/>
              <w:rPr>
                <w:rFonts w:ascii="宋体" w:hAnsi="宋体" w:cs="宋体"/>
                <w:sz w:val="24"/>
                <w:highlight w:val="none"/>
              </w:rPr>
            </w:pPr>
            <w:r>
              <w:rPr>
                <w:rFonts w:hint="eastAsia" w:ascii="宋体" w:hAnsi="宋体" w:cs="宋体"/>
                <w:sz w:val="24"/>
                <w:highlight w:val="none"/>
              </w:rPr>
              <w:t>合计金额大写：人民币</w:t>
            </w:r>
            <w:r>
              <w:rPr>
                <w:rFonts w:hint="eastAsia" w:ascii="宋体" w:hAnsi="宋体" w:cs="宋体"/>
                <w:sz w:val="24"/>
                <w:highlight w:val="none"/>
                <w:u w:val="single"/>
              </w:rPr>
              <w:t xml:space="preserve">           </w:t>
            </w:r>
            <w:r>
              <w:rPr>
                <w:rFonts w:hint="eastAsia" w:ascii="宋体" w:hAnsi="宋体" w:cs="宋体"/>
                <w:sz w:val="24"/>
                <w:highlight w:val="none"/>
              </w:rPr>
              <w:t>（</w:t>
            </w:r>
            <w:r>
              <w:rPr>
                <w:rFonts w:ascii="Arial" w:hAnsi="Arial" w:cs="Arial"/>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0B9D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right"/>
        </w:trPr>
        <w:tc>
          <w:tcPr>
            <w:tcW w:w="9095" w:type="dxa"/>
            <w:gridSpan w:val="6"/>
            <w:tcBorders>
              <w:top w:val="single" w:color="auto" w:sz="4" w:space="0"/>
              <w:left w:val="single" w:color="auto" w:sz="4" w:space="0"/>
              <w:bottom w:val="single" w:color="auto" w:sz="4" w:space="0"/>
              <w:right w:val="single" w:color="auto" w:sz="4" w:space="0"/>
            </w:tcBorders>
            <w:vAlign w:val="center"/>
          </w:tcPr>
          <w:p w14:paraId="7A857A5A">
            <w:pPr>
              <w:spacing w:line="360" w:lineRule="auto"/>
              <w:rPr>
                <w:rFonts w:ascii="宋体" w:hAnsi="宋体" w:cs="宋体"/>
                <w:sz w:val="24"/>
                <w:highlight w:val="none"/>
              </w:rPr>
            </w:pPr>
            <w:r>
              <w:rPr>
                <w:rFonts w:hint="eastAsia" w:ascii="宋体" w:hAnsi="宋体" w:cs="宋体"/>
                <w:sz w:val="24"/>
                <w:highlight w:val="none"/>
              </w:rPr>
              <w:t>合同履约期限：</w:t>
            </w:r>
          </w:p>
        </w:tc>
      </w:tr>
    </w:tbl>
    <w:p w14:paraId="7689EA54">
      <w:pPr>
        <w:autoSpaceDE w:val="0"/>
        <w:spacing w:line="360" w:lineRule="auto"/>
        <w:jc w:val="left"/>
        <w:rPr>
          <w:rFonts w:ascii="宋体" w:hAnsi="宋体" w:cs="宋体"/>
          <w:szCs w:val="21"/>
          <w:highlight w:val="none"/>
        </w:rPr>
      </w:pPr>
      <w:r>
        <w:rPr>
          <w:rFonts w:hint="eastAsia" w:ascii="宋体" w:hAnsi="宋体" w:cs="宋体"/>
          <w:sz w:val="24"/>
          <w:highlight w:val="none"/>
          <w:lang w:bidi="ar"/>
        </w:rPr>
        <w:t>注：</w:t>
      </w:r>
    </w:p>
    <w:p w14:paraId="279C98EB">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1.供应商的报价表必须加盖供应商公章并由法定代表人或者委托代理人签字或者盖章，</w:t>
      </w:r>
      <w:r>
        <w:rPr>
          <w:rFonts w:hint="eastAsia" w:ascii="宋体" w:hAnsi="宋体" w:cs="宋体"/>
          <w:b/>
          <w:sz w:val="24"/>
          <w:highlight w:val="none"/>
        </w:rPr>
        <w:t>否则其响应文件按无效响应处理</w:t>
      </w:r>
      <w:r>
        <w:rPr>
          <w:rFonts w:hint="eastAsia" w:ascii="宋体" w:hAnsi="宋体" w:cs="宋体"/>
          <w:sz w:val="24"/>
          <w:highlight w:val="none"/>
        </w:rPr>
        <w:t>。</w:t>
      </w:r>
    </w:p>
    <w:p w14:paraId="20C26924">
      <w:pPr>
        <w:snapToGrid w:val="0"/>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2.</w:t>
      </w:r>
      <w:r>
        <w:rPr>
          <w:rFonts w:hint="eastAsia" w:ascii="宋体" w:hAnsi="宋体" w:cs="宋体"/>
          <w:sz w:val="24"/>
          <w:highlight w:val="none"/>
        </w:rPr>
        <w:t>报价一经涂改，应在涂改处加盖供应商公章或者由法定代表人或者委托代理人签字或者盖章</w:t>
      </w:r>
      <w:r>
        <w:rPr>
          <w:rFonts w:hint="eastAsia" w:ascii="宋体" w:hAnsi="宋体" w:cs="宋体"/>
          <w:b/>
          <w:sz w:val="24"/>
          <w:highlight w:val="none"/>
        </w:rPr>
        <w:t>，否则其响应文件按无效响应处理。</w:t>
      </w:r>
    </w:p>
    <w:p w14:paraId="25C98774">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3.如为联合体竞标，“供应商名称”处必须列明联合体各方名称，标注联合体牵头人名称，</w:t>
      </w:r>
      <w:r>
        <w:rPr>
          <w:rFonts w:hint="eastAsia" w:ascii="宋体" w:hAnsi="宋体" w:cs="宋体"/>
          <w:b/>
          <w:sz w:val="24"/>
          <w:highlight w:val="none"/>
        </w:rPr>
        <w:t>否则其响应文件按无效响应处理。</w:t>
      </w:r>
    </w:p>
    <w:p w14:paraId="1CC39F97">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4.如为联合体竞标，盖章处须加盖联合体各方公章，</w:t>
      </w:r>
      <w:r>
        <w:rPr>
          <w:rFonts w:hint="eastAsia" w:ascii="宋体" w:hAnsi="宋体" w:cs="宋体"/>
          <w:b/>
          <w:sz w:val="24"/>
          <w:highlight w:val="none"/>
        </w:rPr>
        <w:t>否则其响应文件按无效响应处理。</w:t>
      </w:r>
    </w:p>
    <w:p w14:paraId="3B893116">
      <w:pPr>
        <w:autoSpaceDE w:val="0"/>
        <w:spacing w:line="360" w:lineRule="auto"/>
        <w:ind w:firstLine="480" w:firstLineChars="200"/>
        <w:rPr>
          <w:rFonts w:ascii="宋体" w:hAnsi="宋体" w:cs="宋体"/>
          <w:b/>
          <w:spacing w:val="-6"/>
          <w:sz w:val="24"/>
          <w:highlight w:val="none"/>
        </w:rPr>
      </w:pPr>
      <w:r>
        <w:rPr>
          <w:rFonts w:hint="eastAsia" w:ascii="宋体" w:hAnsi="宋体" w:cs="宋体"/>
          <w:sz w:val="24"/>
          <w:highlight w:val="none"/>
        </w:rPr>
        <w:t>5.</w:t>
      </w:r>
      <w:r>
        <w:rPr>
          <w:rFonts w:hint="eastAsia" w:ascii="宋体" w:hAnsi="宋体" w:cs="宋体"/>
          <w:spacing w:val="-6"/>
          <w:sz w:val="24"/>
          <w:highlight w:val="none"/>
        </w:rPr>
        <w:t>如有多分标，分别列明各分标的报价表，</w:t>
      </w:r>
      <w:r>
        <w:rPr>
          <w:rFonts w:hint="eastAsia" w:ascii="宋体" w:hAnsi="宋体" w:cs="宋体"/>
          <w:b/>
          <w:spacing w:val="-6"/>
          <w:sz w:val="24"/>
          <w:highlight w:val="none"/>
        </w:rPr>
        <w:t>否则其响应文件按无效响应处理。</w:t>
      </w:r>
    </w:p>
    <w:p w14:paraId="2C1D592C">
      <w:pPr>
        <w:autoSpaceDE w:val="0"/>
        <w:spacing w:line="360" w:lineRule="auto"/>
        <w:ind w:firstLine="4320" w:firstLineChars="1800"/>
        <w:rPr>
          <w:rFonts w:ascii="宋体" w:hAnsi="宋体" w:cs="宋体"/>
          <w:sz w:val="24"/>
          <w:highlight w:val="none"/>
        </w:rPr>
      </w:pPr>
      <w:r>
        <w:rPr>
          <w:rFonts w:hint="eastAsia" w:ascii="宋体" w:hAnsi="宋体" w:cs="宋体"/>
          <w:sz w:val="24"/>
          <w:highlight w:val="none"/>
          <w:lang w:bidi="ar"/>
        </w:rPr>
        <w:t xml:space="preserve"> </w:t>
      </w:r>
    </w:p>
    <w:p w14:paraId="5BA4FB07">
      <w:pPr>
        <w:autoSpaceDE w:val="0"/>
        <w:spacing w:line="360" w:lineRule="auto"/>
        <w:ind w:firstLine="4320" w:firstLineChars="1800"/>
        <w:rPr>
          <w:rFonts w:ascii="宋体" w:hAnsi="宋体" w:cs="宋体"/>
          <w:sz w:val="24"/>
          <w:highlight w:val="none"/>
        </w:rPr>
      </w:pPr>
      <w:r>
        <w:rPr>
          <w:rFonts w:hint="eastAsia" w:ascii="宋体" w:hAnsi="宋体" w:cs="宋体"/>
          <w:sz w:val="24"/>
          <w:highlight w:val="none"/>
          <w:lang w:bidi="ar"/>
        </w:rPr>
        <w:t>法定代表人或者委托代理人（签字或签章）：</w:t>
      </w:r>
    </w:p>
    <w:p w14:paraId="25513A85">
      <w:pPr>
        <w:autoSpaceDE w:val="0"/>
        <w:spacing w:line="360" w:lineRule="auto"/>
        <w:ind w:firstLine="4320" w:firstLineChars="1800"/>
        <w:rPr>
          <w:rFonts w:ascii="宋体" w:hAnsi="宋体" w:cs="宋体"/>
          <w:sz w:val="24"/>
          <w:highlight w:val="none"/>
        </w:rPr>
      </w:pPr>
      <w:r>
        <w:rPr>
          <w:rFonts w:hint="eastAsia" w:ascii="宋体" w:hAnsi="宋体" w:cs="宋体"/>
          <w:sz w:val="24"/>
          <w:highlight w:val="none"/>
          <w:lang w:bidi="ar"/>
        </w:rPr>
        <w:t>供应商（电子签章）：</w:t>
      </w:r>
    </w:p>
    <w:p w14:paraId="0D375BC2">
      <w:pPr>
        <w:autoSpaceDE w:val="0"/>
        <w:spacing w:line="360" w:lineRule="auto"/>
        <w:ind w:firstLine="4320" w:firstLineChars="1800"/>
        <w:rPr>
          <w:rFonts w:ascii="宋体" w:hAnsi="宋体" w:cs="宋体"/>
          <w:sz w:val="24"/>
          <w:highlight w:val="none"/>
        </w:rPr>
      </w:pPr>
      <w:r>
        <w:rPr>
          <w:rFonts w:hint="eastAsia" w:ascii="宋体" w:hAnsi="宋体" w:cs="宋体"/>
          <w:sz w:val="24"/>
          <w:highlight w:val="none"/>
          <w:lang w:bidi="ar"/>
        </w:rPr>
        <w:t>日期：   年   月   日</w:t>
      </w:r>
    </w:p>
    <w:p w14:paraId="700E9760">
      <w:pPr>
        <w:autoSpaceDE w:val="0"/>
        <w:spacing w:before="340" w:after="330" w:line="360" w:lineRule="auto"/>
        <w:jc w:val="center"/>
        <w:rPr>
          <w:rFonts w:ascii="宋体" w:hAnsi="宋体" w:cs="宋体"/>
          <w:b/>
          <w:bCs/>
          <w:sz w:val="44"/>
          <w:szCs w:val="44"/>
          <w:highlight w:val="none"/>
        </w:rPr>
      </w:pPr>
      <w:r>
        <w:rPr>
          <w:rFonts w:hint="eastAsia" w:ascii="宋体" w:hAnsi="宋体" w:cs="宋体"/>
          <w:sz w:val="24"/>
          <w:highlight w:val="none"/>
          <w:lang w:bidi="ar"/>
        </w:rPr>
        <w:br w:type="page"/>
      </w:r>
      <w:r>
        <w:rPr>
          <w:rFonts w:hint="eastAsia" w:ascii="宋体" w:hAnsi="宋体" w:cs="宋体"/>
          <w:b/>
          <w:bCs/>
          <w:sz w:val="44"/>
          <w:szCs w:val="44"/>
          <w:highlight w:val="none"/>
          <w:lang w:bidi="ar"/>
        </w:rPr>
        <w:t>商务条款偏离表格式</w:t>
      </w:r>
    </w:p>
    <w:p w14:paraId="25192EDF">
      <w:pPr>
        <w:spacing w:line="500" w:lineRule="exact"/>
        <w:jc w:val="center"/>
        <w:outlineLvl w:val="1"/>
        <w:rPr>
          <w:rFonts w:ascii="宋体" w:hAnsi="宋体" w:cs="宋体"/>
          <w:b/>
          <w:sz w:val="32"/>
          <w:szCs w:val="32"/>
          <w:highlight w:val="none"/>
        </w:rPr>
      </w:pPr>
      <w:bookmarkStart w:id="63" w:name="_Toc5976"/>
      <w:r>
        <w:rPr>
          <w:rFonts w:hint="eastAsia" w:ascii="宋体" w:hAnsi="宋体" w:cs="宋体"/>
          <w:bCs/>
          <w:sz w:val="32"/>
          <w:szCs w:val="32"/>
          <w:highlight w:val="none"/>
          <w:lang w:bidi="ar"/>
        </w:rPr>
        <w:t>（注：按采购需求具体条款修改）</w:t>
      </w:r>
      <w:bookmarkEnd w:id="63"/>
    </w:p>
    <w:p w14:paraId="52F6AC66">
      <w:pPr>
        <w:snapToGrid w:val="0"/>
        <w:spacing w:before="50" w:line="360" w:lineRule="auto"/>
        <w:jc w:val="left"/>
        <w:rPr>
          <w:rFonts w:ascii="宋体" w:hAnsi="宋体" w:cs="宋体"/>
          <w:sz w:val="24"/>
          <w:highlight w:val="none"/>
        </w:rPr>
      </w:pPr>
      <w:r>
        <w:rPr>
          <w:rFonts w:hint="eastAsia" w:ascii="宋体" w:hAnsi="宋体" w:cs="宋体"/>
          <w:sz w:val="24"/>
          <w:highlight w:val="none"/>
          <w:lang w:bidi="ar"/>
        </w:rPr>
        <w:t xml:space="preserve"> </w:t>
      </w:r>
    </w:p>
    <w:p w14:paraId="7E4EB25F">
      <w:pPr>
        <w:spacing w:line="360" w:lineRule="auto"/>
        <w:rPr>
          <w:rFonts w:ascii="宋体" w:hAnsi="宋体" w:cs="宋体"/>
          <w:sz w:val="24"/>
          <w:highlight w:val="none"/>
          <w:u w:val="single"/>
        </w:rPr>
      </w:pPr>
      <w:r>
        <w:rPr>
          <w:rFonts w:hint="eastAsia" w:ascii="宋体" w:hAnsi="宋体" w:cs="宋体"/>
          <w:sz w:val="24"/>
          <w:highlight w:val="none"/>
          <w:lang w:bidi="ar"/>
        </w:rPr>
        <w:t>项目名称：</w:t>
      </w:r>
      <w:r>
        <w:rPr>
          <w:rFonts w:hint="eastAsia" w:ascii="宋体" w:hAnsi="宋体" w:cs="宋体"/>
          <w:sz w:val="24"/>
          <w:highlight w:val="none"/>
          <w:u w:val="single"/>
          <w:lang w:bidi="ar"/>
        </w:rPr>
        <w:t xml:space="preserve">                 </w:t>
      </w:r>
    </w:p>
    <w:p w14:paraId="02D095E0">
      <w:pPr>
        <w:spacing w:line="360" w:lineRule="auto"/>
        <w:rPr>
          <w:rFonts w:ascii="宋体" w:hAnsi="宋体" w:cs="宋体"/>
          <w:sz w:val="24"/>
          <w:highlight w:val="none"/>
          <w:u w:val="single"/>
        </w:rPr>
      </w:pPr>
      <w:r>
        <w:rPr>
          <w:rFonts w:hint="eastAsia" w:ascii="宋体" w:hAnsi="宋体" w:cs="宋体"/>
          <w:sz w:val="24"/>
          <w:highlight w:val="none"/>
          <w:lang w:bidi="ar"/>
        </w:rPr>
        <w:t>项目编号：</w:t>
      </w:r>
      <w:r>
        <w:rPr>
          <w:rFonts w:hint="eastAsia" w:ascii="宋体" w:hAnsi="宋体" w:cs="宋体"/>
          <w:sz w:val="24"/>
          <w:highlight w:val="none"/>
          <w:u w:val="single"/>
          <w:lang w:bidi="ar"/>
        </w:rPr>
        <w:t xml:space="preserve">                 </w:t>
      </w:r>
    </w:p>
    <w:p w14:paraId="2D12F715">
      <w:pPr>
        <w:pStyle w:val="27"/>
        <w:spacing w:line="360" w:lineRule="auto"/>
        <w:rPr>
          <w:rFonts w:ascii="宋体" w:hAnsi="宋体" w:cs="宋体"/>
          <w:highlight w:val="none"/>
        </w:rPr>
      </w:pPr>
      <w:r>
        <w:rPr>
          <w:rFonts w:hint="eastAsia" w:ascii="宋体" w:hAnsi="宋体" w:cs="宋体"/>
          <w:highlight w:val="none"/>
          <w:lang w:bidi="ar"/>
        </w:rPr>
        <w:t>分标号：</w:t>
      </w:r>
      <w:r>
        <w:rPr>
          <w:rFonts w:hint="eastAsia" w:ascii="宋体" w:hAnsi="宋体" w:cs="宋体"/>
          <w:highlight w:val="none"/>
          <w:u w:val="single"/>
          <w:lang w:bidi="ar"/>
        </w:rPr>
        <w:t xml:space="preserve">                 </w:t>
      </w:r>
    </w:p>
    <w:tbl>
      <w:tblPr>
        <w:tblStyle w:val="30"/>
        <w:tblW w:w="4997"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936"/>
        <w:gridCol w:w="3328"/>
        <w:gridCol w:w="3267"/>
        <w:gridCol w:w="1559"/>
      </w:tblGrid>
      <w:tr w14:paraId="18390A2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14:paraId="39F1312A">
            <w:pPr>
              <w:autoSpaceDE w:val="0"/>
              <w:spacing w:line="360" w:lineRule="auto"/>
              <w:jc w:val="center"/>
              <w:rPr>
                <w:rFonts w:ascii="宋体" w:hAnsi="宋体" w:cs="宋体"/>
                <w:sz w:val="24"/>
                <w:highlight w:val="none"/>
              </w:rPr>
            </w:pPr>
            <w:r>
              <w:rPr>
                <w:rFonts w:hint="eastAsia" w:ascii="宋体" w:hAnsi="宋体" w:cs="宋体"/>
                <w:sz w:val="24"/>
                <w:highlight w:val="none"/>
                <w:lang w:bidi="ar"/>
              </w:rPr>
              <w:t>序号</w:t>
            </w:r>
          </w:p>
        </w:tc>
        <w:tc>
          <w:tcPr>
            <w:tcW w:w="1830" w:type="pct"/>
            <w:tcBorders>
              <w:top w:val="single" w:color="auto" w:sz="4" w:space="0"/>
              <w:left w:val="nil"/>
              <w:bottom w:val="single" w:color="auto" w:sz="4" w:space="0"/>
              <w:right w:val="single" w:color="auto" w:sz="4" w:space="0"/>
            </w:tcBorders>
            <w:shd w:val="clear" w:color="auto" w:fill="auto"/>
            <w:vAlign w:val="center"/>
          </w:tcPr>
          <w:p w14:paraId="1871DF09">
            <w:pPr>
              <w:autoSpaceDE w:val="0"/>
              <w:spacing w:line="360" w:lineRule="auto"/>
              <w:jc w:val="center"/>
              <w:rPr>
                <w:rFonts w:ascii="宋体" w:hAnsi="宋体" w:cs="宋体"/>
                <w:sz w:val="24"/>
                <w:highlight w:val="none"/>
              </w:rPr>
            </w:pPr>
            <w:r>
              <w:rPr>
                <w:rFonts w:hint="eastAsia" w:ascii="宋体" w:hAnsi="宋体" w:cs="宋体"/>
                <w:sz w:val="24"/>
                <w:highlight w:val="none"/>
                <w:lang w:bidi="ar"/>
              </w:rPr>
              <w:t>采购文件商务条款要求</w:t>
            </w:r>
          </w:p>
        </w:tc>
        <w:tc>
          <w:tcPr>
            <w:tcW w:w="1796" w:type="pct"/>
            <w:tcBorders>
              <w:top w:val="single" w:color="auto" w:sz="4" w:space="0"/>
              <w:left w:val="nil"/>
              <w:bottom w:val="single" w:color="auto" w:sz="4" w:space="0"/>
              <w:right w:val="single" w:color="auto" w:sz="4" w:space="0"/>
            </w:tcBorders>
            <w:shd w:val="clear" w:color="auto" w:fill="auto"/>
            <w:vAlign w:val="center"/>
          </w:tcPr>
          <w:p w14:paraId="43E2A98E">
            <w:pPr>
              <w:autoSpaceDE w:val="0"/>
              <w:spacing w:line="360" w:lineRule="auto"/>
              <w:jc w:val="center"/>
              <w:rPr>
                <w:rFonts w:ascii="宋体" w:hAnsi="宋体" w:cs="宋体"/>
                <w:sz w:val="24"/>
                <w:highlight w:val="none"/>
              </w:rPr>
            </w:pPr>
            <w:r>
              <w:rPr>
                <w:rFonts w:hint="eastAsia" w:ascii="宋体" w:hAnsi="宋体" w:cs="宋体"/>
                <w:sz w:val="24"/>
                <w:highlight w:val="none"/>
                <w:lang w:bidi="ar"/>
              </w:rPr>
              <w:t>供应商的承诺</w:t>
            </w:r>
          </w:p>
        </w:tc>
        <w:tc>
          <w:tcPr>
            <w:tcW w:w="857" w:type="pct"/>
            <w:tcBorders>
              <w:top w:val="single" w:color="auto" w:sz="4" w:space="0"/>
              <w:left w:val="nil"/>
              <w:bottom w:val="single" w:color="auto" w:sz="4" w:space="0"/>
              <w:right w:val="single" w:color="auto" w:sz="4" w:space="0"/>
            </w:tcBorders>
            <w:shd w:val="clear" w:color="auto" w:fill="auto"/>
            <w:vAlign w:val="center"/>
          </w:tcPr>
          <w:p w14:paraId="6A85FFBC">
            <w:pPr>
              <w:autoSpaceDE w:val="0"/>
              <w:spacing w:line="360" w:lineRule="auto"/>
              <w:jc w:val="center"/>
              <w:rPr>
                <w:rFonts w:ascii="宋体" w:hAnsi="宋体" w:cs="宋体"/>
                <w:sz w:val="24"/>
                <w:highlight w:val="none"/>
              </w:rPr>
            </w:pPr>
            <w:r>
              <w:rPr>
                <w:rFonts w:hint="eastAsia" w:ascii="宋体" w:hAnsi="宋体" w:cs="宋体"/>
                <w:sz w:val="24"/>
                <w:highlight w:val="none"/>
                <w:lang w:bidi="ar"/>
              </w:rPr>
              <w:t>偏离说明</w:t>
            </w:r>
          </w:p>
        </w:tc>
      </w:tr>
      <w:tr w14:paraId="1D678C8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14:paraId="2C4318A3">
            <w:pPr>
              <w:autoSpaceDE w:val="0"/>
              <w:spacing w:line="360" w:lineRule="auto"/>
              <w:jc w:val="center"/>
              <w:rPr>
                <w:rFonts w:ascii="宋体" w:hAnsi="宋体" w:cs="宋体"/>
                <w:sz w:val="24"/>
                <w:highlight w:val="none"/>
              </w:rPr>
            </w:pPr>
            <w:r>
              <w:rPr>
                <w:rFonts w:hint="eastAsia" w:ascii="宋体" w:hAnsi="宋体" w:cs="宋体"/>
                <w:sz w:val="24"/>
                <w:highlight w:val="none"/>
                <w:lang w:bidi="ar"/>
              </w:rPr>
              <w:t>1</w:t>
            </w:r>
          </w:p>
        </w:tc>
        <w:tc>
          <w:tcPr>
            <w:tcW w:w="1830" w:type="pct"/>
            <w:tcBorders>
              <w:top w:val="single" w:color="auto" w:sz="4" w:space="0"/>
              <w:left w:val="nil"/>
              <w:bottom w:val="single" w:color="auto" w:sz="4" w:space="0"/>
              <w:right w:val="single" w:color="auto" w:sz="4" w:space="0"/>
            </w:tcBorders>
            <w:shd w:val="clear" w:color="auto" w:fill="auto"/>
            <w:vAlign w:val="center"/>
          </w:tcPr>
          <w:p w14:paraId="308B4F62">
            <w:pPr>
              <w:autoSpaceDE w:val="0"/>
              <w:spacing w:line="360" w:lineRule="auto"/>
              <w:jc w:val="center"/>
              <w:rPr>
                <w:rFonts w:ascii="宋体" w:hAnsi="宋体" w:cs="宋体"/>
                <w:sz w:val="24"/>
                <w:highlight w:val="none"/>
              </w:rPr>
            </w:pPr>
          </w:p>
        </w:tc>
        <w:tc>
          <w:tcPr>
            <w:tcW w:w="1796" w:type="pct"/>
            <w:tcBorders>
              <w:top w:val="single" w:color="auto" w:sz="4" w:space="0"/>
              <w:left w:val="nil"/>
              <w:bottom w:val="single" w:color="auto" w:sz="4" w:space="0"/>
              <w:right w:val="single" w:color="auto" w:sz="4" w:space="0"/>
            </w:tcBorders>
            <w:shd w:val="clear" w:color="auto" w:fill="auto"/>
            <w:vAlign w:val="center"/>
          </w:tcPr>
          <w:p w14:paraId="1E5515A8">
            <w:pPr>
              <w:autoSpaceDE w:val="0"/>
              <w:spacing w:line="360" w:lineRule="auto"/>
              <w:jc w:val="center"/>
              <w:rPr>
                <w:rFonts w:ascii="宋体" w:hAnsi="宋体" w:cs="宋体"/>
                <w:sz w:val="24"/>
                <w:highlight w:val="none"/>
              </w:rPr>
            </w:pPr>
          </w:p>
        </w:tc>
        <w:tc>
          <w:tcPr>
            <w:tcW w:w="857" w:type="pct"/>
            <w:tcBorders>
              <w:top w:val="single" w:color="auto" w:sz="4" w:space="0"/>
              <w:left w:val="nil"/>
              <w:bottom w:val="single" w:color="auto" w:sz="4" w:space="0"/>
              <w:right w:val="single" w:color="auto" w:sz="4" w:space="0"/>
            </w:tcBorders>
            <w:shd w:val="clear" w:color="auto" w:fill="auto"/>
            <w:vAlign w:val="center"/>
          </w:tcPr>
          <w:p w14:paraId="4F1C9905">
            <w:pPr>
              <w:autoSpaceDE w:val="0"/>
              <w:spacing w:line="360" w:lineRule="auto"/>
              <w:jc w:val="center"/>
              <w:rPr>
                <w:rFonts w:ascii="宋体" w:hAnsi="宋体" w:cs="宋体"/>
                <w:sz w:val="24"/>
                <w:highlight w:val="none"/>
              </w:rPr>
            </w:pPr>
          </w:p>
        </w:tc>
      </w:tr>
      <w:tr w14:paraId="7C9403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14:paraId="633CE102">
            <w:pPr>
              <w:autoSpaceDE w:val="0"/>
              <w:spacing w:line="360" w:lineRule="auto"/>
              <w:jc w:val="center"/>
              <w:rPr>
                <w:rFonts w:ascii="宋体" w:hAnsi="宋体" w:cs="宋体"/>
                <w:sz w:val="24"/>
                <w:highlight w:val="none"/>
              </w:rPr>
            </w:pPr>
            <w:r>
              <w:rPr>
                <w:rFonts w:hint="eastAsia" w:ascii="宋体" w:hAnsi="宋体" w:cs="宋体"/>
                <w:sz w:val="24"/>
                <w:highlight w:val="none"/>
                <w:lang w:bidi="ar"/>
              </w:rPr>
              <w:t>2</w:t>
            </w:r>
          </w:p>
        </w:tc>
        <w:tc>
          <w:tcPr>
            <w:tcW w:w="1830" w:type="pct"/>
            <w:tcBorders>
              <w:top w:val="single" w:color="auto" w:sz="4" w:space="0"/>
              <w:left w:val="nil"/>
              <w:bottom w:val="single" w:color="auto" w:sz="4" w:space="0"/>
              <w:right w:val="single" w:color="auto" w:sz="4" w:space="0"/>
            </w:tcBorders>
            <w:shd w:val="clear" w:color="auto" w:fill="auto"/>
            <w:vAlign w:val="center"/>
          </w:tcPr>
          <w:p w14:paraId="052F928E">
            <w:pPr>
              <w:autoSpaceDE w:val="0"/>
              <w:spacing w:line="360" w:lineRule="auto"/>
              <w:jc w:val="center"/>
              <w:rPr>
                <w:rFonts w:ascii="宋体" w:hAnsi="宋体" w:cs="宋体"/>
                <w:sz w:val="24"/>
                <w:highlight w:val="none"/>
              </w:rPr>
            </w:pPr>
          </w:p>
        </w:tc>
        <w:tc>
          <w:tcPr>
            <w:tcW w:w="1796" w:type="pct"/>
            <w:tcBorders>
              <w:top w:val="single" w:color="auto" w:sz="4" w:space="0"/>
              <w:left w:val="nil"/>
              <w:bottom w:val="single" w:color="auto" w:sz="4" w:space="0"/>
              <w:right w:val="single" w:color="auto" w:sz="4" w:space="0"/>
            </w:tcBorders>
            <w:shd w:val="clear" w:color="auto" w:fill="auto"/>
            <w:vAlign w:val="center"/>
          </w:tcPr>
          <w:p w14:paraId="79D22704">
            <w:pPr>
              <w:autoSpaceDE w:val="0"/>
              <w:spacing w:line="360" w:lineRule="auto"/>
              <w:jc w:val="center"/>
              <w:rPr>
                <w:rFonts w:ascii="宋体" w:hAnsi="宋体" w:cs="宋体"/>
                <w:sz w:val="24"/>
                <w:highlight w:val="none"/>
              </w:rPr>
            </w:pPr>
          </w:p>
        </w:tc>
        <w:tc>
          <w:tcPr>
            <w:tcW w:w="857" w:type="pct"/>
            <w:tcBorders>
              <w:top w:val="single" w:color="auto" w:sz="4" w:space="0"/>
              <w:left w:val="nil"/>
              <w:bottom w:val="single" w:color="auto" w:sz="4" w:space="0"/>
              <w:right w:val="single" w:color="auto" w:sz="4" w:space="0"/>
            </w:tcBorders>
            <w:shd w:val="clear" w:color="auto" w:fill="auto"/>
            <w:vAlign w:val="center"/>
          </w:tcPr>
          <w:p w14:paraId="63E2C390">
            <w:pPr>
              <w:autoSpaceDE w:val="0"/>
              <w:spacing w:line="360" w:lineRule="auto"/>
              <w:jc w:val="center"/>
              <w:rPr>
                <w:rFonts w:ascii="宋体" w:hAnsi="宋体" w:cs="宋体"/>
                <w:sz w:val="24"/>
                <w:highlight w:val="none"/>
              </w:rPr>
            </w:pPr>
          </w:p>
        </w:tc>
      </w:tr>
      <w:tr w14:paraId="3AC41FC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14:paraId="1E1DCFAF">
            <w:pPr>
              <w:autoSpaceDE w:val="0"/>
              <w:spacing w:line="360" w:lineRule="auto"/>
              <w:jc w:val="center"/>
              <w:rPr>
                <w:rFonts w:ascii="宋体" w:hAnsi="宋体" w:cs="宋体"/>
                <w:sz w:val="24"/>
                <w:highlight w:val="none"/>
              </w:rPr>
            </w:pPr>
            <w:r>
              <w:rPr>
                <w:rFonts w:hint="eastAsia" w:ascii="宋体" w:hAnsi="宋体" w:cs="宋体"/>
                <w:sz w:val="24"/>
                <w:highlight w:val="none"/>
                <w:lang w:bidi="ar"/>
              </w:rPr>
              <w:t>3</w:t>
            </w:r>
          </w:p>
        </w:tc>
        <w:tc>
          <w:tcPr>
            <w:tcW w:w="1830" w:type="pct"/>
            <w:tcBorders>
              <w:top w:val="single" w:color="auto" w:sz="4" w:space="0"/>
              <w:left w:val="nil"/>
              <w:bottom w:val="single" w:color="auto" w:sz="4" w:space="0"/>
              <w:right w:val="single" w:color="auto" w:sz="4" w:space="0"/>
            </w:tcBorders>
            <w:shd w:val="clear" w:color="auto" w:fill="auto"/>
            <w:vAlign w:val="center"/>
          </w:tcPr>
          <w:p w14:paraId="1EE5CCD8">
            <w:pPr>
              <w:autoSpaceDE w:val="0"/>
              <w:spacing w:line="360" w:lineRule="auto"/>
              <w:jc w:val="center"/>
              <w:rPr>
                <w:rFonts w:ascii="宋体" w:hAnsi="宋体" w:cs="宋体"/>
                <w:sz w:val="24"/>
                <w:highlight w:val="none"/>
              </w:rPr>
            </w:pPr>
          </w:p>
        </w:tc>
        <w:tc>
          <w:tcPr>
            <w:tcW w:w="1796" w:type="pct"/>
            <w:tcBorders>
              <w:top w:val="single" w:color="auto" w:sz="4" w:space="0"/>
              <w:left w:val="nil"/>
              <w:bottom w:val="single" w:color="auto" w:sz="4" w:space="0"/>
              <w:right w:val="single" w:color="auto" w:sz="4" w:space="0"/>
            </w:tcBorders>
            <w:shd w:val="clear" w:color="auto" w:fill="auto"/>
            <w:vAlign w:val="center"/>
          </w:tcPr>
          <w:p w14:paraId="3291D507">
            <w:pPr>
              <w:autoSpaceDE w:val="0"/>
              <w:spacing w:line="360" w:lineRule="auto"/>
              <w:jc w:val="center"/>
              <w:rPr>
                <w:rFonts w:ascii="宋体" w:hAnsi="宋体" w:cs="宋体"/>
                <w:sz w:val="24"/>
                <w:highlight w:val="none"/>
              </w:rPr>
            </w:pPr>
          </w:p>
        </w:tc>
        <w:tc>
          <w:tcPr>
            <w:tcW w:w="857" w:type="pct"/>
            <w:tcBorders>
              <w:top w:val="single" w:color="auto" w:sz="4" w:space="0"/>
              <w:left w:val="nil"/>
              <w:bottom w:val="single" w:color="auto" w:sz="4" w:space="0"/>
              <w:right w:val="single" w:color="auto" w:sz="4" w:space="0"/>
            </w:tcBorders>
            <w:shd w:val="clear" w:color="auto" w:fill="auto"/>
            <w:vAlign w:val="center"/>
          </w:tcPr>
          <w:p w14:paraId="42E511CE">
            <w:pPr>
              <w:autoSpaceDE w:val="0"/>
              <w:spacing w:line="360" w:lineRule="auto"/>
              <w:jc w:val="center"/>
              <w:rPr>
                <w:rFonts w:ascii="宋体" w:hAnsi="宋体" w:cs="宋体"/>
                <w:sz w:val="24"/>
                <w:highlight w:val="none"/>
              </w:rPr>
            </w:pPr>
          </w:p>
        </w:tc>
      </w:tr>
      <w:tr w14:paraId="1268F68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14:paraId="0E5FEC76">
            <w:pPr>
              <w:autoSpaceDE w:val="0"/>
              <w:spacing w:line="360" w:lineRule="auto"/>
              <w:jc w:val="center"/>
              <w:rPr>
                <w:rFonts w:ascii="宋体" w:hAnsi="宋体" w:cs="宋体"/>
                <w:sz w:val="24"/>
                <w:highlight w:val="none"/>
              </w:rPr>
            </w:pPr>
            <w:r>
              <w:rPr>
                <w:rFonts w:hint="eastAsia" w:ascii="宋体" w:hAnsi="宋体" w:cs="宋体"/>
                <w:sz w:val="24"/>
                <w:highlight w:val="none"/>
                <w:lang w:bidi="ar"/>
              </w:rPr>
              <w:t>…</w:t>
            </w:r>
          </w:p>
        </w:tc>
        <w:tc>
          <w:tcPr>
            <w:tcW w:w="1830" w:type="pct"/>
            <w:tcBorders>
              <w:top w:val="single" w:color="auto" w:sz="4" w:space="0"/>
              <w:left w:val="nil"/>
              <w:bottom w:val="single" w:color="auto" w:sz="4" w:space="0"/>
              <w:right w:val="single" w:color="auto" w:sz="4" w:space="0"/>
            </w:tcBorders>
            <w:shd w:val="clear" w:color="auto" w:fill="auto"/>
            <w:vAlign w:val="center"/>
          </w:tcPr>
          <w:p w14:paraId="3AD7EBE1">
            <w:pPr>
              <w:autoSpaceDE w:val="0"/>
              <w:spacing w:line="360" w:lineRule="auto"/>
              <w:jc w:val="center"/>
              <w:rPr>
                <w:rFonts w:ascii="宋体" w:hAnsi="宋体" w:cs="宋体"/>
                <w:sz w:val="24"/>
                <w:highlight w:val="none"/>
              </w:rPr>
            </w:pPr>
          </w:p>
        </w:tc>
        <w:tc>
          <w:tcPr>
            <w:tcW w:w="1796" w:type="pct"/>
            <w:tcBorders>
              <w:top w:val="single" w:color="auto" w:sz="4" w:space="0"/>
              <w:left w:val="nil"/>
              <w:bottom w:val="single" w:color="auto" w:sz="4" w:space="0"/>
              <w:right w:val="single" w:color="auto" w:sz="4" w:space="0"/>
            </w:tcBorders>
            <w:shd w:val="clear" w:color="auto" w:fill="auto"/>
            <w:vAlign w:val="center"/>
          </w:tcPr>
          <w:p w14:paraId="30A4F346">
            <w:pPr>
              <w:autoSpaceDE w:val="0"/>
              <w:spacing w:line="360" w:lineRule="auto"/>
              <w:jc w:val="center"/>
              <w:rPr>
                <w:rFonts w:ascii="宋体" w:hAnsi="宋体" w:cs="宋体"/>
                <w:sz w:val="24"/>
                <w:highlight w:val="none"/>
              </w:rPr>
            </w:pPr>
          </w:p>
        </w:tc>
        <w:tc>
          <w:tcPr>
            <w:tcW w:w="857" w:type="pct"/>
            <w:tcBorders>
              <w:top w:val="single" w:color="auto" w:sz="4" w:space="0"/>
              <w:left w:val="nil"/>
              <w:bottom w:val="single" w:color="auto" w:sz="4" w:space="0"/>
              <w:right w:val="single" w:color="auto" w:sz="4" w:space="0"/>
            </w:tcBorders>
            <w:shd w:val="clear" w:color="auto" w:fill="auto"/>
            <w:vAlign w:val="center"/>
          </w:tcPr>
          <w:p w14:paraId="53993B14">
            <w:pPr>
              <w:autoSpaceDE w:val="0"/>
              <w:spacing w:line="360" w:lineRule="auto"/>
              <w:jc w:val="center"/>
              <w:rPr>
                <w:rFonts w:ascii="宋体" w:hAnsi="宋体" w:cs="宋体"/>
                <w:sz w:val="24"/>
                <w:highlight w:val="none"/>
              </w:rPr>
            </w:pPr>
          </w:p>
        </w:tc>
      </w:tr>
    </w:tbl>
    <w:p w14:paraId="21E9371D">
      <w:pPr>
        <w:autoSpaceDE w:val="0"/>
        <w:spacing w:line="360" w:lineRule="auto"/>
        <w:jc w:val="left"/>
        <w:rPr>
          <w:rFonts w:ascii="宋体" w:hAnsi="宋体" w:cs="宋体"/>
          <w:sz w:val="24"/>
          <w:highlight w:val="none"/>
        </w:rPr>
      </w:pPr>
      <w:r>
        <w:rPr>
          <w:rFonts w:hint="eastAsia" w:ascii="宋体" w:hAnsi="宋体" w:cs="宋体"/>
          <w:sz w:val="24"/>
          <w:highlight w:val="none"/>
          <w:lang w:bidi="ar"/>
        </w:rPr>
        <w:t>注：</w:t>
      </w:r>
    </w:p>
    <w:p w14:paraId="39E3658D">
      <w:pPr>
        <w:autoSpaceDE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1. 说明：应对照磋商文件“第三章 采购需求”中的商务条款逐条实质性响应，并作出偏离说明。</w:t>
      </w:r>
    </w:p>
    <w:p w14:paraId="4A09BC89">
      <w:pPr>
        <w:autoSpaceDE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2.供应商应根据自身的承诺，对照磋商文件要求，在“偏离说明”中注明“正偏离”、“负偏离”或者“无偏离”。既不属于“正偏离”也不属于“负偏离”即为“无偏离”。</w:t>
      </w:r>
    </w:p>
    <w:p w14:paraId="6E28D21B">
      <w:pPr>
        <w:autoSpaceDE w:val="0"/>
        <w:spacing w:line="360" w:lineRule="auto"/>
        <w:ind w:firstLine="4320" w:firstLineChars="1800"/>
        <w:rPr>
          <w:rFonts w:ascii="宋体" w:hAnsi="宋体" w:cs="宋体"/>
          <w:sz w:val="24"/>
          <w:highlight w:val="none"/>
        </w:rPr>
      </w:pPr>
      <w:r>
        <w:rPr>
          <w:rFonts w:hint="eastAsia" w:ascii="宋体" w:hAnsi="宋体" w:cs="宋体"/>
          <w:sz w:val="24"/>
          <w:highlight w:val="none"/>
          <w:lang w:bidi="ar"/>
        </w:rPr>
        <w:t xml:space="preserve"> </w:t>
      </w:r>
    </w:p>
    <w:p w14:paraId="3F1A5D74">
      <w:pPr>
        <w:autoSpaceDE w:val="0"/>
        <w:spacing w:line="360" w:lineRule="auto"/>
        <w:ind w:firstLine="4320" w:firstLineChars="1800"/>
        <w:rPr>
          <w:rFonts w:ascii="宋体" w:hAnsi="宋体" w:cs="宋体"/>
          <w:sz w:val="24"/>
          <w:highlight w:val="none"/>
        </w:rPr>
      </w:pPr>
      <w:r>
        <w:rPr>
          <w:rFonts w:hint="eastAsia" w:ascii="宋体" w:hAnsi="宋体" w:cs="宋体"/>
          <w:sz w:val="24"/>
          <w:highlight w:val="none"/>
          <w:lang w:bidi="ar"/>
        </w:rPr>
        <w:t>法定代表人或者委托代理人（签字或签章）：</w:t>
      </w:r>
    </w:p>
    <w:p w14:paraId="084D16F6">
      <w:pPr>
        <w:autoSpaceDE w:val="0"/>
        <w:spacing w:line="360" w:lineRule="auto"/>
        <w:ind w:firstLine="4320" w:firstLineChars="1800"/>
        <w:rPr>
          <w:rFonts w:ascii="宋体" w:hAnsi="宋体" w:cs="宋体"/>
          <w:sz w:val="24"/>
          <w:highlight w:val="none"/>
        </w:rPr>
      </w:pPr>
      <w:r>
        <w:rPr>
          <w:rFonts w:hint="eastAsia" w:ascii="宋体" w:hAnsi="宋体" w:cs="宋体"/>
          <w:sz w:val="24"/>
          <w:highlight w:val="none"/>
          <w:lang w:bidi="ar"/>
        </w:rPr>
        <w:t>供应商（电子签章）：</w:t>
      </w:r>
    </w:p>
    <w:p w14:paraId="624578E0">
      <w:pPr>
        <w:autoSpaceDE w:val="0"/>
        <w:spacing w:line="360" w:lineRule="auto"/>
        <w:ind w:firstLine="4320" w:firstLineChars="1800"/>
        <w:rPr>
          <w:rFonts w:ascii="宋体" w:hAnsi="宋体" w:cs="宋体"/>
          <w:sz w:val="24"/>
          <w:highlight w:val="none"/>
        </w:rPr>
      </w:pPr>
      <w:r>
        <w:rPr>
          <w:rFonts w:hint="eastAsia" w:ascii="宋体" w:hAnsi="宋体" w:cs="宋体"/>
          <w:sz w:val="24"/>
          <w:highlight w:val="none"/>
          <w:lang w:bidi="ar"/>
        </w:rPr>
        <w:t>日期：   年   月   日</w:t>
      </w:r>
    </w:p>
    <w:p w14:paraId="23FCF03F">
      <w:pPr>
        <w:autoSpaceDE w:val="0"/>
        <w:spacing w:before="340" w:after="330" w:line="520" w:lineRule="exact"/>
        <w:jc w:val="center"/>
        <w:rPr>
          <w:rFonts w:ascii="宋体" w:hAnsi="宋体" w:cs="宋体"/>
          <w:b/>
          <w:bCs/>
          <w:sz w:val="44"/>
          <w:szCs w:val="44"/>
          <w:highlight w:val="none"/>
        </w:rPr>
      </w:pPr>
      <w:r>
        <w:rPr>
          <w:rFonts w:hint="eastAsia" w:ascii="宋体" w:hAnsi="宋体" w:cs="宋体"/>
          <w:sz w:val="24"/>
          <w:highlight w:val="none"/>
          <w:lang w:bidi="ar"/>
        </w:rPr>
        <w:br w:type="page"/>
      </w:r>
      <w:r>
        <w:rPr>
          <w:rFonts w:hint="eastAsia" w:ascii="宋体" w:hAnsi="宋体" w:cs="宋体"/>
          <w:b/>
          <w:bCs/>
          <w:sz w:val="44"/>
          <w:szCs w:val="44"/>
          <w:highlight w:val="none"/>
          <w:lang w:bidi="ar"/>
        </w:rPr>
        <w:t>技术需求偏离表格式</w:t>
      </w:r>
    </w:p>
    <w:p w14:paraId="14B43B67">
      <w:pPr>
        <w:spacing w:line="500" w:lineRule="exact"/>
        <w:jc w:val="center"/>
        <w:outlineLvl w:val="1"/>
        <w:rPr>
          <w:rFonts w:ascii="宋体" w:hAnsi="宋体" w:cs="宋体"/>
          <w:bCs/>
          <w:sz w:val="32"/>
          <w:szCs w:val="32"/>
          <w:highlight w:val="none"/>
        </w:rPr>
      </w:pPr>
      <w:bookmarkStart w:id="64" w:name="_Toc3984"/>
      <w:r>
        <w:rPr>
          <w:rFonts w:hint="eastAsia" w:ascii="宋体" w:hAnsi="宋体" w:cs="宋体"/>
          <w:bCs/>
          <w:sz w:val="32"/>
          <w:szCs w:val="32"/>
          <w:highlight w:val="none"/>
          <w:lang w:bidi="ar"/>
        </w:rPr>
        <w:t>（注：按采购需求具体条款修改）</w:t>
      </w:r>
      <w:bookmarkEnd w:id="64"/>
    </w:p>
    <w:p w14:paraId="099BCFE3">
      <w:pPr>
        <w:spacing w:line="360" w:lineRule="auto"/>
        <w:rPr>
          <w:rFonts w:ascii="宋体" w:hAnsi="宋体" w:cs="宋体"/>
          <w:sz w:val="24"/>
          <w:highlight w:val="none"/>
        </w:rPr>
      </w:pPr>
      <w:r>
        <w:rPr>
          <w:rFonts w:hint="eastAsia" w:ascii="宋体" w:hAnsi="宋体" w:cs="宋体"/>
          <w:sz w:val="24"/>
          <w:highlight w:val="none"/>
          <w:lang w:bidi="ar"/>
        </w:rPr>
        <w:t xml:space="preserve"> </w:t>
      </w:r>
    </w:p>
    <w:p w14:paraId="2ADDB8E7">
      <w:pPr>
        <w:spacing w:line="360" w:lineRule="auto"/>
        <w:rPr>
          <w:rFonts w:ascii="宋体" w:hAnsi="宋体" w:cs="宋体"/>
          <w:sz w:val="24"/>
          <w:highlight w:val="none"/>
          <w:u w:val="single"/>
        </w:rPr>
      </w:pPr>
      <w:r>
        <w:rPr>
          <w:rFonts w:hint="eastAsia" w:ascii="宋体" w:hAnsi="宋体" w:cs="宋体"/>
          <w:sz w:val="24"/>
          <w:highlight w:val="none"/>
          <w:lang w:bidi="ar"/>
        </w:rPr>
        <w:t>项目名称：</w:t>
      </w:r>
      <w:r>
        <w:rPr>
          <w:rFonts w:hint="eastAsia" w:ascii="宋体" w:hAnsi="宋体" w:cs="宋体"/>
          <w:sz w:val="24"/>
          <w:highlight w:val="none"/>
          <w:u w:val="single"/>
          <w:lang w:bidi="ar"/>
        </w:rPr>
        <w:t xml:space="preserve">                 </w:t>
      </w:r>
    </w:p>
    <w:p w14:paraId="44F47A7E">
      <w:pPr>
        <w:spacing w:line="360" w:lineRule="auto"/>
        <w:rPr>
          <w:rFonts w:ascii="宋体" w:hAnsi="宋体" w:cs="宋体"/>
          <w:sz w:val="24"/>
          <w:highlight w:val="none"/>
          <w:u w:val="single"/>
        </w:rPr>
      </w:pPr>
      <w:r>
        <w:rPr>
          <w:rFonts w:hint="eastAsia" w:ascii="宋体" w:hAnsi="宋体" w:cs="宋体"/>
          <w:sz w:val="24"/>
          <w:highlight w:val="none"/>
          <w:lang w:bidi="ar"/>
        </w:rPr>
        <w:t>项目编号：</w:t>
      </w:r>
      <w:r>
        <w:rPr>
          <w:rFonts w:hint="eastAsia" w:ascii="宋体" w:hAnsi="宋体" w:cs="宋体"/>
          <w:sz w:val="24"/>
          <w:highlight w:val="none"/>
          <w:u w:val="single"/>
          <w:lang w:bidi="ar"/>
        </w:rPr>
        <w:t xml:space="preserve">                 </w:t>
      </w:r>
    </w:p>
    <w:p w14:paraId="6779A2EB">
      <w:pPr>
        <w:spacing w:line="360" w:lineRule="auto"/>
        <w:rPr>
          <w:rFonts w:ascii="宋体" w:hAnsi="宋体" w:cs="宋体"/>
          <w:sz w:val="24"/>
          <w:highlight w:val="none"/>
          <w:u w:val="single"/>
        </w:rPr>
      </w:pPr>
      <w:r>
        <w:rPr>
          <w:rFonts w:hint="eastAsia" w:ascii="宋体" w:hAnsi="宋体" w:cs="宋体"/>
          <w:sz w:val="24"/>
          <w:highlight w:val="none"/>
          <w:lang w:bidi="ar"/>
        </w:rPr>
        <w:t>分标号：</w:t>
      </w:r>
      <w:r>
        <w:rPr>
          <w:rFonts w:hint="eastAsia" w:ascii="宋体" w:hAnsi="宋体" w:cs="宋体"/>
          <w:sz w:val="24"/>
          <w:highlight w:val="none"/>
          <w:u w:val="single"/>
          <w:lang w:bidi="ar"/>
        </w:rPr>
        <w:t xml:space="preserve">                 </w:t>
      </w:r>
    </w:p>
    <w:tbl>
      <w:tblPr>
        <w:tblStyle w:val="30"/>
        <w:tblW w:w="4997"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773"/>
        <w:gridCol w:w="1601"/>
        <w:gridCol w:w="2790"/>
        <w:gridCol w:w="2641"/>
        <w:gridCol w:w="1285"/>
      </w:tblGrid>
      <w:tr w14:paraId="017F316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6567FDC6">
            <w:pPr>
              <w:autoSpaceDE w:val="0"/>
              <w:spacing w:line="360" w:lineRule="auto"/>
              <w:jc w:val="center"/>
              <w:rPr>
                <w:rFonts w:ascii="宋体" w:hAnsi="宋体" w:cs="宋体"/>
                <w:sz w:val="24"/>
                <w:highlight w:val="none"/>
              </w:rPr>
            </w:pPr>
            <w:r>
              <w:rPr>
                <w:rFonts w:hint="eastAsia" w:ascii="宋体" w:hAnsi="宋体" w:cs="宋体"/>
                <w:sz w:val="24"/>
                <w:highlight w:val="none"/>
                <w:lang w:bidi="ar"/>
              </w:rPr>
              <w:t>序号</w:t>
            </w:r>
          </w:p>
        </w:tc>
        <w:tc>
          <w:tcPr>
            <w:tcW w:w="880" w:type="pct"/>
            <w:tcBorders>
              <w:top w:val="single" w:color="auto" w:sz="4" w:space="0"/>
              <w:left w:val="nil"/>
              <w:bottom w:val="single" w:color="auto" w:sz="4" w:space="0"/>
              <w:right w:val="single" w:color="auto" w:sz="4" w:space="0"/>
            </w:tcBorders>
            <w:shd w:val="clear" w:color="auto" w:fill="auto"/>
            <w:vAlign w:val="center"/>
          </w:tcPr>
          <w:p w14:paraId="7D10DA0E">
            <w:pPr>
              <w:autoSpaceDE w:val="0"/>
              <w:spacing w:line="360" w:lineRule="auto"/>
              <w:jc w:val="center"/>
              <w:rPr>
                <w:rFonts w:ascii="宋体" w:hAnsi="宋体" w:cs="宋体"/>
                <w:sz w:val="24"/>
                <w:highlight w:val="none"/>
              </w:rPr>
            </w:pPr>
            <w:r>
              <w:rPr>
                <w:rFonts w:hint="eastAsia" w:ascii="宋体" w:hAnsi="宋体" w:cs="宋体"/>
                <w:sz w:val="24"/>
                <w:highlight w:val="none"/>
                <w:lang w:bidi="ar"/>
              </w:rPr>
              <w:t>名称</w:t>
            </w:r>
          </w:p>
        </w:tc>
        <w:tc>
          <w:tcPr>
            <w:tcW w:w="1534" w:type="pct"/>
            <w:tcBorders>
              <w:top w:val="single" w:color="auto" w:sz="4" w:space="0"/>
              <w:left w:val="nil"/>
              <w:bottom w:val="single" w:color="auto" w:sz="4" w:space="0"/>
              <w:right w:val="single" w:color="auto" w:sz="4" w:space="0"/>
            </w:tcBorders>
            <w:shd w:val="clear" w:color="auto" w:fill="auto"/>
            <w:vAlign w:val="center"/>
          </w:tcPr>
          <w:p w14:paraId="22C4F071">
            <w:pPr>
              <w:autoSpaceDE w:val="0"/>
              <w:spacing w:line="360" w:lineRule="auto"/>
              <w:jc w:val="center"/>
              <w:rPr>
                <w:rFonts w:ascii="宋体" w:hAnsi="宋体" w:cs="宋体"/>
                <w:sz w:val="24"/>
                <w:highlight w:val="none"/>
              </w:rPr>
            </w:pPr>
            <w:r>
              <w:rPr>
                <w:rFonts w:hint="eastAsia" w:ascii="宋体" w:hAnsi="宋体" w:cs="宋体"/>
                <w:sz w:val="24"/>
                <w:highlight w:val="none"/>
                <w:lang w:bidi="ar"/>
              </w:rPr>
              <w:t>采购文件技术需求要求</w:t>
            </w:r>
          </w:p>
        </w:tc>
        <w:tc>
          <w:tcPr>
            <w:tcW w:w="1452" w:type="pct"/>
            <w:tcBorders>
              <w:top w:val="single" w:color="auto" w:sz="4" w:space="0"/>
              <w:left w:val="nil"/>
              <w:bottom w:val="single" w:color="auto" w:sz="4" w:space="0"/>
              <w:right w:val="single" w:color="auto" w:sz="4" w:space="0"/>
            </w:tcBorders>
            <w:shd w:val="clear" w:color="auto" w:fill="auto"/>
            <w:vAlign w:val="center"/>
          </w:tcPr>
          <w:p w14:paraId="23FB9E7B">
            <w:pPr>
              <w:autoSpaceDE w:val="0"/>
              <w:spacing w:line="360" w:lineRule="auto"/>
              <w:jc w:val="center"/>
              <w:rPr>
                <w:rFonts w:ascii="宋体" w:hAnsi="宋体" w:cs="宋体"/>
                <w:sz w:val="24"/>
                <w:highlight w:val="none"/>
              </w:rPr>
            </w:pPr>
            <w:r>
              <w:rPr>
                <w:rFonts w:hint="eastAsia" w:ascii="宋体" w:hAnsi="宋体" w:cs="宋体"/>
                <w:sz w:val="24"/>
                <w:highlight w:val="none"/>
                <w:lang w:bidi="ar"/>
              </w:rPr>
              <w:t>供应商的承诺</w:t>
            </w:r>
          </w:p>
        </w:tc>
        <w:tc>
          <w:tcPr>
            <w:tcW w:w="706" w:type="pct"/>
            <w:tcBorders>
              <w:top w:val="single" w:color="auto" w:sz="4" w:space="0"/>
              <w:left w:val="nil"/>
              <w:bottom w:val="single" w:color="auto" w:sz="4" w:space="0"/>
              <w:right w:val="single" w:color="auto" w:sz="4" w:space="0"/>
            </w:tcBorders>
            <w:shd w:val="clear" w:color="auto" w:fill="auto"/>
            <w:vAlign w:val="center"/>
          </w:tcPr>
          <w:p w14:paraId="60D1BF65">
            <w:pPr>
              <w:autoSpaceDE w:val="0"/>
              <w:spacing w:line="360" w:lineRule="auto"/>
              <w:jc w:val="center"/>
              <w:rPr>
                <w:rFonts w:ascii="宋体" w:hAnsi="宋体" w:cs="宋体"/>
                <w:sz w:val="24"/>
                <w:highlight w:val="none"/>
              </w:rPr>
            </w:pPr>
            <w:r>
              <w:rPr>
                <w:rFonts w:hint="eastAsia" w:ascii="宋体" w:hAnsi="宋体" w:cs="宋体"/>
                <w:sz w:val="24"/>
                <w:highlight w:val="none"/>
                <w:lang w:bidi="ar"/>
              </w:rPr>
              <w:t>偏离说明</w:t>
            </w:r>
          </w:p>
        </w:tc>
      </w:tr>
      <w:tr w14:paraId="2C38633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3AB9B6A8">
            <w:pPr>
              <w:autoSpaceDE w:val="0"/>
              <w:spacing w:line="360" w:lineRule="auto"/>
              <w:jc w:val="center"/>
              <w:rPr>
                <w:rFonts w:ascii="宋体" w:hAnsi="宋体" w:cs="宋体"/>
                <w:sz w:val="24"/>
                <w:highlight w:val="none"/>
              </w:rPr>
            </w:pPr>
            <w:r>
              <w:rPr>
                <w:rFonts w:hint="eastAsia" w:ascii="宋体" w:hAnsi="宋体" w:cs="宋体"/>
                <w:sz w:val="24"/>
                <w:highlight w:val="none"/>
                <w:lang w:bidi="ar"/>
              </w:rPr>
              <w:t>1</w:t>
            </w:r>
          </w:p>
        </w:tc>
        <w:tc>
          <w:tcPr>
            <w:tcW w:w="880" w:type="pct"/>
            <w:tcBorders>
              <w:top w:val="single" w:color="auto" w:sz="4" w:space="0"/>
              <w:left w:val="nil"/>
              <w:bottom w:val="single" w:color="auto" w:sz="4" w:space="0"/>
              <w:right w:val="single" w:color="auto" w:sz="4" w:space="0"/>
            </w:tcBorders>
            <w:shd w:val="clear" w:color="auto" w:fill="auto"/>
            <w:vAlign w:val="center"/>
          </w:tcPr>
          <w:p w14:paraId="2E639B58">
            <w:pPr>
              <w:autoSpaceDE w:val="0"/>
              <w:spacing w:line="360" w:lineRule="auto"/>
              <w:jc w:val="center"/>
              <w:rPr>
                <w:rFonts w:ascii="宋体" w:hAnsi="宋体" w:cs="宋体"/>
                <w:sz w:val="24"/>
                <w:highlight w:val="none"/>
              </w:rPr>
            </w:pPr>
          </w:p>
        </w:tc>
        <w:tc>
          <w:tcPr>
            <w:tcW w:w="1534" w:type="pct"/>
            <w:tcBorders>
              <w:top w:val="single" w:color="auto" w:sz="4" w:space="0"/>
              <w:left w:val="nil"/>
              <w:bottom w:val="single" w:color="auto" w:sz="4" w:space="0"/>
              <w:right w:val="single" w:color="auto" w:sz="4" w:space="0"/>
            </w:tcBorders>
            <w:shd w:val="clear" w:color="auto" w:fill="auto"/>
            <w:vAlign w:val="center"/>
          </w:tcPr>
          <w:p w14:paraId="78CB0308">
            <w:pPr>
              <w:autoSpaceDE w:val="0"/>
              <w:spacing w:line="360" w:lineRule="auto"/>
              <w:jc w:val="center"/>
              <w:rPr>
                <w:rFonts w:ascii="宋体" w:hAnsi="宋体" w:cs="宋体"/>
                <w:sz w:val="24"/>
                <w:highlight w:val="none"/>
              </w:rPr>
            </w:pPr>
          </w:p>
        </w:tc>
        <w:tc>
          <w:tcPr>
            <w:tcW w:w="1452" w:type="pct"/>
            <w:tcBorders>
              <w:top w:val="single" w:color="auto" w:sz="4" w:space="0"/>
              <w:left w:val="nil"/>
              <w:bottom w:val="single" w:color="auto" w:sz="4" w:space="0"/>
              <w:right w:val="single" w:color="auto" w:sz="4" w:space="0"/>
            </w:tcBorders>
            <w:shd w:val="clear" w:color="auto" w:fill="auto"/>
            <w:vAlign w:val="center"/>
          </w:tcPr>
          <w:p w14:paraId="29DA0BAB">
            <w:pPr>
              <w:autoSpaceDE w:val="0"/>
              <w:spacing w:line="360" w:lineRule="auto"/>
              <w:jc w:val="center"/>
              <w:rPr>
                <w:rFonts w:ascii="宋体" w:hAnsi="宋体" w:cs="宋体"/>
                <w:sz w:val="24"/>
                <w:highlight w:val="none"/>
              </w:rPr>
            </w:pPr>
          </w:p>
        </w:tc>
        <w:tc>
          <w:tcPr>
            <w:tcW w:w="706" w:type="pct"/>
            <w:tcBorders>
              <w:top w:val="single" w:color="auto" w:sz="4" w:space="0"/>
              <w:left w:val="nil"/>
              <w:bottom w:val="single" w:color="auto" w:sz="4" w:space="0"/>
              <w:right w:val="single" w:color="auto" w:sz="4" w:space="0"/>
            </w:tcBorders>
            <w:shd w:val="clear" w:color="auto" w:fill="auto"/>
            <w:vAlign w:val="center"/>
          </w:tcPr>
          <w:p w14:paraId="6DD9910C">
            <w:pPr>
              <w:autoSpaceDE w:val="0"/>
              <w:spacing w:line="360" w:lineRule="auto"/>
              <w:jc w:val="center"/>
              <w:rPr>
                <w:rFonts w:ascii="宋体" w:hAnsi="宋体" w:cs="宋体"/>
                <w:sz w:val="24"/>
                <w:highlight w:val="none"/>
              </w:rPr>
            </w:pPr>
          </w:p>
        </w:tc>
      </w:tr>
      <w:tr w14:paraId="432861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5D4D580E">
            <w:pPr>
              <w:autoSpaceDE w:val="0"/>
              <w:spacing w:line="360" w:lineRule="auto"/>
              <w:jc w:val="center"/>
              <w:rPr>
                <w:rFonts w:ascii="宋体" w:hAnsi="宋体" w:cs="宋体"/>
                <w:sz w:val="24"/>
                <w:highlight w:val="none"/>
              </w:rPr>
            </w:pPr>
            <w:r>
              <w:rPr>
                <w:rFonts w:hint="eastAsia" w:ascii="宋体" w:hAnsi="宋体" w:cs="宋体"/>
                <w:sz w:val="24"/>
                <w:highlight w:val="none"/>
                <w:lang w:bidi="ar"/>
              </w:rPr>
              <w:t>2</w:t>
            </w:r>
          </w:p>
        </w:tc>
        <w:tc>
          <w:tcPr>
            <w:tcW w:w="880" w:type="pct"/>
            <w:tcBorders>
              <w:top w:val="single" w:color="auto" w:sz="4" w:space="0"/>
              <w:left w:val="nil"/>
              <w:bottom w:val="single" w:color="auto" w:sz="4" w:space="0"/>
              <w:right w:val="single" w:color="auto" w:sz="4" w:space="0"/>
            </w:tcBorders>
            <w:shd w:val="clear" w:color="auto" w:fill="auto"/>
            <w:vAlign w:val="center"/>
          </w:tcPr>
          <w:p w14:paraId="5266858B">
            <w:pPr>
              <w:autoSpaceDE w:val="0"/>
              <w:spacing w:line="360" w:lineRule="auto"/>
              <w:jc w:val="center"/>
              <w:rPr>
                <w:rFonts w:ascii="宋体" w:hAnsi="宋体" w:cs="宋体"/>
                <w:sz w:val="24"/>
                <w:highlight w:val="none"/>
              </w:rPr>
            </w:pPr>
          </w:p>
        </w:tc>
        <w:tc>
          <w:tcPr>
            <w:tcW w:w="1534" w:type="pct"/>
            <w:tcBorders>
              <w:top w:val="single" w:color="auto" w:sz="4" w:space="0"/>
              <w:left w:val="nil"/>
              <w:bottom w:val="single" w:color="auto" w:sz="4" w:space="0"/>
              <w:right w:val="single" w:color="auto" w:sz="4" w:space="0"/>
            </w:tcBorders>
            <w:shd w:val="clear" w:color="auto" w:fill="auto"/>
            <w:vAlign w:val="center"/>
          </w:tcPr>
          <w:p w14:paraId="4544AF6F">
            <w:pPr>
              <w:autoSpaceDE w:val="0"/>
              <w:spacing w:line="360" w:lineRule="auto"/>
              <w:jc w:val="center"/>
              <w:rPr>
                <w:rFonts w:ascii="宋体" w:hAnsi="宋体" w:cs="宋体"/>
                <w:sz w:val="24"/>
                <w:highlight w:val="none"/>
              </w:rPr>
            </w:pPr>
          </w:p>
        </w:tc>
        <w:tc>
          <w:tcPr>
            <w:tcW w:w="1452" w:type="pct"/>
            <w:tcBorders>
              <w:top w:val="single" w:color="auto" w:sz="4" w:space="0"/>
              <w:left w:val="nil"/>
              <w:bottom w:val="single" w:color="auto" w:sz="4" w:space="0"/>
              <w:right w:val="single" w:color="auto" w:sz="4" w:space="0"/>
            </w:tcBorders>
            <w:shd w:val="clear" w:color="auto" w:fill="auto"/>
            <w:vAlign w:val="center"/>
          </w:tcPr>
          <w:p w14:paraId="7303E4AC">
            <w:pPr>
              <w:autoSpaceDE w:val="0"/>
              <w:spacing w:line="360" w:lineRule="auto"/>
              <w:jc w:val="center"/>
              <w:rPr>
                <w:rFonts w:ascii="宋体" w:hAnsi="宋体" w:cs="宋体"/>
                <w:sz w:val="24"/>
                <w:highlight w:val="none"/>
              </w:rPr>
            </w:pPr>
          </w:p>
        </w:tc>
        <w:tc>
          <w:tcPr>
            <w:tcW w:w="706" w:type="pct"/>
            <w:tcBorders>
              <w:top w:val="single" w:color="auto" w:sz="4" w:space="0"/>
              <w:left w:val="nil"/>
              <w:bottom w:val="single" w:color="auto" w:sz="4" w:space="0"/>
              <w:right w:val="single" w:color="auto" w:sz="4" w:space="0"/>
            </w:tcBorders>
            <w:shd w:val="clear" w:color="auto" w:fill="auto"/>
            <w:vAlign w:val="center"/>
          </w:tcPr>
          <w:p w14:paraId="2847CE61">
            <w:pPr>
              <w:autoSpaceDE w:val="0"/>
              <w:spacing w:line="360" w:lineRule="auto"/>
              <w:jc w:val="center"/>
              <w:rPr>
                <w:rFonts w:ascii="宋体" w:hAnsi="宋体" w:cs="宋体"/>
                <w:sz w:val="24"/>
                <w:highlight w:val="none"/>
              </w:rPr>
            </w:pPr>
          </w:p>
        </w:tc>
      </w:tr>
      <w:tr w14:paraId="15C305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28378B0A">
            <w:pPr>
              <w:autoSpaceDE w:val="0"/>
              <w:spacing w:line="360" w:lineRule="auto"/>
              <w:jc w:val="center"/>
              <w:rPr>
                <w:rFonts w:ascii="宋体" w:hAnsi="宋体" w:cs="宋体"/>
                <w:sz w:val="24"/>
                <w:highlight w:val="none"/>
              </w:rPr>
            </w:pPr>
            <w:r>
              <w:rPr>
                <w:rFonts w:hint="eastAsia" w:ascii="宋体" w:hAnsi="宋体" w:cs="宋体"/>
                <w:sz w:val="24"/>
                <w:highlight w:val="none"/>
                <w:lang w:bidi="ar"/>
              </w:rPr>
              <w:t>3</w:t>
            </w:r>
          </w:p>
        </w:tc>
        <w:tc>
          <w:tcPr>
            <w:tcW w:w="880" w:type="pct"/>
            <w:tcBorders>
              <w:top w:val="single" w:color="auto" w:sz="4" w:space="0"/>
              <w:left w:val="nil"/>
              <w:bottom w:val="single" w:color="auto" w:sz="4" w:space="0"/>
              <w:right w:val="single" w:color="auto" w:sz="4" w:space="0"/>
            </w:tcBorders>
            <w:shd w:val="clear" w:color="auto" w:fill="auto"/>
            <w:vAlign w:val="center"/>
          </w:tcPr>
          <w:p w14:paraId="61B4FB47">
            <w:pPr>
              <w:autoSpaceDE w:val="0"/>
              <w:spacing w:line="360" w:lineRule="auto"/>
              <w:jc w:val="center"/>
              <w:rPr>
                <w:rFonts w:ascii="宋体" w:hAnsi="宋体" w:cs="宋体"/>
                <w:sz w:val="24"/>
                <w:highlight w:val="none"/>
              </w:rPr>
            </w:pPr>
          </w:p>
        </w:tc>
        <w:tc>
          <w:tcPr>
            <w:tcW w:w="1534" w:type="pct"/>
            <w:tcBorders>
              <w:top w:val="single" w:color="auto" w:sz="4" w:space="0"/>
              <w:left w:val="nil"/>
              <w:bottom w:val="single" w:color="auto" w:sz="4" w:space="0"/>
              <w:right w:val="single" w:color="auto" w:sz="4" w:space="0"/>
            </w:tcBorders>
            <w:shd w:val="clear" w:color="auto" w:fill="auto"/>
            <w:vAlign w:val="center"/>
          </w:tcPr>
          <w:p w14:paraId="29CD638A">
            <w:pPr>
              <w:autoSpaceDE w:val="0"/>
              <w:spacing w:line="360" w:lineRule="auto"/>
              <w:jc w:val="center"/>
              <w:rPr>
                <w:rFonts w:ascii="宋体" w:hAnsi="宋体" w:cs="宋体"/>
                <w:sz w:val="24"/>
                <w:highlight w:val="none"/>
              </w:rPr>
            </w:pPr>
          </w:p>
        </w:tc>
        <w:tc>
          <w:tcPr>
            <w:tcW w:w="1452" w:type="pct"/>
            <w:tcBorders>
              <w:top w:val="single" w:color="auto" w:sz="4" w:space="0"/>
              <w:left w:val="nil"/>
              <w:bottom w:val="single" w:color="auto" w:sz="4" w:space="0"/>
              <w:right w:val="single" w:color="auto" w:sz="4" w:space="0"/>
            </w:tcBorders>
            <w:shd w:val="clear" w:color="auto" w:fill="auto"/>
            <w:vAlign w:val="center"/>
          </w:tcPr>
          <w:p w14:paraId="787A6F65">
            <w:pPr>
              <w:autoSpaceDE w:val="0"/>
              <w:spacing w:line="360" w:lineRule="auto"/>
              <w:jc w:val="center"/>
              <w:rPr>
                <w:rFonts w:ascii="宋体" w:hAnsi="宋体" w:cs="宋体"/>
                <w:sz w:val="24"/>
                <w:highlight w:val="none"/>
              </w:rPr>
            </w:pPr>
          </w:p>
        </w:tc>
        <w:tc>
          <w:tcPr>
            <w:tcW w:w="706" w:type="pct"/>
            <w:tcBorders>
              <w:top w:val="single" w:color="auto" w:sz="4" w:space="0"/>
              <w:left w:val="nil"/>
              <w:bottom w:val="single" w:color="auto" w:sz="4" w:space="0"/>
              <w:right w:val="single" w:color="auto" w:sz="4" w:space="0"/>
            </w:tcBorders>
            <w:shd w:val="clear" w:color="auto" w:fill="auto"/>
            <w:vAlign w:val="center"/>
          </w:tcPr>
          <w:p w14:paraId="11D21BE8">
            <w:pPr>
              <w:autoSpaceDE w:val="0"/>
              <w:spacing w:line="360" w:lineRule="auto"/>
              <w:jc w:val="center"/>
              <w:rPr>
                <w:rFonts w:ascii="宋体" w:hAnsi="宋体" w:cs="宋体"/>
                <w:sz w:val="24"/>
                <w:highlight w:val="none"/>
              </w:rPr>
            </w:pPr>
          </w:p>
        </w:tc>
      </w:tr>
      <w:tr w14:paraId="514681D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3A87E443">
            <w:pPr>
              <w:autoSpaceDE w:val="0"/>
              <w:spacing w:line="360" w:lineRule="auto"/>
              <w:jc w:val="center"/>
              <w:rPr>
                <w:rFonts w:ascii="宋体" w:hAnsi="宋体" w:cs="宋体"/>
                <w:sz w:val="24"/>
                <w:highlight w:val="none"/>
              </w:rPr>
            </w:pPr>
            <w:r>
              <w:rPr>
                <w:rFonts w:hint="eastAsia" w:ascii="宋体" w:hAnsi="宋体" w:cs="宋体"/>
                <w:sz w:val="24"/>
                <w:highlight w:val="none"/>
                <w:lang w:bidi="ar"/>
              </w:rPr>
              <w:t>…</w:t>
            </w:r>
          </w:p>
        </w:tc>
        <w:tc>
          <w:tcPr>
            <w:tcW w:w="880" w:type="pct"/>
            <w:tcBorders>
              <w:top w:val="single" w:color="auto" w:sz="4" w:space="0"/>
              <w:left w:val="nil"/>
              <w:bottom w:val="single" w:color="auto" w:sz="4" w:space="0"/>
              <w:right w:val="single" w:color="auto" w:sz="4" w:space="0"/>
            </w:tcBorders>
            <w:shd w:val="clear" w:color="auto" w:fill="auto"/>
            <w:vAlign w:val="center"/>
          </w:tcPr>
          <w:p w14:paraId="155A02A8">
            <w:pPr>
              <w:autoSpaceDE w:val="0"/>
              <w:spacing w:line="360" w:lineRule="auto"/>
              <w:jc w:val="center"/>
              <w:rPr>
                <w:rFonts w:ascii="宋体" w:hAnsi="宋体" w:cs="宋体"/>
                <w:sz w:val="24"/>
                <w:highlight w:val="none"/>
              </w:rPr>
            </w:pPr>
          </w:p>
        </w:tc>
        <w:tc>
          <w:tcPr>
            <w:tcW w:w="1534" w:type="pct"/>
            <w:tcBorders>
              <w:top w:val="single" w:color="auto" w:sz="4" w:space="0"/>
              <w:left w:val="nil"/>
              <w:bottom w:val="single" w:color="auto" w:sz="4" w:space="0"/>
              <w:right w:val="single" w:color="auto" w:sz="4" w:space="0"/>
            </w:tcBorders>
            <w:shd w:val="clear" w:color="auto" w:fill="auto"/>
            <w:vAlign w:val="center"/>
          </w:tcPr>
          <w:p w14:paraId="060D09D1">
            <w:pPr>
              <w:autoSpaceDE w:val="0"/>
              <w:spacing w:line="360" w:lineRule="auto"/>
              <w:jc w:val="center"/>
              <w:rPr>
                <w:rFonts w:ascii="宋体" w:hAnsi="宋体" w:cs="宋体"/>
                <w:sz w:val="24"/>
                <w:highlight w:val="none"/>
              </w:rPr>
            </w:pPr>
          </w:p>
        </w:tc>
        <w:tc>
          <w:tcPr>
            <w:tcW w:w="1452" w:type="pct"/>
            <w:tcBorders>
              <w:top w:val="single" w:color="auto" w:sz="4" w:space="0"/>
              <w:left w:val="nil"/>
              <w:bottom w:val="single" w:color="auto" w:sz="4" w:space="0"/>
              <w:right w:val="single" w:color="auto" w:sz="4" w:space="0"/>
            </w:tcBorders>
            <w:shd w:val="clear" w:color="auto" w:fill="auto"/>
            <w:vAlign w:val="center"/>
          </w:tcPr>
          <w:p w14:paraId="60232363">
            <w:pPr>
              <w:autoSpaceDE w:val="0"/>
              <w:spacing w:line="360" w:lineRule="auto"/>
              <w:jc w:val="center"/>
              <w:rPr>
                <w:rFonts w:ascii="宋体" w:hAnsi="宋体" w:cs="宋体"/>
                <w:sz w:val="24"/>
                <w:highlight w:val="none"/>
              </w:rPr>
            </w:pPr>
          </w:p>
        </w:tc>
        <w:tc>
          <w:tcPr>
            <w:tcW w:w="706" w:type="pct"/>
            <w:tcBorders>
              <w:top w:val="single" w:color="auto" w:sz="4" w:space="0"/>
              <w:left w:val="nil"/>
              <w:bottom w:val="single" w:color="auto" w:sz="4" w:space="0"/>
              <w:right w:val="single" w:color="auto" w:sz="4" w:space="0"/>
            </w:tcBorders>
            <w:shd w:val="clear" w:color="auto" w:fill="auto"/>
            <w:vAlign w:val="center"/>
          </w:tcPr>
          <w:p w14:paraId="0E8D312A">
            <w:pPr>
              <w:autoSpaceDE w:val="0"/>
              <w:spacing w:line="360" w:lineRule="auto"/>
              <w:jc w:val="center"/>
              <w:rPr>
                <w:rFonts w:ascii="宋体" w:hAnsi="宋体" w:cs="宋体"/>
                <w:sz w:val="24"/>
                <w:highlight w:val="none"/>
              </w:rPr>
            </w:pPr>
          </w:p>
        </w:tc>
      </w:tr>
    </w:tbl>
    <w:p w14:paraId="63B71F15">
      <w:pPr>
        <w:autoSpaceDE w:val="0"/>
        <w:spacing w:line="360" w:lineRule="auto"/>
        <w:jc w:val="left"/>
        <w:rPr>
          <w:rFonts w:ascii="宋体" w:hAnsi="宋体" w:cs="宋体"/>
          <w:sz w:val="24"/>
          <w:highlight w:val="none"/>
        </w:rPr>
      </w:pPr>
      <w:r>
        <w:rPr>
          <w:rFonts w:hint="eastAsia" w:ascii="宋体" w:hAnsi="宋体" w:cs="宋体"/>
          <w:sz w:val="24"/>
          <w:highlight w:val="none"/>
          <w:lang w:bidi="ar"/>
        </w:rPr>
        <w:t>注：</w:t>
      </w:r>
    </w:p>
    <w:p w14:paraId="4C1F27EF">
      <w:pPr>
        <w:autoSpaceDE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1. 说明：应对照磋商文件“第三章 采购需求”中的技术需求逐条实质性响应，并作出偏离说明。</w:t>
      </w:r>
    </w:p>
    <w:p w14:paraId="22F347BD">
      <w:pPr>
        <w:autoSpaceDE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2.供应商应根据自身的承诺，对照磋商文件要求，在“偏离说明”中注明“正偏离”、“负偏离”或者“无偏离”。既不属于“正偏离”也不属于“负偏离”即为“无偏离”。</w:t>
      </w:r>
    </w:p>
    <w:p w14:paraId="35853A23">
      <w:pPr>
        <w:autoSpaceDE w:val="0"/>
        <w:spacing w:line="360" w:lineRule="auto"/>
        <w:ind w:firstLine="4320" w:firstLineChars="1800"/>
        <w:rPr>
          <w:rFonts w:ascii="宋体" w:hAnsi="宋体" w:cs="宋体"/>
          <w:sz w:val="24"/>
          <w:highlight w:val="none"/>
        </w:rPr>
      </w:pPr>
      <w:r>
        <w:rPr>
          <w:rFonts w:hint="eastAsia" w:ascii="宋体" w:hAnsi="宋体" w:cs="宋体"/>
          <w:sz w:val="24"/>
          <w:highlight w:val="none"/>
          <w:lang w:bidi="ar"/>
        </w:rPr>
        <w:t xml:space="preserve"> </w:t>
      </w:r>
    </w:p>
    <w:p w14:paraId="1B9F9035">
      <w:pPr>
        <w:autoSpaceDE w:val="0"/>
        <w:spacing w:line="360" w:lineRule="auto"/>
        <w:ind w:firstLine="4320" w:firstLineChars="1800"/>
        <w:rPr>
          <w:rFonts w:ascii="宋体" w:hAnsi="宋体" w:cs="宋体"/>
          <w:sz w:val="24"/>
          <w:highlight w:val="none"/>
        </w:rPr>
      </w:pPr>
      <w:r>
        <w:rPr>
          <w:rFonts w:hint="eastAsia" w:ascii="宋体" w:hAnsi="宋体" w:cs="宋体"/>
          <w:sz w:val="24"/>
          <w:highlight w:val="none"/>
          <w:lang w:bidi="ar"/>
        </w:rPr>
        <w:t>法定代表人或者委托代理人（签字或签章）：</w:t>
      </w:r>
    </w:p>
    <w:p w14:paraId="3E041798">
      <w:pPr>
        <w:autoSpaceDE w:val="0"/>
        <w:spacing w:line="360" w:lineRule="auto"/>
        <w:ind w:firstLine="4320" w:firstLineChars="1800"/>
        <w:rPr>
          <w:rFonts w:ascii="宋体" w:hAnsi="宋体" w:cs="宋体"/>
          <w:sz w:val="24"/>
          <w:highlight w:val="none"/>
        </w:rPr>
      </w:pPr>
      <w:r>
        <w:rPr>
          <w:rFonts w:hint="eastAsia" w:ascii="宋体" w:hAnsi="宋体" w:cs="宋体"/>
          <w:sz w:val="24"/>
          <w:highlight w:val="none"/>
          <w:lang w:bidi="ar"/>
        </w:rPr>
        <w:t>供应商（电子签章）：</w:t>
      </w:r>
    </w:p>
    <w:p w14:paraId="715F94DD">
      <w:pPr>
        <w:autoSpaceDE w:val="0"/>
        <w:spacing w:line="360" w:lineRule="auto"/>
        <w:ind w:firstLine="4320" w:firstLineChars="1800"/>
        <w:rPr>
          <w:rFonts w:ascii="宋体" w:hAnsi="宋体" w:cs="宋体"/>
          <w:sz w:val="24"/>
          <w:highlight w:val="none"/>
        </w:rPr>
      </w:pPr>
      <w:r>
        <w:rPr>
          <w:rFonts w:hint="eastAsia" w:ascii="宋体" w:hAnsi="宋体" w:cs="宋体"/>
          <w:sz w:val="24"/>
          <w:highlight w:val="none"/>
          <w:lang w:bidi="ar"/>
        </w:rPr>
        <w:t>日期：   年   月   日</w:t>
      </w:r>
    </w:p>
    <w:p w14:paraId="5BACCA20">
      <w:pPr>
        <w:autoSpaceDE w:val="0"/>
        <w:spacing w:before="340" w:after="330" w:line="520" w:lineRule="exact"/>
        <w:jc w:val="center"/>
        <w:rPr>
          <w:rFonts w:ascii="宋体" w:hAnsi="宋体" w:cs="宋体"/>
          <w:b/>
          <w:bCs/>
          <w:sz w:val="44"/>
          <w:szCs w:val="44"/>
          <w:highlight w:val="none"/>
        </w:rPr>
      </w:pPr>
      <w:r>
        <w:rPr>
          <w:rFonts w:hint="eastAsia" w:ascii="宋体" w:hAnsi="宋体" w:cs="宋体"/>
          <w:sz w:val="24"/>
          <w:highlight w:val="none"/>
          <w:lang w:bidi="ar"/>
        </w:rPr>
        <w:br w:type="page"/>
      </w:r>
      <w:r>
        <w:rPr>
          <w:rFonts w:hint="eastAsia" w:ascii="宋体" w:hAnsi="宋体" w:cs="宋体"/>
          <w:b/>
          <w:bCs/>
          <w:sz w:val="44"/>
          <w:szCs w:val="44"/>
          <w:highlight w:val="none"/>
          <w:lang w:bidi="ar"/>
        </w:rPr>
        <w:t>无串通竞标行为的承诺函</w:t>
      </w:r>
    </w:p>
    <w:p w14:paraId="7C07B2EF">
      <w:pPr>
        <w:autoSpaceDE w:val="0"/>
        <w:spacing w:line="360" w:lineRule="auto"/>
        <w:ind w:firstLine="482" w:firstLineChars="200"/>
        <w:outlineLvl w:val="1"/>
        <w:rPr>
          <w:rFonts w:ascii="宋体" w:hAnsi="宋体" w:cs="宋体"/>
          <w:b/>
          <w:bCs/>
          <w:sz w:val="24"/>
          <w:highlight w:val="none"/>
        </w:rPr>
      </w:pPr>
      <w:bookmarkStart w:id="65" w:name="_Toc21614"/>
      <w:r>
        <w:rPr>
          <w:rFonts w:hint="eastAsia" w:ascii="宋体" w:hAnsi="宋体" w:cs="宋体"/>
          <w:b/>
          <w:bCs/>
          <w:sz w:val="24"/>
          <w:highlight w:val="none"/>
          <w:lang w:bidi="ar"/>
        </w:rPr>
        <w:t>一、我方承诺无下列相互串通竞标的情形：</w:t>
      </w:r>
      <w:bookmarkEnd w:id="65"/>
    </w:p>
    <w:p w14:paraId="30E6879F">
      <w:pPr>
        <w:autoSpaceDE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1.不同供应商的响应文件由同一单位或者个人编制；或者不同供应商报名的IP地址一致的；</w:t>
      </w:r>
    </w:p>
    <w:p w14:paraId="4A230CD4">
      <w:pPr>
        <w:autoSpaceDE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2.不同供应商委托同一单位或者个人办理竞标事宜；</w:t>
      </w:r>
    </w:p>
    <w:p w14:paraId="2EE11F64">
      <w:pPr>
        <w:autoSpaceDE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3.不同供应商的响应文件载明的项目管理员为同一个人；</w:t>
      </w:r>
    </w:p>
    <w:p w14:paraId="062BFB3D">
      <w:pPr>
        <w:autoSpaceDE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4.不</w:t>
      </w:r>
      <w:r>
        <w:rPr>
          <w:rFonts w:hint="eastAsia" w:ascii="宋体" w:hAnsi="宋体" w:cs="宋体"/>
          <w:spacing w:val="-6"/>
          <w:sz w:val="24"/>
          <w:highlight w:val="none"/>
          <w:lang w:bidi="ar"/>
        </w:rPr>
        <w:t>同供应商的响应文件异常一致或者竞标报价呈规律性差异；</w:t>
      </w:r>
    </w:p>
    <w:p w14:paraId="0518B479">
      <w:pPr>
        <w:autoSpaceDE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5.不同供应商的响应文件相互混装；</w:t>
      </w:r>
    </w:p>
    <w:p w14:paraId="5DED4803">
      <w:pPr>
        <w:autoSpaceDE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6.不同供应商的磋商保证金从同一单位或者个人账户转出。</w:t>
      </w:r>
    </w:p>
    <w:p w14:paraId="6E70185A">
      <w:pPr>
        <w:autoSpaceDE w:val="0"/>
        <w:spacing w:line="360" w:lineRule="auto"/>
        <w:ind w:firstLine="482" w:firstLineChars="200"/>
        <w:outlineLvl w:val="1"/>
        <w:rPr>
          <w:rFonts w:ascii="宋体" w:hAnsi="宋体" w:cs="宋体"/>
          <w:b/>
          <w:bCs/>
          <w:sz w:val="24"/>
          <w:highlight w:val="none"/>
        </w:rPr>
      </w:pPr>
      <w:bookmarkStart w:id="66" w:name="_Toc21490"/>
      <w:r>
        <w:rPr>
          <w:rFonts w:hint="eastAsia" w:ascii="宋体" w:hAnsi="宋体" w:cs="宋体"/>
          <w:b/>
          <w:bCs/>
          <w:sz w:val="24"/>
          <w:highlight w:val="none"/>
          <w:lang w:bidi="ar"/>
        </w:rPr>
        <w:t>二、我方承诺无下列恶意串通的情形：</w:t>
      </w:r>
      <w:bookmarkEnd w:id="66"/>
    </w:p>
    <w:p w14:paraId="1C1076B5">
      <w:pPr>
        <w:autoSpaceDE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1.供应商直接或者间接从采购人或者采购代理机构处获得其他供应商的相关信息并修改其响应文件；</w:t>
      </w:r>
    </w:p>
    <w:p w14:paraId="64AC5D8F">
      <w:pPr>
        <w:autoSpaceDE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2.供应商按照采购人或者采购代理机构的授意撤换、修改响应文件；</w:t>
      </w:r>
    </w:p>
    <w:p w14:paraId="4036621A">
      <w:pPr>
        <w:autoSpaceDE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3.供</w:t>
      </w:r>
      <w:r>
        <w:rPr>
          <w:rFonts w:hint="eastAsia" w:ascii="宋体" w:hAnsi="宋体" w:cs="宋体"/>
          <w:spacing w:val="-6"/>
          <w:sz w:val="24"/>
          <w:highlight w:val="none"/>
          <w:lang w:bidi="ar"/>
        </w:rPr>
        <w:t>应商之间协商报价、技术方案等响应文件的实质性内容；</w:t>
      </w:r>
    </w:p>
    <w:p w14:paraId="65CC3582">
      <w:pPr>
        <w:autoSpaceDE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4.属于同一集团、协会、商会等组织成员的供应商按照该组织要求协同参加政府采购活动；</w:t>
      </w:r>
    </w:p>
    <w:p w14:paraId="6566C142">
      <w:pPr>
        <w:autoSpaceDE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5.供应商之间事先约定一致抬高或者压低竞标报价，或者在竞争性磋商项目中事先约定轮流以高价位或者低价位成交，或者事先约定由某一特定供应商成交，然后再参加竞标；</w:t>
      </w:r>
    </w:p>
    <w:p w14:paraId="379923FF">
      <w:pPr>
        <w:autoSpaceDE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6.供应商之间商定部分供应商放弃参加政府采购活动或者放弃成交；</w:t>
      </w:r>
    </w:p>
    <w:p w14:paraId="589CFFAF">
      <w:pPr>
        <w:autoSpaceDE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7.供应商与采购人或者采购代理机构之间、供应商相互之间，为</w:t>
      </w:r>
      <w:r>
        <w:rPr>
          <w:rFonts w:hint="eastAsia" w:ascii="宋体" w:hAnsi="宋体" w:cs="宋体"/>
          <w:spacing w:val="-6"/>
          <w:sz w:val="24"/>
          <w:highlight w:val="none"/>
          <w:lang w:bidi="ar"/>
        </w:rPr>
        <w:t>谋求特定供应商成交或者排斥其他供应商的其他串通行为。</w:t>
      </w:r>
    </w:p>
    <w:p w14:paraId="7940F099">
      <w:pPr>
        <w:autoSpaceDE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lang w:bidi="ar"/>
        </w:rPr>
        <w:t>以上情形一经核查属实，我方愿意承担一切后果，并不再寻求任何旨在减轻或者免除法律责任的辩解。</w:t>
      </w:r>
    </w:p>
    <w:p w14:paraId="77926A2A">
      <w:pPr>
        <w:autoSpaceDE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 xml:space="preserve"> </w:t>
      </w:r>
    </w:p>
    <w:p w14:paraId="072532A3">
      <w:pPr>
        <w:autoSpaceDE w:val="0"/>
        <w:spacing w:line="360" w:lineRule="auto"/>
        <w:ind w:firstLine="4320" w:firstLineChars="1800"/>
        <w:rPr>
          <w:rFonts w:ascii="宋体" w:hAnsi="宋体" w:cs="宋体"/>
          <w:sz w:val="24"/>
          <w:highlight w:val="none"/>
        </w:rPr>
      </w:pPr>
      <w:r>
        <w:rPr>
          <w:rFonts w:hint="eastAsia" w:ascii="宋体" w:hAnsi="宋体" w:cs="宋体"/>
          <w:sz w:val="24"/>
          <w:highlight w:val="none"/>
          <w:lang w:bidi="ar"/>
        </w:rPr>
        <w:t>供应商（电子签章）：</w:t>
      </w:r>
    </w:p>
    <w:p w14:paraId="01CC3273">
      <w:pPr>
        <w:autoSpaceDE w:val="0"/>
        <w:spacing w:line="360" w:lineRule="auto"/>
        <w:ind w:firstLine="4320" w:firstLineChars="1800"/>
        <w:rPr>
          <w:rFonts w:ascii="宋体" w:hAnsi="宋体" w:cs="宋体"/>
          <w:sz w:val="24"/>
          <w:highlight w:val="none"/>
        </w:rPr>
      </w:pPr>
      <w:r>
        <w:rPr>
          <w:rFonts w:hint="eastAsia" w:ascii="宋体" w:hAnsi="宋体" w:cs="宋体"/>
          <w:sz w:val="24"/>
          <w:highlight w:val="none"/>
          <w:lang w:bidi="ar"/>
        </w:rPr>
        <w:t>日期：   年   月   日</w:t>
      </w:r>
    </w:p>
    <w:p w14:paraId="04438388">
      <w:pPr>
        <w:autoSpaceDE w:val="0"/>
        <w:spacing w:before="340" w:after="330" w:line="360" w:lineRule="auto"/>
        <w:jc w:val="center"/>
        <w:rPr>
          <w:rFonts w:ascii="宋体" w:hAnsi="宋体" w:cs="宋体"/>
          <w:b/>
          <w:bCs/>
          <w:sz w:val="44"/>
          <w:szCs w:val="44"/>
          <w:highlight w:val="none"/>
        </w:rPr>
      </w:pPr>
      <w:r>
        <w:rPr>
          <w:rFonts w:hint="eastAsia" w:ascii="宋体" w:hAnsi="宋体" w:cs="宋体"/>
          <w:sz w:val="24"/>
          <w:highlight w:val="none"/>
          <w:lang w:bidi="ar"/>
        </w:rPr>
        <w:br w:type="page"/>
      </w:r>
      <w:r>
        <w:rPr>
          <w:rFonts w:hint="eastAsia" w:ascii="宋体" w:hAnsi="宋体" w:cs="宋体"/>
          <w:b/>
          <w:bCs/>
          <w:sz w:val="44"/>
          <w:szCs w:val="44"/>
          <w:highlight w:val="none"/>
          <w:lang w:bidi="ar"/>
        </w:rPr>
        <w:t>法定代表人证明书</w:t>
      </w:r>
    </w:p>
    <w:p w14:paraId="60487F0E">
      <w:pPr>
        <w:autoSpaceDE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供应商名称：</w:t>
      </w:r>
      <w:r>
        <w:rPr>
          <w:rFonts w:hint="eastAsia" w:ascii="宋体" w:hAnsi="宋体" w:cs="宋体"/>
          <w:sz w:val="24"/>
          <w:highlight w:val="none"/>
          <w:u w:val="single"/>
          <w:lang w:bidi="ar"/>
        </w:rPr>
        <w:t xml:space="preserve">                                         </w:t>
      </w:r>
    </w:p>
    <w:p w14:paraId="40A88CCD">
      <w:pPr>
        <w:autoSpaceDE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地    址：</w:t>
      </w:r>
      <w:r>
        <w:rPr>
          <w:rFonts w:hint="eastAsia" w:ascii="宋体" w:hAnsi="宋体" w:cs="宋体"/>
          <w:sz w:val="24"/>
          <w:highlight w:val="none"/>
          <w:u w:val="single"/>
          <w:lang w:bidi="ar"/>
        </w:rPr>
        <w:t xml:space="preserve">                                           </w:t>
      </w:r>
    </w:p>
    <w:p w14:paraId="61D8E00A">
      <w:pPr>
        <w:autoSpaceDE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姓    名：</w:t>
      </w:r>
      <w:r>
        <w:rPr>
          <w:rFonts w:hint="eastAsia" w:ascii="宋体" w:hAnsi="宋体" w:cs="宋体"/>
          <w:sz w:val="24"/>
          <w:highlight w:val="none"/>
          <w:u w:val="single"/>
          <w:lang w:bidi="ar"/>
        </w:rPr>
        <w:t xml:space="preserve">                </w:t>
      </w:r>
      <w:r>
        <w:rPr>
          <w:rFonts w:hint="eastAsia" w:ascii="宋体" w:hAnsi="宋体" w:cs="宋体"/>
          <w:sz w:val="24"/>
          <w:highlight w:val="none"/>
          <w:lang w:bidi="ar"/>
        </w:rPr>
        <w:t>性     别：</w:t>
      </w:r>
      <w:r>
        <w:rPr>
          <w:rFonts w:hint="eastAsia" w:ascii="宋体" w:hAnsi="宋体" w:cs="宋体"/>
          <w:sz w:val="24"/>
          <w:highlight w:val="none"/>
          <w:u w:val="single"/>
          <w:lang w:bidi="ar"/>
        </w:rPr>
        <w:t xml:space="preserve">                </w:t>
      </w:r>
    </w:p>
    <w:p w14:paraId="6CF85AAD">
      <w:pPr>
        <w:autoSpaceDE w:val="0"/>
        <w:spacing w:line="360" w:lineRule="auto"/>
        <w:ind w:firstLine="480" w:firstLineChars="200"/>
        <w:rPr>
          <w:rFonts w:ascii="宋体" w:hAnsi="宋体" w:cs="宋体"/>
          <w:sz w:val="24"/>
          <w:highlight w:val="none"/>
          <w:u w:val="single"/>
        </w:rPr>
      </w:pPr>
      <w:r>
        <w:rPr>
          <w:rFonts w:hint="eastAsia" w:ascii="宋体" w:hAnsi="宋体" w:cs="宋体"/>
          <w:sz w:val="24"/>
          <w:highlight w:val="none"/>
          <w:lang w:bidi="ar"/>
        </w:rPr>
        <w:t>年    龄：</w:t>
      </w:r>
      <w:r>
        <w:rPr>
          <w:rFonts w:hint="eastAsia" w:ascii="宋体" w:hAnsi="宋体" w:cs="宋体"/>
          <w:sz w:val="24"/>
          <w:highlight w:val="none"/>
          <w:u w:val="single"/>
          <w:lang w:bidi="ar"/>
        </w:rPr>
        <w:t xml:space="preserve">                </w:t>
      </w:r>
      <w:r>
        <w:rPr>
          <w:rFonts w:hint="eastAsia" w:ascii="宋体" w:hAnsi="宋体" w:cs="宋体"/>
          <w:sz w:val="24"/>
          <w:highlight w:val="none"/>
          <w:lang w:bidi="ar"/>
        </w:rPr>
        <w:t>职     务：</w:t>
      </w:r>
      <w:r>
        <w:rPr>
          <w:rFonts w:hint="eastAsia" w:ascii="宋体" w:hAnsi="宋体" w:cs="宋体"/>
          <w:sz w:val="24"/>
          <w:highlight w:val="none"/>
          <w:u w:val="single"/>
          <w:lang w:bidi="ar"/>
        </w:rPr>
        <w:t xml:space="preserve">                </w:t>
      </w:r>
    </w:p>
    <w:p w14:paraId="12C0F845">
      <w:pPr>
        <w:autoSpaceDE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身份证号码：</w:t>
      </w:r>
      <w:r>
        <w:rPr>
          <w:rFonts w:hint="eastAsia" w:ascii="宋体" w:hAnsi="宋体" w:cs="宋体"/>
          <w:sz w:val="24"/>
          <w:highlight w:val="none"/>
          <w:u w:val="single"/>
          <w:lang w:bidi="ar"/>
        </w:rPr>
        <w:t xml:space="preserve">                                         </w:t>
      </w:r>
    </w:p>
    <w:p w14:paraId="31E4E66D">
      <w:pPr>
        <w:autoSpaceDE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系</w:t>
      </w:r>
      <w:r>
        <w:rPr>
          <w:rFonts w:hint="eastAsia" w:ascii="宋体" w:hAnsi="宋体" w:cs="宋体"/>
          <w:sz w:val="24"/>
          <w:highlight w:val="none"/>
          <w:u w:val="single"/>
          <w:lang w:bidi="ar"/>
        </w:rPr>
        <w:t>（供应商名称）</w:t>
      </w:r>
      <w:r>
        <w:rPr>
          <w:rFonts w:hint="eastAsia" w:ascii="宋体" w:hAnsi="宋体" w:cs="宋体"/>
          <w:sz w:val="24"/>
          <w:highlight w:val="none"/>
          <w:lang w:bidi="ar"/>
        </w:rPr>
        <w:t>的法定代表人。</w:t>
      </w:r>
    </w:p>
    <w:p w14:paraId="49D9C5A8">
      <w:pPr>
        <w:autoSpaceDE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特此证明。</w:t>
      </w:r>
    </w:p>
    <w:p w14:paraId="62151284">
      <w:pPr>
        <w:autoSpaceDE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 xml:space="preserve"> </w:t>
      </w:r>
    </w:p>
    <w:p w14:paraId="20F1D11A">
      <w:pPr>
        <w:autoSpaceDE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附件：法定代表人有效身份证正反面扫描件</w:t>
      </w:r>
    </w:p>
    <w:p w14:paraId="55903B77">
      <w:pPr>
        <w:autoSpaceDE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 xml:space="preserve"> </w:t>
      </w:r>
    </w:p>
    <w:p w14:paraId="7AB80FE9">
      <w:pPr>
        <w:autoSpaceDE w:val="0"/>
        <w:spacing w:line="360" w:lineRule="auto"/>
        <w:ind w:firstLine="4320" w:firstLineChars="1800"/>
        <w:rPr>
          <w:rFonts w:ascii="宋体" w:hAnsi="宋体" w:cs="宋体"/>
          <w:sz w:val="24"/>
          <w:highlight w:val="none"/>
        </w:rPr>
      </w:pPr>
      <w:r>
        <w:rPr>
          <w:rFonts w:hint="eastAsia" w:ascii="宋体" w:hAnsi="宋体" w:cs="宋体"/>
          <w:sz w:val="24"/>
          <w:highlight w:val="none"/>
          <w:lang w:bidi="ar"/>
        </w:rPr>
        <w:t>供应商（电子签章）：</w:t>
      </w:r>
    </w:p>
    <w:p w14:paraId="220378C3">
      <w:pPr>
        <w:autoSpaceDE w:val="0"/>
        <w:spacing w:line="360" w:lineRule="auto"/>
        <w:ind w:firstLine="4320" w:firstLineChars="1800"/>
        <w:rPr>
          <w:rFonts w:ascii="宋体" w:hAnsi="宋体" w:cs="宋体"/>
          <w:sz w:val="24"/>
          <w:highlight w:val="none"/>
        </w:rPr>
      </w:pPr>
      <w:r>
        <w:rPr>
          <w:rFonts w:hint="eastAsia" w:ascii="宋体" w:hAnsi="宋体" w:cs="宋体"/>
          <w:sz w:val="24"/>
          <w:highlight w:val="none"/>
          <w:lang w:bidi="ar"/>
        </w:rPr>
        <w:t>日期：   年   月   日</w:t>
      </w:r>
    </w:p>
    <w:p w14:paraId="110D3D8E">
      <w:pPr>
        <w:autoSpaceDE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 xml:space="preserve"> </w:t>
      </w:r>
    </w:p>
    <w:p w14:paraId="3FB9E5BC">
      <w:pPr>
        <w:autoSpaceDE w:val="0"/>
        <w:spacing w:line="360" w:lineRule="auto"/>
        <w:jc w:val="left"/>
        <w:rPr>
          <w:rFonts w:ascii="宋体" w:hAnsi="宋体" w:cs="宋体"/>
          <w:sz w:val="24"/>
          <w:highlight w:val="none"/>
        </w:rPr>
      </w:pPr>
      <w:r>
        <w:rPr>
          <w:rFonts w:hint="eastAsia" w:ascii="宋体" w:hAnsi="宋体" w:cs="宋体"/>
          <w:sz w:val="24"/>
          <w:highlight w:val="none"/>
          <w:lang w:bidi="ar"/>
        </w:rPr>
        <w:t>注：1.自然人竞标的无需提供，联合体竞标的只需牵头人出具。</w:t>
      </w:r>
    </w:p>
    <w:p w14:paraId="276A8745">
      <w:pPr>
        <w:autoSpaceDE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04E663E">
      <w:pPr>
        <w:autoSpaceDE w:val="0"/>
        <w:spacing w:before="340" w:after="330" w:line="360" w:lineRule="auto"/>
        <w:jc w:val="center"/>
        <w:rPr>
          <w:rFonts w:ascii="宋体" w:hAnsi="宋体" w:cs="宋体"/>
          <w:b/>
          <w:bCs/>
          <w:sz w:val="44"/>
          <w:szCs w:val="44"/>
          <w:highlight w:val="none"/>
        </w:rPr>
      </w:pPr>
      <w:r>
        <w:rPr>
          <w:rFonts w:hint="eastAsia" w:ascii="宋体" w:hAnsi="宋体" w:cs="宋体"/>
          <w:sz w:val="24"/>
          <w:highlight w:val="none"/>
          <w:lang w:bidi="ar"/>
        </w:rPr>
        <w:br w:type="page"/>
      </w:r>
      <w:r>
        <w:rPr>
          <w:rFonts w:hint="eastAsia" w:ascii="宋体" w:hAnsi="宋体" w:cs="宋体"/>
          <w:b/>
          <w:bCs/>
          <w:sz w:val="44"/>
          <w:szCs w:val="44"/>
          <w:highlight w:val="none"/>
          <w:lang w:bidi="ar"/>
        </w:rPr>
        <w:t>法定代表人授权委托书（非联合体竞标格式）（如有委托时）</w:t>
      </w:r>
    </w:p>
    <w:p w14:paraId="371F87E1">
      <w:pPr>
        <w:spacing w:line="360" w:lineRule="auto"/>
        <w:rPr>
          <w:rFonts w:ascii="宋体" w:hAnsi="宋体" w:cs="宋体"/>
          <w:sz w:val="24"/>
          <w:highlight w:val="none"/>
        </w:rPr>
      </w:pPr>
      <w:r>
        <w:rPr>
          <w:rFonts w:hint="eastAsia" w:ascii="宋体" w:hAnsi="宋体" w:cs="宋体"/>
          <w:sz w:val="24"/>
          <w:highlight w:val="none"/>
          <w:lang w:bidi="ar"/>
        </w:rPr>
        <w:t>致：</w:t>
      </w:r>
      <w:r>
        <w:rPr>
          <w:rFonts w:hint="eastAsia" w:ascii="宋体" w:hAnsi="宋体" w:cs="宋体"/>
          <w:sz w:val="24"/>
          <w:highlight w:val="none"/>
          <w:u w:val="single"/>
          <w:lang w:bidi="ar"/>
        </w:rPr>
        <w:t>（采购人名称）</w:t>
      </w:r>
      <w:r>
        <w:rPr>
          <w:rFonts w:hint="eastAsia" w:ascii="宋体" w:hAnsi="宋体" w:cs="宋体"/>
          <w:sz w:val="24"/>
          <w:highlight w:val="none"/>
          <w:lang w:bidi="ar"/>
        </w:rPr>
        <w:t>：</w:t>
      </w:r>
    </w:p>
    <w:p w14:paraId="7B8C6A8D">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我</w:t>
      </w:r>
      <w:r>
        <w:rPr>
          <w:rFonts w:hint="eastAsia" w:ascii="宋体" w:hAnsi="宋体" w:cs="宋体"/>
          <w:sz w:val="24"/>
          <w:highlight w:val="none"/>
          <w:u w:val="single"/>
          <w:lang w:bidi="ar"/>
        </w:rPr>
        <w:t>（姓名）</w:t>
      </w:r>
      <w:r>
        <w:rPr>
          <w:rFonts w:hint="eastAsia" w:ascii="宋体" w:hAnsi="宋体" w:cs="宋体"/>
          <w:sz w:val="24"/>
          <w:highlight w:val="none"/>
          <w:lang w:bidi="ar"/>
        </w:rPr>
        <w:t>系</w:t>
      </w:r>
      <w:r>
        <w:rPr>
          <w:rFonts w:hint="eastAsia" w:ascii="宋体" w:hAnsi="宋体" w:cs="宋体"/>
          <w:sz w:val="24"/>
          <w:highlight w:val="none"/>
          <w:u w:val="single"/>
          <w:lang w:bidi="ar"/>
        </w:rPr>
        <w:t>（供应商名称）</w:t>
      </w:r>
      <w:r>
        <w:rPr>
          <w:rFonts w:hint="eastAsia" w:ascii="宋体" w:hAnsi="宋体" w:cs="宋体"/>
          <w:sz w:val="24"/>
          <w:highlight w:val="none"/>
          <w:lang w:bidi="ar"/>
        </w:rPr>
        <w:t>的（</w:t>
      </w:r>
      <w:r>
        <w:rPr>
          <w:rFonts w:hint="eastAsia" w:ascii="宋体" w:hAnsi="宋体" w:cs="宋体"/>
          <w:sz w:val="24"/>
          <w:highlight w:val="none"/>
          <w:u w:val="single"/>
          <w:lang w:bidi="ar"/>
        </w:rPr>
        <w:t>£法定代表人/□负责人/□自然人本人</w:t>
      </w:r>
      <w:r>
        <w:rPr>
          <w:rFonts w:hint="eastAsia" w:ascii="宋体" w:hAnsi="宋体" w:cs="宋体"/>
          <w:sz w:val="24"/>
          <w:highlight w:val="none"/>
          <w:lang w:bidi="ar"/>
        </w:rPr>
        <w:t>），现授权</w:t>
      </w:r>
      <w:r>
        <w:rPr>
          <w:rFonts w:hint="eastAsia" w:ascii="宋体" w:hAnsi="宋体" w:cs="宋体"/>
          <w:sz w:val="24"/>
          <w:highlight w:val="none"/>
          <w:u w:val="single"/>
          <w:lang w:bidi="ar"/>
        </w:rPr>
        <w:t>（姓名）</w:t>
      </w:r>
      <w:r>
        <w:rPr>
          <w:rFonts w:hint="eastAsia" w:ascii="宋体" w:hAnsi="宋体" w:cs="宋体"/>
          <w:sz w:val="24"/>
          <w:highlight w:val="none"/>
          <w:lang w:bidi="ar"/>
        </w:rPr>
        <w:t>以我方的名义参加</w:t>
      </w:r>
      <w:r>
        <w:rPr>
          <w:rFonts w:hint="eastAsia" w:ascii="宋体" w:hAnsi="宋体" w:cs="宋体"/>
          <w:sz w:val="24"/>
          <w:highlight w:val="none"/>
          <w:u w:val="single"/>
          <w:lang w:bidi="ar"/>
        </w:rPr>
        <w:t xml:space="preserve">        </w:t>
      </w:r>
      <w:r>
        <w:rPr>
          <w:rFonts w:hint="eastAsia" w:ascii="宋体" w:hAnsi="宋体" w:cs="宋体"/>
          <w:sz w:val="24"/>
          <w:highlight w:val="none"/>
          <w:lang w:bidi="ar"/>
        </w:rPr>
        <w:t>项目的竞标活动，并代表我方全权办理针对上述项目的所有采购程序和环节的具体事务和签署相关文件。</w:t>
      </w:r>
    </w:p>
    <w:p w14:paraId="74913D40">
      <w:pPr>
        <w:spacing w:line="360" w:lineRule="auto"/>
        <w:rPr>
          <w:rFonts w:ascii="宋体" w:hAnsi="宋体" w:cs="宋体"/>
          <w:sz w:val="24"/>
          <w:highlight w:val="none"/>
        </w:rPr>
      </w:pPr>
      <w:r>
        <w:rPr>
          <w:rFonts w:hint="eastAsia" w:ascii="宋体" w:hAnsi="宋体" w:cs="宋体"/>
          <w:sz w:val="24"/>
          <w:highlight w:val="none"/>
          <w:lang w:bidi="ar"/>
        </w:rPr>
        <w:t xml:space="preserve">    我方对委托代理人的签字事项负全部责任。</w:t>
      </w:r>
    </w:p>
    <w:p w14:paraId="7E1C4E11">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本授权书自签署之日起生效，在撤销授权的书面通知以前，本授权书一直有效。委托代理人在授权书有效期内签署的所有文件不因授权的撤销而失效。</w:t>
      </w:r>
    </w:p>
    <w:p w14:paraId="1F389D61">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委托代理人无转委托权，特此委托。</w:t>
      </w:r>
    </w:p>
    <w:p w14:paraId="3DBF9F8F">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附：法定代表人身份证明书及委托代理人有效身份证正反面扫描件</w:t>
      </w:r>
    </w:p>
    <w:p w14:paraId="2CDB17A9">
      <w:pPr>
        <w:spacing w:line="360" w:lineRule="auto"/>
        <w:rPr>
          <w:rFonts w:ascii="宋体" w:hAnsi="宋体" w:cs="宋体"/>
          <w:sz w:val="24"/>
          <w:highlight w:val="none"/>
        </w:rPr>
      </w:pPr>
      <w:r>
        <w:rPr>
          <w:rFonts w:hint="eastAsia" w:ascii="宋体" w:hAnsi="宋体" w:cs="宋体"/>
          <w:sz w:val="24"/>
          <w:highlight w:val="none"/>
          <w:lang w:bidi="ar"/>
        </w:rPr>
        <w:t xml:space="preserve"> </w:t>
      </w:r>
    </w:p>
    <w:p w14:paraId="26E41D9D">
      <w:pPr>
        <w:spacing w:line="360" w:lineRule="auto"/>
        <w:rPr>
          <w:rFonts w:ascii="宋体" w:hAnsi="宋体" w:cs="宋体"/>
          <w:sz w:val="24"/>
          <w:highlight w:val="none"/>
        </w:rPr>
      </w:pPr>
      <w:r>
        <w:rPr>
          <w:rFonts w:hint="eastAsia" w:ascii="宋体" w:hAnsi="宋体" w:cs="宋体"/>
          <w:sz w:val="24"/>
          <w:highlight w:val="none"/>
          <w:lang w:bidi="ar"/>
        </w:rPr>
        <w:t>委托代理人（签字或签章）：         法定代表人（签字或签章）：</w:t>
      </w:r>
    </w:p>
    <w:p w14:paraId="4E3A9959">
      <w:pPr>
        <w:spacing w:line="360" w:lineRule="auto"/>
        <w:rPr>
          <w:rFonts w:ascii="宋体" w:hAnsi="宋体" w:cs="宋体"/>
          <w:sz w:val="24"/>
          <w:highlight w:val="none"/>
        </w:rPr>
      </w:pPr>
      <w:r>
        <w:rPr>
          <w:rFonts w:hint="eastAsia" w:ascii="宋体" w:hAnsi="宋体" w:cs="宋体"/>
          <w:sz w:val="24"/>
          <w:highlight w:val="none"/>
          <w:lang w:bidi="ar"/>
        </w:rPr>
        <w:t>委托代理人身份证号码：</w:t>
      </w:r>
    </w:p>
    <w:p w14:paraId="269588E4">
      <w:pPr>
        <w:spacing w:line="360" w:lineRule="auto"/>
        <w:rPr>
          <w:rFonts w:ascii="宋体" w:hAnsi="宋体" w:cs="宋体"/>
          <w:sz w:val="24"/>
          <w:highlight w:val="none"/>
        </w:rPr>
      </w:pPr>
      <w:r>
        <w:rPr>
          <w:rFonts w:hint="eastAsia" w:ascii="宋体" w:hAnsi="宋体" w:cs="宋体"/>
          <w:sz w:val="24"/>
          <w:highlight w:val="none"/>
          <w:lang w:bidi="ar"/>
        </w:rPr>
        <w:t xml:space="preserve"> </w:t>
      </w:r>
    </w:p>
    <w:p w14:paraId="59F2C30F">
      <w:pPr>
        <w:autoSpaceDE w:val="0"/>
        <w:spacing w:line="360" w:lineRule="auto"/>
        <w:ind w:firstLine="4320" w:firstLineChars="1800"/>
        <w:rPr>
          <w:rFonts w:ascii="宋体" w:hAnsi="宋体" w:cs="宋体"/>
          <w:sz w:val="24"/>
          <w:highlight w:val="none"/>
        </w:rPr>
      </w:pPr>
      <w:r>
        <w:rPr>
          <w:rFonts w:hint="eastAsia" w:ascii="宋体" w:hAnsi="宋体" w:cs="宋体"/>
          <w:sz w:val="24"/>
          <w:highlight w:val="none"/>
          <w:lang w:bidi="ar"/>
        </w:rPr>
        <w:t>供应商（电子签章）：</w:t>
      </w:r>
    </w:p>
    <w:p w14:paraId="5495AFF9">
      <w:pPr>
        <w:autoSpaceDE w:val="0"/>
        <w:spacing w:line="360" w:lineRule="auto"/>
        <w:ind w:firstLine="4320" w:firstLineChars="1800"/>
        <w:rPr>
          <w:rFonts w:ascii="宋体" w:hAnsi="宋体" w:cs="宋体"/>
          <w:sz w:val="24"/>
          <w:highlight w:val="none"/>
        </w:rPr>
      </w:pPr>
      <w:r>
        <w:rPr>
          <w:rFonts w:hint="eastAsia" w:ascii="宋体" w:hAnsi="宋体" w:cs="宋体"/>
          <w:sz w:val="24"/>
          <w:highlight w:val="none"/>
          <w:lang w:bidi="ar"/>
        </w:rPr>
        <w:t>日期：   年   月   日</w:t>
      </w:r>
    </w:p>
    <w:p w14:paraId="7BD0A1FD">
      <w:pPr>
        <w:spacing w:line="360" w:lineRule="auto"/>
        <w:rPr>
          <w:rFonts w:ascii="宋体" w:hAnsi="宋体" w:cs="宋体"/>
          <w:sz w:val="24"/>
          <w:highlight w:val="none"/>
        </w:rPr>
      </w:pPr>
      <w:r>
        <w:rPr>
          <w:rFonts w:hint="eastAsia" w:ascii="宋体" w:hAnsi="宋体" w:cs="宋体"/>
          <w:sz w:val="24"/>
          <w:highlight w:val="none"/>
          <w:lang w:bidi="ar"/>
        </w:rPr>
        <w:t xml:space="preserve"> </w:t>
      </w:r>
    </w:p>
    <w:p w14:paraId="282988F1">
      <w:pPr>
        <w:spacing w:line="360" w:lineRule="auto"/>
        <w:ind w:firstLine="480" w:firstLineChars="200"/>
        <w:rPr>
          <w:rFonts w:ascii="宋体" w:hAnsi="宋体" w:cs="宋体"/>
          <w:sz w:val="24"/>
          <w:highlight w:val="none"/>
        </w:rPr>
      </w:pPr>
      <w:r>
        <w:rPr>
          <w:rFonts w:hint="eastAsia" w:ascii="宋体" w:hAnsi="宋体" w:cs="宋体"/>
          <w:sz w:val="24"/>
          <w:highlight w:val="none"/>
          <w:lang w:bidi="ar"/>
        </w:rPr>
        <w:t>注：供应商为其他组织或者自然人时，本磋商文件规定的法定代表人指负责人或者自然人。本磋商文件所称负责人是指参加竞标的其他组织营业执照上的负责人，本磋商文件所称自然人指参与竞标的自然人本人。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B0C97F8">
      <w:pPr>
        <w:autoSpaceDE w:val="0"/>
        <w:spacing w:before="340" w:after="330" w:line="360" w:lineRule="auto"/>
        <w:jc w:val="center"/>
        <w:rPr>
          <w:b/>
          <w:bCs/>
          <w:sz w:val="44"/>
          <w:szCs w:val="44"/>
          <w:highlight w:val="none"/>
        </w:rPr>
      </w:pPr>
      <w:r>
        <w:rPr>
          <w:rFonts w:hint="eastAsia" w:ascii="宋体" w:hAnsi="宋体" w:cs="宋体"/>
          <w:sz w:val="24"/>
          <w:highlight w:val="none"/>
          <w:lang w:bidi="ar"/>
        </w:rPr>
        <w:br w:type="page"/>
      </w:r>
      <w:r>
        <w:rPr>
          <w:rFonts w:hint="eastAsia" w:ascii="宋体" w:hAnsi="宋体" w:cs="宋体"/>
          <w:b/>
          <w:bCs/>
          <w:sz w:val="44"/>
          <w:szCs w:val="44"/>
          <w:highlight w:val="none"/>
          <w:lang w:bidi="ar"/>
        </w:rPr>
        <w:t>拟投入人员情况表</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530"/>
        <w:gridCol w:w="1461"/>
        <w:gridCol w:w="1661"/>
        <w:gridCol w:w="2505"/>
        <w:gridCol w:w="864"/>
      </w:tblGrid>
      <w:tr w14:paraId="3800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14:paraId="4246357D">
            <w:pPr>
              <w:spacing w:line="360" w:lineRule="auto"/>
              <w:jc w:val="center"/>
              <w:rPr>
                <w:rFonts w:ascii="宋体" w:hAnsi="宋体" w:cs="宋体"/>
                <w:sz w:val="24"/>
                <w:highlight w:val="none"/>
                <w:lang w:bidi="ar"/>
              </w:rPr>
            </w:pPr>
            <w:r>
              <w:rPr>
                <w:rFonts w:hint="eastAsia" w:ascii="宋体" w:hAnsi="宋体" w:cs="宋体"/>
                <w:sz w:val="24"/>
                <w:highlight w:val="none"/>
                <w:lang w:bidi="ar"/>
              </w:rPr>
              <w:t>序号</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14:paraId="1B96D70F">
            <w:pPr>
              <w:spacing w:line="360" w:lineRule="auto"/>
              <w:jc w:val="center"/>
              <w:rPr>
                <w:rFonts w:ascii="宋体" w:hAnsi="宋体" w:cs="宋体"/>
                <w:sz w:val="24"/>
                <w:highlight w:val="none"/>
              </w:rPr>
            </w:pPr>
            <w:r>
              <w:rPr>
                <w:rFonts w:hint="eastAsia" w:ascii="宋体" w:hAnsi="宋体" w:cs="宋体"/>
                <w:sz w:val="24"/>
                <w:highlight w:val="none"/>
                <w:lang w:bidi="ar"/>
              </w:rPr>
              <w:t>姓名</w:t>
            </w: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14:paraId="41FB688E">
            <w:pPr>
              <w:spacing w:line="360" w:lineRule="auto"/>
              <w:jc w:val="center"/>
              <w:rPr>
                <w:rFonts w:ascii="宋体" w:hAnsi="宋体" w:cs="宋体"/>
                <w:sz w:val="24"/>
                <w:highlight w:val="none"/>
              </w:rPr>
            </w:pPr>
            <w:r>
              <w:rPr>
                <w:rFonts w:hint="eastAsia" w:ascii="宋体" w:hAnsi="宋体" w:cs="宋体"/>
                <w:sz w:val="24"/>
                <w:highlight w:val="none"/>
              </w:rPr>
              <w:t>职务</w:t>
            </w:r>
          </w:p>
        </w:tc>
        <w:tc>
          <w:tcPr>
            <w:tcW w:w="913" w:type="pct"/>
            <w:tcBorders>
              <w:top w:val="single" w:color="auto" w:sz="4" w:space="0"/>
              <w:left w:val="single" w:color="auto" w:sz="4" w:space="0"/>
              <w:bottom w:val="single" w:color="auto" w:sz="4" w:space="0"/>
              <w:right w:val="single" w:color="auto" w:sz="4" w:space="0"/>
            </w:tcBorders>
            <w:shd w:val="clear" w:color="auto" w:fill="auto"/>
            <w:vAlign w:val="center"/>
          </w:tcPr>
          <w:p w14:paraId="46ACD854">
            <w:pPr>
              <w:spacing w:line="360" w:lineRule="auto"/>
              <w:jc w:val="center"/>
              <w:rPr>
                <w:rFonts w:ascii="宋体" w:hAnsi="宋体" w:cs="宋体"/>
                <w:sz w:val="24"/>
                <w:highlight w:val="none"/>
              </w:rPr>
            </w:pPr>
            <w:r>
              <w:rPr>
                <w:rFonts w:hint="eastAsia" w:ascii="宋体" w:hAnsi="宋体" w:cs="宋体"/>
                <w:sz w:val="24"/>
                <w:highlight w:val="none"/>
                <w:lang w:bidi="ar"/>
              </w:rPr>
              <w:t>职称</w:t>
            </w:r>
          </w:p>
        </w:tc>
        <w:tc>
          <w:tcPr>
            <w:tcW w:w="1377" w:type="pct"/>
            <w:tcBorders>
              <w:top w:val="single" w:color="auto" w:sz="4" w:space="0"/>
              <w:left w:val="single" w:color="auto" w:sz="4" w:space="0"/>
              <w:bottom w:val="single" w:color="auto" w:sz="4" w:space="0"/>
              <w:right w:val="single" w:color="auto" w:sz="4" w:space="0"/>
            </w:tcBorders>
            <w:shd w:val="clear" w:color="auto" w:fill="auto"/>
            <w:vAlign w:val="center"/>
          </w:tcPr>
          <w:p w14:paraId="042AC3D1">
            <w:pPr>
              <w:spacing w:line="360" w:lineRule="auto"/>
              <w:jc w:val="center"/>
              <w:rPr>
                <w:rFonts w:ascii="宋体" w:hAnsi="宋体" w:cs="宋体"/>
                <w:sz w:val="24"/>
                <w:highlight w:val="none"/>
              </w:rPr>
            </w:pPr>
            <w:r>
              <w:rPr>
                <w:rFonts w:hint="eastAsia" w:ascii="宋体" w:hAnsi="宋体" w:cs="宋体"/>
                <w:sz w:val="24"/>
                <w:highlight w:val="none"/>
                <w:lang w:bidi="ar"/>
              </w:rPr>
              <w:t>证书名称</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2E8D904D">
            <w:pPr>
              <w:spacing w:line="360" w:lineRule="auto"/>
              <w:jc w:val="center"/>
              <w:rPr>
                <w:rFonts w:ascii="宋体" w:hAnsi="宋体" w:cs="宋体"/>
                <w:sz w:val="24"/>
                <w:highlight w:val="none"/>
              </w:rPr>
            </w:pPr>
            <w:r>
              <w:rPr>
                <w:rFonts w:hint="eastAsia" w:ascii="宋体" w:hAnsi="宋体" w:cs="宋体"/>
                <w:sz w:val="24"/>
                <w:highlight w:val="none"/>
                <w:lang w:bidi="ar"/>
              </w:rPr>
              <w:t>备注</w:t>
            </w:r>
          </w:p>
        </w:tc>
      </w:tr>
      <w:tr w14:paraId="39A0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14:paraId="6CEB2411">
            <w:pPr>
              <w:spacing w:line="360" w:lineRule="auto"/>
              <w:jc w:val="center"/>
              <w:rPr>
                <w:rFonts w:ascii="宋体" w:hAnsi="宋体" w:cs="宋体"/>
                <w:sz w:val="24"/>
                <w:highlight w:val="none"/>
              </w:rPr>
            </w:pP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14:paraId="4B93044C">
            <w:pPr>
              <w:spacing w:line="360" w:lineRule="auto"/>
              <w:jc w:val="center"/>
              <w:rPr>
                <w:rFonts w:ascii="宋体" w:hAnsi="宋体" w:cs="宋体"/>
                <w:sz w:val="24"/>
                <w:highlight w:val="none"/>
              </w:rPr>
            </w:pP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14:paraId="4F591C4A">
            <w:pPr>
              <w:spacing w:line="360" w:lineRule="auto"/>
              <w:jc w:val="center"/>
              <w:rPr>
                <w:rFonts w:ascii="宋体" w:hAnsi="宋体" w:cs="宋体"/>
                <w:sz w:val="24"/>
                <w:highlight w:val="none"/>
              </w:rPr>
            </w:pPr>
          </w:p>
        </w:tc>
        <w:tc>
          <w:tcPr>
            <w:tcW w:w="913" w:type="pct"/>
            <w:tcBorders>
              <w:top w:val="single" w:color="auto" w:sz="4" w:space="0"/>
              <w:left w:val="single" w:color="auto" w:sz="4" w:space="0"/>
              <w:bottom w:val="single" w:color="auto" w:sz="4" w:space="0"/>
              <w:right w:val="single" w:color="auto" w:sz="4" w:space="0"/>
            </w:tcBorders>
            <w:shd w:val="clear" w:color="auto" w:fill="auto"/>
            <w:vAlign w:val="center"/>
          </w:tcPr>
          <w:p w14:paraId="3B657760">
            <w:pPr>
              <w:spacing w:line="360" w:lineRule="auto"/>
              <w:jc w:val="center"/>
              <w:rPr>
                <w:rFonts w:ascii="宋体" w:hAnsi="宋体" w:cs="宋体"/>
                <w:sz w:val="24"/>
                <w:highlight w:val="none"/>
              </w:rPr>
            </w:pPr>
          </w:p>
        </w:tc>
        <w:tc>
          <w:tcPr>
            <w:tcW w:w="1377" w:type="pct"/>
            <w:tcBorders>
              <w:top w:val="single" w:color="auto" w:sz="4" w:space="0"/>
              <w:left w:val="single" w:color="auto" w:sz="4" w:space="0"/>
              <w:bottom w:val="single" w:color="auto" w:sz="4" w:space="0"/>
              <w:right w:val="single" w:color="auto" w:sz="4" w:space="0"/>
            </w:tcBorders>
            <w:shd w:val="clear" w:color="auto" w:fill="auto"/>
            <w:vAlign w:val="center"/>
          </w:tcPr>
          <w:p w14:paraId="4A568A80">
            <w:pPr>
              <w:spacing w:line="360" w:lineRule="auto"/>
              <w:jc w:val="center"/>
              <w:rPr>
                <w:rFonts w:ascii="宋体" w:hAnsi="宋体" w:cs="宋体"/>
                <w:sz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608B7EF4">
            <w:pPr>
              <w:spacing w:line="360" w:lineRule="auto"/>
              <w:jc w:val="center"/>
              <w:rPr>
                <w:rFonts w:ascii="宋体" w:hAnsi="宋体" w:cs="宋体"/>
                <w:sz w:val="24"/>
                <w:highlight w:val="none"/>
              </w:rPr>
            </w:pPr>
          </w:p>
        </w:tc>
      </w:tr>
      <w:tr w14:paraId="1E0E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14:paraId="046E8A1D">
            <w:pPr>
              <w:spacing w:line="360" w:lineRule="auto"/>
              <w:jc w:val="center"/>
              <w:rPr>
                <w:rFonts w:ascii="宋体" w:hAnsi="宋体" w:cs="宋体"/>
                <w:sz w:val="24"/>
                <w:highlight w:val="none"/>
              </w:rPr>
            </w:pP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14:paraId="07024937">
            <w:pPr>
              <w:spacing w:line="360" w:lineRule="auto"/>
              <w:jc w:val="center"/>
              <w:rPr>
                <w:rFonts w:ascii="宋体" w:hAnsi="宋体" w:cs="宋体"/>
                <w:sz w:val="24"/>
                <w:highlight w:val="none"/>
              </w:rPr>
            </w:pP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14:paraId="10011781">
            <w:pPr>
              <w:spacing w:line="360" w:lineRule="auto"/>
              <w:jc w:val="center"/>
              <w:rPr>
                <w:rFonts w:ascii="宋体" w:hAnsi="宋体" w:cs="宋体"/>
                <w:sz w:val="24"/>
                <w:highlight w:val="none"/>
              </w:rPr>
            </w:pPr>
          </w:p>
        </w:tc>
        <w:tc>
          <w:tcPr>
            <w:tcW w:w="913" w:type="pct"/>
            <w:tcBorders>
              <w:top w:val="single" w:color="auto" w:sz="4" w:space="0"/>
              <w:left w:val="single" w:color="auto" w:sz="4" w:space="0"/>
              <w:bottom w:val="single" w:color="auto" w:sz="4" w:space="0"/>
              <w:right w:val="single" w:color="auto" w:sz="4" w:space="0"/>
            </w:tcBorders>
            <w:shd w:val="clear" w:color="auto" w:fill="auto"/>
            <w:vAlign w:val="center"/>
          </w:tcPr>
          <w:p w14:paraId="70AEE61B">
            <w:pPr>
              <w:spacing w:line="360" w:lineRule="auto"/>
              <w:jc w:val="center"/>
              <w:rPr>
                <w:rFonts w:ascii="宋体" w:hAnsi="宋体" w:cs="宋体"/>
                <w:sz w:val="24"/>
                <w:highlight w:val="none"/>
              </w:rPr>
            </w:pPr>
          </w:p>
        </w:tc>
        <w:tc>
          <w:tcPr>
            <w:tcW w:w="1377" w:type="pct"/>
            <w:tcBorders>
              <w:top w:val="single" w:color="auto" w:sz="4" w:space="0"/>
              <w:left w:val="single" w:color="auto" w:sz="4" w:space="0"/>
              <w:bottom w:val="single" w:color="auto" w:sz="4" w:space="0"/>
              <w:right w:val="single" w:color="auto" w:sz="4" w:space="0"/>
            </w:tcBorders>
            <w:shd w:val="clear" w:color="auto" w:fill="auto"/>
            <w:vAlign w:val="center"/>
          </w:tcPr>
          <w:p w14:paraId="00ED9B0B">
            <w:pPr>
              <w:spacing w:line="360" w:lineRule="auto"/>
              <w:jc w:val="center"/>
              <w:rPr>
                <w:rFonts w:ascii="宋体" w:hAnsi="宋体" w:cs="宋体"/>
                <w:sz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6F71AE9E">
            <w:pPr>
              <w:spacing w:line="360" w:lineRule="auto"/>
              <w:jc w:val="center"/>
              <w:rPr>
                <w:rFonts w:ascii="宋体" w:hAnsi="宋体" w:cs="宋体"/>
                <w:sz w:val="24"/>
                <w:highlight w:val="none"/>
              </w:rPr>
            </w:pPr>
          </w:p>
        </w:tc>
      </w:tr>
      <w:tr w14:paraId="7674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14:paraId="228A7E7F">
            <w:pPr>
              <w:spacing w:line="360" w:lineRule="auto"/>
              <w:jc w:val="center"/>
              <w:rPr>
                <w:rFonts w:ascii="宋体" w:hAnsi="宋体" w:cs="宋体"/>
                <w:sz w:val="24"/>
                <w:highlight w:val="none"/>
                <w:lang w:bidi="ar"/>
              </w:rPr>
            </w:pPr>
            <w:r>
              <w:rPr>
                <w:rFonts w:hint="eastAsia" w:ascii="宋体" w:hAnsi="宋体" w:cs="宋体"/>
                <w:sz w:val="24"/>
                <w:highlight w:val="none"/>
                <w:lang w:bidi="ar"/>
              </w:rPr>
              <w:t>…</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14:paraId="3A31B2CB">
            <w:pPr>
              <w:spacing w:line="360" w:lineRule="auto"/>
              <w:jc w:val="center"/>
              <w:rPr>
                <w:rFonts w:ascii="宋体" w:hAnsi="宋体" w:cs="宋体"/>
                <w:sz w:val="24"/>
                <w:highlight w:val="none"/>
              </w:rPr>
            </w:pPr>
            <w:r>
              <w:rPr>
                <w:rFonts w:hint="eastAsia" w:ascii="宋体" w:hAnsi="宋体" w:cs="宋体"/>
                <w:sz w:val="24"/>
                <w:highlight w:val="none"/>
              </w:rPr>
              <w:t>…</w:t>
            </w: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14:paraId="57197CD6">
            <w:pPr>
              <w:spacing w:line="360" w:lineRule="auto"/>
              <w:jc w:val="center"/>
              <w:rPr>
                <w:rFonts w:ascii="宋体" w:hAnsi="宋体" w:cs="宋体"/>
                <w:sz w:val="24"/>
                <w:highlight w:val="none"/>
              </w:rPr>
            </w:pPr>
            <w:r>
              <w:rPr>
                <w:rFonts w:hint="eastAsia" w:ascii="宋体" w:hAnsi="宋体" w:cs="宋体"/>
                <w:sz w:val="24"/>
                <w:highlight w:val="none"/>
              </w:rPr>
              <w:t>…</w:t>
            </w:r>
          </w:p>
        </w:tc>
        <w:tc>
          <w:tcPr>
            <w:tcW w:w="913" w:type="pct"/>
            <w:tcBorders>
              <w:top w:val="single" w:color="auto" w:sz="4" w:space="0"/>
              <w:left w:val="single" w:color="auto" w:sz="4" w:space="0"/>
              <w:bottom w:val="single" w:color="auto" w:sz="4" w:space="0"/>
              <w:right w:val="single" w:color="auto" w:sz="4" w:space="0"/>
            </w:tcBorders>
            <w:shd w:val="clear" w:color="auto" w:fill="auto"/>
            <w:vAlign w:val="center"/>
          </w:tcPr>
          <w:p w14:paraId="47D1DB00">
            <w:pPr>
              <w:spacing w:line="360" w:lineRule="auto"/>
              <w:jc w:val="center"/>
              <w:rPr>
                <w:rFonts w:ascii="宋体" w:hAnsi="宋体" w:cs="宋体"/>
                <w:sz w:val="24"/>
                <w:highlight w:val="none"/>
              </w:rPr>
            </w:pPr>
            <w:r>
              <w:rPr>
                <w:rFonts w:hint="eastAsia" w:ascii="宋体" w:hAnsi="宋体" w:cs="宋体"/>
                <w:sz w:val="24"/>
                <w:highlight w:val="none"/>
              </w:rPr>
              <w:t>…</w:t>
            </w:r>
          </w:p>
        </w:tc>
        <w:tc>
          <w:tcPr>
            <w:tcW w:w="1377" w:type="pct"/>
            <w:tcBorders>
              <w:top w:val="single" w:color="auto" w:sz="4" w:space="0"/>
              <w:left w:val="single" w:color="auto" w:sz="4" w:space="0"/>
              <w:bottom w:val="single" w:color="auto" w:sz="4" w:space="0"/>
              <w:right w:val="single" w:color="auto" w:sz="4" w:space="0"/>
            </w:tcBorders>
            <w:shd w:val="clear" w:color="auto" w:fill="auto"/>
            <w:vAlign w:val="center"/>
          </w:tcPr>
          <w:p w14:paraId="1748E019">
            <w:pPr>
              <w:spacing w:line="360" w:lineRule="auto"/>
              <w:jc w:val="center"/>
              <w:rPr>
                <w:rFonts w:ascii="宋体" w:hAnsi="宋体" w:cs="宋体"/>
                <w:sz w:val="24"/>
                <w:highlight w:val="none"/>
              </w:rPr>
            </w:pPr>
            <w:r>
              <w:rPr>
                <w:rFonts w:hint="eastAsia" w:ascii="宋体" w:hAnsi="宋体" w:cs="宋体"/>
                <w:sz w:val="24"/>
                <w:highlight w:val="none"/>
              </w:rPr>
              <w:t>…</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27601DD6">
            <w:pPr>
              <w:spacing w:line="360" w:lineRule="auto"/>
              <w:jc w:val="center"/>
              <w:rPr>
                <w:rFonts w:ascii="宋体" w:hAnsi="宋体" w:cs="宋体"/>
                <w:sz w:val="24"/>
                <w:highlight w:val="none"/>
              </w:rPr>
            </w:pPr>
            <w:r>
              <w:rPr>
                <w:rFonts w:hint="eastAsia" w:ascii="宋体" w:hAnsi="宋体" w:cs="宋体"/>
                <w:sz w:val="24"/>
                <w:highlight w:val="none"/>
              </w:rPr>
              <w:t>…</w:t>
            </w:r>
          </w:p>
        </w:tc>
      </w:tr>
    </w:tbl>
    <w:p w14:paraId="4E4CB5AF">
      <w:pPr>
        <w:spacing w:line="360" w:lineRule="auto"/>
        <w:ind w:firstLine="470" w:firstLineChars="196"/>
        <w:rPr>
          <w:rFonts w:ascii="宋体" w:hAnsi="宋体" w:cs="宋体"/>
          <w:sz w:val="24"/>
          <w:highlight w:val="none"/>
        </w:rPr>
      </w:pPr>
      <w:r>
        <w:rPr>
          <w:rFonts w:hint="eastAsia" w:ascii="宋体" w:hAnsi="宋体" w:cs="宋体"/>
          <w:sz w:val="24"/>
          <w:highlight w:val="none"/>
          <w:lang w:bidi="ar"/>
        </w:rPr>
        <w:t>注：提供相关证书扫描件。</w:t>
      </w:r>
    </w:p>
    <w:p w14:paraId="47EF30F6">
      <w:pPr>
        <w:pStyle w:val="4"/>
        <w:spacing w:line="460" w:lineRule="exact"/>
        <w:jc w:val="center"/>
        <w:rPr>
          <w:rFonts w:hint="eastAsia" w:cs="宋体"/>
          <w:kern w:val="2"/>
          <w:sz w:val="21"/>
          <w:szCs w:val="21"/>
          <w:highlight w:val="none"/>
        </w:rPr>
      </w:pPr>
    </w:p>
    <w:p w14:paraId="60A58AC4">
      <w:pPr>
        <w:pStyle w:val="4"/>
        <w:spacing w:line="460" w:lineRule="exact"/>
        <w:jc w:val="center"/>
        <w:rPr>
          <w:rFonts w:hint="eastAsia" w:cs="宋体"/>
          <w:kern w:val="2"/>
          <w:sz w:val="21"/>
          <w:szCs w:val="21"/>
          <w:highlight w:val="none"/>
        </w:rPr>
      </w:pPr>
    </w:p>
    <w:p w14:paraId="4F587376">
      <w:pPr>
        <w:pStyle w:val="4"/>
        <w:spacing w:line="460" w:lineRule="exact"/>
        <w:jc w:val="center"/>
        <w:rPr>
          <w:rFonts w:hint="eastAsia" w:cs="宋体"/>
          <w:kern w:val="2"/>
          <w:sz w:val="21"/>
          <w:szCs w:val="21"/>
          <w:highlight w:val="none"/>
        </w:rPr>
      </w:pPr>
    </w:p>
    <w:p w14:paraId="26CD13E6">
      <w:pPr>
        <w:pStyle w:val="4"/>
        <w:spacing w:line="460" w:lineRule="exact"/>
        <w:jc w:val="center"/>
        <w:rPr>
          <w:rFonts w:hint="eastAsia" w:cs="宋体"/>
          <w:kern w:val="2"/>
          <w:sz w:val="21"/>
          <w:szCs w:val="21"/>
          <w:highlight w:val="none"/>
        </w:rPr>
      </w:pPr>
    </w:p>
    <w:p w14:paraId="2B879320">
      <w:pPr>
        <w:pStyle w:val="4"/>
        <w:spacing w:line="460" w:lineRule="exact"/>
        <w:jc w:val="center"/>
        <w:rPr>
          <w:rFonts w:hint="eastAsia" w:cs="宋体"/>
          <w:kern w:val="2"/>
          <w:sz w:val="21"/>
          <w:szCs w:val="21"/>
          <w:highlight w:val="none"/>
        </w:rPr>
      </w:pPr>
    </w:p>
    <w:p w14:paraId="0630527A">
      <w:pPr>
        <w:pStyle w:val="4"/>
        <w:spacing w:line="460" w:lineRule="exact"/>
        <w:jc w:val="center"/>
        <w:rPr>
          <w:rFonts w:hint="eastAsia" w:cs="宋体"/>
          <w:kern w:val="2"/>
          <w:sz w:val="21"/>
          <w:szCs w:val="21"/>
          <w:highlight w:val="none"/>
        </w:rPr>
      </w:pPr>
    </w:p>
    <w:p w14:paraId="57CBC84A">
      <w:pPr>
        <w:pStyle w:val="4"/>
        <w:spacing w:line="460" w:lineRule="exact"/>
        <w:jc w:val="center"/>
        <w:rPr>
          <w:rFonts w:hint="eastAsia" w:cs="宋体"/>
          <w:kern w:val="2"/>
          <w:sz w:val="21"/>
          <w:szCs w:val="21"/>
          <w:highlight w:val="none"/>
        </w:rPr>
      </w:pPr>
    </w:p>
    <w:p w14:paraId="59B0320E">
      <w:pPr>
        <w:rPr>
          <w:rFonts w:hint="eastAsia" w:cs="宋体"/>
          <w:kern w:val="2"/>
          <w:sz w:val="21"/>
          <w:szCs w:val="21"/>
          <w:highlight w:val="none"/>
        </w:rPr>
      </w:pPr>
    </w:p>
    <w:p w14:paraId="0F94D5CB">
      <w:pPr>
        <w:pStyle w:val="2"/>
        <w:rPr>
          <w:rFonts w:hint="eastAsia" w:cs="宋体"/>
          <w:kern w:val="2"/>
          <w:sz w:val="21"/>
          <w:szCs w:val="21"/>
          <w:highlight w:val="none"/>
        </w:rPr>
      </w:pPr>
    </w:p>
    <w:p w14:paraId="3937651E">
      <w:pPr>
        <w:pStyle w:val="4"/>
        <w:spacing w:line="460" w:lineRule="exact"/>
        <w:jc w:val="center"/>
        <w:rPr>
          <w:rFonts w:hint="eastAsia" w:cs="宋体"/>
          <w:kern w:val="2"/>
          <w:sz w:val="21"/>
          <w:szCs w:val="21"/>
          <w:highlight w:val="none"/>
        </w:rPr>
      </w:pPr>
    </w:p>
    <w:p w14:paraId="30E5F020">
      <w:pPr>
        <w:rPr>
          <w:rFonts w:hint="eastAsia"/>
          <w:highlight w:val="none"/>
        </w:rPr>
      </w:pPr>
    </w:p>
    <w:p w14:paraId="50014A92">
      <w:pPr>
        <w:autoSpaceDE w:val="0"/>
        <w:spacing w:before="340" w:after="330" w:line="300" w:lineRule="auto"/>
        <w:jc w:val="center"/>
        <w:rPr>
          <w:rFonts w:hint="eastAsia" w:ascii="宋体" w:hAnsi="宋体" w:cs="宋体"/>
          <w:b/>
          <w:bCs/>
          <w:sz w:val="44"/>
          <w:szCs w:val="44"/>
          <w:highlight w:val="none"/>
          <w:lang w:bidi="ar"/>
        </w:rPr>
      </w:pPr>
    </w:p>
    <w:p w14:paraId="24AE0B79">
      <w:pPr>
        <w:pStyle w:val="4"/>
        <w:spacing w:line="460" w:lineRule="exact"/>
        <w:jc w:val="center"/>
        <w:rPr>
          <w:rFonts w:ascii="宋体" w:hAnsi="宋体" w:cs="宋体"/>
        </w:rPr>
      </w:pPr>
      <w:bookmarkStart w:id="67" w:name="_Toc9980"/>
      <w:r>
        <w:rPr>
          <w:rFonts w:hint="eastAsia" w:ascii="宋体" w:hAnsi="宋体" w:cs="宋体"/>
        </w:rPr>
        <w:t>第六章 合同文本</w:t>
      </w:r>
      <w:bookmarkEnd w:id="67"/>
    </w:p>
    <w:p w14:paraId="75D3CDC5">
      <w:pPr>
        <w:spacing w:line="520" w:lineRule="exact"/>
        <w:rPr>
          <w:rFonts w:ascii="宋体" w:hAnsi="宋体" w:cs="宋体"/>
          <w:b/>
          <w:sz w:val="32"/>
          <w:szCs w:val="32"/>
        </w:rPr>
      </w:pPr>
    </w:p>
    <w:p w14:paraId="026EF42D">
      <w:pPr>
        <w:spacing w:line="360" w:lineRule="auto"/>
        <w:ind w:right="800"/>
        <w:rPr>
          <w:rFonts w:ascii="宋体" w:hAnsi="宋体" w:cs="宋体"/>
          <w:bCs/>
          <w:szCs w:val="21"/>
          <w:u w:val="single"/>
        </w:rPr>
      </w:pPr>
      <w:r>
        <w:rPr>
          <w:rFonts w:hint="eastAsia" w:ascii="宋体" w:hAnsi="宋体" w:cs="宋体"/>
          <w:szCs w:val="21"/>
        </w:rPr>
        <w:t>采购计划号：</w:t>
      </w:r>
      <w:r>
        <w:rPr>
          <w:rFonts w:hint="eastAsia" w:ascii="宋体" w:hAnsi="宋体" w:cs="宋体"/>
          <w:bCs/>
          <w:szCs w:val="21"/>
        </w:rPr>
        <w:t>合同编号：</w:t>
      </w:r>
    </w:p>
    <w:p w14:paraId="69D97ABF">
      <w:pPr>
        <w:spacing w:line="360" w:lineRule="auto"/>
        <w:rPr>
          <w:rFonts w:hint="eastAsia" w:ascii="宋体" w:hAnsi="宋体" w:cs="宋体"/>
          <w:szCs w:val="21"/>
        </w:rPr>
      </w:pPr>
      <w:r>
        <w:rPr>
          <w:rFonts w:hint="eastAsia" w:ascii="宋体" w:hAnsi="宋体" w:cs="宋体"/>
          <w:szCs w:val="21"/>
        </w:rPr>
        <w:t xml:space="preserve">采购人（甲方）：   </w:t>
      </w:r>
    </w:p>
    <w:p w14:paraId="4A9E8D8D">
      <w:pPr>
        <w:spacing w:line="360" w:lineRule="auto"/>
        <w:rPr>
          <w:rFonts w:ascii="宋体" w:hAnsi="宋体" w:cs="宋体"/>
          <w:szCs w:val="21"/>
          <w:u w:val="single"/>
        </w:rPr>
      </w:pPr>
      <w:r>
        <w:rPr>
          <w:rFonts w:hint="eastAsia" w:ascii="宋体" w:hAnsi="宋体" w:cs="宋体"/>
          <w:szCs w:val="21"/>
        </w:rPr>
        <w:t>供应商（乙方）：</w:t>
      </w:r>
    </w:p>
    <w:p w14:paraId="1E9F6B11">
      <w:pPr>
        <w:spacing w:line="360" w:lineRule="auto"/>
        <w:rPr>
          <w:rFonts w:ascii="宋体" w:hAnsi="宋体" w:cs="宋体"/>
          <w:szCs w:val="21"/>
          <w:u w:val="single"/>
        </w:rPr>
      </w:pPr>
      <w:r>
        <w:rPr>
          <w:rFonts w:hint="eastAsia" w:ascii="宋体" w:hAnsi="宋体" w:cs="宋体"/>
          <w:szCs w:val="21"/>
        </w:rPr>
        <w:t>项目名称：   项目编号：</w:t>
      </w:r>
    </w:p>
    <w:p w14:paraId="7A93C0F1">
      <w:pPr>
        <w:spacing w:line="360" w:lineRule="auto"/>
        <w:rPr>
          <w:rFonts w:ascii="宋体" w:hAnsi="宋体" w:cs="宋体"/>
          <w:szCs w:val="21"/>
          <w:u w:val="single"/>
        </w:rPr>
      </w:pPr>
      <w:r>
        <w:rPr>
          <w:rFonts w:hint="eastAsia" w:ascii="宋体" w:hAnsi="宋体" w:cs="宋体"/>
          <w:szCs w:val="21"/>
        </w:rPr>
        <w:t>签订地点：   签订时间：</w:t>
      </w:r>
    </w:p>
    <w:p w14:paraId="4E63999D">
      <w:pPr>
        <w:spacing w:line="360" w:lineRule="auto"/>
        <w:ind w:firstLine="420" w:firstLineChars="200"/>
        <w:rPr>
          <w:rFonts w:ascii="宋体" w:hAnsi="宋体" w:cs="宋体"/>
          <w:szCs w:val="21"/>
        </w:rPr>
      </w:pPr>
    </w:p>
    <w:p w14:paraId="5081945B">
      <w:pPr>
        <w:spacing w:line="360" w:lineRule="auto"/>
        <w:ind w:firstLine="420" w:firstLineChars="200"/>
        <w:rPr>
          <w:rFonts w:ascii="宋体" w:hAnsi="宋体" w:cs="宋体"/>
          <w:szCs w:val="21"/>
        </w:rPr>
      </w:pPr>
      <w:r>
        <w:rPr>
          <w:rFonts w:hint="eastAsia" w:ascii="宋体" w:hAnsi="宋体" w:cs="宋体"/>
          <w:szCs w:val="21"/>
        </w:rPr>
        <w:t>根据《中华人民共和国政府采购法》、《中华人民共和国民法典（合同编）》等法律、法规规定，按照磋商文件规定条款和乙方响应文件及其承诺，甲乙双方签订本合同。</w:t>
      </w:r>
    </w:p>
    <w:p w14:paraId="4AA6AEE7">
      <w:pPr>
        <w:spacing w:line="360" w:lineRule="auto"/>
        <w:ind w:firstLine="422" w:firstLineChars="200"/>
        <w:rPr>
          <w:rFonts w:ascii="宋体" w:hAnsi="宋体" w:cs="宋体"/>
          <w:b/>
          <w:szCs w:val="21"/>
        </w:rPr>
      </w:pPr>
      <w:r>
        <w:rPr>
          <w:rFonts w:hint="eastAsia" w:ascii="宋体" w:hAnsi="宋体" w:cs="宋体"/>
          <w:b/>
          <w:szCs w:val="21"/>
        </w:rPr>
        <w:t>第一条　合同标的</w:t>
      </w:r>
    </w:p>
    <w:p w14:paraId="31264044">
      <w:pPr>
        <w:spacing w:line="360" w:lineRule="auto"/>
        <w:ind w:firstLine="420" w:firstLineChars="200"/>
        <w:rPr>
          <w:rFonts w:ascii="宋体" w:hAnsi="宋体" w:cs="宋体"/>
          <w:szCs w:val="21"/>
        </w:rPr>
      </w:pPr>
      <w:r>
        <w:rPr>
          <w:rFonts w:hint="eastAsia" w:ascii="宋体" w:hAnsi="宋体" w:cs="宋体"/>
          <w:szCs w:val="21"/>
        </w:rPr>
        <w:t>1、项目一览表</w:t>
      </w:r>
    </w:p>
    <w:tbl>
      <w:tblPr>
        <w:tblStyle w:val="30"/>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44EB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ign w:val="center"/>
          </w:tcPr>
          <w:p w14:paraId="1764875A">
            <w:pPr>
              <w:spacing w:line="360" w:lineRule="auto"/>
              <w:jc w:val="center"/>
              <w:rPr>
                <w:rFonts w:ascii="宋体" w:hAnsi="宋体" w:cs="宋体"/>
                <w:szCs w:val="21"/>
              </w:rPr>
            </w:pPr>
            <w:r>
              <w:rPr>
                <w:rFonts w:hint="eastAsia" w:ascii="宋体" w:hAnsi="宋体" w:cs="宋体"/>
                <w:szCs w:val="21"/>
              </w:rPr>
              <w:t>序号</w:t>
            </w:r>
          </w:p>
        </w:tc>
        <w:tc>
          <w:tcPr>
            <w:tcW w:w="1213" w:type="dxa"/>
            <w:tcBorders>
              <w:top w:val="single" w:color="auto" w:sz="4" w:space="0"/>
              <w:left w:val="single" w:color="auto" w:sz="4" w:space="0"/>
              <w:bottom w:val="single" w:color="auto" w:sz="4" w:space="0"/>
              <w:right w:val="single" w:color="auto" w:sz="4" w:space="0"/>
            </w:tcBorders>
            <w:noWrap/>
            <w:vAlign w:val="center"/>
          </w:tcPr>
          <w:p w14:paraId="0F418AD7">
            <w:pPr>
              <w:spacing w:line="360" w:lineRule="auto"/>
              <w:jc w:val="center"/>
              <w:rPr>
                <w:rFonts w:ascii="宋体" w:hAnsi="宋体" w:cs="宋体"/>
                <w:szCs w:val="21"/>
              </w:rPr>
            </w:pPr>
            <w:r>
              <w:rPr>
                <w:rFonts w:hint="eastAsia" w:ascii="宋体" w:hAnsi="宋体" w:cs="宋体"/>
                <w:szCs w:val="21"/>
              </w:rPr>
              <w:t>名称</w:t>
            </w:r>
          </w:p>
        </w:tc>
        <w:tc>
          <w:tcPr>
            <w:tcW w:w="2400" w:type="dxa"/>
            <w:tcBorders>
              <w:top w:val="single" w:color="auto" w:sz="4" w:space="0"/>
              <w:left w:val="single" w:color="auto" w:sz="4" w:space="0"/>
              <w:bottom w:val="single" w:color="auto" w:sz="4" w:space="0"/>
              <w:right w:val="single" w:color="auto" w:sz="4" w:space="0"/>
            </w:tcBorders>
            <w:noWrap/>
            <w:vAlign w:val="center"/>
          </w:tcPr>
          <w:p w14:paraId="6C27E9CE">
            <w:pPr>
              <w:spacing w:line="360" w:lineRule="auto"/>
              <w:jc w:val="center"/>
              <w:rPr>
                <w:rFonts w:ascii="宋体" w:hAnsi="宋体" w:cs="宋体"/>
                <w:szCs w:val="21"/>
              </w:rPr>
            </w:pPr>
            <w:r>
              <w:rPr>
                <w:rFonts w:hint="eastAsia" w:ascii="宋体" w:hAnsi="宋体" w:cs="宋体"/>
                <w:szCs w:val="21"/>
              </w:rPr>
              <w:t>服务内容</w:t>
            </w:r>
          </w:p>
        </w:tc>
        <w:tc>
          <w:tcPr>
            <w:tcW w:w="1320" w:type="dxa"/>
            <w:tcBorders>
              <w:top w:val="single" w:color="auto" w:sz="4" w:space="0"/>
              <w:left w:val="single" w:color="auto" w:sz="4" w:space="0"/>
              <w:bottom w:val="single" w:color="auto" w:sz="4" w:space="0"/>
              <w:right w:val="single" w:color="auto" w:sz="4" w:space="0"/>
            </w:tcBorders>
            <w:noWrap/>
            <w:vAlign w:val="center"/>
          </w:tcPr>
          <w:p w14:paraId="5D015845">
            <w:pPr>
              <w:spacing w:line="360" w:lineRule="auto"/>
              <w:jc w:val="center"/>
              <w:rPr>
                <w:rFonts w:ascii="宋体" w:hAnsi="宋体" w:cs="宋体"/>
                <w:szCs w:val="21"/>
              </w:rPr>
            </w:pPr>
            <w:r>
              <w:rPr>
                <w:rFonts w:hint="eastAsia" w:ascii="宋体" w:hAnsi="宋体" w:cs="宋体"/>
                <w:szCs w:val="21"/>
              </w:rPr>
              <w:t>数  量</w:t>
            </w:r>
          </w:p>
        </w:tc>
        <w:tc>
          <w:tcPr>
            <w:tcW w:w="1200" w:type="dxa"/>
            <w:tcBorders>
              <w:top w:val="single" w:color="auto" w:sz="4" w:space="0"/>
              <w:left w:val="single" w:color="auto" w:sz="4" w:space="0"/>
              <w:bottom w:val="single" w:color="auto" w:sz="4" w:space="0"/>
              <w:right w:val="single" w:color="auto" w:sz="4" w:space="0"/>
            </w:tcBorders>
            <w:noWrap/>
            <w:vAlign w:val="center"/>
          </w:tcPr>
          <w:p w14:paraId="0822BEBE">
            <w:pPr>
              <w:spacing w:line="360" w:lineRule="auto"/>
              <w:jc w:val="center"/>
              <w:rPr>
                <w:rFonts w:ascii="宋体" w:hAnsi="宋体" w:cs="宋体"/>
                <w:szCs w:val="21"/>
              </w:rPr>
            </w:pPr>
            <w:r>
              <w:rPr>
                <w:rFonts w:hint="eastAsia" w:ascii="宋体" w:hAnsi="宋体" w:cs="宋体"/>
                <w:szCs w:val="21"/>
              </w:rPr>
              <w:t>单位</w:t>
            </w:r>
          </w:p>
        </w:tc>
        <w:tc>
          <w:tcPr>
            <w:tcW w:w="1300" w:type="dxa"/>
            <w:tcBorders>
              <w:top w:val="single" w:color="auto" w:sz="4" w:space="0"/>
              <w:left w:val="single" w:color="auto" w:sz="4" w:space="0"/>
              <w:bottom w:val="single" w:color="auto" w:sz="4" w:space="0"/>
              <w:right w:val="single" w:color="auto" w:sz="4" w:space="0"/>
            </w:tcBorders>
            <w:noWrap/>
            <w:vAlign w:val="center"/>
          </w:tcPr>
          <w:p w14:paraId="2B863C06">
            <w:pPr>
              <w:spacing w:line="360" w:lineRule="auto"/>
              <w:jc w:val="center"/>
              <w:rPr>
                <w:rFonts w:ascii="宋体" w:hAnsi="宋体" w:cs="宋体"/>
                <w:szCs w:val="21"/>
              </w:rPr>
            </w:pPr>
            <w:r>
              <w:rPr>
                <w:rFonts w:hint="eastAsia" w:ascii="宋体" w:hAnsi="宋体" w:cs="宋体"/>
                <w:szCs w:val="21"/>
              </w:rPr>
              <w:t>单  价</w:t>
            </w:r>
          </w:p>
          <w:p w14:paraId="45109AD0">
            <w:pPr>
              <w:spacing w:line="360" w:lineRule="auto"/>
              <w:jc w:val="center"/>
              <w:rPr>
                <w:rFonts w:ascii="宋体" w:hAnsi="宋体" w:cs="宋体"/>
                <w:szCs w:val="21"/>
              </w:rPr>
            </w:pPr>
            <w:r>
              <w:rPr>
                <w:rFonts w:hint="eastAsia" w:ascii="宋体" w:hAnsi="宋体" w:cs="宋体"/>
                <w:szCs w:val="21"/>
              </w:rPr>
              <w:t>（元）</w:t>
            </w:r>
          </w:p>
        </w:tc>
        <w:tc>
          <w:tcPr>
            <w:tcW w:w="1207" w:type="dxa"/>
            <w:tcBorders>
              <w:top w:val="single" w:color="auto" w:sz="4" w:space="0"/>
              <w:left w:val="single" w:color="auto" w:sz="4" w:space="0"/>
              <w:bottom w:val="single" w:color="auto" w:sz="4" w:space="0"/>
              <w:right w:val="single" w:color="auto" w:sz="4" w:space="0"/>
            </w:tcBorders>
            <w:noWrap/>
            <w:vAlign w:val="center"/>
          </w:tcPr>
          <w:p w14:paraId="26A1EE51">
            <w:pPr>
              <w:spacing w:line="360" w:lineRule="auto"/>
              <w:jc w:val="center"/>
              <w:rPr>
                <w:rFonts w:ascii="宋体" w:hAnsi="宋体" w:cs="宋体"/>
                <w:szCs w:val="21"/>
              </w:rPr>
            </w:pPr>
            <w:r>
              <w:rPr>
                <w:rFonts w:hint="eastAsia" w:ascii="宋体" w:hAnsi="宋体" w:cs="宋体"/>
                <w:szCs w:val="21"/>
              </w:rPr>
              <w:t>总  价</w:t>
            </w:r>
          </w:p>
          <w:p w14:paraId="1499AADF">
            <w:pPr>
              <w:spacing w:line="360" w:lineRule="auto"/>
              <w:jc w:val="center"/>
              <w:rPr>
                <w:rFonts w:ascii="宋体" w:hAnsi="宋体" w:cs="宋体"/>
                <w:szCs w:val="21"/>
              </w:rPr>
            </w:pPr>
            <w:r>
              <w:rPr>
                <w:rFonts w:hint="eastAsia" w:ascii="宋体" w:hAnsi="宋体" w:cs="宋体"/>
                <w:szCs w:val="21"/>
              </w:rPr>
              <w:t>（元）</w:t>
            </w:r>
          </w:p>
        </w:tc>
      </w:tr>
      <w:tr w14:paraId="02A4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ign w:val="center"/>
          </w:tcPr>
          <w:p w14:paraId="60224EB0">
            <w:pPr>
              <w:spacing w:line="360" w:lineRule="auto"/>
              <w:jc w:val="center"/>
              <w:rPr>
                <w:rFonts w:ascii="宋体" w:hAnsi="宋体" w:cs="宋体"/>
                <w:szCs w:val="21"/>
              </w:rPr>
            </w:pPr>
            <w:r>
              <w:rPr>
                <w:rFonts w:hint="eastAsia" w:ascii="宋体" w:hAnsi="宋体" w:cs="宋体"/>
                <w:szCs w:val="21"/>
              </w:rPr>
              <w:t>详见报价表</w:t>
            </w:r>
          </w:p>
        </w:tc>
      </w:tr>
      <w:tr w14:paraId="7F5C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ign w:val="center"/>
          </w:tcPr>
          <w:p w14:paraId="02E60AAF">
            <w:pPr>
              <w:spacing w:line="360" w:lineRule="auto"/>
              <w:rPr>
                <w:rFonts w:ascii="宋体" w:hAnsi="宋体" w:cs="宋体"/>
                <w:szCs w:val="21"/>
              </w:rPr>
            </w:pPr>
            <w:r>
              <w:rPr>
                <w:rFonts w:hint="eastAsia" w:ascii="宋体" w:hAnsi="宋体" w:cs="宋体"/>
                <w:szCs w:val="21"/>
              </w:rPr>
              <w:t>人民币合计金额（大写）：元整（¥</w:t>
            </w:r>
            <w:r>
              <w:rPr>
                <w:rFonts w:hint="eastAsia" w:ascii="宋体" w:hAnsi="宋体" w:cs="宋体"/>
                <w:szCs w:val="21"/>
                <w:lang w:val="en-US" w:eastAsia="zh-CN"/>
              </w:rPr>
              <w:t xml:space="preserve">        </w:t>
            </w:r>
            <w:r>
              <w:rPr>
                <w:rFonts w:hint="eastAsia" w:ascii="宋体" w:hAnsi="宋体" w:cs="宋体"/>
                <w:szCs w:val="21"/>
              </w:rPr>
              <w:t xml:space="preserve">）              </w:t>
            </w:r>
          </w:p>
        </w:tc>
      </w:tr>
    </w:tbl>
    <w:p w14:paraId="4521FB18">
      <w:pPr>
        <w:pStyle w:val="2"/>
        <w:numPr>
          <w:ilvl w:val="0"/>
          <w:numId w:val="3"/>
        </w:numPr>
        <w:spacing w:after="0" w:line="360" w:lineRule="auto"/>
        <w:ind w:firstLine="420" w:firstLineChars="200"/>
      </w:pPr>
      <w:r>
        <w:rPr>
          <w:rFonts w:hint="eastAsia" w:ascii="宋体" w:hAnsi="宋体" w:cs="宋体"/>
          <w:szCs w:val="21"/>
        </w:rPr>
        <w:t>合同合计金额包含但不限于完成本项目所有工作任务所需的一切费用(含完成合同项目过程中所需的劳务、材料、设备、仪器、运输、协调、咨询、管理、保险、税费、利润培训等费用，以及合同中约定的所有责任、义务和一般风险等的一切费用)。</w:t>
      </w:r>
    </w:p>
    <w:p w14:paraId="2FA23EE9">
      <w:pPr>
        <w:spacing w:line="360" w:lineRule="auto"/>
        <w:ind w:firstLine="422" w:firstLineChars="200"/>
        <w:rPr>
          <w:rFonts w:ascii="宋体" w:hAnsi="宋体" w:cs="宋体"/>
          <w:b/>
          <w:szCs w:val="21"/>
        </w:rPr>
      </w:pPr>
      <w:r>
        <w:rPr>
          <w:rFonts w:hint="eastAsia" w:ascii="宋体" w:hAnsi="宋体" w:cs="宋体"/>
          <w:b/>
          <w:szCs w:val="21"/>
        </w:rPr>
        <w:t>第二条　质量保证</w:t>
      </w:r>
    </w:p>
    <w:p w14:paraId="723504BC">
      <w:pPr>
        <w:snapToGrid w:val="0"/>
        <w:spacing w:line="360" w:lineRule="auto"/>
        <w:ind w:firstLine="420" w:firstLineChars="200"/>
        <w:rPr>
          <w:rFonts w:ascii="宋体" w:hAnsi="宋体" w:cs="宋体"/>
          <w:szCs w:val="21"/>
        </w:rPr>
      </w:pPr>
      <w:r>
        <w:rPr>
          <w:rFonts w:hint="eastAsia" w:ascii="宋体" w:hAnsi="宋体" w:cs="宋体"/>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14:paraId="720027DE">
      <w:pPr>
        <w:spacing w:line="360" w:lineRule="auto"/>
        <w:ind w:firstLine="422" w:firstLineChars="200"/>
        <w:rPr>
          <w:rFonts w:ascii="宋体" w:hAnsi="宋体" w:cs="宋体"/>
          <w:szCs w:val="21"/>
        </w:rPr>
      </w:pPr>
      <w:r>
        <w:rPr>
          <w:rFonts w:hint="eastAsia" w:ascii="宋体" w:hAnsi="宋体" w:cs="宋体"/>
          <w:b/>
          <w:szCs w:val="21"/>
        </w:rPr>
        <w:t>第三条　权利保证</w:t>
      </w:r>
    </w:p>
    <w:p w14:paraId="48E52749">
      <w:pPr>
        <w:snapToGrid w:val="0"/>
        <w:spacing w:line="360" w:lineRule="auto"/>
        <w:ind w:firstLine="420" w:firstLineChars="200"/>
        <w:rPr>
          <w:rFonts w:ascii="宋体" w:hAnsi="宋体" w:cs="宋体"/>
          <w:szCs w:val="21"/>
        </w:rPr>
      </w:pPr>
      <w:r>
        <w:rPr>
          <w:rFonts w:hint="eastAsia" w:ascii="宋体" w:hAnsi="宋体" w:cs="宋体"/>
          <w:szCs w:val="21"/>
        </w:rPr>
        <w:t>1、乙方应保证所提供服务在使用时不会侵犯任何第三方的专利权、商标权、工业设计权等知识产权及其他合法权利，且所有权、处分权等没有受到任何限制。</w:t>
      </w:r>
    </w:p>
    <w:p w14:paraId="6DC26BE2">
      <w:pPr>
        <w:snapToGrid w:val="0"/>
        <w:spacing w:line="360" w:lineRule="auto"/>
        <w:ind w:firstLine="420" w:firstLineChars="200"/>
        <w:rPr>
          <w:rFonts w:ascii="宋体" w:hAnsi="宋体" w:cs="宋体"/>
          <w:szCs w:val="21"/>
        </w:rPr>
      </w:pPr>
      <w:r>
        <w:rPr>
          <w:rFonts w:hint="eastAsia" w:ascii="宋体" w:hAnsi="宋体" w:cs="宋体"/>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11204103">
      <w:pPr>
        <w:spacing w:line="360" w:lineRule="auto"/>
        <w:ind w:firstLine="422" w:firstLineChars="200"/>
        <w:rPr>
          <w:rFonts w:ascii="宋体" w:hAnsi="宋体" w:cs="宋体"/>
          <w:szCs w:val="21"/>
        </w:rPr>
      </w:pPr>
      <w:r>
        <w:rPr>
          <w:rFonts w:hint="eastAsia" w:ascii="宋体" w:hAnsi="宋体" w:cs="宋体"/>
          <w:b/>
          <w:szCs w:val="21"/>
        </w:rPr>
        <w:t>第四条　</w:t>
      </w:r>
      <w:r>
        <w:rPr>
          <w:rFonts w:hint="eastAsia" w:ascii="宋体" w:hAnsi="宋体" w:cs="宋体"/>
          <w:b/>
          <w:szCs w:val="21"/>
          <w:lang w:eastAsia="zh-CN"/>
        </w:rPr>
        <w:t>服务要求</w:t>
      </w:r>
      <w:r>
        <w:rPr>
          <w:rFonts w:hint="eastAsia" w:ascii="宋体" w:hAnsi="宋体" w:cs="宋体"/>
          <w:b/>
          <w:szCs w:val="21"/>
        </w:rPr>
        <w:t>和验收</w:t>
      </w:r>
    </w:p>
    <w:p w14:paraId="3447FA41">
      <w:pPr>
        <w:spacing w:line="360" w:lineRule="auto"/>
        <w:ind w:firstLine="420" w:firstLineChars="200"/>
        <w:rPr>
          <w:rFonts w:ascii="宋体" w:hAnsi="宋体" w:cs="宋体"/>
          <w:szCs w:val="21"/>
        </w:rPr>
      </w:pPr>
      <w:r>
        <w:rPr>
          <w:rFonts w:hint="eastAsia" w:ascii="宋体" w:hAnsi="宋体" w:cs="宋体"/>
          <w:szCs w:val="21"/>
        </w:rPr>
        <w:t>1、合同履约期限：，服务地点：</w:t>
      </w:r>
      <w:r>
        <w:rPr>
          <w:rFonts w:hint="eastAsia" w:ascii="宋体" w:hAnsi="宋体" w:cs="宋体"/>
          <w:szCs w:val="21"/>
          <w:u w:val="single"/>
        </w:rPr>
        <w:t xml:space="preserve"> 采购人指定地点 </w:t>
      </w:r>
      <w:r>
        <w:rPr>
          <w:rFonts w:hint="eastAsia" w:ascii="宋体" w:hAnsi="宋体" w:cs="宋体"/>
          <w:szCs w:val="21"/>
        </w:rPr>
        <w:t>。</w:t>
      </w:r>
    </w:p>
    <w:p w14:paraId="7BF1A81F">
      <w:pPr>
        <w:snapToGrid w:val="0"/>
        <w:spacing w:line="360" w:lineRule="auto"/>
        <w:ind w:firstLine="420" w:firstLineChars="200"/>
        <w:rPr>
          <w:rFonts w:ascii="宋体" w:hAnsi="宋体" w:cs="宋体"/>
          <w:szCs w:val="21"/>
        </w:rPr>
      </w:pPr>
      <w:r>
        <w:rPr>
          <w:rFonts w:hint="eastAsia" w:ascii="宋体" w:hAnsi="宋体" w:cs="宋体"/>
          <w:szCs w:val="21"/>
        </w:rPr>
        <w:t>2、乙方应按响应文件的承诺向甲方提供相应的服务，并提供所服务内容的相关技术资料。</w:t>
      </w:r>
    </w:p>
    <w:p w14:paraId="35D15C37">
      <w:pPr>
        <w:spacing w:line="360" w:lineRule="auto"/>
        <w:ind w:firstLine="420" w:firstLineChars="200"/>
        <w:rPr>
          <w:rFonts w:ascii="宋体" w:hAnsi="宋体" w:cs="宋体"/>
          <w:szCs w:val="21"/>
        </w:rPr>
      </w:pPr>
      <w:r>
        <w:rPr>
          <w:rFonts w:hint="eastAsia" w:ascii="宋体" w:hAnsi="宋体" w:cs="宋体"/>
          <w:szCs w:val="21"/>
        </w:rPr>
        <w:t>3、乙方提供不符合响应文件和本合同规定的服务成果，甲方有权拒绝接受。</w:t>
      </w:r>
    </w:p>
    <w:p w14:paraId="59B7F79E">
      <w:pPr>
        <w:spacing w:line="360" w:lineRule="auto"/>
        <w:ind w:firstLine="420" w:firstLineChars="200"/>
        <w:rPr>
          <w:rFonts w:ascii="宋体" w:hAnsi="宋体" w:cs="宋体"/>
          <w:szCs w:val="21"/>
        </w:rPr>
      </w:pPr>
      <w:r>
        <w:rPr>
          <w:rFonts w:hint="eastAsia" w:ascii="宋体" w:hAnsi="宋体" w:cs="宋体"/>
          <w:szCs w:val="21"/>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7787E1E2">
      <w:pPr>
        <w:spacing w:line="360" w:lineRule="auto"/>
        <w:ind w:firstLine="420" w:firstLineChars="200"/>
        <w:rPr>
          <w:rFonts w:ascii="宋体" w:hAnsi="宋体" w:cs="宋体"/>
          <w:szCs w:val="21"/>
        </w:rPr>
      </w:pPr>
      <w:r>
        <w:rPr>
          <w:rFonts w:hint="eastAsia" w:ascii="宋体" w:hAnsi="宋体" w:cs="宋体"/>
          <w:szCs w:val="21"/>
        </w:rPr>
        <w:t>5、甲乙双方应按照《广西壮族自治区政府采购项目履约验收管理办法》、双方合同、响应文件验收。</w:t>
      </w:r>
    </w:p>
    <w:p w14:paraId="15130160">
      <w:pPr>
        <w:spacing w:line="360" w:lineRule="auto"/>
        <w:ind w:firstLine="420" w:firstLineChars="200"/>
        <w:rPr>
          <w:rFonts w:ascii="宋体" w:hAnsi="宋体" w:cs="宋体"/>
          <w:szCs w:val="21"/>
        </w:rPr>
      </w:pPr>
      <w:r>
        <w:rPr>
          <w:rFonts w:hint="eastAsia" w:ascii="宋体" w:hAnsi="宋体" w:cs="宋体"/>
          <w:szCs w:val="21"/>
        </w:rPr>
        <w:t>6、甲方在初步验收或者最终验收过程中如发现乙方提供的服务成果不满足响应文件及本合同规定的，可暂缓向乙方付款，直到乙方及时完善并提交相应的服务成果且经甲方验收合格后，方可办理付款。</w:t>
      </w:r>
    </w:p>
    <w:p w14:paraId="1B41F0BA">
      <w:pPr>
        <w:spacing w:line="360" w:lineRule="auto"/>
        <w:ind w:firstLine="420" w:firstLineChars="200"/>
        <w:rPr>
          <w:rFonts w:ascii="宋体" w:hAnsi="宋体" w:cs="宋体"/>
          <w:color w:val="auto"/>
          <w:szCs w:val="21"/>
        </w:rPr>
      </w:pPr>
      <w:r>
        <w:rPr>
          <w:rFonts w:hint="eastAsia" w:ascii="宋体" w:hAnsi="宋体" w:cs="宋体"/>
          <w:szCs w:val="21"/>
        </w:rPr>
        <w:t>7、甲方验收时以书面形式提出异议的，乙方应自收到甲方书面异议后五个工作日内及时予以解</w:t>
      </w:r>
      <w:r>
        <w:rPr>
          <w:rFonts w:hint="eastAsia" w:ascii="宋体" w:hAnsi="宋体" w:cs="宋体"/>
          <w:color w:val="auto"/>
          <w:szCs w:val="21"/>
        </w:rPr>
        <w:t>决，否则甲方有权不出具服务验收合格单。</w:t>
      </w:r>
    </w:p>
    <w:p w14:paraId="3DCAAF91">
      <w:pPr>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第五条  服务及培训</w:t>
      </w:r>
    </w:p>
    <w:p w14:paraId="381D0F2D">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1、乙方应按照国家有关法律法规和本合同所附的《服务承诺》要求为甲方提供相应的服务。</w:t>
      </w:r>
    </w:p>
    <w:p w14:paraId="7714F04D">
      <w:pPr>
        <w:spacing w:line="360" w:lineRule="auto"/>
        <w:ind w:firstLine="420" w:firstLineChars="200"/>
        <w:rPr>
          <w:rFonts w:ascii="宋体" w:hAnsi="宋体" w:cs="宋体"/>
          <w:color w:val="auto"/>
          <w:szCs w:val="21"/>
        </w:rPr>
      </w:pPr>
      <w:r>
        <w:rPr>
          <w:rFonts w:hint="eastAsia" w:ascii="宋体" w:hAnsi="宋体" w:cs="宋体"/>
          <w:color w:val="auto"/>
          <w:szCs w:val="21"/>
        </w:rPr>
        <w:t>2、甲方应提供必要测试条件（如场地、电源、水源等）。</w:t>
      </w:r>
    </w:p>
    <w:p w14:paraId="1FF9057E">
      <w:pPr>
        <w:spacing w:line="360" w:lineRule="auto"/>
        <w:ind w:firstLine="420" w:firstLineChars="200"/>
        <w:rPr>
          <w:rFonts w:ascii="宋体" w:hAnsi="宋体" w:cs="宋体"/>
          <w:color w:val="auto"/>
          <w:szCs w:val="21"/>
        </w:rPr>
      </w:pPr>
      <w:r>
        <w:rPr>
          <w:rFonts w:hint="eastAsia" w:ascii="宋体" w:hAnsi="宋体" w:cs="宋体"/>
          <w:color w:val="auto"/>
          <w:szCs w:val="21"/>
        </w:rPr>
        <w:t>3、乙方负责甲方有关人员的培训。培训时间、地点：。</w:t>
      </w:r>
    </w:p>
    <w:p w14:paraId="3C1E5AB9">
      <w:pPr>
        <w:snapToGrid w:val="0"/>
        <w:spacing w:line="360" w:lineRule="auto"/>
        <w:ind w:firstLine="422" w:firstLineChars="200"/>
        <w:rPr>
          <w:rFonts w:ascii="宋体" w:hAnsi="宋体" w:cs="宋体"/>
          <w:color w:val="auto"/>
          <w:szCs w:val="21"/>
          <w:u w:val="single"/>
        </w:rPr>
      </w:pPr>
      <w:r>
        <w:rPr>
          <w:rFonts w:hint="eastAsia" w:ascii="宋体" w:hAnsi="宋体" w:cs="宋体"/>
          <w:b/>
          <w:color w:val="auto"/>
          <w:szCs w:val="21"/>
        </w:rPr>
        <w:t>第六条　付款方式</w:t>
      </w:r>
    </w:p>
    <w:p w14:paraId="163A1CD5">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合同签订后</w:t>
      </w:r>
      <w:r>
        <w:rPr>
          <w:rFonts w:hint="eastAsia" w:ascii="宋体" w:hAnsi="宋体" w:cs="宋体"/>
          <w:color w:val="auto"/>
          <w:szCs w:val="21"/>
          <w:lang w:eastAsia="zh-CN"/>
        </w:rPr>
        <w:t>甲方</w:t>
      </w:r>
      <w:r>
        <w:rPr>
          <w:rFonts w:hint="eastAsia" w:ascii="宋体" w:hAnsi="宋体" w:cs="宋体"/>
          <w:color w:val="auto"/>
          <w:szCs w:val="21"/>
        </w:rPr>
        <w:t>在30个工作日内支付合同金额</w:t>
      </w:r>
      <w:r>
        <w:rPr>
          <w:rFonts w:hint="eastAsia" w:ascii="宋体" w:hAnsi="宋体" w:cs="宋体"/>
          <w:color w:val="auto"/>
          <w:szCs w:val="21"/>
          <w:lang w:val="en-US" w:eastAsia="zh-CN"/>
        </w:rPr>
        <w:t>4</w:t>
      </w:r>
      <w:r>
        <w:rPr>
          <w:rFonts w:hint="eastAsia" w:ascii="宋体" w:hAnsi="宋体" w:cs="宋体"/>
          <w:color w:val="auto"/>
          <w:szCs w:val="21"/>
        </w:rPr>
        <w:t>0%作为预付款；202</w:t>
      </w:r>
      <w:r>
        <w:rPr>
          <w:rFonts w:hint="eastAsia" w:ascii="宋体" w:hAnsi="宋体" w:cs="宋体"/>
          <w:color w:val="auto"/>
          <w:szCs w:val="21"/>
          <w:lang w:val="en-US" w:eastAsia="zh-CN"/>
        </w:rPr>
        <w:t>5</w:t>
      </w:r>
      <w:r>
        <w:rPr>
          <w:rFonts w:hint="eastAsia" w:ascii="宋体" w:hAnsi="宋体" w:cs="宋体"/>
          <w:color w:val="auto"/>
          <w:szCs w:val="21"/>
        </w:rPr>
        <w:t>年11月底前，</w:t>
      </w:r>
      <w:r>
        <w:rPr>
          <w:rFonts w:hint="eastAsia" w:ascii="宋体" w:hAnsi="宋体" w:cs="宋体"/>
          <w:color w:val="auto"/>
          <w:szCs w:val="21"/>
          <w:lang w:eastAsia="zh-CN"/>
        </w:rPr>
        <w:t>乙方</w:t>
      </w:r>
      <w:r>
        <w:rPr>
          <w:rFonts w:hint="eastAsia" w:ascii="宋体" w:hAnsi="宋体" w:cs="宋体"/>
          <w:color w:val="auto"/>
          <w:szCs w:val="21"/>
        </w:rPr>
        <w:t>提交第一阶段咨询服务报告成果及请款报告，</w:t>
      </w:r>
      <w:r>
        <w:rPr>
          <w:rFonts w:hint="eastAsia" w:ascii="宋体" w:hAnsi="宋体" w:cs="宋体"/>
          <w:color w:val="auto"/>
          <w:szCs w:val="21"/>
          <w:lang w:eastAsia="zh-CN"/>
        </w:rPr>
        <w:t>甲方</w:t>
      </w:r>
      <w:r>
        <w:rPr>
          <w:rFonts w:hint="eastAsia" w:ascii="宋体" w:hAnsi="宋体" w:cs="宋体"/>
          <w:color w:val="auto"/>
          <w:szCs w:val="21"/>
        </w:rPr>
        <w:t>接到请款材料后15个工作日内支付第一阶段进度款（即合同金额30%）；202</w:t>
      </w:r>
      <w:r>
        <w:rPr>
          <w:rFonts w:hint="eastAsia" w:ascii="宋体" w:hAnsi="宋体" w:cs="宋体"/>
          <w:color w:val="auto"/>
          <w:szCs w:val="21"/>
          <w:lang w:val="en-US" w:eastAsia="zh-CN"/>
        </w:rPr>
        <w:t>6</w:t>
      </w:r>
      <w:r>
        <w:rPr>
          <w:rFonts w:hint="eastAsia" w:ascii="宋体" w:hAnsi="宋体" w:cs="宋体"/>
          <w:color w:val="auto"/>
          <w:szCs w:val="21"/>
        </w:rPr>
        <w:t>年1月底前，</w:t>
      </w:r>
      <w:r>
        <w:rPr>
          <w:rFonts w:hint="eastAsia" w:ascii="宋体" w:hAnsi="宋体" w:cs="宋体"/>
          <w:color w:val="auto"/>
          <w:szCs w:val="21"/>
          <w:lang w:eastAsia="zh-CN"/>
        </w:rPr>
        <w:t>乙方</w:t>
      </w:r>
      <w:r>
        <w:rPr>
          <w:rFonts w:hint="eastAsia" w:ascii="宋体" w:hAnsi="宋体" w:cs="宋体"/>
          <w:color w:val="auto"/>
          <w:szCs w:val="21"/>
        </w:rPr>
        <w:t>提交第二阶段咨询服务报告成果及请款报告，</w:t>
      </w:r>
      <w:r>
        <w:rPr>
          <w:rFonts w:hint="eastAsia" w:ascii="宋体" w:hAnsi="宋体" w:cs="宋体"/>
          <w:color w:val="auto"/>
          <w:szCs w:val="21"/>
          <w:lang w:eastAsia="zh-CN"/>
        </w:rPr>
        <w:t>甲方</w:t>
      </w:r>
      <w:r>
        <w:rPr>
          <w:rFonts w:hint="eastAsia" w:ascii="宋体" w:hAnsi="宋体" w:cs="宋体"/>
          <w:color w:val="auto"/>
          <w:szCs w:val="21"/>
        </w:rPr>
        <w:t>接到请款材料后15个工作日内支付第二阶段进度款（即合同金额</w:t>
      </w:r>
      <w:r>
        <w:rPr>
          <w:rFonts w:hint="eastAsia" w:ascii="宋体" w:hAnsi="宋体" w:cs="宋体"/>
          <w:color w:val="auto"/>
          <w:szCs w:val="21"/>
          <w:lang w:val="en-US" w:eastAsia="zh-CN"/>
        </w:rPr>
        <w:t>2</w:t>
      </w:r>
      <w:r>
        <w:rPr>
          <w:rFonts w:hint="eastAsia" w:ascii="宋体" w:hAnsi="宋体" w:cs="宋体"/>
          <w:color w:val="auto"/>
          <w:szCs w:val="21"/>
        </w:rPr>
        <w:t>0%）；剩余款项</w:t>
      </w:r>
      <w:r>
        <w:rPr>
          <w:rFonts w:hint="eastAsia" w:ascii="宋体" w:hAnsi="宋体" w:cs="宋体"/>
          <w:color w:val="auto"/>
          <w:szCs w:val="21"/>
          <w:lang w:eastAsia="zh-CN"/>
        </w:rPr>
        <w:t>：乙方</w:t>
      </w:r>
      <w:r>
        <w:rPr>
          <w:rFonts w:hint="eastAsia" w:ascii="宋体" w:hAnsi="宋体" w:cs="宋体"/>
          <w:color w:val="auto"/>
          <w:szCs w:val="21"/>
        </w:rPr>
        <w:t>于202</w:t>
      </w:r>
      <w:r>
        <w:rPr>
          <w:rFonts w:hint="eastAsia" w:ascii="宋体" w:hAnsi="宋体" w:cs="宋体"/>
          <w:color w:val="auto"/>
          <w:szCs w:val="21"/>
          <w:lang w:val="en-US" w:eastAsia="zh-CN"/>
        </w:rPr>
        <w:t>6</w:t>
      </w:r>
      <w:r>
        <w:rPr>
          <w:rFonts w:hint="eastAsia" w:ascii="宋体" w:hAnsi="宋体" w:cs="宋体"/>
          <w:color w:val="auto"/>
          <w:szCs w:val="21"/>
        </w:rPr>
        <w:t>年3月底提交政府采购履约验收资料及请款报告，</w:t>
      </w:r>
      <w:r>
        <w:rPr>
          <w:rFonts w:hint="eastAsia" w:ascii="宋体" w:hAnsi="宋体" w:cs="宋体"/>
          <w:color w:val="auto"/>
          <w:szCs w:val="21"/>
          <w:lang w:eastAsia="zh-CN"/>
        </w:rPr>
        <w:t>甲方</w:t>
      </w:r>
      <w:r>
        <w:rPr>
          <w:rFonts w:hint="eastAsia" w:ascii="宋体" w:hAnsi="宋体" w:cs="宋体"/>
          <w:color w:val="auto"/>
          <w:szCs w:val="21"/>
        </w:rPr>
        <w:t>接到请款材料后15个工作日内支付尾款（即合同金额10%）。</w:t>
      </w:r>
    </w:p>
    <w:p w14:paraId="7CB1202A">
      <w:pPr>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第七条　履约保证金</w:t>
      </w:r>
    </w:p>
    <w:p w14:paraId="487B8646">
      <w:pPr>
        <w:spacing w:line="360" w:lineRule="auto"/>
        <w:ind w:firstLine="420" w:firstLineChars="200"/>
        <w:rPr>
          <w:rFonts w:ascii="宋体" w:hAnsi="宋体" w:cs="宋体"/>
          <w:color w:val="auto"/>
          <w:szCs w:val="21"/>
        </w:rPr>
      </w:pPr>
      <w:r>
        <w:rPr>
          <w:rFonts w:hint="eastAsia" w:ascii="宋体" w:hAnsi="宋体" w:cs="宋体"/>
          <w:color w:val="auto"/>
          <w:szCs w:val="21"/>
        </w:rPr>
        <w:t>履约保证金金额：无。</w:t>
      </w:r>
    </w:p>
    <w:p w14:paraId="58240C11">
      <w:pPr>
        <w:spacing w:line="360" w:lineRule="auto"/>
        <w:ind w:firstLine="422" w:firstLineChars="200"/>
        <w:rPr>
          <w:rFonts w:ascii="宋体" w:hAnsi="宋体" w:cs="宋体"/>
          <w:b/>
          <w:color w:val="auto"/>
          <w:szCs w:val="21"/>
        </w:rPr>
      </w:pPr>
      <w:r>
        <w:rPr>
          <w:rFonts w:hint="eastAsia" w:ascii="宋体" w:hAnsi="宋体" w:cs="宋体"/>
          <w:b/>
          <w:color w:val="auto"/>
          <w:szCs w:val="21"/>
        </w:rPr>
        <w:t>第八条  税费</w:t>
      </w:r>
    </w:p>
    <w:p w14:paraId="0F1A2765">
      <w:pPr>
        <w:spacing w:line="360" w:lineRule="auto"/>
        <w:ind w:firstLine="420" w:firstLineChars="200"/>
        <w:rPr>
          <w:rFonts w:ascii="宋体" w:hAnsi="宋体" w:cs="宋体"/>
          <w:color w:val="auto"/>
          <w:szCs w:val="21"/>
        </w:rPr>
      </w:pPr>
      <w:r>
        <w:rPr>
          <w:rFonts w:hint="eastAsia" w:ascii="宋体" w:hAnsi="宋体" w:cs="宋体"/>
          <w:color w:val="auto"/>
          <w:szCs w:val="21"/>
        </w:rPr>
        <w:t>本合同执行中相关的一切税费均由乙方负担，合同另有约定的除外。</w:t>
      </w:r>
    </w:p>
    <w:p w14:paraId="7026E67D">
      <w:pPr>
        <w:spacing w:line="360" w:lineRule="auto"/>
        <w:ind w:firstLine="422" w:firstLineChars="200"/>
        <w:rPr>
          <w:rFonts w:ascii="宋体" w:hAnsi="宋体" w:cs="宋体"/>
          <w:b/>
          <w:color w:val="auto"/>
          <w:szCs w:val="21"/>
        </w:rPr>
      </w:pPr>
      <w:r>
        <w:rPr>
          <w:rFonts w:hint="eastAsia" w:ascii="宋体" w:hAnsi="宋体" w:cs="宋体"/>
          <w:b/>
          <w:color w:val="auto"/>
          <w:szCs w:val="21"/>
        </w:rPr>
        <w:t>第九条　违约责任</w:t>
      </w:r>
    </w:p>
    <w:p w14:paraId="2E728726">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1、除不可抗力原因外，乙方没有按照合同规定的时间提供服务的，甲方可要求乙方支付违约金。每推迟一天按合同金额的3‰支付违约金，该违约金累计不超过合同金额的10%。     </w:t>
      </w:r>
    </w:p>
    <w:p w14:paraId="6F15B4A3">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2、乙方提供的服务如侵犯了第三方合法权益而引发的任何纠纷或者诉讼，均由乙方负责交涉并承担全部责任。</w:t>
      </w:r>
    </w:p>
    <w:p w14:paraId="416F3934">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3、甲方延期付款的，每天向乙方偿付延期款额3‰滞纳金，但滞纳金累计不得超过延期款额5%。</w:t>
      </w:r>
    </w:p>
    <w:p w14:paraId="2CA9F1CF">
      <w:pPr>
        <w:spacing w:line="360" w:lineRule="auto"/>
        <w:ind w:firstLine="422" w:firstLineChars="200"/>
        <w:rPr>
          <w:rFonts w:ascii="宋体" w:hAnsi="宋体" w:cs="宋体"/>
          <w:b/>
          <w:color w:val="auto"/>
          <w:szCs w:val="21"/>
        </w:rPr>
      </w:pPr>
      <w:r>
        <w:rPr>
          <w:rFonts w:hint="eastAsia" w:ascii="宋体" w:hAnsi="宋体" w:cs="宋体"/>
          <w:b/>
          <w:color w:val="auto"/>
          <w:szCs w:val="21"/>
        </w:rPr>
        <w:t>第十条  不可抗力事件处理</w:t>
      </w:r>
    </w:p>
    <w:p w14:paraId="7B6B054D">
      <w:pPr>
        <w:spacing w:line="360" w:lineRule="auto"/>
        <w:ind w:firstLine="420" w:firstLineChars="200"/>
        <w:rPr>
          <w:rFonts w:ascii="宋体" w:hAnsi="宋体" w:cs="宋体"/>
          <w:color w:val="auto"/>
          <w:szCs w:val="21"/>
        </w:rPr>
      </w:pPr>
      <w:r>
        <w:rPr>
          <w:rFonts w:hint="eastAsia" w:ascii="宋体" w:hAnsi="宋体" w:cs="宋体"/>
          <w:color w:val="auto"/>
          <w:szCs w:val="21"/>
        </w:rPr>
        <w:t>1、在合同有效期内，任何一方因不可抗力事件导致不能履行合同，则合同履行期可延长，其延长期与不可抗力影响期相同。</w:t>
      </w:r>
    </w:p>
    <w:p w14:paraId="4A38FB19">
      <w:pPr>
        <w:spacing w:line="360" w:lineRule="auto"/>
        <w:ind w:firstLine="420" w:firstLineChars="200"/>
        <w:rPr>
          <w:rFonts w:ascii="宋体" w:hAnsi="宋体" w:cs="宋体"/>
          <w:color w:val="auto"/>
          <w:szCs w:val="21"/>
        </w:rPr>
      </w:pPr>
      <w:r>
        <w:rPr>
          <w:rFonts w:hint="eastAsia" w:ascii="宋体" w:hAnsi="宋体" w:cs="宋体"/>
          <w:color w:val="auto"/>
          <w:szCs w:val="21"/>
        </w:rPr>
        <w:t>2、不可抗力事件发生后，应立即通知对方，并寄送有关权威机构出具的证明。</w:t>
      </w:r>
    </w:p>
    <w:p w14:paraId="45954B79">
      <w:pPr>
        <w:spacing w:line="360" w:lineRule="auto"/>
        <w:ind w:firstLine="420" w:firstLineChars="200"/>
        <w:rPr>
          <w:rFonts w:ascii="宋体" w:hAnsi="宋体" w:cs="宋体"/>
          <w:color w:val="auto"/>
          <w:szCs w:val="21"/>
        </w:rPr>
      </w:pPr>
      <w:r>
        <w:rPr>
          <w:rFonts w:hint="eastAsia" w:ascii="宋体" w:hAnsi="宋体" w:cs="宋体"/>
          <w:color w:val="auto"/>
          <w:szCs w:val="21"/>
        </w:rPr>
        <w:t>3、不可抗力事件延续一百二十天以上，双方应通过友好协商，确定是否继续履行合同。</w:t>
      </w:r>
    </w:p>
    <w:p w14:paraId="33A21E5A">
      <w:pPr>
        <w:spacing w:line="360" w:lineRule="auto"/>
        <w:ind w:firstLine="422" w:firstLineChars="200"/>
        <w:rPr>
          <w:rFonts w:ascii="宋体" w:hAnsi="宋体" w:cs="宋体"/>
          <w:color w:val="auto"/>
          <w:szCs w:val="21"/>
        </w:rPr>
      </w:pPr>
      <w:r>
        <w:rPr>
          <w:rFonts w:hint="eastAsia" w:ascii="宋体" w:hAnsi="宋体" w:cs="宋体"/>
          <w:b/>
          <w:color w:val="auto"/>
          <w:szCs w:val="21"/>
        </w:rPr>
        <w:t>第十一条  合同争议解决</w:t>
      </w:r>
    </w:p>
    <w:p w14:paraId="4454BE19">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1、因服务质量问题发生争议的，应邀请国家认可的质量检测机构进行鉴定。服务符合标准的，鉴定费由甲方承担；服务不符合标准的，鉴定费由乙方承担。</w:t>
      </w:r>
    </w:p>
    <w:p w14:paraId="4F0349AB">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2、因履行本合同引起的或者与本合同有关的争议，甲乙双方应首先通过友好协商解决，如果协商不能解决，可向甲方所在地有管辖权的人民法院提起诉讼。</w:t>
      </w:r>
    </w:p>
    <w:p w14:paraId="3E1881D0">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3、诉讼期间，本合同继续履行。</w:t>
      </w:r>
    </w:p>
    <w:p w14:paraId="1C5E8178">
      <w:pPr>
        <w:spacing w:line="360" w:lineRule="auto"/>
        <w:ind w:firstLine="422" w:firstLineChars="200"/>
        <w:rPr>
          <w:rFonts w:ascii="宋体" w:hAnsi="宋体" w:cs="宋体"/>
          <w:b/>
          <w:color w:val="auto"/>
          <w:szCs w:val="21"/>
        </w:rPr>
      </w:pPr>
      <w:r>
        <w:rPr>
          <w:rFonts w:hint="eastAsia" w:ascii="宋体" w:hAnsi="宋体" w:cs="宋体"/>
          <w:b/>
          <w:color w:val="auto"/>
          <w:szCs w:val="21"/>
        </w:rPr>
        <w:t>第十二条  合同生效及其它</w:t>
      </w:r>
    </w:p>
    <w:p w14:paraId="3496B9F0">
      <w:pPr>
        <w:spacing w:line="360" w:lineRule="auto"/>
        <w:ind w:firstLine="420" w:firstLineChars="200"/>
        <w:rPr>
          <w:rFonts w:ascii="宋体" w:hAnsi="宋体" w:cs="宋体"/>
          <w:color w:val="auto"/>
          <w:szCs w:val="21"/>
        </w:rPr>
      </w:pPr>
      <w:r>
        <w:rPr>
          <w:rFonts w:hint="eastAsia" w:ascii="宋体" w:hAnsi="宋体" w:cs="宋体"/>
          <w:color w:val="auto"/>
          <w:szCs w:val="21"/>
        </w:rPr>
        <w:t>1、合同经双方法定代表人或者授权代表签字并加盖单位公章后生效（委托代理人签字的需后附法定代表人授权委托书，格式自拟）。</w:t>
      </w:r>
    </w:p>
    <w:p w14:paraId="3930ED76">
      <w:pPr>
        <w:spacing w:line="360" w:lineRule="auto"/>
        <w:ind w:firstLine="420" w:firstLineChars="200"/>
        <w:rPr>
          <w:rFonts w:ascii="宋体" w:hAnsi="宋体" w:cs="宋体"/>
          <w:color w:val="auto"/>
          <w:szCs w:val="21"/>
        </w:rPr>
      </w:pPr>
      <w:r>
        <w:rPr>
          <w:rFonts w:hint="eastAsia" w:ascii="宋体" w:hAnsi="宋体" w:cs="宋体"/>
          <w:color w:val="auto"/>
          <w:szCs w:val="21"/>
        </w:rPr>
        <w:t>2、合同执行中涉及采购资金和采购内容修改或者补充的，须经财政部门审批，并签书面补充协议报财政部门备案，方可作为主合同不可分割的一部分。</w:t>
      </w:r>
    </w:p>
    <w:p w14:paraId="7C8873F2">
      <w:pPr>
        <w:spacing w:line="360" w:lineRule="auto"/>
        <w:ind w:firstLine="420" w:firstLineChars="200"/>
        <w:rPr>
          <w:rFonts w:ascii="宋体" w:hAnsi="宋体" w:cs="宋体"/>
          <w:color w:val="auto"/>
          <w:szCs w:val="21"/>
        </w:rPr>
      </w:pPr>
      <w:r>
        <w:rPr>
          <w:rFonts w:hint="eastAsia" w:ascii="宋体" w:hAnsi="宋体" w:cs="宋体"/>
          <w:color w:val="auto"/>
          <w:szCs w:val="21"/>
        </w:rPr>
        <w:t>3、本合同未尽事宜，遵照《中华人民共和国民法典（合同编）》有关条文执行。</w:t>
      </w:r>
    </w:p>
    <w:p w14:paraId="15E015B2">
      <w:pPr>
        <w:spacing w:line="360" w:lineRule="auto"/>
        <w:ind w:firstLine="422" w:firstLineChars="200"/>
        <w:rPr>
          <w:rFonts w:ascii="宋体" w:hAnsi="宋体" w:cs="宋体"/>
          <w:b/>
          <w:color w:val="auto"/>
          <w:szCs w:val="21"/>
        </w:rPr>
      </w:pPr>
      <w:r>
        <w:rPr>
          <w:rFonts w:hint="eastAsia" w:ascii="宋体" w:hAnsi="宋体" w:cs="宋体"/>
          <w:b/>
          <w:color w:val="auto"/>
          <w:szCs w:val="21"/>
        </w:rPr>
        <w:t>第十三条　合同的变更、终止与转让</w:t>
      </w:r>
    </w:p>
    <w:p w14:paraId="305F7EDE">
      <w:pPr>
        <w:spacing w:line="360" w:lineRule="auto"/>
        <w:ind w:firstLine="420" w:firstLineChars="200"/>
        <w:rPr>
          <w:rFonts w:ascii="宋体" w:hAnsi="宋体" w:cs="宋体"/>
          <w:color w:val="auto"/>
          <w:szCs w:val="21"/>
        </w:rPr>
      </w:pPr>
      <w:r>
        <w:rPr>
          <w:rFonts w:hint="eastAsia" w:ascii="宋体" w:hAnsi="宋体" w:cs="宋体"/>
          <w:color w:val="auto"/>
          <w:szCs w:val="21"/>
        </w:rPr>
        <w:t>1、除《中华人民共和国政府采购法》第五十条规定的情形外，本合同一经签订，甲乙双方不得擅自变更、中止或者终止。</w:t>
      </w:r>
    </w:p>
    <w:p w14:paraId="30BB9CDB">
      <w:pPr>
        <w:spacing w:line="360" w:lineRule="auto"/>
        <w:ind w:firstLine="420" w:firstLineChars="200"/>
        <w:rPr>
          <w:rFonts w:ascii="宋体" w:hAnsi="宋体" w:cs="宋体"/>
          <w:color w:val="auto"/>
          <w:szCs w:val="21"/>
        </w:rPr>
      </w:pPr>
      <w:r>
        <w:rPr>
          <w:rFonts w:hint="eastAsia" w:ascii="宋体" w:hAnsi="宋体" w:cs="宋体"/>
          <w:color w:val="auto"/>
          <w:szCs w:val="21"/>
        </w:rPr>
        <w:t>2、乙方不得擅自转让其应履行的合同义务。</w:t>
      </w:r>
    </w:p>
    <w:p w14:paraId="1E0A44A3">
      <w:pPr>
        <w:spacing w:line="360" w:lineRule="auto"/>
        <w:ind w:firstLine="422" w:firstLineChars="200"/>
        <w:rPr>
          <w:rFonts w:ascii="宋体" w:hAnsi="宋体" w:cs="宋体"/>
          <w:b/>
          <w:color w:val="auto"/>
          <w:szCs w:val="21"/>
        </w:rPr>
      </w:pPr>
      <w:r>
        <w:rPr>
          <w:rFonts w:hint="eastAsia" w:ascii="宋体" w:hAnsi="宋体" w:cs="宋体"/>
          <w:b/>
          <w:color w:val="auto"/>
          <w:szCs w:val="21"/>
        </w:rPr>
        <w:t>第十四条　签订本合同依据</w:t>
      </w:r>
    </w:p>
    <w:p w14:paraId="5AF6E909">
      <w:pPr>
        <w:spacing w:line="360" w:lineRule="auto"/>
        <w:ind w:firstLine="420" w:firstLineChars="200"/>
        <w:rPr>
          <w:rFonts w:ascii="宋体" w:hAnsi="宋体" w:cs="宋体"/>
          <w:color w:val="auto"/>
          <w:szCs w:val="21"/>
        </w:rPr>
      </w:pPr>
      <w:r>
        <w:rPr>
          <w:rFonts w:hint="eastAsia" w:ascii="宋体" w:hAnsi="宋体" w:cs="宋体"/>
          <w:color w:val="auto"/>
          <w:szCs w:val="21"/>
        </w:rPr>
        <w:t>1、成交通知书；</w:t>
      </w:r>
    </w:p>
    <w:p w14:paraId="19307B2E">
      <w:pPr>
        <w:spacing w:line="360" w:lineRule="auto"/>
        <w:ind w:firstLine="420" w:firstLineChars="200"/>
        <w:rPr>
          <w:rFonts w:ascii="宋体" w:hAnsi="宋体" w:cs="宋体"/>
          <w:color w:val="auto"/>
          <w:szCs w:val="21"/>
        </w:rPr>
      </w:pPr>
      <w:r>
        <w:rPr>
          <w:rFonts w:hint="eastAsia" w:ascii="宋体" w:hAnsi="宋体" w:cs="宋体"/>
          <w:color w:val="auto"/>
          <w:szCs w:val="21"/>
        </w:rPr>
        <w:t>2、竞标报价表；</w:t>
      </w:r>
    </w:p>
    <w:p w14:paraId="44DB3567">
      <w:pPr>
        <w:spacing w:line="360" w:lineRule="auto"/>
        <w:ind w:firstLine="420" w:firstLineChars="200"/>
        <w:rPr>
          <w:rFonts w:ascii="宋体" w:hAnsi="宋体" w:cs="宋体"/>
          <w:color w:val="auto"/>
          <w:szCs w:val="21"/>
        </w:rPr>
      </w:pPr>
      <w:r>
        <w:rPr>
          <w:rFonts w:hint="eastAsia" w:ascii="宋体" w:hAnsi="宋体" w:cs="宋体"/>
          <w:color w:val="auto"/>
          <w:szCs w:val="21"/>
        </w:rPr>
        <w:t>3、商务条款偏离表和技术需求偏离表；</w:t>
      </w:r>
    </w:p>
    <w:p w14:paraId="63F19BAF">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hint="eastAsia" w:ascii="宋体" w:hAnsi="宋体" w:cs="宋体"/>
          <w:bCs/>
          <w:color w:val="auto"/>
          <w:szCs w:val="21"/>
        </w:rPr>
        <w:t>项目服务实施方案</w:t>
      </w:r>
      <w:r>
        <w:rPr>
          <w:rFonts w:hint="eastAsia" w:ascii="宋体" w:hAnsi="宋体" w:cs="宋体"/>
          <w:color w:val="auto"/>
          <w:szCs w:val="21"/>
        </w:rPr>
        <w:t>；</w:t>
      </w:r>
    </w:p>
    <w:p w14:paraId="510753E7">
      <w:pPr>
        <w:spacing w:line="360" w:lineRule="auto"/>
        <w:ind w:firstLine="420" w:firstLineChars="200"/>
        <w:rPr>
          <w:rFonts w:ascii="宋体" w:hAnsi="宋体" w:cs="宋体"/>
          <w:color w:val="auto"/>
          <w:szCs w:val="21"/>
        </w:rPr>
      </w:pPr>
      <w:r>
        <w:rPr>
          <w:rFonts w:hint="eastAsia" w:ascii="宋体" w:hAnsi="宋体" w:cs="宋体"/>
          <w:color w:val="auto"/>
          <w:szCs w:val="21"/>
        </w:rPr>
        <w:t>5、响应文件中的其他相关文件。</w:t>
      </w:r>
    </w:p>
    <w:p w14:paraId="3880D782">
      <w:pPr>
        <w:spacing w:line="360" w:lineRule="auto"/>
        <w:ind w:firstLine="420" w:firstLineChars="200"/>
        <w:rPr>
          <w:rFonts w:ascii="宋体" w:hAnsi="宋体" w:cs="宋体"/>
          <w:color w:val="auto"/>
          <w:szCs w:val="21"/>
        </w:rPr>
      </w:pPr>
      <w:r>
        <w:rPr>
          <w:rFonts w:hint="eastAsia" w:ascii="宋体" w:hAnsi="宋体" w:cs="宋体"/>
          <w:color w:val="auto"/>
          <w:szCs w:val="21"/>
        </w:rPr>
        <w:t>6、上述合同文件互相补充和解释。如果合同文件之间存在矛盾或者不一致之处，以上述文件的排列顺序在先者为准。</w:t>
      </w:r>
    </w:p>
    <w:p w14:paraId="7AF1F4A9">
      <w:pPr>
        <w:spacing w:line="360" w:lineRule="auto"/>
        <w:ind w:firstLine="422" w:firstLineChars="200"/>
        <w:rPr>
          <w:rFonts w:ascii="宋体" w:hAnsi="宋体" w:cs="宋体"/>
          <w:color w:val="auto"/>
          <w:szCs w:val="21"/>
        </w:rPr>
      </w:pPr>
      <w:r>
        <w:rPr>
          <w:rFonts w:hint="eastAsia" w:ascii="宋体" w:hAnsi="宋体" w:cs="宋体"/>
          <w:b/>
          <w:color w:val="auto"/>
          <w:szCs w:val="21"/>
        </w:rPr>
        <w:t>第十五条　</w:t>
      </w:r>
      <w:r>
        <w:rPr>
          <w:rFonts w:hint="eastAsia" w:ascii="宋体" w:hAnsi="宋体" w:cs="宋体"/>
          <w:color w:val="auto"/>
          <w:szCs w:val="21"/>
        </w:rPr>
        <w:t>本合同一式四份，具有同等法律效力，财政部门（政府采购监管部门）、采购代理机构各一份，甲乙双方各一份（可根据需要另增加）。</w:t>
      </w:r>
    </w:p>
    <w:p w14:paraId="36954522">
      <w:pPr>
        <w:spacing w:line="360" w:lineRule="auto"/>
        <w:ind w:firstLine="420" w:firstLineChars="200"/>
        <w:rPr>
          <w:rFonts w:ascii="宋体" w:hAnsi="宋体" w:cs="宋体"/>
          <w:color w:val="auto"/>
          <w:szCs w:val="21"/>
        </w:rPr>
      </w:pPr>
      <w:r>
        <w:rPr>
          <w:rFonts w:hint="eastAsia" w:ascii="宋体" w:hAnsi="宋体" w:cs="宋体"/>
          <w:color w:val="auto"/>
          <w:szCs w:val="21"/>
        </w:rPr>
        <w:t>本合同甲乙双方签字盖章后生效，自签订之日起七个工作日内，甲方应当将合同副本报同级财政部门备案。</w:t>
      </w:r>
    </w:p>
    <w:p w14:paraId="694CA6F5">
      <w:pPr>
        <w:spacing w:line="360" w:lineRule="auto"/>
        <w:ind w:firstLine="420" w:firstLineChars="200"/>
        <w:rPr>
          <w:rFonts w:ascii="宋体" w:hAnsi="宋体" w:cs="宋体"/>
          <w:color w:val="auto"/>
          <w:szCs w:val="21"/>
        </w:rPr>
      </w:pPr>
      <w:r>
        <w:rPr>
          <w:rFonts w:hint="eastAsia" w:ascii="宋体" w:hAnsi="宋体" w:cs="宋体"/>
          <w:color w:val="auto"/>
          <w:szCs w:val="21"/>
        </w:rPr>
        <w:t>本合同自签订之日起2个工作日内，甲方应当将采购合同在广西壮族自治区财政厅指定的媒体上公告。</w:t>
      </w:r>
    </w:p>
    <w:tbl>
      <w:tblPr>
        <w:tblStyle w:val="30"/>
        <w:tblpPr w:leftFromText="180" w:rightFromText="180" w:vertAnchor="text" w:horzAnchor="margin" w:tblpY="214"/>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9"/>
        <w:gridCol w:w="4610"/>
      </w:tblGrid>
      <w:tr w14:paraId="0989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7" w:hRule="atLeast"/>
        </w:trPr>
        <w:tc>
          <w:tcPr>
            <w:tcW w:w="4609" w:type="dxa"/>
            <w:tcBorders>
              <w:top w:val="single" w:color="auto" w:sz="4" w:space="0"/>
              <w:left w:val="single" w:color="auto" w:sz="4" w:space="0"/>
              <w:bottom w:val="single" w:color="auto" w:sz="4" w:space="0"/>
              <w:right w:val="single" w:color="auto" w:sz="4" w:space="0"/>
            </w:tcBorders>
            <w:noWrap/>
            <w:vAlign w:val="center"/>
          </w:tcPr>
          <w:p w14:paraId="6DC3E969">
            <w:pPr>
              <w:snapToGrid w:val="0"/>
              <w:spacing w:line="360" w:lineRule="auto"/>
              <w:rPr>
                <w:rFonts w:ascii="宋体" w:hAnsi="宋体" w:cs="宋体"/>
                <w:color w:val="auto"/>
                <w:szCs w:val="21"/>
              </w:rPr>
            </w:pPr>
            <w:r>
              <w:rPr>
                <w:rFonts w:hint="eastAsia" w:ascii="宋体" w:hAnsi="宋体" w:cs="宋体"/>
                <w:color w:val="auto"/>
                <w:szCs w:val="21"/>
              </w:rPr>
              <w:t>甲方：（章）</w:t>
            </w:r>
          </w:p>
          <w:p w14:paraId="60803238">
            <w:pPr>
              <w:snapToGrid w:val="0"/>
              <w:spacing w:line="360" w:lineRule="auto"/>
              <w:rPr>
                <w:rFonts w:ascii="宋体" w:hAnsi="宋体" w:cs="宋体"/>
                <w:color w:val="auto"/>
                <w:szCs w:val="21"/>
              </w:rPr>
            </w:pPr>
          </w:p>
          <w:p w14:paraId="0C5B8722">
            <w:pPr>
              <w:snapToGrid w:val="0"/>
              <w:spacing w:line="360" w:lineRule="auto"/>
              <w:rPr>
                <w:rFonts w:ascii="宋体" w:hAnsi="宋体" w:cs="宋体"/>
                <w:color w:val="auto"/>
                <w:szCs w:val="21"/>
              </w:rPr>
            </w:pPr>
          </w:p>
          <w:p w14:paraId="51B760B4">
            <w:pPr>
              <w:snapToGrid w:val="0"/>
              <w:spacing w:line="360" w:lineRule="auto"/>
              <w:ind w:firstLine="945" w:firstLineChars="450"/>
              <w:jc w:val="right"/>
              <w:rPr>
                <w:rFonts w:ascii="宋体" w:hAnsi="宋体" w:cs="宋体"/>
                <w:color w:val="auto"/>
                <w:szCs w:val="21"/>
              </w:rPr>
            </w:pPr>
          </w:p>
          <w:p w14:paraId="366039ED">
            <w:pPr>
              <w:snapToGrid w:val="0"/>
              <w:spacing w:line="360" w:lineRule="auto"/>
              <w:ind w:firstLine="945" w:firstLineChars="450"/>
              <w:jc w:val="right"/>
              <w:rPr>
                <w:rFonts w:ascii="宋体" w:hAnsi="宋体" w:cs="宋体"/>
                <w:color w:val="auto"/>
                <w:szCs w:val="21"/>
              </w:rPr>
            </w:pPr>
            <w:r>
              <w:rPr>
                <w:rFonts w:hint="eastAsia" w:ascii="宋体" w:hAnsi="宋体" w:cs="宋体"/>
                <w:color w:val="auto"/>
                <w:szCs w:val="21"/>
              </w:rPr>
              <w:t>年   月   日</w:t>
            </w:r>
          </w:p>
        </w:tc>
        <w:tc>
          <w:tcPr>
            <w:tcW w:w="4610" w:type="dxa"/>
            <w:tcBorders>
              <w:top w:val="single" w:color="auto" w:sz="4" w:space="0"/>
              <w:left w:val="single" w:color="auto" w:sz="4" w:space="0"/>
              <w:bottom w:val="single" w:color="auto" w:sz="4" w:space="0"/>
              <w:right w:val="single" w:color="auto" w:sz="4" w:space="0"/>
            </w:tcBorders>
            <w:noWrap/>
            <w:vAlign w:val="center"/>
          </w:tcPr>
          <w:p w14:paraId="454B627F">
            <w:pPr>
              <w:snapToGrid w:val="0"/>
              <w:spacing w:line="360" w:lineRule="auto"/>
              <w:rPr>
                <w:rFonts w:ascii="宋体" w:hAnsi="宋体" w:cs="宋体"/>
                <w:color w:val="auto"/>
                <w:szCs w:val="21"/>
              </w:rPr>
            </w:pPr>
            <w:r>
              <w:rPr>
                <w:rFonts w:hint="eastAsia" w:ascii="宋体" w:hAnsi="宋体" w:cs="宋体"/>
                <w:color w:val="auto"/>
                <w:szCs w:val="21"/>
              </w:rPr>
              <w:t xml:space="preserve">乙方：（章）       </w:t>
            </w:r>
          </w:p>
          <w:p w14:paraId="3C3A6DB9">
            <w:pPr>
              <w:snapToGrid w:val="0"/>
              <w:spacing w:line="360" w:lineRule="auto"/>
              <w:rPr>
                <w:rFonts w:ascii="宋体" w:hAnsi="宋体" w:cs="宋体"/>
                <w:color w:val="auto"/>
                <w:szCs w:val="21"/>
              </w:rPr>
            </w:pPr>
          </w:p>
          <w:p w14:paraId="552FE552">
            <w:pPr>
              <w:snapToGrid w:val="0"/>
              <w:spacing w:line="360" w:lineRule="auto"/>
              <w:rPr>
                <w:rFonts w:ascii="宋体" w:hAnsi="宋体" w:cs="宋体"/>
                <w:color w:val="auto"/>
                <w:szCs w:val="21"/>
              </w:rPr>
            </w:pPr>
          </w:p>
          <w:p w14:paraId="73445B0C">
            <w:pPr>
              <w:snapToGrid w:val="0"/>
              <w:spacing w:line="360" w:lineRule="auto"/>
              <w:jc w:val="right"/>
              <w:rPr>
                <w:rFonts w:ascii="宋体" w:hAnsi="宋体" w:cs="宋体"/>
                <w:color w:val="auto"/>
                <w:szCs w:val="21"/>
              </w:rPr>
            </w:pPr>
          </w:p>
          <w:p w14:paraId="62D6B37E">
            <w:pPr>
              <w:snapToGrid w:val="0"/>
              <w:spacing w:line="360" w:lineRule="auto"/>
              <w:jc w:val="right"/>
              <w:rPr>
                <w:rFonts w:ascii="宋体" w:hAnsi="宋体" w:cs="宋体"/>
                <w:color w:val="auto"/>
                <w:szCs w:val="21"/>
              </w:rPr>
            </w:pPr>
            <w:r>
              <w:rPr>
                <w:rFonts w:hint="eastAsia" w:ascii="宋体" w:hAnsi="宋体" w:cs="宋体"/>
                <w:color w:val="auto"/>
                <w:szCs w:val="21"/>
              </w:rPr>
              <w:t xml:space="preserve"> 年   月   日</w:t>
            </w:r>
          </w:p>
        </w:tc>
      </w:tr>
      <w:tr w14:paraId="3F64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4609" w:type="dxa"/>
            <w:tcBorders>
              <w:top w:val="single" w:color="auto" w:sz="4" w:space="0"/>
              <w:left w:val="single" w:color="auto" w:sz="4" w:space="0"/>
              <w:bottom w:val="single" w:color="auto" w:sz="4" w:space="0"/>
              <w:right w:val="single" w:color="auto" w:sz="4" w:space="0"/>
            </w:tcBorders>
            <w:noWrap/>
            <w:vAlign w:val="center"/>
          </w:tcPr>
          <w:p w14:paraId="3ED11D5E">
            <w:pPr>
              <w:snapToGrid w:val="0"/>
              <w:spacing w:line="360" w:lineRule="auto"/>
              <w:rPr>
                <w:rFonts w:ascii="宋体" w:hAnsi="宋体" w:cs="宋体"/>
                <w:color w:val="auto"/>
                <w:szCs w:val="21"/>
              </w:rPr>
            </w:pPr>
            <w:r>
              <w:rPr>
                <w:rFonts w:hint="eastAsia" w:ascii="宋体" w:hAnsi="宋体" w:cs="宋体"/>
                <w:color w:val="auto"/>
                <w:szCs w:val="21"/>
              </w:rPr>
              <w:t xml:space="preserve">单位地址： </w:t>
            </w:r>
          </w:p>
        </w:tc>
        <w:tc>
          <w:tcPr>
            <w:tcW w:w="4610" w:type="dxa"/>
            <w:tcBorders>
              <w:top w:val="single" w:color="auto" w:sz="4" w:space="0"/>
              <w:left w:val="single" w:color="auto" w:sz="4" w:space="0"/>
              <w:bottom w:val="single" w:color="auto" w:sz="4" w:space="0"/>
              <w:right w:val="single" w:color="auto" w:sz="4" w:space="0"/>
            </w:tcBorders>
            <w:noWrap/>
            <w:vAlign w:val="center"/>
          </w:tcPr>
          <w:p w14:paraId="56282F54">
            <w:pPr>
              <w:snapToGrid w:val="0"/>
              <w:spacing w:line="360" w:lineRule="auto"/>
              <w:rPr>
                <w:rFonts w:ascii="宋体" w:hAnsi="宋体" w:cs="宋体"/>
                <w:color w:val="auto"/>
                <w:szCs w:val="21"/>
              </w:rPr>
            </w:pPr>
            <w:r>
              <w:rPr>
                <w:rFonts w:hint="eastAsia" w:ascii="宋体" w:hAnsi="宋体" w:cs="宋体"/>
                <w:color w:val="auto"/>
                <w:szCs w:val="21"/>
              </w:rPr>
              <w:t xml:space="preserve">单位地址： </w:t>
            </w:r>
          </w:p>
        </w:tc>
      </w:tr>
      <w:tr w14:paraId="0331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4609" w:type="dxa"/>
            <w:tcBorders>
              <w:top w:val="single" w:color="auto" w:sz="4" w:space="0"/>
              <w:left w:val="single" w:color="auto" w:sz="4" w:space="0"/>
              <w:bottom w:val="single" w:color="auto" w:sz="4" w:space="0"/>
              <w:right w:val="single" w:color="auto" w:sz="4" w:space="0"/>
            </w:tcBorders>
            <w:noWrap/>
            <w:vAlign w:val="center"/>
          </w:tcPr>
          <w:p w14:paraId="40F85DD1">
            <w:pPr>
              <w:snapToGrid w:val="0"/>
              <w:spacing w:line="360" w:lineRule="auto"/>
              <w:rPr>
                <w:rFonts w:ascii="宋体" w:hAnsi="宋体" w:cs="宋体"/>
                <w:color w:val="auto"/>
                <w:szCs w:val="21"/>
              </w:rPr>
            </w:pPr>
            <w:r>
              <w:rPr>
                <w:rFonts w:hint="eastAsia" w:ascii="宋体" w:hAnsi="宋体" w:cs="宋体"/>
                <w:color w:val="auto"/>
                <w:szCs w:val="21"/>
              </w:rPr>
              <w:t>法定代表人：</w:t>
            </w:r>
          </w:p>
        </w:tc>
        <w:tc>
          <w:tcPr>
            <w:tcW w:w="4610" w:type="dxa"/>
            <w:tcBorders>
              <w:top w:val="single" w:color="auto" w:sz="4" w:space="0"/>
              <w:left w:val="single" w:color="auto" w:sz="4" w:space="0"/>
              <w:bottom w:val="single" w:color="auto" w:sz="4" w:space="0"/>
              <w:right w:val="single" w:color="auto" w:sz="4" w:space="0"/>
            </w:tcBorders>
            <w:noWrap/>
            <w:vAlign w:val="center"/>
          </w:tcPr>
          <w:p w14:paraId="7D9CCBCC">
            <w:pPr>
              <w:snapToGrid w:val="0"/>
              <w:spacing w:line="360" w:lineRule="auto"/>
              <w:rPr>
                <w:rFonts w:ascii="宋体" w:hAnsi="宋体" w:cs="宋体"/>
                <w:color w:val="auto"/>
                <w:szCs w:val="21"/>
              </w:rPr>
            </w:pPr>
            <w:r>
              <w:rPr>
                <w:rFonts w:hint="eastAsia" w:ascii="宋体" w:hAnsi="宋体" w:cs="宋体"/>
                <w:color w:val="auto"/>
                <w:szCs w:val="21"/>
              </w:rPr>
              <w:t>法定代表人：</w:t>
            </w:r>
          </w:p>
        </w:tc>
      </w:tr>
      <w:tr w14:paraId="591E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4609" w:type="dxa"/>
            <w:tcBorders>
              <w:top w:val="single" w:color="auto" w:sz="4" w:space="0"/>
              <w:left w:val="single" w:color="auto" w:sz="4" w:space="0"/>
              <w:bottom w:val="single" w:color="auto" w:sz="4" w:space="0"/>
              <w:right w:val="single" w:color="auto" w:sz="4" w:space="0"/>
            </w:tcBorders>
            <w:noWrap/>
            <w:vAlign w:val="center"/>
          </w:tcPr>
          <w:p w14:paraId="1B020943">
            <w:pPr>
              <w:snapToGrid w:val="0"/>
              <w:spacing w:line="360" w:lineRule="auto"/>
              <w:rPr>
                <w:rFonts w:ascii="宋体" w:hAnsi="宋体" w:cs="宋体"/>
                <w:color w:val="auto"/>
                <w:szCs w:val="21"/>
              </w:rPr>
            </w:pPr>
            <w:r>
              <w:rPr>
                <w:rFonts w:hint="eastAsia" w:ascii="宋体" w:hAnsi="宋体" w:cs="宋体"/>
                <w:color w:val="auto"/>
                <w:szCs w:val="21"/>
              </w:rPr>
              <w:t>委托代理人：</w:t>
            </w:r>
          </w:p>
        </w:tc>
        <w:tc>
          <w:tcPr>
            <w:tcW w:w="4610" w:type="dxa"/>
            <w:tcBorders>
              <w:top w:val="single" w:color="auto" w:sz="4" w:space="0"/>
              <w:left w:val="single" w:color="auto" w:sz="4" w:space="0"/>
              <w:bottom w:val="single" w:color="auto" w:sz="4" w:space="0"/>
              <w:right w:val="single" w:color="auto" w:sz="4" w:space="0"/>
            </w:tcBorders>
            <w:noWrap/>
            <w:vAlign w:val="center"/>
          </w:tcPr>
          <w:p w14:paraId="0B42BDB9">
            <w:pPr>
              <w:snapToGrid w:val="0"/>
              <w:spacing w:line="360" w:lineRule="auto"/>
              <w:rPr>
                <w:rFonts w:ascii="宋体" w:hAnsi="宋体" w:cs="宋体"/>
                <w:color w:val="auto"/>
                <w:szCs w:val="21"/>
              </w:rPr>
            </w:pPr>
            <w:r>
              <w:rPr>
                <w:rFonts w:hint="eastAsia" w:ascii="宋体" w:hAnsi="宋体" w:cs="宋体"/>
                <w:color w:val="auto"/>
                <w:szCs w:val="21"/>
              </w:rPr>
              <w:t>委托代理人：</w:t>
            </w:r>
          </w:p>
        </w:tc>
      </w:tr>
      <w:tr w14:paraId="3AA3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4609" w:type="dxa"/>
            <w:tcBorders>
              <w:top w:val="single" w:color="auto" w:sz="4" w:space="0"/>
              <w:left w:val="single" w:color="auto" w:sz="4" w:space="0"/>
              <w:bottom w:val="single" w:color="auto" w:sz="4" w:space="0"/>
              <w:right w:val="single" w:color="auto" w:sz="4" w:space="0"/>
            </w:tcBorders>
            <w:noWrap/>
            <w:vAlign w:val="center"/>
          </w:tcPr>
          <w:p w14:paraId="7293B6A8">
            <w:pPr>
              <w:snapToGrid w:val="0"/>
              <w:spacing w:line="360" w:lineRule="auto"/>
              <w:rPr>
                <w:rFonts w:ascii="宋体" w:hAnsi="宋体" w:cs="宋体"/>
                <w:color w:val="auto"/>
                <w:szCs w:val="21"/>
              </w:rPr>
            </w:pPr>
            <w:r>
              <w:rPr>
                <w:rFonts w:hint="eastAsia" w:ascii="宋体" w:hAnsi="宋体" w:cs="宋体"/>
                <w:color w:val="auto"/>
                <w:szCs w:val="21"/>
              </w:rPr>
              <w:t>电话：</w:t>
            </w:r>
          </w:p>
        </w:tc>
        <w:tc>
          <w:tcPr>
            <w:tcW w:w="4610" w:type="dxa"/>
            <w:tcBorders>
              <w:top w:val="single" w:color="auto" w:sz="4" w:space="0"/>
              <w:left w:val="single" w:color="auto" w:sz="4" w:space="0"/>
              <w:bottom w:val="single" w:color="auto" w:sz="4" w:space="0"/>
              <w:right w:val="single" w:color="auto" w:sz="4" w:space="0"/>
            </w:tcBorders>
            <w:noWrap/>
            <w:vAlign w:val="center"/>
          </w:tcPr>
          <w:p w14:paraId="47588B5E">
            <w:pPr>
              <w:snapToGrid w:val="0"/>
              <w:spacing w:line="360" w:lineRule="auto"/>
              <w:rPr>
                <w:rFonts w:ascii="宋体" w:hAnsi="宋体" w:cs="宋体"/>
                <w:color w:val="auto"/>
                <w:szCs w:val="21"/>
              </w:rPr>
            </w:pPr>
            <w:r>
              <w:rPr>
                <w:rFonts w:hint="eastAsia" w:ascii="宋体" w:hAnsi="宋体" w:cs="宋体"/>
                <w:color w:val="auto"/>
                <w:szCs w:val="21"/>
              </w:rPr>
              <w:t>电话：</w:t>
            </w:r>
          </w:p>
        </w:tc>
      </w:tr>
      <w:tr w14:paraId="10A4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4609" w:type="dxa"/>
            <w:tcBorders>
              <w:top w:val="single" w:color="auto" w:sz="4" w:space="0"/>
              <w:left w:val="single" w:color="auto" w:sz="4" w:space="0"/>
              <w:bottom w:val="single" w:color="auto" w:sz="4" w:space="0"/>
              <w:right w:val="single" w:color="auto" w:sz="4" w:space="0"/>
            </w:tcBorders>
            <w:noWrap/>
            <w:vAlign w:val="center"/>
          </w:tcPr>
          <w:p w14:paraId="16AFE956">
            <w:pPr>
              <w:snapToGrid w:val="0"/>
              <w:spacing w:line="360" w:lineRule="auto"/>
              <w:rPr>
                <w:rFonts w:ascii="宋体" w:hAnsi="宋体" w:cs="宋体"/>
                <w:color w:val="auto"/>
                <w:szCs w:val="21"/>
              </w:rPr>
            </w:pPr>
            <w:r>
              <w:rPr>
                <w:rFonts w:hint="eastAsia" w:ascii="宋体" w:hAnsi="宋体" w:cs="宋体"/>
                <w:color w:val="auto"/>
                <w:szCs w:val="21"/>
              </w:rPr>
              <w:t xml:space="preserve">开户银行： </w:t>
            </w:r>
          </w:p>
        </w:tc>
        <w:tc>
          <w:tcPr>
            <w:tcW w:w="4610" w:type="dxa"/>
            <w:tcBorders>
              <w:top w:val="single" w:color="auto" w:sz="4" w:space="0"/>
              <w:left w:val="single" w:color="auto" w:sz="4" w:space="0"/>
              <w:bottom w:val="single" w:color="auto" w:sz="4" w:space="0"/>
              <w:right w:val="single" w:color="auto" w:sz="4" w:space="0"/>
            </w:tcBorders>
            <w:noWrap/>
            <w:vAlign w:val="center"/>
          </w:tcPr>
          <w:p w14:paraId="39718D83">
            <w:pPr>
              <w:snapToGrid w:val="0"/>
              <w:spacing w:line="360" w:lineRule="auto"/>
              <w:rPr>
                <w:rFonts w:ascii="宋体" w:hAnsi="宋体" w:cs="宋体"/>
                <w:color w:val="auto"/>
                <w:szCs w:val="21"/>
              </w:rPr>
            </w:pPr>
            <w:r>
              <w:rPr>
                <w:rFonts w:hint="eastAsia" w:ascii="宋体" w:hAnsi="宋体" w:cs="宋体"/>
                <w:color w:val="auto"/>
                <w:szCs w:val="21"/>
              </w:rPr>
              <w:t xml:space="preserve">开户银行： </w:t>
            </w:r>
          </w:p>
        </w:tc>
      </w:tr>
      <w:tr w14:paraId="665B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4609" w:type="dxa"/>
            <w:tcBorders>
              <w:top w:val="single" w:color="auto" w:sz="4" w:space="0"/>
              <w:left w:val="single" w:color="auto" w:sz="4" w:space="0"/>
              <w:bottom w:val="single" w:color="auto" w:sz="4" w:space="0"/>
              <w:right w:val="single" w:color="auto" w:sz="4" w:space="0"/>
            </w:tcBorders>
            <w:noWrap/>
            <w:vAlign w:val="center"/>
          </w:tcPr>
          <w:p w14:paraId="1BEA3BDC">
            <w:pPr>
              <w:snapToGrid w:val="0"/>
              <w:spacing w:line="360" w:lineRule="auto"/>
              <w:rPr>
                <w:rFonts w:ascii="宋体" w:hAnsi="宋体" w:cs="宋体"/>
                <w:color w:val="auto"/>
                <w:szCs w:val="21"/>
              </w:rPr>
            </w:pPr>
            <w:r>
              <w:rPr>
                <w:rFonts w:hint="eastAsia" w:ascii="宋体" w:hAnsi="宋体" w:cs="宋体"/>
                <w:color w:val="auto"/>
                <w:szCs w:val="21"/>
              </w:rPr>
              <w:t>账号：</w:t>
            </w:r>
          </w:p>
        </w:tc>
        <w:tc>
          <w:tcPr>
            <w:tcW w:w="4610" w:type="dxa"/>
            <w:tcBorders>
              <w:top w:val="single" w:color="auto" w:sz="4" w:space="0"/>
              <w:left w:val="single" w:color="auto" w:sz="4" w:space="0"/>
              <w:bottom w:val="single" w:color="auto" w:sz="4" w:space="0"/>
              <w:right w:val="single" w:color="auto" w:sz="4" w:space="0"/>
            </w:tcBorders>
            <w:noWrap/>
            <w:vAlign w:val="center"/>
          </w:tcPr>
          <w:p w14:paraId="0F2EDB36">
            <w:pPr>
              <w:snapToGrid w:val="0"/>
              <w:spacing w:line="360" w:lineRule="auto"/>
              <w:rPr>
                <w:rFonts w:ascii="宋体" w:hAnsi="宋体" w:cs="宋体"/>
                <w:color w:val="auto"/>
                <w:szCs w:val="21"/>
              </w:rPr>
            </w:pPr>
            <w:r>
              <w:rPr>
                <w:rFonts w:hint="eastAsia" w:ascii="宋体" w:hAnsi="宋体" w:cs="宋体"/>
                <w:color w:val="auto"/>
                <w:szCs w:val="21"/>
              </w:rPr>
              <w:t>账号：</w:t>
            </w:r>
          </w:p>
        </w:tc>
      </w:tr>
      <w:tr w14:paraId="4321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609" w:type="dxa"/>
            <w:tcBorders>
              <w:top w:val="single" w:color="auto" w:sz="4" w:space="0"/>
              <w:left w:val="single" w:color="auto" w:sz="4" w:space="0"/>
              <w:bottom w:val="single" w:color="auto" w:sz="4" w:space="0"/>
              <w:right w:val="single" w:color="auto" w:sz="4" w:space="0"/>
            </w:tcBorders>
            <w:noWrap/>
            <w:vAlign w:val="center"/>
          </w:tcPr>
          <w:p w14:paraId="74D0E702">
            <w:pPr>
              <w:snapToGrid w:val="0"/>
              <w:spacing w:line="360" w:lineRule="auto"/>
              <w:rPr>
                <w:rFonts w:ascii="宋体" w:hAnsi="宋体" w:cs="宋体"/>
                <w:color w:val="auto"/>
                <w:szCs w:val="21"/>
              </w:rPr>
            </w:pPr>
            <w:r>
              <w:rPr>
                <w:rFonts w:hint="eastAsia" w:ascii="宋体" w:hAnsi="宋体" w:cs="宋体"/>
                <w:color w:val="auto"/>
                <w:szCs w:val="21"/>
              </w:rPr>
              <w:t>邮政编码：</w:t>
            </w:r>
          </w:p>
        </w:tc>
        <w:tc>
          <w:tcPr>
            <w:tcW w:w="4610" w:type="dxa"/>
            <w:tcBorders>
              <w:top w:val="single" w:color="auto" w:sz="4" w:space="0"/>
              <w:left w:val="single" w:color="auto" w:sz="4" w:space="0"/>
              <w:bottom w:val="single" w:color="auto" w:sz="4" w:space="0"/>
              <w:right w:val="single" w:color="auto" w:sz="4" w:space="0"/>
            </w:tcBorders>
            <w:noWrap/>
            <w:vAlign w:val="center"/>
          </w:tcPr>
          <w:p w14:paraId="46B8F912">
            <w:pPr>
              <w:snapToGrid w:val="0"/>
              <w:spacing w:line="360" w:lineRule="auto"/>
              <w:rPr>
                <w:rFonts w:ascii="宋体" w:hAnsi="宋体" w:cs="宋体"/>
                <w:color w:val="auto"/>
                <w:szCs w:val="21"/>
              </w:rPr>
            </w:pPr>
            <w:r>
              <w:rPr>
                <w:rFonts w:hint="eastAsia" w:ascii="宋体" w:hAnsi="宋体" w:cs="宋体"/>
                <w:color w:val="auto"/>
                <w:szCs w:val="21"/>
              </w:rPr>
              <w:t>邮政编码：</w:t>
            </w:r>
          </w:p>
        </w:tc>
      </w:tr>
    </w:tbl>
    <w:p w14:paraId="56BF2A06">
      <w:pPr>
        <w:snapToGrid w:val="0"/>
        <w:spacing w:line="360" w:lineRule="auto"/>
        <w:rPr>
          <w:rFonts w:ascii="宋体" w:hAnsi="宋体" w:cs="宋体"/>
          <w:b/>
          <w:color w:val="auto"/>
          <w:szCs w:val="21"/>
        </w:rPr>
      </w:pPr>
    </w:p>
    <w:p w14:paraId="719CF6CB">
      <w:pPr>
        <w:spacing w:beforeLines="50" w:afterLines="200" w:line="340" w:lineRule="exact"/>
        <w:jc w:val="center"/>
        <w:rPr>
          <w:rFonts w:ascii="宋体" w:hAnsi="宋体" w:cs="宋体"/>
          <w:b/>
          <w:color w:val="auto"/>
          <w:kern w:val="0"/>
          <w:sz w:val="32"/>
          <w:szCs w:val="32"/>
        </w:rPr>
      </w:pPr>
      <w:r>
        <w:rPr>
          <w:rFonts w:hint="eastAsia" w:ascii="宋体" w:hAnsi="宋体" w:cs="宋体"/>
          <w:bCs/>
          <w:color w:val="auto"/>
          <w:sz w:val="24"/>
        </w:rPr>
        <w:br w:type="page"/>
      </w:r>
    </w:p>
    <w:p w14:paraId="65FFEC0C">
      <w:pPr>
        <w:spacing w:beforeLines="50" w:afterLines="200" w:line="340" w:lineRule="exact"/>
        <w:jc w:val="left"/>
        <w:rPr>
          <w:rFonts w:hint="eastAsia" w:ascii="宋体" w:hAnsi="宋体" w:eastAsia="宋体" w:cs="宋体"/>
          <w:b/>
          <w:color w:val="auto"/>
          <w:kern w:val="0"/>
          <w:sz w:val="32"/>
          <w:szCs w:val="32"/>
          <w:lang w:val="en-US" w:eastAsia="zh-CN"/>
        </w:rPr>
      </w:pPr>
      <w:r>
        <w:rPr>
          <w:rFonts w:hint="eastAsia" w:ascii="宋体" w:hAnsi="宋体" w:eastAsia="宋体" w:cs="宋体"/>
          <w:b/>
          <w:color w:val="auto"/>
          <w:kern w:val="0"/>
          <w:sz w:val="32"/>
          <w:szCs w:val="32"/>
          <w:lang w:eastAsia="zh-CN"/>
        </w:rPr>
        <w:t>附表</w:t>
      </w:r>
      <w:r>
        <w:rPr>
          <w:rFonts w:hint="eastAsia" w:ascii="宋体" w:hAnsi="宋体" w:eastAsia="宋体" w:cs="宋体"/>
          <w:b/>
          <w:color w:val="auto"/>
          <w:kern w:val="0"/>
          <w:sz w:val="32"/>
          <w:szCs w:val="32"/>
          <w:lang w:val="en-US" w:eastAsia="zh-CN"/>
        </w:rPr>
        <w:t>1：</w:t>
      </w:r>
    </w:p>
    <w:p w14:paraId="5152702B">
      <w:pPr>
        <w:spacing w:beforeLines="50" w:afterLines="200" w:line="340" w:lineRule="exact"/>
        <w:jc w:val="center"/>
        <w:rPr>
          <w:rFonts w:ascii="宋体" w:hAnsi="宋体" w:eastAsia="宋体" w:cs="宋体"/>
          <w:b/>
          <w:color w:val="auto"/>
          <w:sz w:val="32"/>
          <w:szCs w:val="32"/>
        </w:rPr>
      </w:pPr>
      <w:r>
        <w:rPr>
          <w:rFonts w:hint="eastAsia" w:ascii="宋体" w:hAnsi="宋体" w:eastAsia="宋体" w:cs="宋体"/>
          <w:b/>
          <w:color w:val="auto"/>
          <w:kern w:val="0"/>
          <w:sz w:val="32"/>
          <w:szCs w:val="32"/>
        </w:rPr>
        <w:t>广西壮族自治区政府采购项目合同验收书（格式）</w:t>
      </w:r>
    </w:p>
    <w:p w14:paraId="19E3A22C">
      <w:pPr>
        <w:spacing w:line="340" w:lineRule="exac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根据政府采购项目（采购合同编号：</w:t>
      </w:r>
      <w:r>
        <w:rPr>
          <w:rFonts w:hint="eastAsia" w:ascii="宋体" w:hAnsi="宋体" w:eastAsia="宋体" w:cs="宋体"/>
          <w:color w:val="auto"/>
          <w:kern w:val="0"/>
          <w:szCs w:val="21"/>
        </w:rPr>
        <w:softHyphen/>
      </w:r>
      <w:r>
        <w:rPr>
          <w:rFonts w:hint="eastAsia" w:ascii="宋体" w:hAnsi="宋体" w:eastAsia="宋体" w:cs="宋体"/>
          <w:color w:val="auto"/>
          <w:kern w:val="0"/>
          <w:szCs w:val="21"/>
        </w:rPr>
        <w:t>）的约定，我单位对（项目名称）政府采购项目中标（或成交）供应商（公司名称）提供的货物（或工程、服务）进行了验收，验收情况如下：</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29C6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gridSpan w:val="2"/>
            <w:tcBorders>
              <w:top w:val="single" w:color="auto" w:sz="4" w:space="0"/>
              <w:left w:val="single" w:color="auto" w:sz="4" w:space="0"/>
              <w:bottom w:val="single" w:color="auto" w:sz="4" w:space="0"/>
              <w:right w:val="single" w:color="auto" w:sz="4" w:space="0"/>
            </w:tcBorders>
          </w:tcPr>
          <w:p w14:paraId="6CEB0FD2">
            <w:pPr>
              <w:spacing w:line="340" w:lineRule="exact"/>
              <w:jc w:val="center"/>
              <w:rPr>
                <w:rFonts w:ascii="宋体" w:hAnsi="宋体" w:eastAsia="宋体" w:cs="宋体"/>
                <w:b/>
                <w:color w:val="auto"/>
                <w:szCs w:val="21"/>
              </w:rPr>
            </w:pPr>
            <w:r>
              <w:rPr>
                <w:rFonts w:hint="eastAsia" w:ascii="宋体" w:hAnsi="宋体" w:eastAsia="宋体" w:cs="宋体"/>
                <w:color w:val="auto"/>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7D0BF0DB">
            <w:pPr>
              <w:spacing w:line="340" w:lineRule="exact"/>
              <w:jc w:val="center"/>
              <w:rPr>
                <w:rFonts w:ascii="宋体" w:hAnsi="宋体" w:eastAsia="宋体" w:cs="宋体"/>
                <w:b/>
                <w:color w:val="auto"/>
                <w:szCs w:val="21"/>
              </w:rPr>
            </w:pPr>
            <w:r>
              <w:rPr>
                <w:rFonts w:hint="eastAsia" w:ascii="宋体" w:hAnsi="宋体" w:eastAsia="宋体" w:cs="宋体"/>
                <w:color w:val="auto"/>
                <w:kern w:val="0"/>
                <w:szCs w:val="21"/>
              </w:rPr>
              <w:t>□自行验收□委托验收</w:t>
            </w:r>
          </w:p>
        </w:tc>
      </w:tr>
      <w:tr w14:paraId="5A91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vAlign w:val="center"/>
          </w:tcPr>
          <w:p w14:paraId="32269571">
            <w:pPr>
              <w:widowControl/>
              <w:snapToGrid w:val="0"/>
              <w:spacing w:beforeAutospacing="1" w:afterAutospacing="1" w:line="320" w:lineRule="atLeast"/>
              <w:ind w:firstLine="2"/>
              <w:jc w:val="center"/>
              <w:rPr>
                <w:rFonts w:ascii="宋体" w:hAnsi="宋体" w:eastAsia="宋体" w:cs="宋体"/>
                <w:color w:val="auto"/>
                <w:kern w:val="0"/>
                <w:szCs w:val="21"/>
              </w:rPr>
            </w:pPr>
            <w:r>
              <w:rPr>
                <w:rFonts w:hint="eastAsia" w:ascii="宋体" w:hAnsi="宋体" w:eastAsia="宋体" w:cs="宋体"/>
                <w:color w:val="auto"/>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7DE8D121">
            <w:pPr>
              <w:widowControl/>
              <w:snapToGrid w:val="0"/>
              <w:spacing w:beforeAutospacing="1" w:afterAutospacing="1" w:line="320" w:lineRule="atLeast"/>
              <w:ind w:firstLine="2"/>
              <w:jc w:val="center"/>
              <w:rPr>
                <w:rFonts w:ascii="宋体" w:hAnsi="宋体" w:eastAsia="宋体" w:cs="宋体"/>
                <w:color w:val="auto"/>
                <w:kern w:val="0"/>
                <w:szCs w:val="21"/>
              </w:rPr>
            </w:pPr>
            <w:r>
              <w:rPr>
                <w:rFonts w:hint="eastAsia" w:ascii="宋体" w:hAnsi="宋体" w:eastAsia="宋体" w:cs="宋体"/>
                <w:color w:val="auto"/>
                <w:kern w:val="0"/>
                <w:szCs w:val="21"/>
              </w:rPr>
              <w:t>名称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400C387F">
            <w:pPr>
              <w:widowControl/>
              <w:snapToGrid w:val="0"/>
              <w:spacing w:beforeAutospacing="1" w:afterAutospacing="1" w:line="320" w:lineRule="atLeast"/>
              <w:ind w:firstLine="2"/>
              <w:jc w:val="center"/>
              <w:rPr>
                <w:rFonts w:ascii="宋体" w:hAnsi="宋体" w:eastAsia="宋体" w:cs="宋体"/>
                <w:color w:val="auto"/>
                <w:kern w:val="0"/>
                <w:szCs w:val="21"/>
              </w:rPr>
            </w:pPr>
            <w:r>
              <w:rPr>
                <w:rFonts w:hint="eastAsia" w:ascii="宋体" w:hAnsi="宋体" w:eastAsia="宋体" w:cs="宋体"/>
                <w:color w:val="auto"/>
                <w:kern w:val="0"/>
                <w:szCs w:val="21"/>
              </w:rPr>
              <w:t>货物型号规格、标准及配置等（或服务内容、标准）</w:t>
            </w:r>
          </w:p>
        </w:tc>
        <w:tc>
          <w:tcPr>
            <w:tcW w:w="1556" w:type="dxa"/>
            <w:tcBorders>
              <w:top w:val="single" w:color="auto" w:sz="4" w:space="0"/>
              <w:left w:val="single" w:color="auto" w:sz="4" w:space="0"/>
              <w:bottom w:val="single" w:color="auto" w:sz="4" w:space="0"/>
              <w:right w:val="single" w:color="auto" w:sz="4" w:space="0"/>
            </w:tcBorders>
            <w:vAlign w:val="center"/>
          </w:tcPr>
          <w:p w14:paraId="41C2AA6A">
            <w:pPr>
              <w:widowControl/>
              <w:snapToGrid w:val="0"/>
              <w:spacing w:beforeAutospacing="1" w:afterAutospacing="1" w:line="32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3EEDFD3F">
            <w:pPr>
              <w:widowControl/>
              <w:snapToGrid w:val="0"/>
              <w:spacing w:beforeAutospacing="1" w:afterAutospacing="1" w:line="320" w:lineRule="atLeast"/>
              <w:ind w:firstLine="2"/>
              <w:jc w:val="center"/>
              <w:rPr>
                <w:rFonts w:ascii="宋体" w:hAnsi="宋体" w:eastAsia="宋体" w:cs="宋体"/>
                <w:color w:val="auto"/>
                <w:kern w:val="0"/>
                <w:szCs w:val="21"/>
              </w:rPr>
            </w:pPr>
            <w:r>
              <w:rPr>
                <w:rFonts w:hint="eastAsia" w:ascii="宋体" w:hAnsi="宋体" w:eastAsia="宋体" w:cs="宋体"/>
                <w:color w:val="auto"/>
                <w:kern w:val="0"/>
                <w:szCs w:val="21"/>
              </w:rPr>
              <w:t>金额</w:t>
            </w:r>
          </w:p>
        </w:tc>
      </w:tr>
      <w:tr w14:paraId="25D8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vAlign w:val="center"/>
          </w:tcPr>
          <w:p w14:paraId="079CC5D3">
            <w:pPr>
              <w:widowControl/>
              <w:snapToGrid w:val="0"/>
              <w:spacing w:beforeAutospacing="1" w:afterAutospacing="1" w:line="320" w:lineRule="atLeast"/>
              <w:ind w:firstLine="2"/>
              <w:jc w:val="center"/>
              <w:rPr>
                <w:rFonts w:ascii="宋体" w:hAnsi="宋体" w:eastAsia="宋体" w:cs="宋体"/>
                <w:color w:val="auto"/>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53A13719">
            <w:pPr>
              <w:widowControl/>
              <w:snapToGrid w:val="0"/>
              <w:spacing w:beforeAutospacing="1" w:afterAutospacing="1" w:line="320" w:lineRule="atLeast"/>
              <w:ind w:firstLine="2"/>
              <w:jc w:val="center"/>
              <w:rPr>
                <w:rFonts w:ascii="宋体" w:hAnsi="宋体" w:eastAsia="宋体" w:cs="宋体"/>
                <w:color w:val="auto"/>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1800762F">
            <w:pPr>
              <w:widowControl/>
              <w:snapToGrid w:val="0"/>
              <w:spacing w:beforeAutospacing="1" w:afterAutospacing="1" w:line="320" w:lineRule="atLeast"/>
              <w:ind w:firstLine="2"/>
              <w:jc w:val="center"/>
              <w:rPr>
                <w:rFonts w:ascii="宋体" w:hAnsi="宋体" w:eastAsia="宋体" w:cs="宋体"/>
                <w:color w:val="auto"/>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26E50C9A">
            <w:pPr>
              <w:widowControl/>
              <w:snapToGrid w:val="0"/>
              <w:spacing w:beforeAutospacing="1" w:afterAutospacing="1" w:line="320" w:lineRule="atLeast"/>
              <w:jc w:val="center"/>
              <w:rPr>
                <w:rFonts w:ascii="宋体" w:hAnsi="宋体" w:eastAsia="宋体" w:cs="宋体"/>
                <w:color w:val="auto"/>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3E09E15F">
            <w:pPr>
              <w:widowControl/>
              <w:snapToGrid w:val="0"/>
              <w:spacing w:beforeAutospacing="1" w:afterAutospacing="1" w:line="320" w:lineRule="atLeast"/>
              <w:ind w:firstLine="2"/>
              <w:jc w:val="center"/>
              <w:rPr>
                <w:rFonts w:ascii="宋体" w:hAnsi="宋体" w:eastAsia="宋体" w:cs="宋体"/>
                <w:color w:val="auto"/>
                <w:kern w:val="0"/>
                <w:szCs w:val="21"/>
              </w:rPr>
            </w:pPr>
          </w:p>
        </w:tc>
      </w:tr>
      <w:tr w14:paraId="1196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vAlign w:val="center"/>
          </w:tcPr>
          <w:p w14:paraId="7D47B966">
            <w:pPr>
              <w:widowControl/>
              <w:snapToGrid w:val="0"/>
              <w:spacing w:beforeAutospacing="1" w:afterAutospacing="1" w:line="320" w:lineRule="atLeast"/>
              <w:ind w:firstLine="2"/>
              <w:jc w:val="center"/>
              <w:rPr>
                <w:rFonts w:ascii="宋体" w:hAnsi="宋体" w:eastAsia="宋体" w:cs="宋体"/>
                <w:color w:val="auto"/>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5BE70EF2">
            <w:pPr>
              <w:widowControl/>
              <w:snapToGrid w:val="0"/>
              <w:spacing w:beforeAutospacing="1" w:afterAutospacing="1" w:line="320" w:lineRule="atLeast"/>
              <w:ind w:firstLine="2"/>
              <w:jc w:val="center"/>
              <w:rPr>
                <w:rFonts w:ascii="宋体" w:hAnsi="宋体" w:eastAsia="宋体" w:cs="宋体"/>
                <w:color w:val="auto"/>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1C217A31">
            <w:pPr>
              <w:widowControl/>
              <w:snapToGrid w:val="0"/>
              <w:spacing w:beforeAutospacing="1" w:afterAutospacing="1" w:line="320" w:lineRule="atLeast"/>
              <w:ind w:firstLine="2"/>
              <w:jc w:val="center"/>
              <w:rPr>
                <w:rFonts w:ascii="宋体" w:hAnsi="宋体" w:eastAsia="宋体" w:cs="宋体"/>
                <w:color w:val="auto"/>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569FB1A1">
            <w:pPr>
              <w:widowControl/>
              <w:snapToGrid w:val="0"/>
              <w:spacing w:beforeAutospacing="1" w:afterAutospacing="1" w:line="320" w:lineRule="atLeast"/>
              <w:jc w:val="center"/>
              <w:rPr>
                <w:rFonts w:ascii="宋体" w:hAnsi="宋体" w:eastAsia="宋体" w:cs="宋体"/>
                <w:color w:val="auto"/>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5F7790AD">
            <w:pPr>
              <w:widowControl/>
              <w:snapToGrid w:val="0"/>
              <w:spacing w:beforeAutospacing="1" w:afterAutospacing="1" w:line="320" w:lineRule="atLeast"/>
              <w:ind w:firstLine="2"/>
              <w:jc w:val="center"/>
              <w:rPr>
                <w:rFonts w:ascii="宋体" w:hAnsi="宋体" w:eastAsia="宋体" w:cs="宋体"/>
                <w:color w:val="auto"/>
                <w:kern w:val="0"/>
                <w:szCs w:val="21"/>
              </w:rPr>
            </w:pPr>
          </w:p>
        </w:tc>
      </w:tr>
      <w:tr w14:paraId="041E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vAlign w:val="center"/>
          </w:tcPr>
          <w:p w14:paraId="5D0B155E">
            <w:pPr>
              <w:widowControl/>
              <w:snapToGrid w:val="0"/>
              <w:spacing w:beforeAutospacing="1" w:afterAutospacing="1" w:line="320" w:lineRule="atLeast"/>
              <w:ind w:firstLine="2"/>
              <w:jc w:val="center"/>
              <w:rPr>
                <w:rFonts w:ascii="宋体" w:hAnsi="宋体" w:eastAsia="宋体" w:cs="宋体"/>
                <w:color w:val="auto"/>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868B045">
            <w:pPr>
              <w:widowControl/>
              <w:snapToGrid w:val="0"/>
              <w:spacing w:beforeAutospacing="1" w:afterAutospacing="1" w:line="320" w:lineRule="atLeast"/>
              <w:ind w:firstLine="2"/>
              <w:jc w:val="center"/>
              <w:rPr>
                <w:rFonts w:ascii="宋体" w:hAnsi="宋体" w:eastAsia="宋体" w:cs="宋体"/>
                <w:color w:val="auto"/>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98E6BD9">
            <w:pPr>
              <w:widowControl/>
              <w:snapToGrid w:val="0"/>
              <w:spacing w:beforeAutospacing="1" w:afterAutospacing="1" w:line="320" w:lineRule="atLeast"/>
              <w:ind w:firstLine="2"/>
              <w:jc w:val="center"/>
              <w:rPr>
                <w:rFonts w:ascii="宋体" w:hAnsi="宋体" w:eastAsia="宋体" w:cs="宋体"/>
                <w:color w:val="auto"/>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5F7B0AB8">
            <w:pPr>
              <w:widowControl/>
              <w:snapToGrid w:val="0"/>
              <w:spacing w:beforeAutospacing="1" w:afterAutospacing="1" w:line="320" w:lineRule="atLeast"/>
              <w:jc w:val="center"/>
              <w:rPr>
                <w:rFonts w:ascii="宋体" w:hAnsi="宋体" w:eastAsia="宋体" w:cs="宋体"/>
                <w:color w:val="auto"/>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2E33901B">
            <w:pPr>
              <w:widowControl/>
              <w:snapToGrid w:val="0"/>
              <w:spacing w:beforeAutospacing="1" w:afterAutospacing="1" w:line="320" w:lineRule="atLeast"/>
              <w:ind w:firstLine="2"/>
              <w:jc w:val="center"/>
              <w:rPr>
                <w:rFonts w:ascii="宋体" w:hAnsi="宋体" w:eastAsia="宋体" w:cs="宋体"/>
                <w:color w:val="auto"/>
                <w:kern w:val="0"/>
                <w:szCs w:val="21"/>
              </w:rPr>
            </w:pPr>
          </w:p>
        </w:tc>
      </w:tr>
      <w:tr w14:paraId="5820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5" w:type="dxa"/>
            <w:gridSpan w:val="5"/>
            <w:tcBorders>
              <w:top w:val="single" w:color="auto" w:sz="4" w:space="0"/>
              <w:left w:val="single" w:color="auto" w:sz="4" w:space="0"/>
              <w:bottom w:val="single" w:color="auto" w:sz="4" w:space="0"/>
              <w:right w:val="single" w:color="auto" w:sz="4" w:space="0"/>
            </w:tcBorders>
            <w:vAlign w:val="center"/>
          </w:tcPr>
          <w:p w14:paraId="71009D19">
            <w:pPr>
              <w:widowControl/>
              <w:snapToGrid w:val="0"/>
              <w:spacing w:beforeAutospacing="1" w:afterAutospacing="1" w:line="320" w:lineRule="atLeast"/>
              <w:ind w:firstLine="2"/>
              <w:jc w:val="left"/>
              <w:rPr>
                <w:rFonts w:ascii="宋体" w:hAnsi="宋体" w:eastAsia="宋体" w:cs="宋体"/>
                <w:color w:val="auto"/>
                <w:kern w:val="0"/>
                <w:szCs w:val="21"/>
              </w:rPr>
            </w:pPr>
            <w:r>
              <w:rPr>
                <w:rFonts w:hint="eastAsia" w:ascii="宋体" w:hAnsi="宋体" w:eastAsia="宋体" w:cs="宋体"/>
                <w:color w:val="auto"/>
                <w:kern w:val="0"/>
                <w:szCs w:val="21"/>
              </w:rPr>
              <w:t>合计</w:t>
            </w:r>
          </w:p>
        </w:tc>
        <w:tc>
          <w:tcPr>
            <w:tcW w:w="1556" w:type="dxa"/>
            <w:tcBorders>
              <w:top w:val="single" w:color="auto" w:sz="4" w:space="0"/>
              <w:left w:val="single" w:color="auto" w:sz="4" w:space="0"/>
              <w:bottom w:val="single" w:color="auto" w:sz="4" w:space="0"/>
              <w:right w:val="single" w:color="auto" w:sz="4" w:space="0"/>
            </w:tcBorders>
            <w:vAlign w:val="center"/>
          </w:tcPr>
          <w:p w14:paraId="05EE6074">
            <w:pPr>
              <w:widowControl/>
              <w:snapToGrid w:val="0"/>
              <w:spacing w:beforeAutospacing="1" w:afterAutospacing="1" w:line="320" w:lineRule="atLeast"/>
              <w:jc w:val="center"/>
              <w:rPr>
                <w:rFonts w:ascii="宋体" w:hAnsi="宋体" w:eastAsia="宋体" w:cs="宋体"/>
                <w:color w:val="auto"/>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09EB65A7">
            <w:pPr>
              <w:widowControl/>
              <w:snapToGrid w:val="0"/>
              <w:spacing w:beforeAutospacing="1" w:afterAutospacing="1" w:line="320" w:lineRule="atLeast"/>
              <w:ind w:firstLine="2"/>
              <w:jc w:val="center"/>
              <w:rPr>
                <w:rFonts w:ascii="宋体" w:hAnsi="宋体" w:eastAsia="宋体" w:cs="宋体"/>
                <w:color w:val="auto"/>
                <w:kern w:val="0"/>
                <w:szCs w:val="21"/>
              </w:rPr>
            </w:pPr>
          </w:p>
        </w:tc>
      </w:tr>
      <w:tr w14:paraId="662E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7"/>
            <w:tcBorders>
              <w:top w:val="single" w:color="auto" w:sz="4" w:space="0"/>
              <w:left w:val="single" w:color="auto" w:sz="4" w:space="0"/>
              <w:bottom w:val="single" w:color="auto" w:sz="4" w:space="0"/>
              <w:right w:val="single" w:color="auto" w:sz="4" w:space="0"/>
            </w:tcBorders>
            <w:vAlign w:val="center"/>
          </w:tcPr>
          <w:p w14:paraId="3091EC7E">
            <w:pPr>
              <w:widowControl/>
              <w:snapToGrid w:val="0"/>
              <w:spacing w:beforeAutospacing="1" w:afterAutospacing="1" w:line="320" w:lineRule="atLeast"/>
              <w:ind w:firstLine="2"/>
              <w:jc w:val="left"/>
              <w:rPr>
                <w:rFonts w:ascii="宋体" w:hAnsi="宋体" w:eastAsia="宋体" w:cs="宋体"/>
                <w:color w:val="auto"/>
                <w:kern w:val="0"/>
                <w:szCs w:val="21"/>
              </w:rPr>
            </w:pPr>
            <w:r>
              <w:rPr>
                <w:rFonts w:hint="eastAsia" w:ascii="宋体" w:hAnsi="宋体" w:eastAsia="宋体" w:cs="宋体"/>
                <w:color w:val="auto"/>
                <w:kern w:val="0"/>
                <w:szCs w:val="21"/>
              </w:rPr>
              <w:t>合计大写金额：仟佰拾万仟佰拾元</w:t>
            </w:r>
          </w:p>
        </w:tc>
      </w:tr>
      <w:tr w14:paraId="0361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14:paraId="1852F6F5">
            <w:pPr>
              <w:widowControl/>
              <w:snapToGrid w:val="0"/>
              <w:spacing w:beforeAutospacing="1" w:afterAutospacing="1" w:line="320" w:lineRule="atLeast"/>
              <w:ind w:firstLine="2"/>
              <w:jc w:val="center"/>
              <w:rPr>
                <w:rFonts w:ascii="宋体" w:hAnsi="宋体" w:eastAsia="宋体" w:cs="宋体"/>
                <w:color w:val="auto"/>
                <w:kern w:val="0"/>
                <w:szCs w:val="21"/>
              </w:rPr>
            </w:pPr>
            <w:r>
              <w:rPr>
                <w:rFonts w:hint="eastAsia" w:ascii="宋体" w:hAnsi="宋体" w:eastAsia="宋体" w:cs="宋体"/>
                <w:color w:val="auto"/>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1CB0ED86">
            <w:pPr>
              <w:widowControl/>
              <w:snapToGrid w:val="0"/>
              <w:spacing w:beforeAutospacing="1" w:afterAutospacing="1" w:line="320" w:lineRule="atLeast"/>
              <w:ind w:firstLine="2"/>
              <w:jc w:val="center"/>
              <w:rPr>
                <w:rFonts w:ascii="宋体" w:hAnsi="宋体" w:eastAsia="宋体" w:cs="宋体"/>
                <w:color w:val="auto"/>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32F65D13">
            <w:pPr>
              <w:widowControl/>
              <w:snapToGrid w:val="0"/>
              <w:spacing w:beforeAutospacing="1" w:afterAutospacing="1" w:line="320" w:lineRule="atLeast"/>
              <w:ind w:firstLine="2"/>
              <w:jc w:val="center"/>
              <w:rPr>
                <w:rFonts w:ascii="宋体" w:hAnsi="宋体" w:eastAsia="宋体" w:cs="宋体"/>
                <w:color w:val="auto"/>
                <w:kern w:val="0"/>
                <w:szCs w:val="21"/>
              </w:rPr>
            </w:pPr>
            <w:r>
              <w:rPr>
                <w:rFonts w:hint="eastAsia" w:ascii="宋体" w:hAnsi="宋体" w:eastAsia="宋体" w:cs="宋体"/>
                <w:color w:val="auto"/>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3D820E76">
            <w:pPr>
              <w:widowControl/>
              <w:snapToGrid w:val="0"/>
              <w:spacing w:beforeAutospacing="1" w:afterAutospacing="1" w:line="320" w:lineRule="atLeast"/>
              <w:ind w:firstLine="2"/>
              <w:jc w:val="center"/>
              <w:rPr>
                <w:rFonts w:ascii="宋体" w:hAnsi="宋体" w:eastAsia="宋体" w:cs="宋体"/>
                <w:color w:val="auto"/>
                <w:kern w:val="0"/>
                <w:szCs w:val="21"/>
              </w:rPr>
            </w:pPr>
          </w:p>
        </w:tc>
      </w:tr>
      <w:tr w14:paraId="1988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14:paraId="6EB575BE">
            <w:pPr>
              <w:widowControl/>
              <w:snapToGrid w:val="0"/>
              <w:spacing w:beforeAutospacing="1" w:afterAutospacing="1" w:line="320" w:lineRule="atLeast"/>
              <w:ind w:firstLine="2"/>
              <w:jc w:val="left"/>
              <w:rPr>
                <w:rFonts w:ascii="宋体" w:hAnsi="宋体" w:eastAsia="宋体" w:cs="宋体"/>
                <w:color w:val="auto"/>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6EFB4A10">
            <w:pPr>
              <w:widowControl/>
              <w:snapToGrid w:val="0"/>
              <w:spacing w:beforeAutospacing="1" w:afterAutospacing="1" w:line="320" w:lineRule="atLeast"/>
              <w:ind w:firstLine="2"/>
              <w:jc w:val="left"/>
              <w:rPr>
                <w:rFonts w:ascii="宋体" w:hAnsi="宋体" w:eastAsia="宋体" w:cs="宋体"/>
                <w:color w:val="auto"/>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459B0DD8">
            <w:pPr>
              <w:widowControl/>
              <w:snapToGrid w:val="0"/>
              <w:spacing w:beforeAutospacing="1" w:afterAutospacing="1" w:line="320" w:lineRule="atLeast"/>
              <w:ind w:firstLine="2"/>
              <w:jc w:val="left"/>
              <w:rPr>
                <w:rFonts w:ascii="宋体" w:hAnsi="宋体" w:eastAsia="宋体" w:cs="宋体"/>
                <w:color w:val="auto"/>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1D309462">
            <w:pPr>
              <w:widowControl/>
              <w:snapToGrid w:val="0"/>
              <w:spacing w:beforeAutospacing="1" w:afterAutospacing="1" w:line="320" w:lineRule="atLeast"/>
              <w:ind w:firstLine="2"/>
              <w:jc w:val="left"/>
              <w:rPr>
                <w:rFonts w:ascii="宋体" w:hAnsi="宋体" w:eastAsia="宋体" w:cs="宋体"/>
                <w:color w:val="auto"/>
                <w:kern w:val="0"/>
                <w:szCs w:val="21"/>
              </w:rPr>
            </w:pPr>
          </w:p>
        </w:tc>
      </w:tr>
      <w:tr w14:paraId="7AF7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14:paraId="15190229">
            <w:pPr>
              <w:widowControl/>
              <w:snapToGrid w:val="0"/>
              <w:spacing w:beforeAutospacing="1" w:afterAutospacing="1" w:line="320" w:lineRule="atLeast"/>
              <w:ind w:firstLine="2"/>
              <w:jc w:val="left"/>
              <w:rPr>
                <w:rFonts w:ascii="宋体" w:hAnsi="宋体" w:eastAsia="宋体" w:cs="宋体"/>
                <w:color w:val="auto"/>
                <w:kern w:val="0"/>
                <w:szCs w:val="21"/>
              </w:rPr>
            </w:pPr>
            <w:r>
              <w:rPr>
                <w:rFonts w:hint="eastAsia" w:ascii="宋体" w:hAnsi="宋体" w:eastAsia="宋体" w:cs="宋体"/>
                <w:color w:val="auto"/>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726BB8B8">
            <w:pPr>
              <w:widowControl/>
              <w:snapToGrid w:val="0"/>
              <w:spacing w:beforeAutospacing="1" w:afterAutospacing="1" w:line="320" w:lineRule="atLeast"/>
              <w:jc w:val="left"/>
              <w:rPr>
                <w:rFonts w:ascii="宋体" w:hAnsi="宋体" w:eastAsia="宋体" w:cs="宋体"/>
                <w:color w:val="auto"/>
                <w:kern w:val="0"/>
                <w:szCs w:val="21"/>
              </w:rPr>
            </w:pPr>
            <w:r>
              <w:rPr>
                <w:rFonts w:hint="eastAsia" w:ascii="宋体" w:hAnsi="宋体" w:eastAsia="宋体" w:cs="宋体"/>
                <w:color w:val="auto"/>
                <w:kern w:val="0"/>
                <w:szCs w:val="21"/>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2658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189FD577">
            <w:pPr>
              <w:widowControl/>
              <w:snapToGrid w:val="0"/>
              <w:spacing w:beforeAutospacing="1" w:afterAutospacing="1" w:line="320" w:lineRule="atLeast"/>
              <w:ind w:firstLine="2"/>
              <w:jc w:val="left"/>
              <w:rPr>
                <w:rFonts w:ascii="宋体" w:hAnsi="宋体" w:eastAsia="宋体" w:cs="宋体"/>
                <w:color w:val="auto"/>
                <w:kern w:val="0"/>
                <w:szCs w:val="21"/>
              </w:rPr>
            </w:pPr>
            <w:r>
              <w:rPr>
                <w:rFonts w:hint="eastAsia" w:ascii="宋体" w:hAnsi="宋体" w:eastAsia="宋体" w:cs="宋体"/>
                <w:color w:val="auto"/>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4C3498C7">
            <w:pPr>
              <w:widowControl/>
              <w:snapToGrid w:val="0"/>
              <w:spacing w:beforeAutospacing="1" w:afterAutospacing="1" w:line="320" w:lineRule="atLeast"/>
              <w:jc w:val="left"/>
              <w:rPr>
                <w:rFonts w:ascii="宋体" w:hAnsi="宋体" w:eastAsia="宋体" w:cs="宋体"/>
                <w:color w:val="auto"/>
                <w:kern w:val="0"/>
                <w:szCs w:val="21"/>
              </w:rPr>
            </w:pPr>
            <w:r>
              <w:rPr>
                <w:rFonts w:hint="eastAsia" w:ascii="宋体" w:hAnsi="宋体" w:eastAsia="宋体" w:cs="宋体"/>
                <w:color w:val="auto"/>
                <w:kern w:val="0"/>
                <w:szCs w:val="21"/>
              </w:rPr>
              <w:t>验收结论性意见：</w:t>
            </w:r>
          </w:p>
          <w:p w14:paraId="501D489D">
            <w:pPr>
              <w:widowControl/>
              <w:snapToGrid w:val="0"/>
              <w:spacing w:beforeAutospacing="1" w:afterAutospacing="1" w:line="320" w:lineRule="atLeast"/>
              <w:jc w:val="left"/>
              <w:rPr>
                <w:rFonts w:ascii="宋体" w:hAnsi="宋体" w:eastAsia="宋体" w:cs="宋体"/>
                <w:color w:val="auto"/>
                <w:kern w:val="0"/>
                <w:szCs w:val="21"/>
              </w:rPr>
            </w:pPr>
          </w:p>
        </w:tc>
      </w:tr>
      <w:tr w14:paraId="3202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tcBorders>
              <w:top w:val="single" w:color="auto" w:sz="4" w:space="0"/>
              <w:left w:val="single" w:color="auto" w:sz="4" w:space="0"/>
              <w:bottom w:val="single" w:color="auto" w:sz="4" w:space="0"/>
              <w:right w:val="single" w:color="auto" w:sz="4" w:space="0"/>
            </w:tcBorders>
            <w:vAlign w:val="center"/>
          </w:tcPr>
          <w:p w14:paraId="1FF23B07">
            <w:pPr>
              <w:rPr>
                <w:rFonts w:ascii="宋体" w:hAnsi="宋体" w:eastAsia="宋体" w:cs="宋体"/>
                <w:color w:val="auto"/>
                <w:sz w:val="20"/>
                <w:szCs w:val="20"/>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337F3774">
            <w:pPr>
              <w:widowControl/>
              <w:spacing w:beforeAutospacing="1" w:afterAutospacing="1" w:line="320" w:lineRule="atLeast"/>
              <w:jc w:val="left"/>
              <w:rPr>
                <w:rFonts w:ascii="宋体" w:hAnsi="宋体" w:eastAsia="宋体" w:cs="宋体"/>
                <w:color w:val="auto"/>
                <w:kern w:val="0"/>
                <w:szCs w:val="21"/>
              </w:rPr>
            </w:pPr>
            <w:r>
              <w:rPr>
                <w:rFonts w:hint="eastAsia" w:ascii="宋体" w:hAnsi="宋体" w:eastAsia="宋体" w:cs="宋体"/>
                <w:color w:val="auto"/>
                <w:kern w:val="0"/>
                <w:szCs w:val="21"/>
              </w:rPr>
              <w:t>有异议的意见和说明理由：</w:t>
            </w:r>
          </w:p>
          <w:p w14:paraId="37F3C420">
            <w:pPr>
              <w:widowControl/>
              <w:snapToGrid w:val="0"/>
              <w:spacing w:beforeAutospacing="1" w:afterAutospacing="1" w:line="320" w:lineRule="atLeast"/>
              <w:jc w:val="left"/>
              <w:rPr>
                <w:rFonts w:ascii="宋体" w:hAnsi="宋体" w:eastAsia="宋体" w:cs="宋体"/>
                <w:color w:val="auto"/>
                <w:kern w:val="0"/>
                <w:szCs w:val="21"/>
              </w:rPr>
            </w:pPr>
            <w:r>
              <w:rPr>
                <w:rFonts w:hint="eastAsia" w:ascii="宋体" w:hAnsi="宋体" w:eastAsia="宋体" w:cs="宋体"/>
                <w:color w:val="auto"/>
                <w:kern w:val="0"/>
                <w:szCs w:val="21"/>
              </w:rPr>
              <w:t>签字：</w:t>
            </w:r>
          </w:p>
        </w:tc>
      </w:tr>
      <w:tr w14:paraId="3149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628" w:type="dxa"/>
            <w:gridSpan w:val="7"/>
            <w:tcBorders>
              <w:top w:val="single" w:color="auto" w:sz="4" w:space="0"/>
              <w:left w:val="single" w:color="auto" w:sz="4" w:space="0"/>
              <w:bottom w:val="single" w:color="auto" w:sz="4" w:space="0"/>
              <w:right w:val="single" w:color="auto" w:sz="4" w:space="0"/>
            </w:tcBorders>
            <w:vAlign w:val="center"/>
          </w:tcPr>
          <w:p w14:paraId="0FF08C48">
            <w:pPr>
              <w:widowControl/>
              <w:snapToGrid w:val="0"/>
              <w:spacing w:beforeAutospacing="1" w:afterAutospacing="1" w:line="320" w:lineRule="atLeast"/>
              <w:jc w:val="left"/>
              <w:rPr>
                <w:rFonts w:ascii="宋体" w:hAnsi="宋体" w:eastAsia="宋体" w:cs="宋体"/>
                <w:color w:val="auto"/>
                <w:kern w:val="0"/>
                <w:szCs w:val="21"/>
              </w:rPr>
            </w:pPr>
            <w:r>
              <w:rPr>
                <w:rFonts w:hint="eastAsia" w:ascii="宋体" w:hAnsi="宋体" w:eastAsia="宋体" w:cs="宋体"/>
                <w:color w:val="auto"/>
                <w:kern w:val="0"/>
                <w:szCs w:val="21"/>
              </w:rPr>
              <w:t>验收小组成员签字：</w:t>
            </w:r>
          </w:p>
        </w:tc>
      </w:tr>
      <w:tr w14:paraId="5FC9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7"/>
            <w:tcBorders>
              <w:top w:val="single" w:color="auto" w:sz="4" w:space="0"/>
              <w:left w:val="single" w:color="auto" w:sz="4" w:space="0"/>
              <w:bottom w:val="single" w:color="auto" w:sz="4" w:space="0"/>
              <w:right w:val="single" w:color="auto" w:sz="4" w:space="0"/>
            </w:tcBorders>
            <w:vAlign w:val="center"/>
          </w:tcPr>
          <w:p w14:paraId="3F3BF01F">
            <w:pPr>
              <w:widowControl/>
              <w:spacing w:beforeAutospacing="1" w:afterAutospacing="1" w:line="320" w:lineRule="atLeast"/>
              <w:jc w:val="left"/>
              <w:rPr>
                <w:rFonts w:ascii="宋体" w:hAnsi="宋体" w:eastAsia="宋体" w:cs="宋体"/>
                <w:color w:val="auto"/>
                <w:kern w:val="0"/>
                <w:szCs w:val="21"/>
              </w:rPr>
            </w:pPr>
            <w:r>
              <w:rPr>
                <w:rFonts w:hint="eastAsia" w:ascii="宋体" w:hAnsi="宋体" w:eastAsia="宋体" w:cs="宋体"/>
                <w:color w:val="auto"/>
                <w:kern w:val="0"/>
                <w:szCs w:val="21"/>
              </w:rPr>
              <w:t>监督人员或其他相关人员签字：</w:t>
            </w:r>
          </w:p>
          <w:p w14:paraId="3561E457">
            <w:pPr>
              <w:widowControl/>
              <w:spacing w:beforeAutospacing="1" w:afterAutospacing="1" w:line="320" w:lineRule="atLeast"/>
              <w:jc w:val="left"/>
              <w:rPr>
                <w:rFonts w:ascii="宋体" w:hAnsi="宋体" w:eastAsia="宋体" w:cs="宋体"/>
                <w:color w:val="auto"/>
                <w:kern w:val="0"/>
                <w:szCs w:val="21"/>
              </w:rPr>
            </w:pPr>
            <w:r>
              <w:rPr>
                <w:rFonts w:hint="eastAsia" w:ascii="宋体" w:hAnsi="宋体" w:eastAsia="宋体" w:cs="宋体"/>
                <w:color w:val="auto"/>
                <w:kern w:val="0"/>
                <w:szCs w:val="21"/>
              </w:rPr>
              <w:t>或受邀机构的意见（盖章）：</w:t>
            </w:r>
          </w:p>
        </w:tc>
      </w:tr>
      <w:tr w14:paraId="3EC9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9628" w:type="dxa"/>
            <w:gridSpan w:val="7"/>
            <w:tcBorders>
              <w:top w:val="single" w:color="auto" w:sz="4" w:space="0"/>
              <w:left w:val="single" w:color="auto" w:sz="4" w:space="0"/>
              <w:bottom w:val="single" w:color="auto" w:sz="4" w:space="0"/>
              <w:right w:val="single" w:color="auto" w:sz="4" w:space="0"/>
            </w:tcBorders>
            <w:vAlign w:val="center"/>
          </w:tcPr>
          <w:p w14:paraId="16629879">
            <w:pPr>
              <w:widowControl/>
              <w:spacing w:beforeAutospacing="1" w:afterAutospacing="1" w:line="320" w:lineRule="atLeast"/>
              <w:jc w:val="left"/>
              <w:rPr>
                <w:rFonts w:ascii="宋体" w:hAnsi="宋体" w:eastAsia="宋体" w:cs="宋体"/>
                <w:color w:val="auto"/>
                <w:kern w:val="0"/>
                <w:szCs w:val="21"/>
              </w:rPr>
            </w:pPr>
            <w:r>
              <w:rPr>
                <w:rFonts w:hint="eastAsia" w:ascii="宋体" w:hAnsi="宋体" w:eastAsia="宋体" w:cs="宋体"/>
                <w:color w:val="auto"/>
                <w:kern w:val="0"/>
                <w:szCs w:val="21"/>
              </w:rPr>
              <w:t>中标或者成交供应商负责人签字或盖章：采购人或受托机构的意见（盖章）：</w:t>
            </w:r>
          </w:p>
          <w:p w14:paraId="0A3C1A9A">
            <w:pPr>
              <w:widowControl/>
              <w:spacing w:beforeAutospacing="1" w:afterAutospacing="1" w:line="320" w:lineRule="atLeast"/>
              <w:jc w:val="left"/>
              <w:rPr>
                <w:rFonts w:ascii="宋体" w:hAnsi="宋体" w:eastAsia="宋体" w:cs="宋体"/>
                <w:color w:val="auto"/>
                <w:kern w:val="0"/>
                <w:szCs w:val="21"/>
              </w:rPr>
            </w:pPr>
            <w:r>
              <w:rPr>
                <w:rFonts w:hint="eastAsia" w:ascii="宋体" w:hAnsi="宋体" w:eastAsia="宋体" w:cs="宋体"/>
                <w:color w:val="auto"/>
                <w:kern w:val="0"/>
                <w:szCs w:val="21"/>
              </w:rPr>
              <w:t>联系电话：   年   月   日     联系电话：   年   月   日</w:t>
            </w:r>
          </w:p>
        </w:tc>
      </w:tr>
    </w:tbl>
    <w:p w14:paraId="03C49F19">
      <w:pPr>
        <w:spacing w:line="340" w:lineRule="exact"/>
        <w:rPr>
          <w:rFonts w:ascii="宋体" w:hAnsi="宋体" w:eastAsia="宋体" w:cs="宋体"/>
          <w:color w:val="auto"/>
        </w:rPr>
      </w:pPr>
    </w:p>
    <w:p w14:paraId="387993FF">
      <w:pPr>
        <w:rPr>
          <w:rFonts w:hint="eastAsia" w:ascii="黑体" w:hAnsi="黑体" w:eastAsia="黑体"/>
          <w:color w:val="auto"/>
          <w:sz w:val="32"/>
          <w:szCs w:val="32"/>
        </w:rPr>
      </w:pPr>
      <w:r>
        <w:rPr>
          <w:rFonts w:hint="eastAsia" w:ascii="黑体" w:hAnsi="黑体" w:eastAsia="黑体"/>
          <w:color w:val="auto"/>
          <w:sz w:val="32"/>
          <w:szCs w:val="32"/>
        </w:rPr>
        <w:br w:type="page"/>
      </w:r>
    </w:p>
    <w:p w14:paraId="283E3547">
      <w:pPr>
        <w:spacing w:line="360" w:lineRule="auto"/>
        <w:jc w:val="left"/>
        <w:rPr>
          <w:rFonts w:ascii="黑体" w:hAnsi="黑体" w:eastAsia="黑体"/>
          <w:color w:val="auto"/>
          <w:sz w:val="32"/>
          <w:szCs w:val="32"/>
        </w:rPr>
      </w:pPr>
      <w:r>
        <w:rPr>
          <w:rFonts w:hint="eastAsia" w:ascii="黑体" w:hAnsi="黑体" w:eastAsia="黑体"/>
          <w:color w:val="auto"/>
          <w:sz w:val="32"/>
          <w:szCs w:val="32"/>
        </w:rPr>
        <w:t>附表</w:t>
      </w:r>
      <w:r>
        <w:rPr>
          <w:rFonts w:hint="eastAsia" w:ascii="黑体" w:hAnsi="黑体" w:eastAsia="黑体"/>
          <w:color w:val="auto"/>
          <w:sz w:val="32"/>
          <w:szCs w:val="32"/>
          <w:lang w:val="en-US" w:eastAsia="zh-CN"/>
        </w:rPr>
        <w:t>2</w:t>
      </w:r>
      <w:r>
        <w:rPr>
          <w:rFonts w:hint="eastAsia" w:ascii="黑体" w:hAnsi="黑体" w:eastAsia="黑体"/>
          <w:color w:val="auto"/>
          <w:sz w:val="32"/>
          <w:szCs w:val="32"/>
        </w:rPr>
        <w:t>：</w:t>
      </w:r>
    </w:p>
    <w:p w14:paraId="327C82D7">
      <w:pPr>
        <w:spacing w:beforeLines="50" w:afterLines="200" w:line="340" w:lineRule="exact"/>
        <w:jc w:val="center"/>
        <w:rPr>
          <w:rFonts w:ascii="宋体" w:hAnsi="宋体" w:cs="宋体"/>
          <w:b/>
          <w:color w:val="auto"/>
          <w:kern w:val="0"/>
          <w:sz w:val="32"/>
          <w:szCs w:val="32"/>
        </w:rPr>
      </w:pPr>
      <w:r>
        <w:rPr>
          <w:rFonts w:hint="eastAsia" w:ascii="宋体" w:hAnsi="宋体" w:cs="宋体"/>
          <w:b/>
          <w:color w:val="auto"/>
          <w:kern w:val="0"/>
          <w:sz w:val="32"/>
          <w:szCs w:val="32"/>
        </w:rPr>
        <w:t>政府采购项目履约保证金退付意见书（参考）</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5D9E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008" w:type="dxa"/>
            <w:vMerge w:val="restart"/>
            <w:vAlign w:val="center"/>
          </w:tcPr>
          <w:p w14:paraId="636D0D1B">
            <w:pPr>
              <w:jc w:val="center"/>
              <w:rPr>
                <w:color w:val="auto"/>
                <w:sz w:val="24"/>
              </w:rPr>
            </w:pPr>
            <w:r>
              <w:rPr>
                <w:rFonts w:hint="eastAsia"/>
                <w:color w:val="auto"/>
                <w:sz w:val="24"/>
              </w:rPr>
              <w:t>供</w:t>
            </w:r>
          </w:p>
          <w:p w14:paraId="44C57D00">
            <w:pPr>
              <w:jc w:val="center"/>
              <w:rPr>
                <w:color w:val="auto"/>
                <w:sz w:val="24"/>
              </w:rPr>
            </w:pPr>
            <w:r>
              <w:rPr>
                <w:rFonts w:hint="eastAsia"/>
                <w:color w:val="auto"/>
                <w:sz w:val="24"/>
              </w:rPr>
              <w:t>应</w:t>
            </w:r>
          </w:p>
          <w:p w14:paraId="3624CB2F">
            <w:pPr>
              <w:jc w:val="center"/>
              <w:rPr>
                <w:color w:val="auto"/>
                <w:sz w:val="24"/>
              </w:rPr>
            </w:pPr>
            <w:r>
              <w:rPr>
                <w:rFonts w:hint="eastAsia"/>
                <w:color w:val="auto"/>
                <w:sz w:val="24"/>
              </w:rPr>
              <w:t>商</w:t>
            </w:r>
          </w:p>
          <w:p w14:paraId="2920794D">
            <w:pPr>
              <w:jc w:val="center"/>
              <w:rPr>
                <w:color w:val="auto"/>
                <w:sz w:val="24"/>
              </w:rPr>
            </w:pPr>
            <w:r>
              <w:rPr>
                <w:rFonts w:hint="eastAsia"/>
                <w:color w:val="auto"/>
                <w:sz w:val="24"/>
              </w:rPr>
              <w:t>申</w:t>
            </w:r>
          </w:p>
          <w:p w14:paraId="20198BAC">
            <w:pPr>
              <w:jc w:val="center"/>
              <w:rPr>
                <w:color w:val="auto"/>
                <w:sz w:val="24"/>
              </w:rPr>
            </w:pPr>
            <w:r>
              <w:rPr>
                <w:rFonts w:hint="eastAsia"/>
                <w:color w:val="auto"/>
                <w:sz w:val="24"/>
              </w:rPr>
              <w:t>请</w:t>
            </w:r>
          </w:p>
        </w:tc>
        <w:tc>
          <w:tcPr>
            <w:tcW w:w="8456" w:type="dxa"/>
            <w:vAlign w:val="center"/>
          </w:tcPr>
          <w:p w14:paraId="08958D4F">
            <w:pPr>
              <w:rPr>
                <w:color w:val="auto"/>
                <w:sz w:val="24"/>
              </w:rPr>
            </w:pPr>
            <w:r>
              <w:rPr>
                <w:rFonts w:hint="eastAsia"/>
                <w:color w:val="auto"/>
                <w:sz w:val="24"/>
              </w:rPr>
              <w:t>项目编号：</w:t>
            </w:r>
          </w:p>
        </w:tc>
      </w:tr>
      <w:tr w14:paraId="3E36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008" w:type="dxa"/>
            <w:vMerge w:val="continue"/>
            <w:vAlign w:val="center"/>
          </w:tcPr>
          <w:p w14:paraId="5FA6E120">
            <w:pPr>
              <w:rPr>
                <w:color w:val="auto"/>
                <w:sz w:val="24"/>
              </w:rPr>
            </w:pPr>
          </w:p>
        </w:tc>
        <w:tc>
          <w:tcPr>
            <w:tcW w:w="8456" w:type="dxa"/>
            <w:vAlign w:val="center"/>
          </w:tcPr>
          <w:p w14:paraId="3AEB4498">
            <w:pPr>
              <w:rPr>
                <w:color w:val="auto"/>
                <w:sz w:val="24"/>
              </w:rPr>
            </w:pPr>
            <w:r>
              <w:rPr>
                <w:rFonts w:hint="eastAsia"/>
                <w:color w:val="auto"/>
                <w:sz w:val="24"/>
              </w:rPr>
              <w:t>项目名称：</w:t>
            </w:r>
          </w:p>
        </w:tc>
      </w:tr>
      <w:tr w14:paraId="59B1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tcPr>
          <w:p w14:paraId="69C66D61">
            <w:pPr>
              <w:rPr>
                <w:color w:val="auto"/>
                <w:sz w:val="24"/>
              </w:rPr>
            </w:pPr>
          </w:p>
        </w:tc>
        <w:tc>
          <w:tcPr>
            <w:tcW w:w="8456" w:type="dxa"/>
          </w:tcPr>
          <w:p w14:paraId="2D11B2B9">
            <w:pPr>
              <w:rPr>
                <w:color w:val="auto"/>
                <w:sz w:val="24"/>
              </w:rPr>
            </w:pPr>
          </w:p>
          <w:p w14:paraId="76CDAC15">
            <w:pPr>
              <w:spacing w:line="400" w:lineRule="exact"/>
              <w:ind w:firstLine="480" w:firstLineChars="200"/>
              <w:rPr>
                <w:color w:val="auto"/>
                <w:sz w:val="24"/>
              </w:rPr>
            </w:pPr>
            <w:r>
              <w:rPr>
                <w:rFonts w:hint="eastAsia"/>
                <w:color w:val="auto"/>
                <w:sz w:val="24"/>
              </w:rPr>
              <w:t>该项目已于年月日验收并交付使用。根据合同规定，该项目的履约保证金期限于年月日已满，请将履约保证金</w:t>
            </w:r>
          </w:p>
          <w:p w14:paraId="4D00DE27">
            <w:pPr>
              <w:spacing w:line="400" w:lineRule="exact"/>
              <w:rPr>
                <w:color w:val="auto"/>
                <w:sz w:val="24"/>
              </w:rPr>
            </w:pPr>
            <w:r>
              <w:rPr>
                <w:rFonts w:hint="eastAsia"/>
                <w:color w:val="auto"/>
                <w:sz w:val="24"/>
              </w:rPr>
              <w:t>（大写）￥（小写）退付到达以下帐户。</w:t>
            </w:r>
          </w:p>
          <w:p w14:paraId="5B75B663">
            <w:pPr>
              <w:spacing w:line="400" w:lineRule="exact"/>
              <w:ind w:firstLine="705"/>
              <w:rPr>
                <w:color w:val="auto"/>
                <w:sz w:val="24"/>
              </w:rPr>
            </w:pPr>
            <w:r>
              <w:rPr>
                <w:rFonts w:hint="eastAsia"/>
                <w:color w:val="auto"/>
                <w:sz w:val="24"/>
              </w:rPr>
              <w:t>单位名称：</w:t>
            </w:r>
          </w:p>
          <w:p w14:paraId="74A40E77">
            <w:pPr>
              <w:spacing w:line="400" w:lineRule="exact"/>
              <w:ind w:firstLine="705"/>
              <w:rPr>
                <w:color w:val="auto"/>
                <w:sz w:val="24"/>
              </w:rPr>
            </w:pPr>
            <w:r>
              <w:rPr>
                <w:rFonts w:hint="eastAsia"/>
                <w:color w:val="auto"/>
                <w:sz w:val="24"/>
              </w:rPr>
              <w:t>开户银行：</w:t>
            </w:r>
          </w:p>
          <w:p w14:paraId="44BD0FD4">
            <w:pPr>
              <w:spacing w:line="400" w:lineRule="exact"/>
              <w:ind w:firstLine="705"/>
              <w:rPr>
                <w:color w:val="auto"/>
                <w:sz w:val="24"/>
              </w:rPr>
            </w:pPr>
            <w:r>
              <w:rPr>
                <w:rFonts w:hint="eastAsia"/>
                <w:color w:val="auto"/>
                <w:sz w:val="24"/>
              </w:rPr>
              <w:t>帐号：</w:t>
            </w:r>
          </w:p>
          <w:p w14:paraId="2AA57E4E">
            <w:pPr>
              <w:spacing w:line="400" w:lineRule="exact"/>
              <w:rPr>
                <w:color w:val="auto"/>
                <w:sz w:val="24"/>
              </w:rPr>
            </w:pPr>
            <w:r>
              <w:rPr>
                <w:rFonts w:hint="eastAsia"/>
                <w:color w:val="auto"/>
                <w:sz w:val="24"/>
              </w:rPr>
              <w:t>联系人及电话：</w:t>
            </w:r>
          </w:p>
          <w:p w14:paraId="65ED10A6">
            <w:pPr>
              <w:spacing w:line="400" w:lineRule="exact"/>
              <w:rPr>
                <w:color w:val="auto"/>
                <w:sz w:val="24"/>
              </w:rPr>
            </w:pPr>
          </w:p>
          <w:p w14:paraId="45EA6167">
            <w:pPr>
              <w:spacing w:line="520" w:lineRule="exact"/>
              <w:jc w:val="center"/>
              <w:rPr>
                <w:color w:val="auto"/>
                <w:sz w:val="24"/>
              </w:rPr>
            </w:pPr>
            <w:r>
              <w:rPr>
                <w:rFonts w:hint="eastAsia"/>
                <w:color w:val="auto"/>
                <w:sz w:val="24"/>
              </w:rPr>
              <w:t>供应商签章：</w:t>
            </w:r>
          </w:p>
          <w:p w14:paraId="554DEE0C">
            <w:pPr>
              <w:spacing w:line="520" w:lineRule="exact"/>
              <w:jc w:val="center"/>
              <w:rPr>
                <w:color w:val="auto"/>
                <w:sz w:val="24"/>
              </w:rPr>
            </w:pPr>
            <w:r>
              <w:rPr>
                <w:rFonts w:hint="eastAsia"/>
                <w:color w:val="auto"/>
                <w:sz w:val="24"/>
              </w:rPr>
              <w:t>年月日</w:t>
            </w:r>
          </w:p>
        </w:tc>
      </w:tr>
      <w:tr w14:paraId="2427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jc w:val="center"/>
        </w:trPr>
        <w:tc>
          <w:tcPr>
            <w:tcW w:w="1008" w:type="dxa"/>
            <w:vAlign w:val="center"/>
          </w:tcPr>
          <w:p w14:paraId="06F6B17A">
            <w:pPr>
              <w:jc w:val="center"/>
              <w:rPr>
                <w:color w:val="auto"/>
                <w:sz w:val="24"/>
              </w:rPr>
            </w:pPr>
            <w:r>
              <w:rPr>
                <w:rFonts w:hint="eastAsia"/>
                <w:color w:val="auto"/>
                <w:sz w:val="24"/>
              </w:rPr>
              <w:t>采</w:t>
            </w:r>
          </w:p>
          <w:p w14:paraId="281AD6D9">
            <w:pPr>
              <w:jc w:val="center"/>
              <w:rPr>
                <w:color w:val="auto"/>
                <w:sz w:val="24"/>
              </w:rPr>
            </w:pPr>
            <w:r>
              <w:rPr>
                <w:rFonts w:hint="eastAsia"/>
                <w:color w:val="auto"/>
                <w:sz w:val="24"/>
              </w:rPr>
              <w:t>购</w:t>
            </w:r>
          </w:p>
          <w:p w14:paraId="33F7988C">
            <w:pPr>
              <w:jc w:val="center"/>
              <w:rPr>
                <w:color w:val="auto"/>
                <w:sz w:val="24"/>
              </w:rPr>
            </w:pPr>
            <w:r>
              <w:rPr>
                <w:rFonts w:hint="eastAsia"/>
                <w:color w:val="auto"/>
                <w:sz w:val="24"/>
              </w:rPr>
              <w:t>人</w:t>
            </w:r>
          </w:p>
          <w:p w14:paraId="78923A04">
            <w:pPr>
              <w:jc w:val="center"/>
              <w:rPr>
                <w:color w:val="auto"/>
                <w:sz w:val="24"/>
              </w:rPr>
            </w:pPr>
            <w:r>
              <w:rPr>
                <w:rFonts w:hint="eastAsia"/>
                <w:color w:val="auto"/>
                <w:sz w:val="24"/>
              </w:rPr>
              <w:t>意</w:t>
            </w:r>
          </w:p>
          <w:p w14:paraId="414C273D">
            <w:pPr>
              <w:jc w:val="center"/>
              <w:rPr>
                <w:color w:val="auto"/>
                <w:sz w:val="24"/>
              </w:rPr>
            </w:pPr>
            <w:r>
              <w:rPr>
                <w:rFonts w:hint="eastAsia"/>
                <w:color w:val="auto"/>
                <w:sz w:val="24"/>
              </w:rPr>
              <w:t>见</w:t>
            </w:r>
          </w:p>
        </w:tc>
        <w:tc>
          <w:tcPr>
            <w:tcW w:w="8456" w:type="dxa"/>
          </w:tcPr>
          <w:p w14:paraId="18E09AC2">
            <w:pPr>
              <w:rPr>
                <w:color w:val="auto"/>
                <w:sz w:val="24"/>
              </w:rPr>
            </w:pPr>
          </w:p>
          <w:p w14:paraId="7EFC2790">
            <w:pPr>
              <w:rPr>
                <w:color w:val="auto"/>
                <w:sz w:val="24"/>
              </w:rPr>
            </w:pPr>
            <w:r>
              <w:rPr>
                <w:rFonts w:hint="eastAsia"/>
                <w:color w:val="auto"/>
                <w:sz w:val="24"/>
              </w:rPr>
              <w:t>退付意见：（是否同意退付履约保证金及退付金额）</w:t>
            </w:r>
          </w:p>
          <w:p w14:paraId="6434DDAC">
            <w:pPr>
              <w:rPr>
                <w:color w:val="auto"/>
                <w:sz w:val="24"/>
              </w:rPr>
            </w:pPr>
          </w:p>
          <w:p w14:paraId="44D2B4BC">
            <w:pPr>
              <w:rPr>
                <w:color w:val="auto"/>
                <w:sz w:val="24"/>
              </w:rPr>
            </w:pPr>
          </w:p>
          <w:p w14:paraId="4F76A7D5">
            <w:pPr>
              <w:rPr>
                <w:color w:val="auto"/>
                <w:sz w:val="24"/>
              </w:rPr>
            </w:pPr>
          </w:p>
          <w:p w14:paraId="4A52ACB4">
            <w:pPr>
              <w:rPr>
                <w:color w:val="auto"/>
                <w:sz w:val="24"/>
              </w:rPr>
            </w:pPr>
          </w:p>
          <w:p w14:paraId="5F2465E3">
            <w:pPr>
              <w:rPr>
                <w:color w:val="auto"/>
                <w:sz w:val="24"/>
              </w:rPr>
            </w:pPr>
          </w:p>
          <w:p w14:paraId="6112C26F">
            <w:pPr>
              <w:spacing w:line="520" w:lineRule="exact"/>
              <w:rPr>
                <w:color w:val="auto"/>
                <w:sz w:val="24"/>
              </w:rPr>
            </w:pPr>
            <w:r>
              <w:rPr>
                <w:rFonts w:hint="eastAsia"/>
                <w:color w:val="auto"/>
                <w:sz w:val="24"/>
              </w:rPr>
              <w:t>联系人及电话：采购人签章</w:t>
            </w:r>
          </w:p>
          <w:p w14:paraId="11B2584B">
            <w:pPr>
              <w:spacing w:line="520" w:lineRule="exact"/>
              <w:jc w:val="center"/>
              <w:rPr>
                <w:color w:val="auto"/>
                <w:sz w:val="24"/>
              </w:rPr>
            </w:pPr>
            <w:r>
              <w:rPr>
                <w:rFonts w:hint="eastAsia"/>
                <w:color w:val="auto"/>
                <w:sz w:val="24"/>
              </w:rPr>
              <w:t>年月日</w:t>
            </w:r>
          </w:p>
          <w:p w14:paraId="43A5F2F1">
            <w:pPr>
              <w:spacing w:line="520" w:lineRule="exact"/>
              <w:jc w:val="center"/>
              <w:rPr>
                <w:color w:val="auto"/>
                <w:sz w:val="24"/>
              </w:rPr>
            </w:pPr>
          </w:p>
        </w:tc>
      </w:tr>
    </w:tbl>
    <w:p w14:paraId="2C288414">
      <w:pPr>
        <w:snapToGrid w:val="0"/>
        <w:spacing w:before="120" w:after="120"/>
        <w:rPr>
          <w:rFonts w:ascii="宋体" w:hAnsi="宋体"/>
          <w:kern w:val="0"/>
          <w:szCs w:val="21"/>
        </w:rPr>
      </w:pPr>
      <w:r>
        <w:rPr>
          <w:rFonts w:hint="eastAsia" w:ascii="宋体" w:hAnsi="Courier New"/>
          <w:b/>
          <w:bCs/>
          <w:kern w:val="0"/>
          <w:szCs w:val="21"/>
        </w:rPr>
        <w:t>注：供应商凭经采购人审批的退付意见书到保证金收取单位办理履约保证金退付事宜。</w:t>
      </w:r>
    </w:p>
    <w:p w14:paraId="664FF5BF">
      <w:pPr>
        <w:snapToGrid w:val="0"/>
        <w:spacing w:line="360" w:lineRule="auto"/>
        <w:rPr>
          <w:rFonts w:ascii="宋体" w:hAnsi="宋体" w:cs="宋体"/>
          <w:b/>
          <w:szCs w:val="21"/>
        </w:rPr>
      </w:pPr>
    </w:p>
    <w:p w14:paraId="7C9E79DA">
      <w:pPr>
        <w:snapToGrid w:val="0"/>
        <w:spacing w:line="360" w:lineRule="auto"/>
        <w:rPr>
          <w:rFonts w:ascii="宋体" w:hAnsi="宋体" w:cs="宋体"/>
          <w:b/>
          <w:szCs w:val="21"/>
          <w:highlight w:val="none"/>
        </w:rPr>
      </w:pPr>
    </w:p>
    <w:sectPr>
      <w:footerReference r:id="rId8" w:type="first"/>
      <w:headerReference r:id="rId6" w:type="default"/>
      <w:footerReference r:id="rId7" w:type="default"/>
      <w:pgSz w:w="11906" w:h="16838"/>
      <w:pgMar w:top="1440" w:right="1440" w:bottom="1440"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altName w:val="微软雅黑"/>
    <w:panose1 w:val="00000000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E7172">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CE186">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0CCE186">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2011C">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9B876">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E59B876">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DFEE2">
    <w:pPr>
      <w:pStyle w:val="23"/>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2A05BE">
                          <w:pPr>
                            <w:pStyle w:val="23"/>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513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yCxWB2AEAALUDAAAOAAAAAAAAAAEAIAAA&#10;AB4BAABkcnMvZTJvRG9jLnhtbFBLBQYAAAAABgAGAFkBAABoBQAAAAA=&#10;">
              <v:fill on="f" focussize="0,0"/>
              <v:stroke on="f"/>
              <v:imagedata o:title=""/>
              <o:lock v:ext="edit" aspectratio="f"/>
              <v:textbox inset="0mm,0mm,0mm,0mm" style="mso-fit-shape-to-text:t;">
                <w:txbxContent>
                  <w:p w14:paraId="182A05BE">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5FCF8">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312457">
                          <w:pPr>
                            <w:pStyle w:val="23"/>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513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BGeMCraAQAAtQMAAA4AAAAAAAAAAQAg&#10;AAAAHgEAAGRycy9lMm9Eb2MueG1sUEsFBgAAAAAGAAYAWQEAAGoFAAAAAA==&#10;">
              <v:fill on="f" focussize="0,0"/>
              <v:stroke on="f"/>
              <v:imagedata o:title=""/>
              <o:lock v:ext="edit" aspectratio="f"/>
              <v:textbox inset="0mm,0mm,0mm,0mm" style="mso-fit-shape-to-text:t;">
                <w:txbxContent>
                  <w:p w14:paraId="27312457">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2B889">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6FCE9">
    <w:pPr>
      <w:pStyle w:val="24"/>
      <w:pBdr>
        <w:bottom w:val="none" w:color="auto" w:sz="0" w:space="1"/>
      </w:pBdr>
    </w:pPr>
    <w:bookmarkStart w:id="68" w:name="PO_header"/>
    <w:bookmarkEnd w:id="6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EFB6C"/>
    <w:multiLevelType w:val="singleLevel"/>
    <w:tmpl w:val="EACEFB6C"/>
    <w:lvl w:ilvl="0" w:tentative="0">
      <w:start w:val="1"/>
      <w:numFmt w:val="decimal"/>
      <w:lvlText w:val="%1."/>
      <w:lvlJc w:val="left"/>
      <w:pPr>
        <w:tabs>
          <w:tab w:val="left" w:pos="0"/>
        </w:tabs>
        <w:ind w:left="0" w:firstLine="0"/>
      </w:pPr>
      <w:rPr>
        <w:rFonts w:hint="default"/>
      </w:rPr>
    </w:lvl>
  </w:abstractNum>
  <w:abstractNum w:abstractNumId="1">
    <w:nsid w:val="1F074B5B"/>
    <w:multiLevelType w:val="singleLevel"/>
    <w:tmpl w:val="1F074B5B"/>
    <w:lvl w:ilvl="0" w:tentative="0">
      <w:start w:val="2"/>
      <w:numFmt w:val="decimal"/>
      <w:suff w:val="nothing"/>
      <w:lvlText w:val="%1、"/>
      <w:lvlJc w:val="left"/>
    </w:lvl>
  </w:abstractNum>
  <w:abstractNum w:abstractNumId="2">
    <w:nsid w:val="79242810"/>
    <w:multiLevelType w:val="singleLevel"/>
    <w:tmpl w:val="79242810"/>
    <w:lvl w:ilvl="0" w:tentative="0">
      <w:start w:val="1"/>
      <w:numFmt w:val="decimal"/>
      <w:lvlText w:val="%1."/>
      <w:lvlJc w:val="left"/>
      <w:pPr>
        <w:tabs>
          <w:tab w:val="left" w:pos="0"/>
        </w:tabs>
        <w:ind w:left="0" w:firstLine="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ZmFjZjZkZjQ5MTA1ZTRmMmJkMDM4OGQ1ZDI1YTMifQ=="/>
  </w:docVars>
  <w:rsids>
    <w:rsidRoot w:val="00F34B14"/>
    <w:rsid w:val="00000672"/>
    <w:rsid w:val="00001013"/>
    <w:rsid w:val="00001799"/>
    <w:rsid w:val="00001AF2"/>
    <w:rsid w:val="00001ECA"/>
    <w:rsid w:val="00002D29"/>
    <w:rsid w:val="00003B93"/>
    <w:rsid w:val="0000474D"/>
    <w:rsid w:val="00005FDF"/>
    <w:rsid w:val="000070B3"/>
    <w:rsid w:val="000076B8"/>
    <w:rsid w:val="000109DC"/>
    <w:rsid w:val="00010D39"/>
    <w:rsid w:val="0001172C"/>
    <w:rsid w:val="00012854"/>
    <w:rsid w:val="00012EA6"/>
    <w:rsid w:val="000139CF"/>
    <w:rsid w:val="00013AA4"/>
    <w:rsid w:val="00013DFE"/>
    <w:rsid w:val="000141EA"/>
    <w:rsid w:val="00016ABC"/>
    <w:rsid w:val="000177DB"/>
    <w:rsid w:val="000179C9"/>
    <w:rsid w:val="00017CCC"/>
    <w:rsid w:val="00020227"/>
    <w:rsid w:val="00020455"/>
    <w:rsid w:val="00020813"/>
    <w:rsid w:val="000220B2"/>
    <w:rsid w:val="0002264C"/>
    <w:rsid w:val="00022731"/>
    <w:rsid w:val="00022792"/>
    <w:rsid w:val="00024463"/>
    <w:rsid w:val="00025461"/>
    <w:rsid w:val="00025636"/>
    <w:rsid w:val="00025E36"/>
    <w:rsid w:val="00026855"/>
    <w:rsid w:val="00026886"/>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560F"/>
    <w:rsid w:val="0009588E"/>
    <w:rsid w:val="000959EE"/>
    <w:rsid w:val="00097183"/>
    <w:rsid w:val="000972CB"/>
    <w:rsid w:val="00097608"/>
    <w:rsid w:val="000A13F3"/>
    <w:rsid w:val="000A23B1"/>
    <w:rsid w:val="000A2B0E"/>
    <w:rsid w:val="000A398F"/>
    <w:rsid w:val="000A448C"/>
    <w:rsid w:val="000A509C"/>
    <w:rsid w:val="000A6007"/>
    <w:rsid w:val="000A65A6"/>
    <w:rsid w:val="000A70E3"/>
    <w:rsid w:val="000A7275"/>
    <w:rsid w:val="000A7A12"/>
    <w:rsid w:val="000A7A72"/>
    <w:rsid w:val="000B1202"/>
    <w:rsid w:val="000B1801"/>
    <w:rsid w:val="000B1D0C"/>
    <w:rsid w:val="000B2273"/>
    <w:rsid w:val="000B2BC6"/>
    <w:rsid w:val="000B2D03"/>
    <w:rsid w:val="000B3815"/>
    <w:rsid w:val="000B3C7B"/>
    <w:rsid w:val="000B6A6B"/>
    <w:rsid w:val="000B6C95"/>
    <w:rsid w:val="000B79FC"/>
    <w:rsid w:val="000C1679"/>
    <w:rsid w:val="000C1EE3"/>
    <w:rsid w:val="000C3AE7"/>
    <w:rsid w:val="000C3CC9"/>
    <w:rsid w:val="000C6DE4"/>
    <w:rsid w:val="000C7202"/>
    <w:rsid w:val="000D0A89"/>
    <w:rsid w:val="000D1389"/>
    <w:rsid w:val="000D1798"/>
    <w:rsid w:val="000D2626"/>
    <w:rsid w:val="000D411D"/>
    <w:rsid w:val="000D4589"/>
    <w:rsid w:val="000D73DD"/>
    <w:rsid w:val="000E1C51"/>
    <w:rsid w:val="000E28AB"/>
    <w:rsid w:val="000E2E3E"/>
    <w:rsid w:val="000E3583"/>
    <w:rsid w:val="000E3AF0"/>
    <w:rsid w:val="000E4E04"/>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30217"/>
    <w:rsid w:val="00130783"/>
    <w:rsid w:val="00130A47"/>
    <w:rsid w:val="00132B47"/>
    <w:rsid w:val="001337F8"/>
    <w:rsid w:val="001348B4"/>
    <w:rsid w:val="001351CB"/>
    <w:rsid w:val="00135530"/>
    <w:rsid w:val="00135947"/>
    <w:rsid w:val="001359A2"/>
    <w:rsid w:val="00136020"/>
    <w:rsid w:val="00136445"/>
    <w:rsid w:val="00140132"/>
    <w:rsid w:val="00141C9C"/>
    <w:rsid w:val="0014277F"/>
    <w:rsid w:val="001434BE"/>
    <w:rsid w:val="00144050"/>
    <w:rsid w:val="0014479F"/>
    <w:rsid w:val="001452B4"/>
    <w:rsid w:val="00145320"/>
    <w:rsid w:val="001476D3"/>
    <w:rsid w:val="001509CF"/>
    <w:rsid w:val="00150D1D"/>
    <w:rsid w:val="00151D6C"/>
    <w:rsid w:val="001525AA"/>
    <w:rsid w:val="00152A87"/>
    <w:rsid w:val="00153BB5"/>
    <w:rsid w:val="00154518"/>
    <w:rsid w:val="00156359"/>
    <w:rsid w:val="00156DD6"/>
    <w:rsid w:val="0016086E"/>
    <w:rsid w:val="00160D0C"/>
    <w:rsid w:val="00161172"/>
    <w:rsid w:val="00161998"/>
    <w:rsid w:val="00161E65"/>
    <w:rsid w:val="00162597"/>
    <w:rsid w:val="001629AF"/>
    <w:rsid w:val="001629FD"/>
    <w:rsid w:val="0016428A"/>
    <w:rsid w:val="001647C9"/>
    <w:rsid w:val="00165627"/>
    <w:rsid w:val="001661A3"/>
    <w:rsid w:val="00167226"/>
    <w:rsid w:val="0016782B"/>
    <w:rsid w:val="0016784D"/>
    <w:rsid w:val="00173256"/>
    <w:rsid w:val="00173B0E"/>
    <w:rsid w:val="00173E03"/>
    <w:rsid w:val="0017512C"/>
    <w:rsid w:val="0017586A"/>
    <w:rsid w:val="00175BA6"/>
    <w:rsid w:val="00176CA7"/>
    <w:rsid w:val="00176F8E"/>
    <w:rsid w:val="001778C5"/>
    <w:rsid w:val="00177E56"/>
    <w:rsid w:val="00177F0A"/>
    <w:rsid w:val="00180DA0"/>
    <w:rsid w:val="00181EAD"/>
    <w:rsid w:val="00182862"/>
    <w:rsid w:val="00184F57"/>
    <w:rsid w:val="00185544"/>
    <w:rsid w:val="00185617"/>
    <w:rsid w:val="00187A14"/>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B27"/>
    <w:rsid w:val="001A6D8B"/>
    <w:rsid w:val="001A6DAA"/>
    <w:rsid w:val="001A7717"/>
    <w:rsid w:val="001A793A"/>
    <w:rsid w:val="001B125A"/>
    <w:rsid w:val="001B1EBA"/>
    <w:rsid w:val="001B2142"/>
    <w:rsid w:val="001B2F2B"/>
    <w:rsid w:val="001B327A"/>
    <w:rsid w:val="001B35DE"/>
    <w:rsid w:val="001B3A13"/>
    <w:rsid w:val="001B59FF"/>
    <w:rsid w:val="001B6512"/>
    <w:rsid w:val="001B65D7"/>
    <w:rsid w:val="001B6752"/>
    <w:rsid w:val="001B6768"/>
    <w:rsid w:val="001B6F1F"/>
    <w:rsid w:val="001B7ECC"/>
    <w:rsid w:val="001C025B"/>
    <w:rsid w:val="001C115F"/>
    <w:rsid w:val="001C25A7"/>
    <w:rsid w:val="001C318C"/>
    <w:rsid w:val="001C35C4"/>
    <w:rsid w:val="001C4287"/>
    <w:rsid w:val="001C4479"/>
    <w:rsid w:val="001C5190"/>
    <w:rsid w:val="001C6081"/>
    <w:rsid w:val="001C7B48"/>
    <w:rsid w:val="001D0CFB"/>
    <w:rsid w:val="001D1A0D"/>
    <w:rsid w:val="001D343C"/>
    <w:rsid w:val="001D58A1"/>
    <w:rsid w:val="001D58C2"/>
    <w:rsid w:val="001D5A8A"/>
    <w:rsid w:val="001D735E"/>
    <w:rsid w:val="001D73C8"/>
    <w:rsid w:val="001D7BC6"/>
    <w:rsid w:val="001E129E"/>
    <w:rsid w:val="001E175C"/>
    <w:rsid w:val="001E1B0E"/>
    <w:rsid w:val="001E5A94"/>
    <w:rsid w:val="001F2A2E"/>
    <w:rsid w:val="001F3356"/>
    <w:rsid w:val="001F3C63"/>
    <w:rsid w:val="001F4460"/>
    <w:rsid w:val="001F711A"/>
    <w:rsid w:val="001F75B0"/>
    <w:rsid w:val="00200CE5"/>
    <w:rsid w:val="00200F7C"/>
    <w:rsid w:val="002014DB"/>
    <w:rsid w:val="00201E12"/>
    <w:rsid w:val="002033B5"/>
    <w:rsid w:val="0020382C"/>
    <w:rsid w:val="0020437A"/>
    <w:rsid w:val="0020454C"/>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5587"/>
    <w:rsid w:val="00245F2B"/>
    <w:rsid w:val="00247F3A"/>
    <w:rsid w:val="00250122"/>
    <w:rsid w:val="00250755"/>
    <w:rsid w:val="00251043"/>
    <w:rsid w:val="00251C4A"/>
    <w:rsid w:val="0025271C"/>
    <w:rsid w:val="002533CD"/>
    <w:rsid w:val="00254EAB"/>
    <w:rsid w:val="002557AF"/>
    <w:rsid w:val="0025589C"/>
    <w:rsid w:val="00255B62"/>
    <w:rsid w:val="002566B1"/>
    <w:rsid w:val="002575E3"/>
    <w:rsid w:val="00257A74"/>
    <w:rsid w:val="002603C1"/>
    <w:rsid w:val="002609A1"/>
    <w:rsid w:val="002612B1"/>
    <w:rsid w:val="00266165"/>
    <w:rsid w:val="00266F2C"/>
    <w:rsid w:val="0027125E"/>
    <w:rsid w:val="00271767"/>
    <w:rsid w:val="00272293"/>
    <w:rsid w:val="002723C8"/>
    <w:rsid w:val="00273C2A"/>
    <w:rsid w:val="00273CBE"/>
    <w:rsid w:val="002746B1"/>
    <w:rsid w:val="0027556D"/>
    <w:rsid w:val="00282D56"/>
    <w:rsid w:val="002835B0"/>
    <w:rsid w:val="00283C74"/>
    <w:rsid w:val="0028407E"/>
    <w:rsid w:val="0028410F"/>
    <w:rsid w:val="00284572"/>
    <w:rsid w:val="00285221"/>
    <w:rsid w:val="00286FB5"/>
    <w:rsid w:val="00287763"/>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60BB"/>
    <w:rsid w:val="002C661A"/>
    <w:rsid w:val="002D0D6F"/>
    <w:rsid w:val="002D25FC"/>
    <w:rsid w:val="002D4AC6"/>
    <w:rsid w:val="002D5BF5"/>
    <w:rsid w:val="002D5EE8"/>
    <w:rsid w:val="002D7360"/>
    <w:rsid w:val="002D7648"/>
    <w:rsid w:val="002E109C"/>
    <w:rsid w:val="002E193E"/>
    <w:rsid w:val="002E1A94"/>
    <w:rsid w:val="002E1D55"/>
    <w:rsid w:val="002E26C4"/>
    <w:rsid w:val="002E30A5"/>
    <w:rsid w:val="002E47E4"/>
    <w:rsid w:val="002E4BF9"/>
    <w:rsid w:val="002E4D61"/>
    <w:rsid w:val="002E6E6C"/>
    <w:rsid w:val="002F0522"/>
    <w:rsid w:val="002F16DD"/>
    <w:rsid w:val="002F199D"/>
    <w:rsid w:val="002F213C"/>
    <w:rsid w:val="002F2453"/>
    <w:rsid w:val="002F352D"/>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1A47"/>
    <w:rsid w:val="00312504"/>
    <w:rsid w:val="00313026"/>
    <w:rsid w:val="00313913"/>
    <w:rsid w:val="0031421F"/>
    <w:rsid w:val="00314B31"/>
    <w:rsid w:val="00315A65"/>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E6C"/>
    <w:rsid w:val="003518A6"/>
    <w:rsid w:val="00351E7F"/>
    <w:rsid w:val="00352953"/>
    <w:rsid w:val="00354062"/>
    <w:rsid w:val="0035459E"/>
    <w:rsid w:val="00355C0D"/>
    <w:rsid w:val="003566A9"/>
    <w:rsid w:val="00356988"/>
    <w:rsid w:val="00356CE9"/>
    <w:rsid w:val="003570BB"/>
    <w:rsid w:val="00357128"/>
    <w:rsid w:val="0035755E"/>
    <w:rsid w:val="00357A80"/>
    <w:rsid w:val="00361441"/>
    <w:rsid w:val="00361B8B"/>
    <w:rsid w:val="00363F39"/>
    <w:rsid w:val="0036445C"/>
    <w:rsid w:val="00364627"/>
    <w:rsid w:val="00364AB0"/>
    <w:rsid w:val="003667B0"/>
    <w:rsid w:val="003667DD"/>
    <w:rsid w:val="00366B48"/>
    <w:rsid w:val="00367764"/>
    <w:rsid w:val="00370316"/>
    <w:rsid w:val="00370DC7"/>
    <w:rsid w:val="00371CBD"/>
    <w:rsid w:val="00371F20"/>
    <w:rsid w:val="00372B98"/>
    <w:rsid w:val="003737B7"/>
    <w:rsid w:val="003740CC"/>
    <w:rsid w:val="003745F4"/>
    <w:rsid w:val="00374E79"/>
    <w:rsid w:val="0037529A"/>
    <w:rsid w:val="00375388"/>
    <w:rsid w:val="00375FB9"/>
    <w:rsid w:val="00376851"/>
    <w:rsid w:val="00376FA2"/>
    <w:rsid w:val="00377A3B"/>
    <w:rsid w:val="00377E3C"/>
    <w:rsid w:val="00380BBE"/>
    <w:rsid w:val="00381D70"/>
    <w:rsid w:val="0038235E"/>
    <w:rsid w:val="003829D0"/>
    <w:rsid w:val="0038444F"/>
    <w:rsid w:val="00384B9C"/>
    <w:rsid w:val="003861F0"/>
    <w:rsid w:val="00387051"/>
    <w:rsid w:val="00387ECF"/>
    <w:rsid w:val="0039021B"/>
    <w:rsid w:val="00390429"/>
    <w:rsid w:val="0039366C"/>
    <w:rsid w:val="00393EC8"/>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7EF8"/>
    <w:rsid w:val="00472429"/>
    <w:rsid w:val="004725E5"/>
    <w:rsid w:val="00472751"/>
    <w:rsid w:val="00473128"/>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A9C"/>
    <w:rsid w:val="00486D60"/>
    <w:rsid w:val="00491FA1"/>
    <w:rsid w:val="00492A25"/>
    <w:rsid w:val="004938A3"/>
    <w:rsid w:val="0049558B"/>
    <w:rsid w:val="00496350"/>
    <w:rsid w:val="0049797C"/>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0638A"/>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757"/>
    <w:rsid w:val="00573733"/>
    <w:rsid w:val="00573F8B"/>
    <w:rsid w:val="00574554"/>
    <w:rsid w:val="00574E06"/>
    <w:rsid w:val="005751BB"/>
    <w:rsid w:val="00576089"/>
    <w:rsid w:val="005764B1"/>
    <w:rsid w:val="00576852"/>
    <w:rsid w:val="00576D06"/>
    <w:rsid w:val="005779E4"/>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B07EC"/>
    <w:rsid w:val="005B2B11"/>
    <w:rsid w:val="005B32A4"/>
    <w:rsid w:val="005B338D"/>
    <w:rsid w:val="005B3BAF"/>
    <w:rsid w:val="005B4DA3"/>
    <w:rsid w:val="005B5BEE"/>
    <w:rsid w:val="005B77D2"/>
    <w:rsid w:val="005C019B"/>
    <w:rsid w:val="005C1AED"/>
    <w:rsid w:val="005C30F5"/>
    <w:rsid w:val="005C51A5"/>
    <w:rsid w:val="005C557A"/>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0FD4"/>
    <w:rsid w:val="005F1516"/>
    <w:rsid w:val="005F229E"/>
    <w:rsid w:val="005F2564"/>
    <w:rsid w:val="005F3822"/>
    <w:rsid w:val="005F4635"/>
    <w:rsid w:val="005F4900"/>
    <w:rsid w:val="005F4E52"/>
    <w:rsid w:val="005F6D58"/>
    <w:rsid w:val="005F7383"/>
    <w:rsid w:val="0060058E"/>
    <w:rsid w:val="00602A3C"/>
    <w:rsid w:val="00603EFD"/>
    <w:rsid w:val="0060475B"/>
    <w:rsid w:val="00604FB6"/>
    <w:rsid w:val="00605387"/>
    <w:rsid w:val="00606302"/>
    <w:rsid w:val="006076FD"/>
    <w:rsid w:val="0061143F"/>
    <w:rsid w:val="006114D8"/>
    <w:rsid w:val="00613553"/>
    <w:rsid w:val="00613601"/>
    <w:rsid w:val="00613791"/>
    <w:rsid w:val="006150D6"/>
    <w:rsid w:val="00615245"/>
    <w:rsid w:val="0061590D"/>
    <w:rsid w:val="00617EEE"/>
    <w:rsid w:val="00620A1F"/>
    <w:rsid w:val="0062169D"/>
    <w:rsid w:val="0062181E"/>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3AB"/>
    <w:rsid w:val="00672CA5"/>
    <w:rsid w:val="00673711"/>
    <w:rsid w:val="00673F82"/>
    <w:rsid w:val="00674F74"/>
    <w:rsid w:val="0067508F"/>
    <w:rsid w:val="00677576"/>
    <w:rsid w:val="00677F8A"/>
    <w:rsid w:val="0068051E"/>
    <w:rsid w:val="00680B9D"/>
    <w:rsid w:val="00681F13"/>
    <w:rsid w:val="0068231C"/>
    <w:rsid w:val="00682344"/>
    <w:rsid w:val="00682F28"/>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B6C"/>
    <w:rsid w:val="006942AE"/>
    <w:rsid w:val="00695421"/>
    <w:rsid w:val="00697BD3"/>
    <w:rsid w:val="00697DFA"/>
    <w:rsid w:val="006A16D5"/>
    <w:rsid w:val="006A1772"/>
    <w:rsid w:val="006A1780"/>
    <w:rsid w:val="006A21DD"/>
    <w:rsid w:val="006A26C6"/>
    <w:rsid w:val="006A3B28"/>
    <w:rsid w:val="006A4FEE"/>
    <w:rsid w:val="006A703E"/>
    <w:rsid w:val="006A7BE3"/>
    <w:rsid w:val="006A7D32"/>
    <w:rsid w:val="006B01D1"/>
    <w:rsid w:val="006B16EA"/>
    <w:rsid w:val="006B1780"/>
    <w:rsid w:val="006B224E"/>
    <w:rsid w:val="006B376E"/>
    <w:rsid w:val="006B4589"/>
    <w:rsid w:val="006B610E"/>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31"/>
    <w:rsid w:val="006F3DE3"/>
    <w:rsid w:val="006F4787"/>
    <w:rsid w:val="006F61D8"/>
    <w:rsid w:val="006F62B7"/>
    <w:rsid w:val="006F70BC"/>
    <w:rsid w:val="006F7E7C"/>
    <w:rsid w:val="0070174E"/>
    <w:rsid w:val="007018DB"/>
    <w:rsid w:val="00701DE6"/>
    <w:rsid w:val="0070381B"/>
    <w:rsid w:val="0070796C"/>
    <w:rsid w:val="00710EBF"/>
    <w:rsid w:val="007110B8"/>
    <w:rsid w:val="0071209F"/>
    <w:rsid w:val="007125A2"/>
    <w:rsid w:val="00713F79"/>
    <w:rsid w:val="007148A8"/>
    <w:rsid w:val="00716AC8"/>
    <w:rsid w:val="00716E54"/>
    <w:rsid w:val="0072033C"/>
    <w:rsid w:val="00720B1B"/>
    <w:rsid w:val="00721062"/>
    <w:rsid w:val="00721E5D"/>
    <w:rsid w:val="007229D4"/>
    <w:rsid w:val="007230F8"/>
    <w:rsid w:val="007233F4"/>
    <w:rsid w:val="00724044"/>
    <w:rsid w:val="00724417"/>
    <w:rsid w:val="007248D3"/>
    <w:rsid w:val="00725137"/>
    <w:rsid w:val="00725378"/>
    <w:rsid w:val="00727A43"/>
    <w:rsid w:val="00727FF2"/>
    <w:rsid w:val="00730550"/>
    <w:rsid w:val="00731434"/>
    <w:rsid w:val="00731E59"/>
    <w:rsid w:val="007323E0"/>
    <w:rsid w:val="00732911"/>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B32"/>
    <w:rsid w:val="0078051E"/>
    <w:rsid w:val="00781089"/>
    <w:rsid w:val="007838F3"/>
    <w:rsid w:val="007856FE"/>
    <w:rsid w:val="00785F46"/>
    <w:rsid w:val="007865F4"/>
    <w:rsid w:val="00786D5C"/>
    <w:rsid w:val="00786E96"/>
    <w:rsid w:val="00787DFF"/>
    <w:rsid w:val="00787F93"/>
    <w:rsid w:val="00791E6D"/>
    <w:rsid w:val="00791EB5"/>
    <w:rsid w:val="00793696"/>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6218"/>
    <w:rsid w:val="007C6484"/>
    <w:rsid w:val="007C67C6"/>
    <w:rsid w:val="007C78BE"/>
    <w:rsid w:val="007C7E59"/>
    <w:rsid w:val="007D0476"/>
    <w:rsid w:val="007D0B91"/>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E8E"/>
    <w:rsid w:val="00812C44"/>
    <w:rsid w:val="008135E1"/>
    <w:rsid w:val="00813779"/>
    <w:rsid w:val="00813E26"/>
    <w:rsid w:val="0081481D"/>
    <w:rsid w:val="00814BE8"/>
    <w:rsid w:val="00814F6E"/>
    <w:rsid w:val="00815B84"/>
    <w:rsid w:val="00816BE9"/>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4906"/>
    <w:rsid w:val="00836075"/>
    <w:rsid w:val="00836417"/>
    <w:rsid w:val="00837526"/>
    <w:rsid w:val="008407A7"/>
    <w:rsid w:val="0084322B"/>
    <w:rsid w:val="00843F81"/>
    <w:rsid w:val="00844087"/>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671"/>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17E8"/>
    <w:rsid w:val="008B23A8"/>
    <w:rsid w:val="008B2E7C"/>
    <w:rsid w:val="008B45F0"/>
    <w:rsid w:val="008B4A70"/>
    <w:rsid w:val="008B502F"/>
    <w:rsid w:val="008B6DFC"/>
    <w:rsid w:val="008B70B6"/>
    <w:rsid w:val="008B7227"/>
    <w:rsid w:val="008C04E0"/>
    <w:rsid w:val="008C191C"/>
    <w:rsid w:val="008C1DA4"/>
    <w:rsid w:val="008C29B0"/>
    <w:rsid w:val="008C2CD5"/>
    <w:rsid w:val="008C3618"/>
    <w:rsid w:val="008C43AD"/>
    <w:rsid w:val="008C6118"/>
    <w:rsid w:val="008C6341"/>
    <w:rsid w:val="008C731F"/>
    <w:rsid w:val="008C74D9"/>
    <w:rsid w:val="008D3B2D"/>
    <w:rsid w:val="008D58D9"/>
    <w:rsid w:val="008D5AD4"/>
    <w:rsid w:val="008D6DD5"/>
    <w:rsid w:val="008D6E59"/>
    <w:rsid w:val="008D7155"/>
    <w:rsid w:val="008E0B29"/>
    <w:rsid w:val="008E141A"/>
    <w:rsid w:val="008E1A44"/>
    <w:rsid w:val="008E28E6"/>
    <w:rsid w:val="008E3232"/>
    <w:rsid w:val="008E3674"/>
    <w:rsid w:val="008E3B6C"/>
    <w:rsid w:val="008E562C"/>
    <w:rsid w:val="008E77D4"/>
    <w:rsid w:val="008E7ADD"/>
    <w:rsid w:val="008F091F"/>
    <w:rsid w:val="008F17B2"/>
    <w:rsid w:val="008F22B3"/>
    <w:rsid w:val="008F357B"/>
    <w:rsid w:val="008F44CA"/>
    <w:rsid w:val="008F49D3"/>
    <w:rsid w:val="008F6519"/>
    <w:rsid w:val="008F7012"/>
    <w:rsid w:val="008F7ADA"/>
    <w:rsid w:val="008F7B17"/>
    <w:rsid w:val="00900042"/>
    <w:rsid w:val="0090034B"/>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ED7"/>
    <w:rsid w:val="0093422D"/>
    <w:rsid w:val="0093483B"/>
    <w:rsid w:val="00934CF9"/>
    <w:rsid w:val="00934DD7"/>
    <w:rsid w:val="009369A9"/>
    <w:rsid w:val="00936CF7"/>
    <w:rsid w:val="00937783"/>
    <w:rsid w:val="00937EAD"/>
    <w:rsid w:val="00937F28"/>
    <w:rsid w:val="00940FE1"/>
    <w:rsid w:val="00942306"/>
    <w:rsid w:val="009424B8"/>
    <w:rsid w:val="00944668"/>
    <w:rsid w:val="00944DC6"/>
    <w:rsid w:val="009458B0"/>
    <w:rsid w:val="00945B52"/>
    <w:rsid w:val="00945B7A"/>
    <w:rsid w:val="00945F05"/>
    <w:rsid w:val="00946348"/>
    <w:rsid w:val="00947797"/>
    <w:rsid w:val="009478A2"/>
    <w:rsid w:val="009539A6"/>
    <w:rsid w:val="00954032"/>
    <w:rsid w:val="00955FBB"/>
    <w:rsid w:val="0095694B"/>
    <w:rsid w:val="00956BD5"/>
    <w:rsid w:val="00956D84"/>
    <w:rsid w:val="009577B5"/>
    <w:rsid w:val="009608E6"/>
    <w:rsid w:val="00960F57"/>
    <w:rsid w:val="00961C90"/>
    <w:rsid w:val="00965443"/>
    <w:rsid w:val="00965954"/>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7CD6"/>
    <w:rsid w:val="00980DF9"/>
    <w:rsid w:val="0098243D"/>
    <w:rsid w:val="00982D26"/>
    <w:rsid w:val="00983B6E"/>
    <w:rsid w:val="00983FE5"/>
    <w:rsid w:val="009849E9"/>
    <w:rsid w:val="009859E4"/>
    <w:rsid w:val="00987812"/>
    <w:rsid w:val="00990225"/>
    <w:rsid w:val="00992A13"/>
    <w:rsid w:val="00994AAD"/>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8AC"/>
    <w:rsid w:val="00A10CA8"/>
    <w:rsid w:val="00A11042"/>
    <w:rsid w:val="00A12579"/>
    <w:rsid w:val="00A133D8"/>
    <w:rsid w:val="00A15655"/>
    <w:rsid w:val="00A1740C"/>
    <w:rsid w:val="00A20069"/>
    <w:rsid w:val="00A2244D"/>
    <w:rsid w:val="00A2253D"/>
    <w:rsid w:val="00A247B8"/>
    <w:rsid w:val="00A2495A"/>
    <w:rsid w:val="00A24C7A"/>
    <w:rsid w:val="00A24D8F"/>
    <w:rsid w:val="00A25B8B"/>
    <w:rsid w:val="00A2689F"/>
    <w:rsid w:val="00A26ECA"/>
    <w:rsid w:val="00A27461"/>
    <w:rsid w:val="00A27D67"/>
    <w:rsid w:val="00A30ABC"/>
    <w:rsid w:val="00A33B74"/>
    <w:rsid w:val="00A3467F"/>
    <w:rsid w:val="00A34B4C"/>
    <w:rsid w:val="00A35030"/>
    <w:rsid w:val="00A3551A"/>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7ECC"/>
    <w:rsid w:val="00A50171"/>
    <w:rsid w:val="00A504FA"/>
    <w:rsid w:val="00A5102E"/>
    <w:rsid w:val="00A5132E"/>
    <w:rsid w:val="00A51375"/>
    <w:rsid w:val="00A51533"/>
    <w:rsid w:val="00A51891"/>
    <w:rsid w:val="00A531D4"/>
    <w:rsid w:val="00A54572"/>
    <w:rsid w:val="00A575B8"/>
    <w:rsid w:val="00A61C60"/>
    <w:rsid w:val="00A61ECB"/>
    <w:rsid w:val="00A6410C"/>
    <w:rsid w:val="00A647B1"/>
    <w:rsid w:val="00A64DEF"/>
    <w:rsid w:val="00A654D2"/>
    <w:rsid w:val="00A665DF"/>
    <w:rsid w:val="00A67FCC"/>
    <w:rsid w:val="00A70AA5"/>
    <w:rsid w:val="00A70C03"/>
    <w:rsid w:val="00A71256"/>
    <w:rsid w:val="00A7217B"/>
    <w:rsid w:val="00A73861"/>
    <w:rsid w:val="00A739A6"/>
    <w:rsid w:val="00A740ED"/>
    <w:rsid w:val="00A74C29"/>
    <w:rsid w:val="00A74C62"/>
    <w:rsid w:val="00A75EF9"/>
    <w:rsid w:val="00A8311C"/>
    <w:rsid w:val="00A835D0"/>
    <w:rsid w:val="00A84C5F"/>
    <w:rsid w:val="00A85930"/>
    <w:rsid w:val="00A863F7"/>
    <w:rsid w:val="00A86604"/>
    <w:rsid w:val="00A87519"/>
    <w:rsid w:val="00A9246D"/>
    <w:rsid w:val="00A93BD0"/>
    <w:rsid w:val="00A93CC2"/>
    <w:rsid w:val="00A974CC"/>
    <w:rsid w:val="00AA2001"/>
    <w:rsid w:val="00AA2B5C"/>
    <w:rsid w:val="00AA32D2"/>
    <w:rsid w:val="00AA4016"/>
    <w:rsid w:val="00AA4C1F"/>
    <w:rsid w:val="00AA5328"/>
    <w:rsid w:val="00AA5393"/>
    <w:rsid w:val="00AA63D4"/>
    <w:rsid w:val="00AB03FD"/>
    <w:rsid w:val="00AB2000"/>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69F0"/>
    <w:rsid w:val="00AD7127"/>
    <w:rsid w:val="00AD730C"/>
    <w:rsid w:val="00AE123A"/>
    <w:rsid w:val="00AE1539"/>
    <w:rsid w:val="00AE28A7"/>
    <w:rsid w:val="00AE2A98"/>
    <w:rsid w:val="00AE2CF2"/>
    <w:rsid w:val="00AE3012"/>
    <w:rsid w:val="00AE33A6"/>
    <w:rsid w:val="00AE3729"/>
    <w:rsid w:val="00AE4CCE"/>
    <w:rsid w:val="00AE5C6A"/>
    <w:rsid w:val="00AE7280"/>
    <w:rsid w:val="00AF033A"/>
    <w:rsid w:val="00AF1699"/>
    <w:rsid w:val="00AF1FD3"/>
    <w:rsid w:val="00AF2910"/>
    <w:rsid w:val="00AF34B8"/>
    <w:rsid w:val="00AF3896"/>
    <w:rsid w:val="00AF3FC2"/>
    <w:rsid w:val="00B0098A"/>
    <w:rsid w:val="00B00A5F"/>
    <w:rsid w:val="00B029B8"/>
    <w:rsid w:val="00B02F60"/>
    <w:rsid w:val="00B032B8"/>
    <w:rsid w:val="00B04721"/>
    <w:rsid w:val="00B04B15"/>
    <w:rsid w:val="00B04B46"/>
    <w:rsid w:val="00B0534D"/>
    <w:rsid w:val="00B05685"/>
    <w:rsid w:val="00B05F9F"/>
    <w:rsid w:val="00B06368"/>
    <w:rsid w:val="00B068DA"/>
    <w:rsid w:val="00B06FC6"/>
    <w:rsid w:val="00B074C9"/>
    <w:rsid w:val="00B07D9D"/>
    <w:rsid w:val="00B11AE5"/>
    <w:rsid w:val="00B12FE6"/>
    <w:rsid w:val="00B1303F"/>
    <w:rsid w:val="00B1364A"/>
    <w:rsid w:val="00B13859"/>
    <w:rsid w:val="00B14319"/>
    <w:rsid w:val="00B14A06"/>
    <w:rsid w:val="00B158E1"/>
    <w:rsid w:val="00B16715"/>
    <w:rsid w:val="00B1768E"/>
    <w:rsid w:val="00B17910"/>
    <w:rsid w:val="00B20F18"/>
    <w:rsid w:val="00B21516"/>
    <w:rsid w:val="00B21A37"/>
    <w:rsid w:val="00B21F62"/>
    <w:rsid w:val="00B22CE0"/>
    <w:rsid w:val="00B23738"/>
    <w:rsid w:val="00B23BEF"/>
    <w:rsid w:val="00B247BB"/>
    <w:rsid w:val="00B2504A"/>
    <w:rsid w:val="00B25EE6"/>
    <w:rsid w:val="00B3115A"/>
    <w:rsid w:val="00B31825"/>
    <w:rsid w:val="00B31A5C"/>
    <w:rsid w:val="00B33B06"/>
    <w:rsid w:val="00B33C19"/>
    <w:rsid w:val="00B35A15"/>
    <w:rsid w:val="00B36A99"/>
    <w:rsid w:val="00B42264"/>
    <w:rsid w:val="00B434B2"/>
    <w:rsid w:val="00B43D45"/>
    <w:rsid w:val="00B468F2"/>
    <w:rsid w:val="00B469DE"/>
    <w:rsid w:val="00B46BB9"/>
    <w:rsid w:val="00B47286"/>
    <w:rsid w:val="00B50234"/>
    <w:rsid w:val="00B51BF4"/>
    <w:rsid w:val="00B52C68"/>
    <w:rsid w:val="00B5372B"/>
    <w:rsid w:val="00B542FE"/>
    <w:rsid w:val="00B55A1B"/>
    <w:rsid w:val="00B561DB"/>
    <w:rsid w:val="00B56DF9"/>
    <w:rsid w:val="00B600BD"/>
    <w:rsid w:val="00B60331"/>
    <w:rsid w:val="00B61274"/>
    <w:rsid w:val="00B61DCE"/>
    <w:rsid w:val="00B62188"/>
    <w:rsid w:val="00B62F79"/>
    <w:rsid w:val="00B62F82"/>
    <w:rsid w:val="00B6306A"/>
    <w:rsid w:val="00B635E3"/>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21E4"/>
    <w:rsid w:val="00B823E0"/>
    <w:rsid w:val="00B8260D"/>
    <w:rsid w:val="00B82B78"/>
    <w:rsid w:val="00B845B4"/>
    <w:rsid w:val="00B84662"/>
    <w:rsid w:val="00B84C74"/>
    <w:rsid w:val="00B85191"/>
    <w:rsid w:val="00B858A1"/>
    <w:rsid w:val="00B85FEC"/>
    <w:rsid w:val="00B864A3"/>
    <w:rsid w:val="00B86C2A"/>
    <w:rsid w:val="00B902A5"/>
    <w:rsid w:val="00B90420"/>
    <w:rsid w:val="00B90848"/>
    <w:rsid w:val="00B91146"/>
    <w:rsid w:val="00B913E4"/>
    <w:rsid w:val="00B91DB9"/>
    <w:rsid w:val="00B91FF3"/>
    <w:rsid w:val="00B93EFE"/>
    <w:rsid w:val="00B93F2F"/>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2BD"/>
    <w:rsid w:val="00BF5422"/>
    <w:rsid w:val="00BF59B1"/>
    <w:rsid w:val="00BF6A78"/>
    <w:rsid w:val="00BF7695"/>
    <w:rsid w:val="00BF79B4"/>
    <w:rsid w:val="00BF7C61"/>
    <w:rsid w:val="00C01427"/>
    <w:rsid w:val="00C014C7"/>
    <w:rsid w:val="00C047AB"/>
    <w:rsid w:val="00C058AF"/>
    <w:rsid w:val="00C124C1"/>
    <w:rsid w:val="00C128AE"/>
    <w:rsid w:val="00C12BA8"/>
    <w:rsid w:val="00C136D6"/>
    <w:rsid w:val="00C13D5B"/>
    <w:rsid w:val="00C141D7"/>
    <w:rsid w:val="00C1711B"/>
    <w:rsid w:val="00C17AE2"/>
    <w:rsid w:val="00C20140"/>
    <w:rsid w:val="00C20F27"/>
    <w:rsid w:val="00C215CF"/>
    <w:rsid w:val="00C2244B"/>
    <w:rsid w:val="00C22711"/>
    <w:rsid w:val="00C2280A"/>
    <w:rsid w:val="00C22B0D"/>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5D01"/>
    <w:rsid w:val="00C360B3"/>
    <w:rsid w:val="00C37027"/>
    <w:rsid w:val="00C37B19"/>
    <w:rsid w:val="00C413CB"/>
    <w:rsid w:val="00C42752"/>
    <w:rsid w:val="00C42973"/>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B19FE"/>
    <w:rsid w:val="00CB2364"/>
    <w:rsid w:val="00CB304C"/>
    <w:rsid w:val="00CB3933"/>
    <w:rsid w:val="00CB53E8"/>
    <w:rsid w:val="00CB594A"/>
    <w:rsid w:val="00CB5CB2"/>
    <w:rsid w:val="00CB6979"/>
    <w:rsid w:val="00CB7DDE"/>
    <w:rsid w:val="00CC0A3D"/>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BE2"/>
    <w:rsid w:val="00CF3DEB"/>
    <w:rsid w:val="00CF55F9"/>
    <w:rsid w:val="00CF7074"/>
    <w:rsid w:val="00CF7495"/>
    <w:rsid w:val="00D01CF9"/>
    <w:rsid w:val="00D0334D"/>
    <w:rsid w:val="00D0374D"/>
    <w:rsid w:val="00D06D7B"/>
    <w:rsid w:val="00D06DA5"/>
    <w:rsid w:val="00D07191"/>
    <w:rsid w:val="00D07F1D"/>
    <w:rsid w:val="00D10558"/>
    <w:rsid w:val="00D11D4D"/>
    <w:rsid w:val="00D126DC"/>
    <w:rsid w:val="00D12B03"/>
    <w:rsid w:val="00D13E70"/>
    <w:rsid w:val="00D16C58"/>
    <w:rsid w:val="00D17019"/>
    <w:rsid w:val="00D17FC8"/>
    <w:rsid w:val="00D20B44"/>
    <w:rsid w:val="00D21168"/>
    <w:rsid w:val="00D2438C"/>
    <w:rsid w:val="00D26C3F"/>
    <w:rsid w:val="00D27185"/>
    <w:rsid w:val="00D33AB3"/>
    <w:rsid w:val="00D33F24"/>
    <w:rsid w:val="00D34160"/>
    <w:rsid w:val="00D346B8"/>
    <w:rsid w:val="00D34DCA"/>
    <w:rsid w:val="00D35AC8"/>
    <w:rsid w:val="00D36F87"/>
    <w:rsid w:val="00D37E4E"/>
    <w:rsid w:val="00D417D8"/>
    <w:rsid w:val="00D41F78"/>
    <w:rsid w:val="00D42E6C"/>
    <w:rsid w:val="00D4351C"/>
    <w:rsid w:val="00D43B80"/>
    <w:rsid w:val="00D44988"/>
    <w:rsid w:val="00D45B4C"/>
    <w:rsid w:val="00D45BA4"/>
    <w:rsid w:val="00D471AF"/>
    <w:rsid w:val="00D4724F"/>
    <w:rsid w:val="00D47FC3"/>
    <w:rsid w:val="00D50519"/>
    <w:rsid w:val="00D51601"/>
    <w:rsid w:val="00D51ECB"/>
    <w:rsid w:val="00D5264C"/>
    <w:rsid w:val="00D52BBC"/>
    <w:rsid w:val="00D537FE"/>
    <w:rsid w:val="00D53CC9"/>
    <w:rsid w:val="00D54A6A"/>
    <w:rsid w:val="00D54B8F"/>
    <w:rsid w:val="00D55951"/>
    <w:rsid w:val="00D57EB6"/>
    <w:rsid w:val="00D608C0"/>
    <w:rsid w:val="00D60D6D"/>
    <w:rsid w:val="00D66D8B"/>
    <w:rsid w:val="00D70849"/>
    <w:rsid w:val="00D72297"/>
    <w:rsid w:val="00D72A1C"/>
    <w:rsid w:val="00D7308F"/>
    <w:rsid w:val="00D7313E"/>
    <w:rsid w:val="00D73580"/>
    <w:rsid w:val="00D73802"/>
    <w:rsid w:val="00D73C2C"/>
    <w:rsid w:val="00D73D52"/>
    <w:rsid w:val="00D745E7"/>
    <w:rsid w:val="00D774ED"/>
    <w:rsid w:val="00D777C3"/>
    <w:rsid w:val="00D77C44"/>
    <w:rsid w:val="00D77F88"/>
    <w:rsid w:val="00D81AFA"/>
    <w:rsid w:val="00D81EAA"/>
    <w:rsid w:val="00D81FE2"/>
    <w:rsid w:val="00D8259F"/>
    <w:rsid w:val="00D825F2"/>
    <w:rsid w:val="00D8285C"/>
    <w:rsid w:val="00D828B1"/>
    <w:rsid w:val="00D83D49"/>
    <w:rsid w:val="00D84181"/>
    <w:rsid w:val="00D84754"/>
    <w:rsid w:val="00D84F27"/>
    <w:rsid w:val="00D853F0"/>
    <w:rsid w:val="00D86D47"/>
    <w:rsid w:val="00D8710C"/>
    <w:rsid w:val="00D873C6"/>
    <w:rsid w:val="00D9074A"/>
    <w:rsid w:val="00D9099E"/>
    <w:rsid w:val="00D9193A"/>
    <w:rsid w:val="00D923B2"/>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F62"/>
    <w:rsid w:val="00DB21E7"/>
    <w:rsid w:val="00DB2E03"/>
    <w:rsid w:val="00DB3742"/>
    <w:rsid w:val="00DB3E9B"/>
    <w:rsid w:val="00DB3F4B"/>
    <w:rsid w:val="00DB5375"/>
    <w:rsid w:val="00DB67C1"/>
    <w:rsid w:val="00DB6C0B"/>
    <w:rsid w:val="00DB70F4"/>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219D"/>
    <w:rsid w:val="00E04C0F"/>
    <w:rsid w:val="00E0570B"/>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17DB"/>
    <w:rsid w:val="00E43054"/>
    <w:rsid w:val="00E44440"/>
    <w:rsid w:val="00E46013"/>
    <w:rsid w:val="00E47099"/>
    <w:rsid w:val="00E47284"/>
    <w:rsid w:val="00E477C3"/>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F0A"/>
    <w:rsid w:val="00E815D4"/>
    <w:rsid w:val="00E8291B"/>
    <w:rsid w:val="00E82E70"/>
    <w:rsid w:val="00E82F92"/>
    <w:rsid w:val="00E8395F"/>
    <w:rsid w:val="00E8410F"/>
    <w:rsid w:val="00E849D7"/>
    <w:rsid w:val="00E85E41"/>
    <w:rsid w:val="00E85EA1"/>
    <w:rsid w:val="00E86703"/>
    <w:rsid w:val="00E91044"/>
    <w:rsid w:val="00E910D3"/>
    <w:rsid w:val="00E92154"/>
    <w:rsid w:val="00E923CF"/>
    <w:rsid w:val="00E93685"/>
    <w:rsid w:val="00E93B65"/>
    <w:rsid w:val="00E93C8C"/>
    <w:rsid w:val="00E95111"/>
    <w:rsid w:val="00E95FDF"/>
    <w:rsid w:val="00EA14C8"/>
    <w:rsid w:val="00EA2110"/>
    <w:rsid w:val="00EA283A"/>
    <w:rsid w:val="00EA2C90"/>
    <w:rsid w:val="00EA2E07"/>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A31"/>
    <w:rsid w:val="00ED4469"/>
    <w:rsid w:val="00ED5F23"/>
    <w:rsid w:val="00ED6DC0"/>
    <w:rsid w:val="00ED7A7A"/>
    <w:rsid w:val="00EE0327"/>
    <w:rsid w:val="00EE038C"/>
    <w:rsid w:val="00EE28C5"/>
    <w:rsid w:val="00EE2F09"/>
    <w:rsid w:val="00EE47C5"/>
    <w:rsid w:val="00EE490C"/>
    <w:rsid w:val="00EE4E57"/>
    <w:rsid w:val="00EE5738"/>
    <w:rsid w:val="00EE58BD"/>
    <w:rsid w:val="00EE5E59"/>
    <w:rsid w:val="00EE73D0"/>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EA"/>
    <w:rsid w:val="00F070E5"/>
    <w:rsid w:val="00F07DDE"/>
    <w:rsid w:val="00F11675"/>
    <w:rsid w:val="00F12557"/>
    <w:rsid w:val="00F13599"/>
    <w:rsid w:val="00F13B28"/>
    <w:rsid w:val="00F156A0"/>
    <w:rsid w:val="00F15730"/>
    <w:rsid w:val="00F202C2"/>
    <w:rsid w:val="00F212F6"/>
    <w:rsid w:val="00F22756"/>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B81"/>
    <w:rsid w:val="00F540FE"/>
    <w:rsid w:val="00F556FF"/>
    <w:rsid w:val="00F55D12"/>
    <w:rsid w:val="00F5687F"/>
    <w:rsid w:val="00F575C7"/>
    <w:rsid w:val="00F57FD0"/>
    <w:rsid w:val="00F60305"/>
    <w:rsid w:val="00F61B12"/>
    <w:rsid w:val="00F63264"/>
    <w:rsid w:val="00F634E4"/>
    <w:rsid w:val="00F6379E"/>
    <w:rsid w:val="00F65171"/>
    <w:rsid w:val="00F6560D"/>
    <w:rsid w:val="00F67844"/>
    <w:rsid w:val="00F70799"/>
    <w:rsid w:val="00F70A8B"/>
    <w:rsid w:val="00F70B8D"/>
    <w:rsid w:val="00F724FB"/>
    <w:rsid w:val="00F726B8"/>
    <w:rsid w:val="00F72A26"/>
    <w:rsid w:val="00F733C3"/>
    <w:rsid w:val="00F746A1"/>
    <w:rsid w:val="00F756DD"/>
    <w:rsid w:val="00F76805"/>
    <w:rsid w:val="00F77F4E"/>
    <w:rsid w:val="00F80047"/>
    <w:rsid w:val="00F800C7"/>
    <w:rsid w:val="00F8104D"/>
    <w:rsid w:val="00F81587"/>
    <w:rsid w:val="00F8288F"/>
    <w:rsid w:val="00F84802"/>
    <w:rsid w:val="00F85B72"/>
    <w:rsid w:val="00F86540"/>
    <w:rsid w:val="00F865CE"/>
    <w:rsid w:val="00F8766F"/>
    <w:rsid w:val="00F91082"/>
    <w:rsid w:val="00F9116D"/>
    <w:rsid w:val="00F91A9A"/>
    <w:rsid w:val="00F93ABB"/>
    <w:rsid w:val="00F9432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525"/>
    <w:rsid w:val="00FD0AB7"/>
    <w:rsid w:val="00FD297D"/>
    <w:rsid w:val="00FD2D13"/>
    <w:rsid w:val="00FD374D"/>
    <w:rsid w:val="00FD4D9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09AA"/>
    <w:rsid w:val="00FF1C9B"/>
    <w:rsid w:val="00FF1D49"/>
    <w:rsid w:val="00FF203B"/>
    <w:rsid w:val="00FF2562"/>
    <w:rsid w:val="00FF3A41"/>
    <w:rsid w:val="00FF3E5B"/>
    <w:rsid w:val="00FF57E4"/>
    <w:rsid w:val="00FF78E5"/>
    <w:rsid w:val="01110A6F"/>
    <w:rsid w:val="01453A14"/>
    <w:rsid w:val="01537940"/>
    <w:rsid w:val="01623146"/>
    <w:rsid w:val="017D58B3"/>
    <w:rsid w:val="01940B29"/>
    <w:rsid w:val="019B21D0"/>
    <w:rsid w:val="01AB1305"/>
    <w:rsid w:val="01AF3D99"/>
    <w:rsid w:val="01D7025B"/>
    <w:rsid w:val="01D91C46"/>
    <w:rsid w:val="01E27F38"/>
    <w:rsid w:val="01E54F06"/>
    <w:rsid w:val="020764BD"/>
    <w:rsid w:val="02186A33"/>
    <w:rsid w:val="02212F5C"/>
    <w:rsid w:val="02373C81"/>
    <w:rsid w:val="02511F9D"/>
    <w:rsid w:val="025B6CE5"/>
    <w:rsid w:val="02852338"/>
    <w:rsid w:val="02873D31"/>
    <w:rsid w:val="02903F44"/>
    <w:rsid w:val="029C127C"/>
    <w:rsid w:val="02A1704F"/>
    <w:rsid w:val="02C82D67"/>
    <w:rsid w:val="02D51BF3"/>
    <w:rsid w:val="02DA4630"/>
    <w:rsid w:val="02E67647"/>
    <w:rsid w:val="03117246"/>
    <w:rsid w:val="03165668"/>
    <w:rsid w:val="03200295"/>
    <w:rsid w:val="032558AB"/>
    <w:rsid w:val="03341ECF"/>
    <w:rsid w:val="0341645D"/>
    <w:rsid w:val="03466AF6"/>
    <w:rsid w:val="03743909"/>
    <w:rsid w:val="0375457C"/>
    <w:rsid w:val="039424ED"/>
    <w:rsid w:val="0397607D"/>
    <w:rsid w:val="039E740C"/>
    <w:rsid w:val="03A314B8"/>
    <w:rsid w:val="03D82B98"/>
    <w:rsid w:val="03DB4418"/>
    <w:rsid w:val="03DC70CE"/>
    <w:rsid w:val="03E413F2"/>
    <w:rsid w:val="03F83E8B"/>
    <w:rsid w:val="04115E30"/>
    <w:rsid w:val="041B280B"/>
    <w:rsid w:val="041D209E"/>
    <w:rsid w:val="04212621"/>
    <w:rsid w:val="04482E3E"/>
    <w:rsid w:val="044B494F"/>
    <w:rsid w:val="04522127"/>
    <w:rsid w:val="04542191"/>
    <w:rsid w:val="045B52B1"/>
    <w:rsid w:val="045D0E4E"/>
    <w:rsid w:val="04633ABF"/>
    <w:rsid w:val="04737A75"/>
    <w:rsid w:val="04934A97"/>
    <w:rsid w:val="049B2512"/>
    <w:rsid w:val="04C74740"/>
    <w:rsid w:val="04CA22E8"/>
    <w:rsid w:val="051C67EE"/>
    <w:rsid w:val="051E1A4B"/>
    <w:rsid w:val="05436217"/>
    <w:rsid w:val="054B3669"/>
    <w:rsid w:val="058203EE"/>
    <w:rsid w:val="05B303F8"/>
    <w:rsid w:val="05C56868"/>
    <w:rsid w:val="05DA68EB"/>
    <w:rsid w:val="05F96B7B"/>
    <w:rsid w:val="062953B8"/>
    <w:rsid w:val="0636658B"/>
    <w:rsid w:val="066506C3"/>
    <w:rsid w:val="06D27AF8"/>
    <w:rsid w:val="06E07C6C"/>
    <w:rsid w:val="06F5543A"/>
    <w:rsid w:val="06FA7C7C"/>
    <w:rsid w:val="070B4DB8"/>
    <w:rsid w:val="07172DBD"/>
    <w:rsid w:val="071A1088"/>
    <w:rsid w:val="071A5AD2"/>
    <w:rsid w:val="072F6BFE"/>
    <w:rsid w:val="074A6C68"/>
    <w:rsid w:val="075729E8"/>
    <w:rsid w:val="078F59E9"/>
    <w:rsid w:val="079834B4"/>
    <w:rsid w:val="079D563B"/>
    <w:rsid w:val="07B17179"/>
    <w:rsid w:val="07B72767"/>
    <w:rsid w:val="07E44E4B"/>
    <w:rsid w:val="07E8411E"/>
    <w:rsid w:val="08077E72"/>
    <w:rsid w:val="081C4DA3"/>
    <w:rsid w:val="081E0B1B"/>
    <w:rsid w:val="087859A8"/>
    <w:rsid w:val="088542E4"/>
    <w:rsid w:val="08882DD0"/>
    <w:rsid w:val="088E7A4F"/>
    <w:rsid w:val="08A07782"/>
    <w:rsid w:val="08AC29CC"/>
    <w:rsid w:val="08B03E69"/>
    <w:rsid w:val="08BC3C9A"/>
    <w:rsid w:val="08C939D2"/>
    <w:rsid w:val="08FF5E97"/>
    <w:rsid w:val="091A12E3"/>
    <w:rsid w:val="091E26BA"/>
    <w:rsid w:val="09347949"/>
    <w:rsid w:val="09473E97"/>
    <w:rsid w:val="094F1DD6"/>
    <w:rsid w:val="09526CCE"/>
    <w:rsid w:val="09656896"/>
    <w:rsid w:val="096F6562"/>
    <w:rsid w:val="09880942"/>
    <w:rsid w:val="098E11FE"/>
    <w:rsid w:val="0990710B"/>
    <w:rsid w:val="09AA4D5C"/>
    <w:rsid w:val="09CC2AAC"/>
    <w:rsid w:val="0A0623AC"/>
    <w:rsid w:val="0A0D4BC1"/>
    <w:rsid w:val="0A1C6605"/>
    <w:rsid w:val="0A327A31"/>
    <w:rsid w:val="0A3665F0"/>
    <w:rsid w:val="0A3E527E"/>
    <w:rsid w:val="0A570314"/>
    <w:rsid w:val="0A597F12"/>
    <w:rsid w:val="0A652D3E"/>
    <w:rsid w:val="0A6D3F5F"/>
    <w:rsid w:val="0A8C4462"/>
    <w:rsid w:val="0AE64FFC"/>
    <w:rsid w:val="0B001553"/>
    <w:rsid w:val="0B2E3315"/>
    <w:rsid w:val="0B326F2A"/>
    <w:rsid w:val="0B3824C3"/>
    <w:rsid w:val="0B464611"/>
    <w:rsid w:val="0B4E5E32"/>
    <w:rsid w:val="0B562E43"/>
    <w:rsid w:val="0B7D3E4C"/>
    <w:rsid w:val="0B810015"/>
    <w:rsid w:val="0BDE2A9B"/>
    <w:rsid w:val="0BF579BD"/>
    <w:rsid w:val="0BF7590B"/>
    <w:rsid w:val="0BFD62AF"/>
    <w:rsid w:val="0C1E2888"/>
    <w:rsid w:val="0C28100C"/>
    <w:rsid w:val="0C321E1C"/>
    <w:rsid w:val="0C571AE4"/>
    <w:rsid w:val="0C7A2DAD"/>
    <w:rsid w:val="0C7C16D5"/>
    <w:rsid w:val="0C92213C"/>
    <w:rsid w:val="0CA67FFA"/>
    <w:rsid w:val="0CC849F4"/>
    <w:rsid w:val="0CD32B4F"/>
    <w:rsid w:val="0D190642"/>
    <w:rsid w:val="0D363C18"/>
    <w:rsid w:val="0D4121EA"/>
    <w:rsid w:val="0D4439CF"/>
    <w:rsid w:val="0D630CAD"/>
    <w:rsid w:val="0D84032B"/>
    <w:rsid w:val="0DAD6BC9"/>
    <w:rsid w:val="0DD22BA2"/>
    <w:rsid w:val="0DDA431D"/>
    <w:rsid w:val="0DEA55DF"/>
    <w:rsid w:val="0DF740CC"/>
    <w:rsid w:val="0E050360"/>
    <w:rsid w:val="0E15476E"/>
    <w:rsid w:val="0E2543A1"/>
    <w:rsid w:val="0E5F18C2"/>
    <w:rsid w:val="0E720B77"/>
    <w:rsid w:val="0EC515E6"/>
    <w:rsid w:val="0EC964B7"/>
    <w:rsid w:val="0EF07E75"/>
    <w:rsid w:val="0F026AA1"/>
    <w:rsid w:val="0F0E5742"/>
    <w:rsid w:val="0F2A74C4"/>
    <w:rsid w:val="0F2C1932"/>
    <w:rsid w:val="0F5117D6"/>
    <w:rsid w:val="0F583593"/>
    <w:rsid w:val="0F7335C5"/>
    <w:rsid w:val="0F7A2AA0"/>
    <w:rsid w:val="0F837278"/>
    <w:rsid w:val="0F925EC4"/>
    <w:rsid w:val="0F9C7391"/>
    <w:rsid w:val="0F9D4A1B"/>
    <w:rsid w:val="0FA45DAA"/>
    <w:rsid w:val="0FAF1BF2"/>
    <w:rsid w:val="10161934"/>
    <w:rsid w:val="10251340"/>
    <w:rsid w:val="10641151"/>
    <w:rsid w:val="106F51B1"/>
    <w:rsid w:val="10931ACE"/>
    <w:rsid w:val="109B6655"/>
    <w:rsid w:val="10A27F31"/>
    <w:rsid w:val="10F1501F"/>
    <w:rsid w:val="10FC2107"/>
    <w:rsid w:val="11032C95"/>
    <w:rsid w:val="11093B3B"/>
    <w:rsid w:val="112475FA"/>
    <w:rsid w:val="112D231A"/>
    <w:rsid w:val="117E0D2D"/>
    <w:rsid w:val="11927058"/>
    <w:rsid w:val="119569CB"/>
    <w:rsid w:val="11C75D80"/>
    <w:rsid w:val="11DA2E3D"/>
    <w:rsid w:val="121B27CB"/>
    <w:rsid w:val="121B5B97"/>
    <w:rsid w:val="123B7E78"/>
    <w:rsid w:val="123D2461"/>
    <w:rsid w:val="12617F82"/>
    <w:rsid w:val="127777A6"/>
    <w:rsid w:val="128351DA"/>
    <w:rsid w:val="12837F21"/>
    <w:rsid w:val="128568D3"/>
    <w:rsid w:val="12BB108C"/>
    <w:rsid w:val="12C64289"/>
    <w:rsid w:val="12DA00AC"/>
    <w:rsid w:val="12E806A4"/>
    <w:rsid w:val="12FF3A23"/>
    <w:rsid w:val="13083BBE"/>
    <w:rsid w:val="133B4C77"/>
    <w:rsid w:val="134E102A"/>
    <w:rsid w:val="13724411"/>
    <w:rsid w:val="137B32C6"/>
    <w:rsid w:val="13810071"/>
    <w:rsid w:val="13857CA0"/>
    <w:rsid w:val="13AF4F03"/>
    <w:rsid w:val="13B4248C"/>
    <w:rsid w:val="14036270"/>
    <w:rsid w:val="14082F71"/>
    <w:rsid w:val="14150063"/>
    <w:rsid w:val="14574B33"/>
    <w:rsid w:val="145C3CF6"/>
    <w:rsid w:val="14736E66"/>
    <w:rsid w:val="147F458F"/>
    <w:rsid w:val="14AA0EF6"/>
    <w:rsid w:val="14D26F15"/>
    <w:rsid w:val="14ED5D32"/>
    <w:rsid w:val="1513210A"/>
    <w:rsid w:val="15173EFA"/>
    <w:rsid w:val="1518152A"/>
    <w:rsid w:val="1534169A"/>
    <w:rsid w:val="15440C7D"/>
    <w:rsid w:val="157A7748"/>
    <w:rsid w:val="158E6EBC"/>
    <w:rsid w:val="15911144"/>
    <w:rsid w:val="15985B99"/>
    <w:rsid w:val="15A81015"/>
    <w:rsid w:val="15C03E03"/>
    <w:rsid w:val="15C342FB"/>
    <w:rsid w:val="162A25EB"/>
    <w:rsid w:val="165322D8"/>
    <w:rsid w:val="167B3A7C"/>
    <w:rsid w:val="16902B0E"/>
    <w:rsid w:val="16BA50F9"/>
    <w:rsid w:val="16D14F07"/>
    <w:rsid w:val="16E80F72"/>
    <w:rsid w:val="16EB2E9A"/>
    <w:rsid w:val="16FB6445"/>
    <w:rsid w:val="16FD2A55"/>
    <w:rsid w:val="17067C1A"/>
    <w:rsid w:val="1726732E"/>
    <w:rsid w:val="173133A2"/>
    <w:rsid w:val="17366761"/>
    <w:rsid w:val="17487963"/>
    <w:rsid w:val="174C7453"/>
    <w:rsid w:val="174E7F10"/>
    <w:rsid w:val="175778E0"/>
    <w:rsid w:val="175F03DF"/>
    <w:rsid w:val="176C3651"/>
    <w:rsid w:val="17773DA4"/>
    <w:rsid w:val="177C01F0"/>
    <w:rsid w:val="17951BA3"/>
    <w:rsid w:val="17966920"/>
    <w:rsid w:val="17B61536"/>
    <w:rsid w:val="17B90E37"/>
    <w:rsid w:val="17C32827"/>
    <w:rsid w:val="17CE6630"/>
    <w:rsid w:val="180C21A9"/>
    <w:rsid w:val="182009F5"/>
    <w:rsid w:val="184F4E75"/>
    <w:rsid w:val="18583BD5"/>
    <w:rsid w:val="18752A18"/>
    <w:rsid w:val="1879445E"/>
    <w:rsid w:val="188624CB"/>
    <w:rsid w:val="1895161F"/>
    <w:rsid w:val="189F7A56"/>
    <w:rsid w:val="18A14AFB"/>
    <w:rsid w:val="18A61854"/>
    <w:rsid w:val="18EB6059"/>
    <w:rsid w:val="19212836"/>
    <w:rsid w:val="19362900"/>
    <w:rsid w:val="19566ABB"/>
    <w:rsid w:val="195E1AA7"/>
    <w:rsid w:val="19782558"/>
    <w:rsid w:val="19C37626"/>
    <w:rsid w:val="19E00326"/>
    <w:rsid w:val="19E74BB9"/>
    <w:rsid w:val="19F639A8"/>
    <w:rsid w:val="19F85670"/>
    <w:rsid w:val="19FA6126"/>
    <w:rsid w:val="1A5C40F9"/>
    <w:rsid w:val="1A5D4FD8"/>
    <w:rsid w:val="1A734931"/>
    <w:rsid w:val="1A9A04D5"/>
    <w:rsid w:val="1AA11864"/>
    <w:rsid w:val="1AD51BC6"/>
    <w:rsid w:val="1AD94B09"/>
    <w:rsid w:val="1AFF0AFE"/>
    <w:rsid w:val="1AFF658A"/>
    <w:rsid w:val="1B0A4C16"/>
    <w:rsid w:val="1B283D33"/>
    <w:rsid w:val="1B3136F1"/>
    <w:rsid w:val="1B4F19F8"/>
    <w:rsid w:val="1B7725C5"/>
    <w:rsid w:val="1B8C2514"/>
    <w:rsid w:val="1B8F0912"/>
    <w:rsid w:val="1BC86BBE"/>
    <w:rsid w:val="1BD143CB"/>
    <w:rsid w:val="1BD45C69"/>
    <w:rsid w:val="1BE063BC"/>
    <w:rsid w:val="1BEA0FE8"/>
    <w:rsid w:val="1C0E531C"/>
    <w:rsid w:val="1C1678EA"/>
    <w:rsid w:val="1C300A7B"/>
    <w:rsid w:val="1C395ACC"/>
    <w:rsid w:val="1C4A27F6"/>
    <w:rsid w:val="1C5F0079"/>
    <w:rsid w:val="1C603A25"/>
    <w:rsid w:val="1C860376"/>
    <w:rsid w:val="1CA00CDD"/>
    <w:rsid w:val="1CB3587E"/>
    <w:rsid w:val="1CBD5116"/>
    <w:rsid w:val="1CE60C60"/>
    <w:rsid w:val="1CF30708"/>
    <w:rsid w:val="1CF77E61"/>
    <w:rsid w:val="1D167816"/>
    <w:rsid w:val="1D19579E"/>
    <w:rsid w:val="1D37200B"/>
    <w:rsid w:val="1D5670A8"/>
    <w:rsid w:val="1D745772"/>
    <w:rsid w:val="1D752B34"/>
    <w:rsid w:val="1DC738B3"/>
    <w:rsid w:val="1DC74EB2"/>
    <w:rsid w:val="1DCF492F"/>
    <w:rsid w:val="1E026ABD"/>
    <w:rsid w:val="1E06522E"/>
    <w:rsid w:val="1E0706A2"/>
    <w:rsid w:val="1E0C13CE"/>
    <w:rsid w:val="1E0D33FD"/>
    <w:rsid w:val="1E226E91"/>
    <w:rsid w:val="1E230457"/>
    <w:rsid w:val="1E4946EC"/>
    <w:rsid w:val="1EB17EFD"/>
    <w:rsid w:val="1EC03F36"/>
    <w:rsid w:val="1ECB2576"/>
    <w:rsid w:val="1ECC44FA"/>
    <w:rsid w:val="1EE349E1"/>
    <w:rsid w:val="1EE6603F"/>
    <w:rsid w:val="1EEC5348"/>
    <w:rsid w:val="1EF06916"/>
    <w:rsid w:val="1EF8733D"/>
    <w:rsid w:val="1EFA7794"/>
    <w:rsid w:val="1F063325"/>
    <w:rsid w:val="1F075060"/>
    <w:rsid w:val="1F0B3750"/>
    <w:rsid w:val="1F171A53"/>
    <w:rsid w:val="1F171E1D"/>
    <w:rsid w:val="1F3D1705"/>
    <w:rsid w:val="1F4D219C"/>
    <w:rsid w:val="1F72557D"/>
    <w:rsid w:val="1F8359DC"/>
    <w:rsid w:val="1FBC5DF5"/>
    <w:rsid w:val="1FD16A32"/>
    <w:rsid w:val="1FDC03C8"/>
    <w:rsid w:val="20014B53"/>
    <w:rsid w:val="200A7EAB"/>
    <w:rsid w:val="200C10F4"/>
    <w:rsid w:val="201C2473"/>
    <w:rsid w:val="2030445E"/>
    <w:rsid w:val="203C233D"/>
    <w:rsid w:val="20590CF1"/>
    <w:rsid w:val="205D2331"/>
    <w:rsid w:val="207D60E1"/>
    <w:rsid w:val="20B03D2F"/>
    <w:rsid w:val="20C3623F"/>
    <w:rsid w:val="20FE4B52"/>
    <w:rsid w:val="210E7DC4"/>
    <w:rsid w:val="213A339D"/>
    <w:rsid w:val="2146558E"/>
    <w:rsid w:val="216B2BCB"/>
    <w:rsid w:val="21747B75"/>
    <w:rsid w:val="217575A6"/>
    <w:rsid w:val="21781212"/>
    <w:rsid w:val="21953CE4"/>
    <w:rsid w:val="21977250"/>
    <w:rsid w:val="219A4FB7"/>
    <w:rsid w:val="21B83F86"/>
    <w:rsid w:val="21CB262D"/>
    <w:rsid w:val="221178A8"/>
    <w:rsid w:val="221213CF"/>
    <w:rsid w:val="221805EB"/>
    <w:rsid w:val="22327A92"/>
    <w:rsid w:val="223E208E"/>
    <w:rsid w:val="225064B7"/>
    <w:rsid w:val="229D0ACF"/>
    <w:rsid w:val="22A75E85"/>
    <w:rsid w:val="22FF181D"/>
    <w:rsid w:val="231D53A2"/>
    <w:rsid w:val="23384D2F"/>
    <w:rsid w:val="234B220C"/>
    <w:rsid w:val="23517B9F"/>
    <w:rsid w:val="236B56CD"/>
    <w:rsid w:val="236D5383"/>
    <w:rsid w:val="23711FEF"/>
    <w:rsid w:val="23806DC2"/>
    <w:rsid w:val="23B7504C"/>
    <w:rsid w:val="23B8381F"/>
    <w:rsid w:val="23C85D95"/>
    <w:rsid w:val="23D21E51"/>
    <w:rsid w:val="23D70C5F"/>
    <w:rsid w:val="2438587A"/>
    <w:rsid w:val="243A6885"/>
    <w:rsid w:val="24571307"/>
    <w:rsid w:val="24615980"/>
    <w:rsid w:val="24726A07"/>
    <w:rsid w:val="24AB32DF"/>
    <w:rsid w:val="24CB186C"/>
    <w:rsid w:val="24D44611"/>
    <w:rsid w:val="25096734"/>
    <w:rsid w:val="25110A2A"/>
    <w:rsid w:val="251175E6"/>
    <w:rsid w:val="2519649B"/>
    <w:rsid w:val="25213E48"/>
    <w:rsid w:val="25664E3C"/>
    <w:rsid w:val="256C0944"/>
    <w:rsid w:val="256C6F12"/>
    <w:rsid w:val="25733DFD"/>
    <w:rsid w:val="25755DC7"/>
    <w:rsid w:val="25785071"/>
    <w:rsid w:val="25866A35"/>
    <w:rsid w:val="25AB495B"/>
    <w:rsid w:val="25B55866"/>
    <w:rsid w:val="25BF03F7"/>
    <w:rsid w:val="26003E8A"/>
    <w:rsid w:val="261D1C9A"/>
    <w:rsid w:val="26366AE9"/>
    <w:rsid w:val="263D4CCB"/>
    <w:rsid w:val="26446DE3"/>
    <w:rsid w:val="264B69E4"/>
    <w:rsid w:val="26674FC9"/>
    <w:rsid w:val="266B506C"/>
    <w:rsid w:val="269669E7"/>
    <w:rsid w:val="26A27831"/>
    <w:rsid w:val="26A45353"/>
    <w:rsid w:val="26B60AB5"/>
    <w:rsid w:val="26CF53D2"/>
    <w:rsid w:val="26D0702D"/>
    <w:rsid w:val="26D7699F"/>
    <w:rsid w:val="26EA00EF"/>
    <w:rsid w:val="26F75F15"/>
    <w:rsid w:val="26F86CAF"/>
    <w:rsid w:val="271E248E"/>
    <w:rsid w:val="27532799"/>
    <w:rsid w:val="275A1EEC"/>
    <w:rsid w:val="276876B4"/>
    <w:rsid w:val="279317E0"/>
    <w:rsid w:val="279D0DF3"/>
    <w:rsid w:val="27A6495D"/>
    <w:rsid w:val="27B506FD"/>
    <w:rsid w:val="27D32B97"/>
    <w:rsid w:val="27EB411E"/>
    <w:rsid w:val="27F3052C"/>
    <w:rsid w:val="27F92964"/>
    <w:rsid w:val="280478D6"/>
    <w:rsid w:val="286D6BDB"/>
    <w:rsid w:val="28757E8C"/>
    <w:rsid w:val="28856796"/>
    <w:rsid w:val="28944322"/>
    <w:rsid w:val="289645BF"/>
    <w:rsid w:val="28DB23F9"/>
    <w:rsid w:val="29161E8D"/>
    <w:rsid w:val="29752839"/>
    <w:rsid w:val="29892243"/>
    <w:rsid w:val="298D7828"/>
    <w:rsid w:val="29B50E88"/>
    <w:rsid w:val="29BB19F4"/>
    <w:rsid w:val="29E72626"/>
    <w:rsid w:val="29F23E8A"/>
    <w:rsid w:val="2A0C5D8F"/>
    <w:rsid w:val="2A1A63E5"/>
    <w:rsid w:val="2A3873C3"/>
    <w:rsid w:val="2A584228"/>
    <w:rsid w:val="2A6922B9"/>
    <w:rsid w:val="2A85652E"/>
    <w:rsid w:val="2A863051"/>
    <w:rsid w:val="2ABC35E0"/>
    <w:rsid w:val="2AC55FB0"/>
    <w:rsid w:val="2AC60E73"/>
    <w:rsid w:val="2AD52E64"/>
    <w:rsid w:val="2AD91FA9"/>
    <w:rsid w:val="2ADE7A7B"/>
    <w:rsid w:val="2AF77A6B"/>
    <w:rsid w:val="2B182A51"/>
    <w:rsid w:val="2B3103DB"/>
    <w:rsid w:val="2B3C3502"/>
    <w:rsid w:val="2B484F6D"/>
    <w:rsid w:val="2B715282"/>
    <w:rsid w:val="2B774624"/>
    <w:rsid w:val="2B785B65"/>
    <w:rsid w:val="2B813E17"/>
    <w:rsid w:val="2B956A91"/>
    <w:rsid w:val="2BD10CEF"/>
    <w:rsid w:val="2BF7263E"/>
    <w:rsid w:val="2BFC0C83"/>
    <w:rsid w:val="2C4965DC"/>
    <w:rsid w:val="2C607DD3"/>
    <w:rsid w:val="2C6D7DE8"/>
    <w:rsid w:val="2C6E6C8C"/>
    <w:rsid w:val="2C7A72BE"/>
    <w:rsid w:val="2C7B55BE"/>
    <w:rsid w:val="2C9A25B7"/>
    <w:rsid w:val="2C9A7D75"/>
    <w:rsid w:val="2CE54C26"/>
    <w:rsid w:val="2CE66717"/>
    <w:rsid w:val="2D0F4D53"/>
    <w:rsid w:val="2D282CCB"/>
    <w:rsid w:val="2D3377FA"/>
    <w:rsid w:val="2DAC4350"/>
    <w:rsid w:val="2DBF3D12"/>
    <w:rsid w:val="2DCD6D90"/>
    <w:rsid w:val="2E1B7727"/>
    <w:rsid w:val="2E3A7BAD"/>
    <w:rsid w:val="2E590E7E"/>
    <w:rsid w:val="2E995110"/>
    <w:rsid w:val="2E9976CE"/>
    <w:rsid w:val="2EAC5AFB"/>
    <w:rsid w:val="2EAF68BC"/>
    <w:rsid w:val="2EBE5004"/>
    <w:rsid w:val="2F012479"/>
    <w:rsid w:val="2F2D0C8B"/>
    <w:rsid w:val="2F3837F9"/>
    <w:rsid w:val="2F3A31E3"/>
    <w:rsid w:val="2F401D3C"/>
    <w:rsid w:val="2F546A4D"/>
    <w:rsid w:val="2F5B24E1"/>
    <w:rsid w:val="2F6871D8"/>
    <w:rsid w:val="2F6C2E95"/>
    <w:rsid w:val="2F7F4F95"/>
    <w:rsid w:val="2F9C6646"/>
    <w:rsid w:val="2F9F78B1"/>
    <w:rsid w:val="2FA95C88"/>
    <w:rsid w:val="2FCE0797"/>
    <w:rsid w:val="2FD14D77"/>
    <w:rsid w:val="2FD20E9E"/>
    <w:rsid w:val="30073B60"/>
    <w:rsid w:val="300B61AA"/>
    <w:rsid w:val="30305C6C"/>
    <w:rsid w:val="3041370F"/>
    <w:rsid w:val="3042544D"/>
    <w:rsid w:val="3062111C"/>
    <w:rsid w:val="30922D6B"/>
    <w:rsid w:val="30936D56"/>
    <w:rsid w:val="30C65728"/>
    <w:rsid w:val="30C71BAB"/>
    <w:rsid w:val="30D20571"/>
    <w:rsid w:val="30D83F2F"/>
    <w:rsid w:val="30F63FC7"/>
    <w:rsid w:val="311F6C22"/>
    <w:rsid w:val="312B50A3"/>
    <w:rsid w:val="312C150D"/>
    <w:rsid w:val="31315982"/>
    <w:rsid w:val="31450206"/>
    <w:rsid w:val="3148579B"/>
    <w:rsid w:val="316D029A"/>
    <w:rsid w:val="3192160B"/>
    <w:rsid w:val="319C0B7F"/>
    <w:rsid w:val="31A4347E"/>
    <w:rsid w:val="31AB491E"/>
    <w:rsid w:val="31C06169"/>
    <w:rsid w:val="31E0356E"/>
    <w:rsid w:val="31E83DC4"/>
    <w:rsid w:val="31ED7AD3"/>
    <w:rsid w:val="31FD4341"/>
    <w:rsid w:val="32272869"/>
    <w:rsid w:val="32324F2E"/>
    <w:rsid w:val="323346DB"/>
    <w:rsid w:val="32342773"/>
    <w:rsid w:val="323B5CA2"/>
    <w:rsid w:val="32453A27"/>
    <w:rsid w:val="3263064A"/>
    <w:rsid w:val="328278FC"/>
    <w:rsid w:val="32892EB1"/>
    <w:rsid w:val="32A43132"/>
    <w:rsid w:val="32AC0C06"/>
    <w:rsid w:val="32AC689F"/>
    <w:rsid w:val="32D549D9"/>
    <w:rsid w:val="32EF23DC"/>
    <w:rsid w:val="32F77716"/>
    <w:rsid w:val="332325D4"/>
    <w:rsid w:val="33344EF5"/>
    <w:rsid w:val="334D3EDF"/>
    <w:rsid w:val="33557850"/>
    <w:rsid w:val="335A2583"/>
    <w:rsid w:val="33633703"/>
    <w:rsid w:val="3381002D"/>
    <w:rsid w:val="33811DDB"/>
    <w:rsid w:val="33874918"/>
    <w:rsid w:val="33A92488"/>
    <w:rsid w:val="33AE1D74"/>
    <w:rsid w:val="33C56533"/>
    <w:rsid w:val="33C777B6"/>
    <w:rsid w:val="33CD267A"/>
    <w:rsid w:val="33DC1C9B"/>
    <w:rsid w:val="33F70C34"/>
    <w:rsid w:val="34065AFF"/>
    <w:rsid w:val="340C2973"/>
    <w:rsid w:val="341114C0"/>
    <w:rsid w:val="343E6645"/>
    <w:rsid w:val="347D5264"/>
    <w:rsid w:val="34825E0A"/>
    <w:rsid w:val="348E0634"/>
    <w:rsid w:val="34955737"/>
    <w:rsid w:val="34C97D74"/>
    <w:rsid w:val="34F96E58"/>
    <w:rsid w:val="352F43CE"/>
    <w:rsid w:val="3537750C"/>
    <w:rsid w:val="3537798C"/>
    <w:rsid w:val="3538471B"/>
    <w:rsid w:val="35A61EB8"/>
    <w:rsid w:val="35C13FC9"/>
    <w:rsid w:val="35C33AEE"/>
    <w:rsid w:val="35C67F79"/>
    <w:rsid w:val="35C96809"/>
    <w:rsid w:val="35F86A8A"/>
    <w:rsid w:val="361C7FB1"/>
    <w:rsid w:val="3623747A"/>
    <w:rsid w:val="36343134"/>
    <w:rsid w:val="364257B6"/>
    <w:rsid w:val="36687968"/>
    <w:rsid w:val="367D3E66"/>
    <w:rsid w:val="36920D26"/>
    <w:rsid w:val="36C941C4"/>
    <w:rsid w:val="36EB1C99"/>
    <w:rsid w:val="36F872B6"/>
    <w:rsid w:val="374020EC"/>
    <w:rsid w:val="378D6FA0"/>
    <w:rsid w:val="37A811B2"/>
    <w:rsid w:val="37BB74F7"/>
    <w:rsid w:val="37C8447C"/>
    <w:rsid w:val="37D3697D"/>
    <w:rsid w:val="37EA5922"/>
    <w:rsid w:val="37ED004F"/>
    <w:rsid w:val="37F17D73"/>
    <w:rsid w:val="382275F5"/>
    <w:rsid w:val="38276B93"/>
    <w:rsid w:val="383F3482"/>
    <w:rsid w:val="385B0E4C"/>
    <w:rsid w:val="385D692C"/>
    <w:rsid w:val="386A559E"/>
    <w:rsid w:val="386D6DD1"/>
    <w:rsid w:val="38710EEE"/>
    <w:rsid w:val="38AC3431"/>
    <w:rsid w:val="38B37642"/>
    <w:rsid w:val="38B705DB"/>
    <w:rsid w:val="38CE71D8"/>
    <w:rsid w:val="38D47AC8"/>
    <w:rsid w:val="38EC7CF6"/>
    <w:rsid w:val="38EF77E6"/>
    <w:rsid w:val="39200F76"/>
    <w:rsid w:val="392F2E16"/>
    <w:rsid w:val="394836C2"/>
    <w:rsid w:val="39893B85"/>
    <w:rsid w:val="398D5BA7"/>
    <w:rsid w:val="39D114EA"/>
    <w:rsid w:val="39E00529"/>
    <w:rsid w:val="39EF3F42"/>
    <w:rsid w:val="3A0B64A7"/>
    <w:rsid w:val="3A3169B0"/>
    <w:rsid w:val="3A477320"/>
    <w:rsid w:val="3A574DDA"/>
    <w:rsid w:val="3A57630A"/>
    <w:rsid w:val="3A576349"/>
    <w:rsid w:val="3A685AA2"/>
    <w:rsid w:val="3A6A2D09"/>
    <w:rsid w:val="3A781DF2"/>
    <w:rsid w:val="3A7D335B"/>
    <w:rsid w:val="3A983255"/>
    <w:rsid w:val="3AD3075A"/>
    <w:rsid w:val="3AD60FC2"/>
    <w:rsid w:val="3AD849D6"/>
    <w:rsid w:val="3AF74C02"/>
    <w:rsid w:val="3B111C96"/>
    <w:rsid w:val="3B13684C"/>
    <w:rsid w:val="3B277DE2"/>
    <w:rsid w:val="3B583D69"/>
    <w:rsid w:val="3B6A4988"/>
    <w:rsid w:val="3B707CD2"/>
    <w:rsid w:val="3B7339AE"/>
    <w:rsid w:val="3BA66882"/>
    <w:rsid w:val="3BAB66E2"/>
    <w:rsid w:val="3BE376CF"/>
    <w:rsid w:val="3BE73102"/>
    <w:rsid w:val="3BF8698F"/>
    <w:rsid w:val="3C0059A5"/>
    <w:rsid w:val="3C0413E4"/>
    <w:rsid w:val="3C134E78"/>
    <w:rsid w:val="3C2459F9"/>
    <w:rsid w:val="3C2B00A6"/>
    <w:rsid w:val="3C3A346E"/>
    <w:rsid w:val="3C44503F"/>
    <w:rsid w:val="3C6A5677"/>
    <w:rsid w:val="3C6B1A96"/>
    <w:rsid w:val="3C72291D"/>
    <w:rsid w:val="3C7D6A47"/>
    <w:rsid w:val="3C9F025B"/>
    <w:rsid w:val="3CA2411F"/>
    <w:rsid w:val="3CAB24D0"/>
    <w:rsid w:val="3CBA52A5"/>
    <w:rsid w:val="3CE24095"/>
    <w:rsid w:val="3D417B8C"/>
    <w:rsid w:val="3D6830C4"/>
    <w:rsid w:val="3DBE0BF6"/>
    <w:rsid w:val="3DF06B13"/>
    <w:rsid w:val="3DF30181"/>
    <w:rsid w:val="3DF6345D"/>
    <w:rsid w:val="3E0930F8"/>
    <w:rsid w:val="3E0A155E"/>
    <w:rsid w:val="3E2D6C02"/>
    <w:rsid w:val="3E46539E"/>
    <w:rsid w:val="3E4D4F28"/>
    <w:rsid w:val="3E500D27"/>
    <w:rsid w:val="3E6C3C86"/>
    <w:rsid w:val="3E7210B7"/>
    <w:rsid w:val="3E8A3C0D"/>
    <w:rsid w:val="3E8A6C2A"/>
    <w:rsid w:val="3EA352FB"/>
    <w:rsid w:val="3EB51B20"/>
    <w:rsid w:val="3EC93930"/>
    <w:rsid w:val="3ECD5EA6"/>
    <w:rsid w:val="3EE13701"/>
    <w:rsid w:val="3F051A05"/>
    <w:rsid w:val="3F1A4BB3"/>
    <w:rsid w:val="3F4A39C9"/>
    <w:rsid w:val="3FD47936"/>
    <w:rsid w:val="3FD63D26"/>
    <w:rsid w:val="3FD655F6"/>
    <w:rsid w:val="40095397"/>
    <w:rsid w:val="40183426"/>
    <w:rsid w:val="40192BA6"/>
    <w:rsid w:val="40283422"/>
    <w:rsid w:val="40491298"/>
    <w:rsid w:val="405D6315"/>
    <w:rsid w:val="40D23C76"/>
    <w:rsid w:val="40DA0D7C"/>
    <w:rsid w:val="40F459B6"/>
    <w:rsid w:val="41113CE4"/>
    <w:rsid w:val="411528D2"/>
    <w:rsid w:val="412F2E76"/>
    <w:rsid w:val="41391729"/>
    <w:rsid w:val="415A0117"/>
    <w:rsid w:val="41843A36"/>
    <w:rsid w:val="41930A28"/>
    <w:rsid w:val="41C71300"/>
    <w:rsid w:val="41C776C2"/>
    <w:rsid w:val="41D43F0C"/>
    <w:rsid w:val="42550A18"/>
    <w:rsid w:val="4255690C"/>
    <w:rsid w:val="42804718"/>
    <w:rsid w:val="429D496A"/>
    <w:rsid w:val="42A84F00"/>
    <w:rsid w:val="42AC1FFB"/>
    <w:rsid w:val="42AE0712"/>
    <w:rsid w:val="42B23D5F"/>
    <w:rsid w:val="42BE2BD5"/>
    <w:rsid w:val="42D737C5"/>
    <w:rsid w:val="42DA7E56"/>
    <w:rsid w:val="42E00C78"/>
    <w:rsid w:val="42F473A1"/>
    <w:rsid w:val="430D37DC"/>
    <w:rsid w:val="431A43A9"/>
    <w:rsid w:val="43210DFF"/>
    <w:rsid w:val="434631B1"/>
    <w:rsid w:val="437925F6"/>
    <w:rsid w:val="439804A6"/>
    <w:rsid w:val="43AA2C88"/>
    <w:rsid w:val="43B15727"/>
    <w:rsid w:val="43B22EDB"/>
    <w:rsid w:val="43DA355D"/>
    <w:rsid w:val="43DC464B"/>
    <w:rsid w:val="44151F42"/>
    <w:rsid w:val="441E62C0"/>
    <w:rsid w:val="442D14AB"/>
    <w:rsid w:val="4431111E"/>
    <w:rsid w:val="44B307AB"/>
    <w:rsid w:val="44C4421D"/>
    <w:rsid w:val="44D051D2"/>
    <w:rsid w:val="44ED4010"/>
    <w:rsid w:val="450B59A8"/>
    <w:rsid w:val="452E2BA5"/>
    <w:rsid w:val="45325D14"/>
    <w:rsid w:val="454B4226"/>
    <w:rsid w:val="455425B9"/>
    <w:rsid w:val="45811C7C"/>
    <w:rsid w:val="45BB117C"/>
    <w:rsid w:val="4640228D"/>
    <w:rsid w:val="464C23FE"/>
    <w:rsid w:val="464D5825"/>
    <w:rsid w:val="46607F75"/>
    <w:rsid w:val="46632994"/>
    <w:rsid w:val="46821C9A"/>
    <w:rsid w:val="468B3EFB"/>
    <w:rsid w:val="46903E2B"/>
    <w:rsid w:val="46BB51AC"/>
    <w:rsid w:val="46D677A6"/>
    <w:rsid w:val="46D957AB"/>
    <w:rsid w:val="46DC2172"/>
    <w:rsid w:val="46E666CD"/>
    <w:rsid w:val="47024D99"/>
    <w:rsid w:val="470A6193"/>
    <w:rsid w:val="47385210"/>
    <w:rsid w:val="474D43C2"/>
    <w:rsid w:val="475E6666"/>
    <w:rsid w:val="478B46F6"/>
    <w:rsid w:val="47910143"/>
    <w:rsid w:val="47C115E6"/>
    <w:rsid w:val="47C5170E"/>
    <w:rsid w:val="47C87B80"/>
    <w:rsid w:val="47DC4F5C"/>
    <w:rsid w:val="47E43B34"/>
    <w:rsid w:val="480037BE"/>
    <w:rsid w:val="48036E0A"/>
    <w:rsid w:val="48174664"/>
    <w:rsid w:val="48531B40"/>
    <w:rsid w:val="485E23C9"/>
    <w:rsid w:val="48733F90"/>
    <w:rsid w:val="4876582E"/>
    <w:rsid w:val="4885703C"/>
    <w:rsid w:val="489F4005"/>
    <w:rsid w:val="48A31E49"/>
    <w:rsid w:val="48B40671"/>
    <w:rsid w:val="48DF4AE2"/>
    <w:rsid w:val="48E77FB5"/>
    <w:rsid w:val="49081450"/>
    <w:rsid w:val="49115557"/>
    <w:rsid w:val="493C2B77"/>
    <w:rsid w:val="49492A88"/>
    <w:rsid w:val="494970A4"/>
    <w:rsid w:val="495206A2"/>
    <w:rsid w:val="49596E55"/>
    <w:rsid w:val="496D4E83"/>
    <w:rsid w:val="499B5738"/>
    <w:rsid w:val="499F244D"/>
    <w:rsid w:val="49CA528E"/>
    <w:rsid w:val="49E2286F"/>
    <w:rsid w:val="49EB7B56"/>
    <w:rsid w:val="49F66B3A"/>
    <w:rsid w:val="4A195C06"/>
    <w:rsid w:val="4A2B43F6"/>
    <w:rsid w:val="4A761B16"/>
    <w:rsid w:val="4A973F3F"/>
    <w:rsid w:val="4AC93C46"/>
    <w:rsid w:val="4AE051E1"/>
    <w:rsid w:val="4AF96BC7"/>
    <w:rsid w:val="4B174011"/>
    <w:rsid w:val="4B1916F3"/>
    <w:rsid w:val="4B2B2900"/>
    <w:rsid w:val="4B862A85"/>
    <w:rsid w:val="4B971D44"/>
    <w:rsid w:val="4B993DFC"/>
    <w:rsid w:val="4B9F1A1A"/>
    <w:rsid w:val="4BA10E14"/>
    <w:rsid w:val="4BA3693A"/>
    <w:rsid w:val="4BA601D9"/>
    <w:rsid w:val="4BD765E4"/>
    <w:rsid w:val="4BE33F9B"/>
    <w:rsid w:val="4BEC4676"/>
    <w:rsid w:val="4C191AA4"/>
    <w:rsid w:val="4C191AEB"/>
    <w:rsid w:val="4C2B6CEB"/>
    <w:rsid w:val="4C3728CD"/>
    <w:rsid w:val="4C496705"/>
    <w:rsid w:val="4C724EAF"/>
    <w:rsid w:val="4C8A5D4C"/>
    <w:rsid w:val="4C912FFE"/>
    <w:rsid w:val="4CBF3180"/>
    <w:rsid w:val="4CEF36E2"/>
    <w:rsid w:val="4CEF4DC5"/>
    <w:rsid w:val="4CF54750"/>
    <w:rsid w:val="4D052C06"/>
    <w:rsid w:val="4D1A44ED"/>
    <w:rsid w:val="4D3F5AB1"/>
    <w:rsid w:val="4D681B08"/>
    <w:rsid w:val="4D71425A"/>
    <w:rsid w:val="4D73233C"/>
    <w:rsid w:val="4D7E517F"/>
    <w:rsid w:val="4DA22C22"/>
    <w:rsid w:val="4DA515FE"/>
    <w:rsid w:val="4DE95FD3"/>
    <w:rsid w:val="4DFF0DF6"/>
    <w:rsid w:val="4E073A02"/>
    <w:rsid w:val="4E0E218A"/>
    <w:rsid w:val="4E146DCE"/>
    <w:rsid w:val="4E257655"/>
    <w:rsid w:val="4E4A12EF"/>
    <w:rsid w:val="4E565B2A"/>
    <w:rsid w:val="4E5D479A"/>
    <w:rsid w:val="4E7E4774"/>
    <w:rsid w:val="4E8E20AF"/>
    <w:rsid w:val="4E955E09"/>
    <w:rsid w:val="4EA248CB"/>
    <w:rsid w:val="4ECE2531"/>
    <w:rsid w:val="4EE908E7"/>
    <w:rsid w:val="4EF301C4"/>
    <w:rsid w:val="4F19255B"/>
    <w:rsid w:val="4F2D3BE4"/>
    <w:rsid w:val="4F372380"/>
    <w:rsid w:val="4F372FFB"/>
    <w:rsid w:val="4F3B1580"/>
    <w:rsid w:val="4F432AAB"/>
    <w:rsid w:val="4F5B241B"/>
    <w:rsid w:val="4F71730E"/>
    <w:rsid w:val="4F7A3E56"/>
    <w:rsid w:val="4F9A15E1"/>
    <w:rsid w:val="4FA472FB"/>
    <w:rsid w:val="4FC81DBA"/>
    <w:rsid w:val="4FD97565"/>
    <w:rsid w:val="4FEA0FA9"/>
    <w:rsid w:val="50407270"/>
    <w:rsid w:val="50760AC1"/>
    <w:rsid w:val="50840434"/>
    <w:rsid w:val="508A5366"/>
    <w:rsid w:val="50A6110E"/>
    <w:rsid w:val="50BC3549"/>
    <w:rsid w:val="50CB3128"/>
    <w:rsid w:val="50D44007"/>
    <w:rsid w:val="50DA64CD"/>
    <w:rsid w:val="50F442ED"/>
    <w:rsid w:val="50FA523A"/>
    <w:rsid w:val="51274BA3"/>
    <w:rsid w:val="515E6E11"/>
    <w:rsid w:val="51664E3F"/>
    <w:rsid w:val="51B31DF8"/>
    <w:rsid w:val="51BD002A"/>
    <w:rsid w:val="51CA5FDB"/>
    <w:rsid w:val="51F70465"/>
    <w:rsid w:val="52043EAB"/>
    <w:rsid w:val="52263E21"/>
    <w:rsid w:val="52395ECD"/>
    <w:rsid w:val="525F1185"/>
    <w:rsid w:val="52697A2B"/>
    <w:rsid w:val="527964A5"/>
    <w:rsid w:val="52903990"/>
    <w:rsid w:val="52B14033"/>
    <w:rsid w:val="52B256B5"/>
    <w:rsid w:val="52C10D75"/>
    <w:rsid w:val="52D0366B"/>
    <w:rsid w:val="530B1CDE"/>
    <w:rsid w:val="531E6161"/>
    <w:rsid w:val="5339518B"/>
    <w:rsid w:val="534736D7"/>
    <w:rsid w:val="534C4843"/>
    <w:rsid w:val="53A21BF6"/>
    <w:rsid w:val="53B042EA"/>
    <w:rsid w:val="53C27FF8"/>
    <w:rsid w:val="53DD0E57"/>
    <w:rsid w:val="53E83B05"/>
    <w:rsid w:val="53EC7F58"/>
    <w:rsid w:val="541376E1"/>
    <w:rsid w:val="543F566E"/>
    <w:rsid w:val="544E1E15"/>
    <w:rsid w:val="547277F2"/>
    <w:rsid w:val="54740820"/>
    <w:rsid w:val="549E1A80"/>
    <w:rsid w:val="54A9191E"/>
    <w:rsid w:val="54B30A3A"/>
    <w:rsid w:val="54C658F4"/>
    <w:rsid w:val="54E355D7"/>
    <w:rsid w:val="54E56216"/>
    <w:rsid w:val="550C4BD7"/>
    <w:rsid w:val="55106851"/>
    <w:rsid w:val="551F137C"/>
    <w:rsid w:val="55482300"/>
    <w:rsid w:val="554C1D56"/>
    <w:rsid w:val="55572986"/>
    <w:rsid w:val="557650C0"/>
    <w:rsid w:val="55AB05A8"/>
    <w:rsid w:val="55AE6607"/>
    <w:rsid w:val="55B61960"/>
    <w:rsid w:val="55BD3B21"/>
    <w:rsid w:val="55C32776"/>
    <w:rsid w:val="55FB6B0B"/>
    <w:rsid w:val="561D378D"/>
    <w:rsid w:val="5627529A"/>
    <w:rsid w:val="564360B0"/>
    <w:rsid w:val="56465177"/>
    <w:rsid w:val="565340FA"/>
    <w:rsid w:val="56710849"/>
    <w:rsid w:val="56762439"/>
    <w:rsid w:val="567F0E13"/>
    <w:rsid w:val="569E305F"/>
    <w:rsid w:val="56A25A40"/>
    <w:rsid w:val="56D22275"/>
    <w:rsid w:val="56D83668"/>
    <w:rsid w:val="56E758A3"/>
    <w:rsid w:val="56F73FDE"/>
    <w:rsid w:val="56FA762A"/>
    <w:rsid w:val="570E000D"/>
    <w:rsid w:val="572B28B5"/>
    <w:rsid w:val="57361D33"/>
    <w:rsid w:val="573E0B7F"/>
    <w:rsid w:val="57572D54"/>
    <w:rsid w:val="57862283"/>
    <w:rsid w:val="578C1931"/>
    <w:rsid w:val="57B10631"/>
    <w:rsid w:val="57E26A3C"/>
    <w:rsid w:val="57F37E9F"/>
    <w:rsid w:val="5826075F"/>
    <w:rsid w:val="58295086"/>
    <w:rsid w:val="58462E9E"/>
    <w:rsid w:val="5899277D"/>
    <w:rsid w:val="58C12AF6"/>
    <w:rsid w:val="58C54B31"/>
    <w:rsid w:val="58CB5722"/>
    <w:rsid w:val="58D93A29"/>
    <w:rsid w:val="58F73FD7"/>
    <w:rsid w:val="59107F31"/>
    <w:rsid w:val="59655F37"/>
    <w:rsid w:val="59856976"/>
    <w:rsid w:val="598A464D"/>
    <w:rsid w:val="59957B7A"/>
    <w:rsid w:val="59AA2C00"/>
    <w:rsid w:val="59E051FD"/>
    <w:rsid w:val="59E85E60"/>
    <w:rsid w:val="5A13112F"/>
    <w:rsid w:val="5A2F2CC8"/>
    <w:rsid w:val="5A56101C"/>
    <w:rsid w:val="5AA07FC6"/>
    <w:rsid w:val="5AA555A4"/>
    <w:rsid w:val="5ABC17C7"/>
    <w:rsid w:val="5AC02939"/>
    <w:rsid w:val="5AC76EA1"/>
    <w:rsid w:val="5AD24C4D"/>
    <w:rsid w:val="5AFC69A4"/>
    <w:rsid w:val="5B305D11"/>
    <w:rsid w:val="5B345801"/>
    <w:rsid w:val="5B4763B9"/>
    <w:rsid w:val="5B8B12F5"/>
    <w:rsid w:val="5BAF6C35"/>
    <w:rsid w:val="5BC903AC"/>
    <w:rsid w:val="5BF42528"/>
    <w:rsid w:val="5BF9099D"/>
    <w:rsid w:val="5BFA7EF6"/>
    <w:rsid w:val="5C10702D"/>
    <w:rsid w:val="5C152601"/>
    <w:rsid w:val="5C160BD4"/>
    <w:rsid w:val="5C333B91"/>
    <w:rsid w:val="5C3D2493"/>
    <w:rsid w:val="5C6A36E5"/>
    <w:rsid w:val="5C8A1B2F"/>
    <w:rsid w:val="5C8A6711"/>
    <w:rsid w:val="5C8E6128"/>
    <w:rsid w:val="5C974299"/>
    <w:rsid w:val="5CA80969"/>
    <w:rsid w:val="5CAF66C2"/>
    <w:rsid w:val="5CB97A26"/>
    <w:rsid w:val="5CC901CB"/>
    <w:rsid w:val="5CDD4D8E"/>
    <w:rsid w:val="5CDD7856"/>
    <w:rsid w:val="5CE77144"/>
    <w:rsid w:val="5CEA1EE5"/>
    <w:rsid w:val="5CFB0534"/>
    <w:rsid w:val="5D123920"/>
    <w:rsid w:val="5D132369"/>
    <w:rsid w:val="5D137698"/>
    <w:rsid w:val="5D177FC0"/>
    <w:rsid w:val="5D356109"/>
    <w:rsid w:val="5D380EAD"/>
    <w:rsid w:val="5D3979B9"/>
    <w:rsid w:val="5D6427B4"/>
    <w:rsid w:val="5D9537B3"/>
    <w:rsid w:val="5D97352F"/>
    <w:rsid w:val="5D9F1513"/>
    <w:rsid w:val="5DA44BD0"/>
    <w:rsid w:val="5DB82B9E"/>
    <w:rsid w:val="5DD55853"/>
    <w:rsid w:val="5DDE1A54"/>
    <w:rsid w:val="5E0013F0"/>
    <w:rsid w:val="5E457D25"/>
    <w:rsid w:val="5E572171"/>
    <w:rsid w:val="5EB011E7"/>
    <w:rsid w:val="5EB26982"/>
    <w:rsid w:val="5EC73D8E"/>
    <w:rsid w:val="5EEA73F4"/>
    <w:rsid w:val="5EEB5BF2"/>
    <w:rsid w:val="5F0D58EA"/>
    <w:rsid w:val="5F335DCF"/>
    <w:rsid w:val="5F5E25BD"/>
    <w:rsid w:val="5F681F1D"/>
    <w:rsid w:val="5F863D8D"/>
    <w:rsid w:val="5F8B70D8"/>
    <w:rsid w:val="5F8D0C6F"/>
    <w:rsid w:val="5F954EF8"/>
    <w:rsid w:val="5F984B3A"/>
    <w:rsid w:val="5FAB7745"/>
    <w:rsid w:val="5FC627A0"/>
    <w:rsid w:val="5FD44EBD"/>
    <w:rsid w:val="600D4872"/>
    <w:rsid w:val="60106DBA"/>
    <w:rsid w:val="606007BB"/>
    <w:rsid w:val="60630DEA"/>
    <w:rsid w:val="60653D5A"/>
    <w:rsid w:val="607C1729"/>
    <w:rsid w:val="607D1DDF"/>
    <w:rsid w:val="607D669F"/>
    <w:rsid w:val="60825B3F"/>
    <w:rsid w:val="609E371C"/>
    <w:rsid w:val="60A46F85"/>
    <w:rsid w:val="60AA38DE"/>
    <w:rsid w:val="60AC7F66"/>
    <w:rsid w:val="60EE2705"/>
    <w:rsid w:val="61100229"/>
    <w:rsid w:val="611761ED"/>
    <w:rsid w:val="611B1AB8"/>
    <w:rsid w:val="612279AD"/>
    <w:rsid w:val="619049A4"/>
    <w:rsid w:val="61A05284"/>
    <w:rsid w:val="61A14487"/>
    <w:rsid w:val="61BF10D9"/>
    <w:rsid w:val="61D712AB"/>
    <w:rsid w:val="61DC566A"/>
    <w:rsid w:val="61E3588B"/>
    <w:rsid w:val="620926BC"/>
    <w:rsid w:val="620A72BB"/>
    <w:rsid w:val="620B6B90"/>
    <w:rsid w:val="621D3283"/>
    <w:rsid w:val="62257E2A"/>
    <w:rsid w:val="622A5268"/>
    <w:rsid w:val="622F27B1"/>
    <w:rsid w:val="622F3C7D"/>
    <w:rsid w:val="623065F6"/>
    <w:rsid w:val="62414C29"/>
    <w:rsid w:val="625F22C2"/>
    <w:rsid w:val="628D0E3A"/>
    <w:rsid w:val="62AC22DC"/>
    <w:rsid w:val="62B66AFB"/>
    <w:rsid w:val="62C938AB"/>
    <w:rsid w:val="62D17DD9"/>
    <w:rsid w:val="62D82240"/>
    <w:rsid w:val="62FD7CCE"/>
    <w:rsid w:val="630E4B89"/>
    <w:rsid w:val="633640E0"/>
    <w:rsid w:val="633F2AA8"/>
    <w:rsid w:val="636B52CA"/>
    <w:rsid w:val="63711BF0"/>
    <w:rsid w:val="63866648"/>
    <w:rsid w:val="639C5550"/>
    <w:rsid w:val="63AB24FE"/>
    <w:rsid w:val="63B868A3"/>
    <w:rsid w:val="63E62D3A"/>
    <w:rsid w:val="64107061"/>
    <w:rsid w:val="64572560"/>
    <w:rsid w:val="64636EAC"/>
    <w:rsid w:val="646661D7"/>
    <w:rsid w:val="64712C5F"/>
    <w:rsid w:val="647E3DEF"/>
    <w:rsid w:val="648570CD"/>
    <w:rsid w:val="64871ED1"/>
    <w:rsid w:val="648750C4"/>
    <w:rsid w:val="64992B79"/>
    <w:rsid w:val="649D4417"/>
    <w:rsid w:val="649E018F"/>
    <w:rsid w:val="64A13A15"/>
    <w:rsid w:val="64AD3F2E"/>
    <w:rsid w:val="64B147DE"/>
    <w:rsid w:val="64BD21E6"/>
    <w:rsid w:val="64CB4EF4"/>
    <w:rsid w:val="64D8657C"/>
    <w:rsid w:val="64E45EF7"/>
    <w:rsid w:val="65131239"/>
    <w:rsid w:val="651346D9"/>
    <w:rsid w:val="65197815"/>
    <w:rsid w:val="65262DBD"/>
    <w:rsid w:val="65386C6F"/>
    <w:rsid w:val="65510D5D"/>
    <w:rsid w:val="65654DE3"/>
    <w:rsid w:val="65851294"/>
    <w:rsid w:val="65A07776"/>
    <w:rsid w:val="65A91735"/>
    <w:rsid w:val="65EC0A86"/>
    <w:rsid w:val="6609788A"/>
    <w:rsid w:val="660E6F12"/>
    <w:rsid w:val="66186808"/>
    <w:rsid w:val="66245638"/>
    <w:rsid w:val="66246472"/>
    <w:rsid w:val="663A47D5"/>
    <w:rsid w:val="664D5A0D"/>
    <w:rsid w:val="665C20B0"/>
    <w:rsid w:val="6665172C"/>
    <w:rsid w:val="667F13C0"/>
    <w:rsid w:val="6686712D"/>
    <w:rsid w:val="668A7DF4"/>
    <w:rsid w:val="6691014E"/>
    <w:rsid w:val="66EA2B5A"/>
    <w:rsid w:val="66F61BBC"/>
    <w:rsid w:val="66F67E0E"/>
    <w:rsid w:val="674F2968"/>
    <w:rsid w:val="674F751F"/>
    <w:rsid w:val="67574148"/>
    <w:rsid w:val="677435B2"/>
    <w:rsid w:val="67766643"/>
    <w:rsid w:val="67823075"/>
    <w:rsid w:val="67EF75F1"/>
    <w:rsid w:val="67F3753B"/>
    <w:rsid w:val="67FD51CC"/>
    <w:rsid w:val="683F7593"/>
    <w:rsid w:val="686E5E28"/>
    <w:rsid w:val="687A4A6F"/>
    <w:rsid w:val="68A613C0"/>
    <w:rsid w:val="68E0239E"/>
    <w:rsid w:val="69124F16"/>
    <w:rsid w:val="691272A6"/>
    <w:rsid w:val="69133308"/>
    <w:rsid w:val="69191363"/>
    <w:rsid w:val="691A0356"/>
    <w:rsid w:val="69315D51"/>
    <w:rsid w:val="69361E6C"/>
    <w:rsid w:val="69414D62"/>
    <w:rsid w:val="69456D51"/>
    <w:rsid w:val="69684B84"/>
    <w:rsid w:val="69866DF1"/>
    <w:rsid w:val="698823BC"/>
    <w:rsid w:val="69A3037F"/>
    <w:rsid w:val="69A97868"/>
    <w:rsid w:val="69AF43AE"/>
    <w:rsid w:val="69CC65B3"/>
    <w:rsid w:val="69CD5C14"/>
    <w:rsid w:val="69CF0D33"/>
    <w:rsid w:val="69DF10CC"/>
    <w:rsid w:val="69EC44A4"/>
    <w:rsid w:val="6A075683"/>
    <w:rsid w:val="6A31115D"/>
    <w:rsid w:val="6A7D7634"/>
    <w:rsid w:val="6A815C41"/>
    <w:rsid w:val="6A890218"/>
    <w:rsid w:val="6AAD2EDA"/>
    <w:rsid w:val="6AE52D57"/>
    <w:rsid w:val="6B034621"/>
    <w:rsid w:val="6B3702EB"/>
    <w:rsid w:val="6B83565B"/>
    <w:rsid w:val="6B9946B3"/>
    <w:rsid w:val="6BAE6F0A"/>
    <w:rsid w:val="6BC93D43"/>
    <w:rsid w:val="6BFA101A"/>
    <w:rsid w:val="6C183322"/>
    <w:rsid w:val="6C3755D6"/>
    <w:rsid w:val="6C445C90"/>
    <w:rsid w:val="6C7007C7"/>
    <w:rsid w:val="6C737281"/>
    <w:rsid w:val="6C851A4C"/>
    <w:rsid w:val="6C877D3F"/>
    <w:rsid w:val="6C935A12"/>
    <w:rsid w:val="6CC575D8"/>
    <w:rsid w:val="6CCF0AB9"/>
    <w:rsid w:val="6CD96208"/>
    <w:rsid w:val="6CE42609"/>
    <w:rsid w:val="6CF37CE2"/>
    <w:rsid w:val="6D003795"/>
    <w:rsid w:val="6D01750D"/>
    <w:rsid w:val="6D050DAB"/>
    <w:rsid w:val="6D3051F6"/>
    <w:rsid w:val="6D4E7801"/>
    <w:rsid w:val="6D721B8C"/>
    <w:rsid w:val="6D806684"/>
    <w:rsid w:val="6D985E6C"/>
    <w:rsid w:val="6DA5192F"/>
    <w:rsid w:val="6DD3182A"/>
    <w:rsid w:val="6DE704B1"/>
    <w:rsid w:val="6DE76850"/>
    <w:rsid w:val="6E054DDB"/>
    <w:rsid w:val="6E322FA8"/>
    <w:rsid w:val="6E386F5E"/>
    <w:rsid w:val="6E516013"/>
    <w:rsid w:val="6E6019C0"/>
    <w:rsid w:val="6E6E3A98"/>
    <w:rsid w:val="6E7B544A"/>
    <w:rsid w:val="6E9E74AE"/>
    <w:rsid w:val="6EA62BE8"/>
    <w:rsid w:val="6F093EDE"/>
    <w:rsid w:val="6F0E0035"/>
    <w:rsid w:val="6F26561D"/>
    <w:rsid w:val="6F2863E1"/>
    <w:rsid w:val="6F287F6F"/>
    <w:rsid w:val="6F3331A6"/>
    <w:rsid w:val="6F347726"/>
    <w:rsid w:val="6F47051E"/>
    <w:rsid w:val="6F76390A"/>
    <w:rsid w:val="6F8306AD"/>
    <w:rsid w:val="6F8E3EFF"/>
    <w:rsid w:val="6FA259FE"/>
    <w:rsid w:val="6FAB4B62"/>
    <w:rsid w:val="6FB20BD4"/>
    <w:rsid w:val="6FB36A7D"/>
    <w:rsid w:val="6FBA59BE"/>
    <w:rsid w:val="6FD701AB"/>
    <w:rsid w:val="7003534A"/>
    <w:rsid w:val="70296B3E"/>
    <w:rsid w:val="70514307"/>
    <w:rsid w:val="705345D7"/>
    <w:rsid w:val="70611204"/>
    <w:rsid w:val="70B34AAC"/>
    <w:rsid w:val="70BA00FF"/>
    <w:rsid w:val="710475CC"/>
    <w:rsid w:val="7110457A"/>
    <w:rsid w:val="712D5754"/>
    <w:rsid w:val="713954C7"/>
    <w:rsid w:val="71866233"/>
    <w:rsid w:val="71886F43"/>
    <w:rsid w:val="71961B94"/>
    <w:rsid w:val="71983E33"/>
    <w:rsid w:val="719E532A"/>
    <w:rsid w:val="71CE4CC3"/>
    <w:rsid w:val="71CF0110"/>
    <w:rsid w:val="72417401"/>
    <w:rsid w:val="72424D2E"/>
    <w:rsid w:val="725D6F93"/>
    <w:rsid w:val="726653A5"/>
    <w:rsid w:val="726E2F4F"/>
    <w:rsid w:val="727360BC"/>
    <w:rsid w:val="728F17BE"/>
    <w:rsid w:val="72A72C8E"/>
    <w:rsid w:val="72CD6EFE"/>
    <w:rsid w:val="72DF7ADC"/>
    <w:rsid w:val="72E2143E"/>
    <w:rsid w:val="73395F4E"/>
    <w:rsid w:val="733E6DC5"/>
    <w:rsid w:val="73424EEB"/>
    <w:rsid w:val="73610D05"/>
    <w:rsid w:val="737A105C"/>
    <w:rsid w:val="737E5413"/>
    <w:rsid w:val="739B20C2"/>
    <w:rsid w:val="73F73418"/>
    <w:rsid w:val="740C6EC3"/>
    <w:rsid w:val="74235F1B"/>
    <w:rsid w:val="74397153"/>
    <w:rsid w:val="744C3764"/>
    <w:rsid w:val="747B5F8D"/>
    <w:rsid w:val="747D5566"/>
    <w:rsid w:val="7489637A"/>
    <w:rsid w:val="749916A0"/>
    <w:rsid w:val="74A94712"/>
    <w:rsid w:val="74C432FA"/>
    <w:rsid w:val="74ED0139"/>
    <w:rsid w:val="74FA2C30"/>
    <w:rsid w:val="754B6AFD"/>
    <w:rsid w:val="754D5C4B"/>
    <w:rsid w:val="75602B61"/>
    <w:rsid w:val="756E3266"/>
    <w:rsid w:val="75846F2D"/>
    <w:rsid w:val="75874327"/>
    <w:rsid w:val="758C31D7"/>
    <w:rsid w:val="759B4693"/>
    <w:rsid w:val="75D83A31"/>
    <w:rsid w:val="75E10B48"/>
    <w:rsid w:val="75F06371"/>
    <w:rsid w:val="75FC2F67"/>
    <w:rsid w:val="764861C3"/>
    <w:rsid w:val="765E777E"/>
    <w:rsid w:val="76764AC8"/>
    <w:rsid w:val="76857FAE"/>
    <w:rsid w:val="768D377F"/>
    <w:rsid w:val="768E32DD"/>
    <w:rsid w:val="76AA651F"/>
    <w:rsid w:val="76B178AE"/>
    <w:rsid w:val="76C240A7"/>
    <w:rsid w:val="76C77A19"/>
    <w:rsid w:val="76CF5F86"/>
    <w:rsid w:val="76FA5440"/>
    <w:rsid w:val="76FB2B06"/>
    <w:rsid w:val="772A7ADE"/>
    <w:rsid w:val="772F14C5"/>
    <w:rsid w:val="773109EF"/>
    <w:rsid w:val="77383B2B"/>
    <w:rsid w:val="773A5EC2"/>
    <w:rsid w:val="7741526D"/>
    <w:rsid w:val="775246B7"/>
    <w:rsid w:val="7767567E"/>
    <w:rsid w:val="77764DEB"/>
    <w:rsid w:val="77EB6DF0"/>
    <w:rsid w:val="781E69D1"/>
    <w:rsid w:val="782C7B34"/>
    <w:rsid w:val="785B5D23"/>
    <w:rsid w:val="785C6323"/>
    <w:rsid w:val="78654DF4"/>
    <w:rsid w:val="786D5A56"/>
    <w:rsid w:val="7878384E"/>
    <w:rsid w:val="7890545F"/>
    <w:rsid w:val="790E75EE"/>
    <w:rsid w:val="791163BE"/>
    <w:rsid w:val="79120F2B"/>
    <w:rsid w:val="793D18CD"/>
    <w:rsid w:val="794529F6"/>
    <w:rsid w:val="794744F9"/>
    <w:rsid w:val="7950576A"/>
    <w:rsid w:val="79571F63"/>
    <w:rsid w:val="797572B9"/>
    <w:rsid w:val="797F5A41"/>
    <w:rsid w:val="7990463C"/>
    <w:rsid w:val="79A84CF6"/>
    <w:rsid w:val="79AE371B"/>
    <w:rsid w:val="79BB01FF"/>
    <w:rsid w:val="79BE1949"/>
    <w:rsid w:val="79CE5144"/>
    <w:rsid w:val="79D407E1"/>
    <w:rsid w:val="79F75F20"/>
    <w:rsid w:val="7A1362BF"/>
    <w:rsid w:val="7A263B6B"/>
    <w:rsid w:val="7A3D371A"/>
    <w:rsid w:val="7A654B6F"/>
    <w:rsid w:val="7A6A5B33"/>
    <w:rsid w:val="7A710463"/>
    <w:rsid w:val="7AB14320"/>
    <w:rsid w:val="7AB364C5"/>
    <w:rsid w:val="7AB92936"/>
    <w:rsid w:val="7AC04563"/>
    <w:rsid w:val="7AD61FD9"/>
    <w:rsid w:val="7AF46346"/>
    <w:rsid w:val="7B0F5EBF"/>
    <w:rsid w:val="7B130FB9"/>
    <w:rsid w:val="7B1F416D"/>
    <w:rsid w:val="7B252618"/>
    <w:rsid w:val="7B517832"/>
    <w:rsid w:val="7B6403BB"/>
    <w:rsid w:val="7B7B6CE0"/>
    <w:rsid w:val="7BC63DFB"/>
    <w:rsid w:val="7BDA1655"/>
    <w:rsid w:val="7BF64EDE"/>
    <w:rsid w:val="7C370313"/>
    <w:rsid w:val="7C400C1E"/>
    <w:rsid w:val="7C5036C5"/>
    <w:rsid w:val="7C694787"/>
    <w:rsid w:val="7CAF663E"/>
    <w:rsid w:val="7CB51D2C"/>
    <w:rsid w:val="7CCB305D"/>
    <w:rsid w:val="7CD24A22"/>
    <w:rsid w:val="7D092A36"/>
    <w:rsid w:val="7D197471"/>
    <w:rsid w:val="7D1C7F36"/>
    <w:rsid w:val="7D280F83"/>
    <w:rsid w:val="7D374440"/>
    <w:rsid w:val="7D453DD6"/>
    <w:rsid w:val="7D6D012A"/>
    <w:rsid w:val="7D866FD7"/>
    <w:rsid w:val="7D935F5F"/>
    <w:rsid w:val="7DAC22C2"/>
    <w:rsid w:val="7DD11708"/>
    <w:rsid w:val="7DD270EF"/>
    <w:rsid w:val="7E013417"/>
    <w:rsid w:val="7E290672"/>
    <w:rsid w:val="7E5A0741"/>
    <w:rsid w:val="7E5C45A3"/>
    <w:rsid w:val="7E751B09"/>
    <w:rsid w:val="7EB37A93"/>
    <w:rsid w:val="7EC167BD"/>
    <w:rsid w:val="7ECB7B7D"/>
    <w:rsid w:val="7F272D9E"/>
    <w:rsid w:val="7F465DBB"/>
    <w:rsid w:val="7F5B3AA2"/>
    <w:rsid w:val="7F6322FD"/>
    <w:rsid w:val="7F8B5D77"/>
    <w:rsid w:val="7FAE5097"/>
    <w:rsid w:val="7FBE4C56"/>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8"/>
    <w:autoRedefine/>
    <w:qFormat/>
    <w:uiPriority w:val="9"/>
    <w:pPr>
      <w:keepNext/>
      <w:keepLines/>
      <w:spacing w:before="340" w:after="330" w:line="576" w:lineRule="auto"/>
      <w:outlineLvl w:val="0"/>
    </w:pPr>
    <w:rPr>
      <w:b/>
      <w:kern w:val="44"/>
      <w:sz w:val="44"/>
    </w:rPr>
  </w:style>
  <w:style w:type="paragraph" w:styleId="5">
    <w:name w:val="heading 2"/>
    <w:basedOn w:val="1"/>
    <w:next w:val="1"/>
    <w:link w:val="49"/>
    <w:autoRedefine/>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autoRedefine/>
    <w:qFormat/>
    <w:uiPriority w:val="9"/>
    <w:pPr>
      <w:keepNext/>
      <w:keepLines/>
      <w:spacing w:before="260" w:after="260" w:line="413" w:lineRule="auto"/>
      <w:outlineLvl w:val="2"/>
    </w:pPr>
    <w:rPr>
      <w:b/>
      <w:sz w:val="32"/>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50"/>
    <w:autoRedefine/>
    <w:qFormat/>
    <w:uiPriority w:val="9"/>
    <w:pPr>
      <w:keepNext/>
      <w:keepLines/>
      <w:spacing w:before="280" w:after="290" w:line="376" w:lineRule="auto"/>
      <w:outlineLvl w:val="4"/>
    </w:pPr>
    <w:rPr>
      <w:b/>
      <w:bCs/>
      <w:sz w:val="28"/>
      <w:szCs w:val="28"/>
    </w:rPr>
  </w:style>
  <w:style w:type="paragraph" w:styleId="10">
    <w:name w:val="heading 8"/>
    <w:basedOn w:val="1"/>
    <w:next w:val="1"/>
    <w:link w:val="51"/>
    <w:autoRedefine/>
    <w:qFormat/>
    <w:uiPriority w:val="9"/>
    <w:pPr>
      <w:keepNext/>
      <w:keepLines/>
      <w:spacing w:before="240" w:after="64" w:line="320" w:lineRule="auto"/>
      <w:outlineLvl w:val="7"/>
    </w:pPr>
    <w:rPr>
      <w:rFonts w:ascii="等线 Light" w:hAnsi="等线 Light" w:eastAsia="等线 Light"/>
      <w:sz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7"/>
    <w:autoRedefine/>
    <w:unhideWhenUsed/>
    <w:qFormat/>
    <w:uiPriority w:val="0"/>
    <w:pPr>
      <w:spacing w:after="120"/>
    </w:pPr>
  </w:style>
  <w:style w:type="paragraph" w:styleId="3">
    <w:name w:val="Body Text First Indent"/>
    <w:basedOn w:val="2"/>
    <w:autoRedefine/>
    <w:qFormat/>
    <w:uiPriority w:val="99"/>
    <w:pPr>
      <w:ind w:firstLine="420" w:firstLineChars="100"/>
    </w:pPr>
    <w:rPr>
      <w:rFonts w:ascii="宋体"/>
      <w:sz w:val="34"/>
      <w:szCs w:val="22"/>
    </w:rPr>
  </w:style>
  <w:style w:type="paragraph" w:styleId="9">
    <w:name w:val="Normal Indent"/>
    <w:basedOn w:val="1"/>
    <w:autoRedefine/>
    <w:qFormat/>
    <w:uiPriority w:val="0"/>
    <w:pPr>
      <w:ind w:firstLine="420"/>
    </w:pPr>
    <w:rPr>
      <w:szCs w:val="20"/>
    </w:rPr>
  </w:style>
  <w:style w:type="paragraph" w:styleId="11">
    <w:name w:val="index 8"/>
    <w:basedOn w:val="1"/>
    <w:next w:val="1"/>
    <w:autoRedefine/>
    <w:qFormat/>
    <w:uiPriority w:val="0"/>
    <w:pPr>
      <w:ind w:left="2940"/>
    </w:pPr>
  </w:style>
  <w:style w:type="paragraph" w:styleId="12">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annotation text"/>
    <w:basedOn w:val="1"/>
    <w:link w:val="52"/>
    <w:autoRedefine/>
    <w:qFormat/>
    <w:uiPriority w:val="0"/>
    <w:pPr>
      <w:jc w:val="left"/>
    </w:pPr>
  </w:style>
  <w:style w:type="paragraph" w:styleId="14">
    <w:name w:val="Body Text 3"/>
    <w:basedOn w:val="1"/>
    <w:link w:val="53"/>
    <w:autoRedefine/>
    <w:unhideWhenUsed/>
    <w:qFormat/>
    <w:uiPriority w:val="99"/>
    <w:pPr>
      <w:spacing w:after="120"/>
    </w:pPr>
    <w:rPr>
      <w:sz w:val="16"/>
      <w:szCs w:val="16"/>
    </w:rPr>
  </w:style>
  <w:style w:type="paragraph" w:styleId="15">
    <w:name w:val="Body Text Indent"/>
    <w:basedOn w:val="1"/>
    <w:next w:val="16"/>
    <w:link w:val="54"/>
    <w:autoRedefine/>
    <w:qFormat/>
    <w:uiPriority w:val="0"/>
    <w:pPr>
      <w:ind w:firstLine="830" w:firstLineChars="352"/>
    </w:pPr>
    <w:rPr>
      <w:rFonts w:ascii="仿宋_GB2312" w:eastAsia="仿宋_GB2312"/>
      <w:kern w:val="0"/>
      <w:sz w:val="32"/>
      <w:szCs w:val="20"/>
    </w:rPr>
  </w:style>
  <w:style w:type="paragraph" w:styleId="16">
    <w:name w:val="envelope return"/>
    <w:basedOn w:val="1"/>
    <w:autoRedefine/>
    <w:qFormat/>
    <w:uiPriority w:val="0"/>
    <w:pPr>
      <w:snapToGrid w:val="0"/>
    </w:pPr>
    <w:rPr>
      <w:rFonts w:ascii="Arial" w:hAnsi="Arial"/>
    </w:rPr>
  </w:style>
  <w:style w:type="paragraph" w:styleId="17">
    <w:name w:val="List 2"/>
    <w:basedOn w:val="1"/>
    <w:autoRedefine/>
    <w:unhideWhenUsed/>
    <w:qFormat/>
    <w:uiPriority w:val="99"/>
    <w:pPr>
      <w:ind w:left="100" w:leftChars="200" w:hanging="200" w:hangingChars="200"/>
      <w:contextualSpacing/>
    </w:pPr>
  </w:style>
  <w:style w:type="paragraph" w:styleId="18">
    <w:name w:val="toc 3"/>
    <w:basedOn w:val="1"/>
    <w:next w:val="1"/>
    <w:autoRedefine/>
    <w:unhideWhenUsed/>
    <w:qFormat/>
    <w:uiPriority w:val="39"/>
    <w:pPr>
      <w:ind w:left="840" w:leftChars="400"/>
    </w:pPr>
  </w:style>
  <w:style w:type="paragraph" w:styleId="19">
    <w:name w:val="Plain Text"/>
    <w:basedOn w:val="1"/>
    <w:next w:val="1"/>
    <w:link w:val="55"/>
    <w:autoRedefine/>
    <w:qFormat/>
    <w:uiPriority w:val="0"/>
    <w:rPr>
      <w:rFonts w:ascii="宋体" w:hAnsi="Courier New"/>
      <w:kern w:val="0"/>
      <w:sz w:val="20"/>
      <w:szCs w:val="21"/>
    </w:rPr>
  </w:style>
  <w:style w:type="paragraph" w:styleId="20">
    <w:name w:val="Date"/>
    <w:basedOn w:val="1"/>
    <w:next w:val="1"/>
    <w:link w:val="56"/>
    <w:autoRedefine/>
    <w:unhideWhenUsed/>
    <w:qFormat/>
    <w:uiPriority w:val="99"/>
    <w:pPr>
      <w:ind w:left="100" w:leftChars="2500"/>
    </w:pPr>
  </w:style>
  <w:style w:type="paragraph" w:styleId="21">
    <w:name w:val="Body Text Indent 2"/>
    <w:basedOn w:val="1"/>
    <w:autoRedefine/>
    <w:qFormat/>
    <w:uiPriority w:val="0"/>
    <w:pPr>
      <w:spacing w:line="420" w:lineRule="exact"/>
      <w:ind w:firstLine="409" w:firstLineChars="195"/>
    </w:pPr>
  </w:style>
  <w:style w:type="paragraph" w:styleId="22">
    <w:name w:val="Balloon Text"/>
    <w:basedOn w:val="1"/>
    <w:autoRedefine/>
    <w:semiHidden/>
    <w:qFormat/>
    <w:uiPriority w:val="0"/>
    <w:rPr>
      <w:sz w:val="18"/>
      <w:szCs w:val="18"/>
    </w:rPr>
  </w:style>
  <w:style w:type="paragraph" w:styleId="23">
    <w:name w:val="footer"/>
    <w:basedOn w:val="1"/>
    <w:link w:val="57"/>
    <w:autoRedefine/>
    <w:unhideWhenUsed/>
    <w:qFormat/>
    <w:uiPriority w:val="99"/>
    <w:pPr>
      <w:tabs>
        <w:tab w:val="center" w:pos="4153"/>
        <w:tab w:val="right" w:pos="8306"/>
      </w:tabs>
      <w:snapToGrid w:val="0"/>
      <w:jc w:val="left"/>
    </w:pPr>
    <w:rPr>
      <w:kern w:val="0"/>
      <w:sz w:val="18"/>
      <w:szCs w:val="18"/>
    </w:rPr>
  </w:style>
  <w:style w:type="paragraph" w:styleId="24">
    <w:name w:val="header"/>
    <w:basedOn w:val="1"/>
    <w:link w:val="58"/>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autoRedefine/>
    <w:unhideWhenUsed/>
    <w:qFormat/>
    <w:uiPriority w:val="39"/>
  </w:style>
  <w:style w:type="paragraph" w:styleId="26">
    <w:name w:val="toc 2"/>
    <w:basedOn w:val="1"/>
    <w:next w:val="1"/>
    <w:autoRedefine/>
    <w:unhideWhenUsed/>
    <w:qFormat/>
    <w:uiPriority w:val="39"/>
    <w:pPr>
      <w:tabs>
        <w:tab w:val="right" w:leader="dot" w:pos="8296"/>
      </w:tabs>
      <w:ind w:left="420" w:leftChars="200"/>
    </w:pPr>
  </w:style>
  <w:style w:type="paragraph" w:styleId="27">
    <w:name w:val="Normal (Web)"/>
    <w:basedOn w:val="1"/>
    <w:autoRedefine/>
    <w:unhideWhenUsed/>
    <w:qFormat/>
    <w:uiPriority w:val="99"/>
    <w:rPr>
      <w:rFonts w:ascii="Calibri" w:hAnsi="Calibri"/>
      <w:kern w:val="0"/>
      <w:sz w:val="24"/>
    </w:rPr>
  </w:style>
  <w:style w:type="paragraph" w:styleId="28">
    <w:name w:val="annotation subject"/>
    <w:basedOn w:val="13"/>
    <w:next w:val="13"/>
    <w:link w:val="59"/>
    <w:autoRedefine/>
    <w:qFormat/>
    <w:uiPriority w:val="99"/>
    <w:rPr>
      <w:b/>
      <w:bCs/>
    </w:rPr>
  </w:style>
  <w:style w:type="paragraph" w:styleId="29">
    <w:name w:val="Body Text First Indent 2"/>
    <w:basedOn w:val="15"/>
    <w:autoRedefine/>
    <w:qFormat/>
    <w:uiPriority w:val="0"/>
    <w:pPr>
      <w:ind w:firstLine="420" w:firstLineChars="200"/>
    </w:pPr>
    <w:rPr>
      <w:rFonts w:ascii="Calibri" w:hAnsi="Calibri"/>
      <w:kern w:val="2"/>
    </w:rPr>
  </w:style>
  <w:style w:type="table" w:styleId="31">
    <w:name w:val="Table Grid"/>
    <w:basedOn w:val="30"/>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autoRedefine/>
    <w:qFormat/>
    <w:uiPriority w:val="22"/>
    <w:rPr>
      <w:b/>
    </w:rPr>
  </w:style>
  <w:style w:type="character" w:styleId="34">
    <w:name w:val="endnote reference"/>
    <w:autoRedefine/>
    <w:unhideWhenUsed/>
    <w:qFormat/>
    <w:uiPriority w:val="99"/>
    <w:rPr>
      <w:vertAlign w:val="superscript"/>
    </w:rPr>
  </w:style>
  <w:style w:type="character" w:styleId="35">
    <w:name w:val="page number"/>
    <w:autoRedefine/>
    <w:qFormat/>
    <w:uiPriority w:val="0"/>
  </w:style>
  <w:style w:type="character" w:styleId="36">
    <w:name w:val="FollowedHyperlink"/>
    <w:autoRedefine/>
    <w:unhideWhenUsed/>
    <w:qFormat/>
    <w:uiPriority w:val="99"/>
    <w:rPr>
      <w:color w:val="0088CC"/>
      <w:u w:val="none"/>
    </w:rPr>
  </w:style>
  <w:style w:type="character" w:styleId="37">
    <w:name w:val="HTML Definition"/>
    <w:autoRedefine/>
    <w:unhideWhenUsed/>
    <w:qFormat/>
    <w:uiPriority w:val="99"/>
  </w:style>
  <w:style w:type="character" w:styleId="38">
    <w:name w:val="HTML Typewriter"/>
    <w:autoRedefine/>
    <w:unhideWhenUsed/>
    <w:qFormat/>
    <w:uiPriority w:val="99"/>
    <w:rPr>
      <w:rFonts w:hint="default" w:ascii="monospace" w:hAnsi="monospace" w:eastAsia="monospace" w:cs="monospace"/>
      <w:sz w:val="20"/>
    </w:rPr>
  </w:style>
  <w:style w:type="character" w:styleId="39">
    <w:name w:val="HTML Acronym"/>
    <w:autoRedefine/>
    <w:unhideWhenUsed/>
    <w:qFormat/>
    <w:uiPriority w:val="99"/>
  </w:style>
  <w:style w:type="character" w:styleId="40">
    <w:name w:val="HTML Variable"/>
    <w:autoRedefine/>
    <w:unhideWhenUsed/>
    <w:qFormat/>
    <w:uiPriority w:val="99"/>
  </w:style>
  <w:style w:type="character" w:styleId="41">
    <w:name w:val="Hyperlink"/>
    <w:autoRedefine/>
    <w:unhideWhenUsed/>
    <w:qFormat/>
    <w:uiPriority w:val="99"/>
    <w:rPr>
      <w:color w:val="0088CC"/>
      <w:u w:val="none"/>
    </w:rPr>
  </w:style>
  <w:style w:type="character" w:styleId="42">
    <w:name w:val="HTML Code"/>
    <w:autoRedefine/>
    <w:unhideWhenUsed/>
    <w:qFormat/>
    <w:uiPriority w:val="99"/>
    <w:rPr>
      <w:rFonts w:hint="default" w:ascii="monospace" w:hAnsi="monospace" w:eastAsia="monospace" w:cs="monospace"/>
      <w:sz w:val="20"/>
    </w:rPr>
  </w:style>
  <w:style w:type="character" w:styleId="43">
    <w:name w:val="annotation reference"/>
    <w:autoRedefine/>
    <w:qFormat/>
    <w:uiPriority w:val="0"/>
    <w:rPr>
      <w:sz w:val="21"/>
      <w:szCs w:val="21"/>
    </w:rPr>
  </w:style>
  <w:style w:type="character" w:styleId="44">
    <w:name w:val="HTML Cite"/>
    <w:autoRedefine/>
    <w:unhideWhenUsed/>
    <w:qFormat/>
    <w:uiPriority w:val="99"/>
  </w:style>
  <w:style w:type="character" w:styleId="45">
    <w:name w:val="HTML Keyboard"/>
    <w:autoRedefine/>
    <w:unhideWhenUsed/>
    <w:qFormat/>
    <w:uiPriority w:val="99"/>
    <w:rPr>
      <w:rFonts w:ascii="monospace" w:hAnsi="monospace" w:eastAsia="monospace" w:cs="monospace"/>
      <w:sz w:val="20"/>
    </w:rPr>
  </w:style>
  <w:style w:type="character" w:styleId="46">
    <w:name w:val="HTML Sample"/>
    <w:autoRedefine/>
    <w:unhideWhenUsed/>
    <w:qFormat/>
    <w:uiPriority w:val="99"/>
    <w:rPr>
      <w:rFonts w:hint="default" w:ascii="monospace" w:hAnsi="monospace" w:eastAsia="monospace" w:cs="monospace"/>
    </w:rPr>
  </w:style>
  <w:style w:type="character" w:customStyle="1" w:styleId="47">
    <w:name w:val="正文文本 字符"/>
    <w:link w:val="2"/>
    <w:autoRedefine/>
    <w:qFormat/>
    <w:uiPriority w:val="0"/>
    <w:rPr>
      <w:rFonts w:ascii="Times New Roman" w:hAnsi="Times New Roman"/>
      <w:kern w:val="2"/>
      <w:sz w:val="21"/>
      <w:szCs w:val="24"/>
    </w:rPr>
  </w:style>
  <w:style w:type="character" w:customStyle="1" w:styleId="48">
    <w:name w:val="标题 1 字符"/>
    <w:link w:val="4"/>
    <w:autoRedefine/>
    <w:qFormat/>
    <w:uiPriority w:val="9"/>
    <w:rPr>
      <w:b/>
      <w:kern w:val="44"/>
      <w:sz w:val="44"/>
    </w:rPr>
  </w:style>
  <w:style w:type="character" w:customStyle="1" w:styleId="49">
    <w:name w:val="标题 2 字符"/>
    <w:link w:val="5"/>
    <w:autoRedefine/>
    <w:qFormat/>
    <w:uiPriority w:val="9"/>
    <w:rPr>
      <w:rFonts w:ascii="Cambria" w:hAnsi="Cambria" w:eastAsia="宋体" w:cs="Times New Roman"/>
      <w:b/>
      <w:bCs/>
      <w:kern w:val="2"/>
      <w:sz w:val="32"/>
      <w:szCs w:val="32"/>
    </w:rPr>
  </w:style>
  <w:style w:type="character" w:customStyle="1" w:styleId="50">
    <w:name w:val="标题 5 字符"/>
    <w:link w:val="8"/>
    <w:autoRedefine/>
    <w:semiHidden/>
    <w:qFormat/>
    <w:uiPriority w:val="9"/>
    <w:rPr>
      <w:rFonts w:ascii="Times New Roman" w:hAnsi="Times New Roman"/>
      <w:b/>
      <w:bCs/>
      <w:kern w:val="2"/>
      <w:sz w:val="28"/>
      <w:szCs w:val="28"/>
    </w:rPr>
  </w:style>
  <w:style w:type="character" w:customStyle="1" w:styleId="51">
    <w:name w:val="标题 8 字符"/>
    <w:link w:val="10"/>
    <w:autoRedefine/>
    <w:semiHidden/>
    <w:qFormat/>
    <w:uiPriority w:val="9"/>
    <w:rPr>
      <w:rFonts w:ascii="等线 Light" w:hAnsi="等线 Light" w:eastAsia="等线 Light" w:cs="Times New Roman"/>
      <w:kern w:val="2"/>
      <w:sz w:val="24"/>
      <w:szCs w:val="24"/>
    </w:rPr>
  </w:style>
  <w:style w:type="character" w:customStyle="1" w:styleId="52">
    <w:name w:val="批注文字 字符"/>
    <w:link w:val="13"/>
    <w:autoRedefine/>
    <w:qFormat/>
    <w:uiPriority w:val="0"/>
    <w:rPr>
      <w:rFonts w:ascii="Times New Roman" w:hAnsi="Times New Roman"/>
      <w:kern w:val="2"/>
      <w:sz w:val="21"/>
      <w:szCs w:val="24"/>
    </w:rPr>
  </w:style>
  <w:style w:type="character" w:customStyle="1" w:styleId="53">
    <w:name w:val="正文文本 3 字符"/>
    <w:link w:val="14"/>
    <w:autoRedefine/>
    <w:semiHidden/>
    <w:qFormat/>
    <w:uiPriority w:val="99"/>
    <w:rPr>
      <w:kern w:val="2"/>
      <w:sz w:val="16"/>
      <w:szCs w:val="16"/>
    </w:rPr>
  </w:style>
  <w:style w:type="character" w:customStyle="1" w:styleId="54">
    <w:name w:val="正文文本缩进 字符"/>
    <w:link w:val="15"/>
    <w:autoRedefine/>
    <w:qFormat/>
    <w:uiPriority w:val="0"/>
    <w:rPr>
      <w:rFonts w:ascii="仿宋_GB2312" w:hAnsi="Times New Roman" w:eastAsia="仿宋_GB2312" w:cs="Times New Roman"/>
      <w:sz w:val="32"/>
      <w:szCs w:val="20"/>
    </w:rPr>
  </w:style>
  <w:style w:type="character" w:customStyle="1" w:styleId="55">
    <w:name w:val="纯文本 字符"/>
    <w:link w:val="19"/>
    <w:autoRedefine/>
    <w:qFormat/>
    <w:uiPriority w:val="0"/>
    <w:rPr>
      <w:rFonts w:ascii="宋体" w:hAnsi="Courier New" w:eastAsia="宋体" w:cs="Courier New"/>
      <w:szCs w:val="21"/>
    </w:rPr>
  </w:style>
  <w:style w:type="character" w:customStyle="1" w:styleId="56">
    <w:name w:val="日期 字符"/>
    <w:link w:val="20"/>
    <w:autoRedefine/>
    <w:semiHidden/>
    <w:qFormat/>
    <w:uiPriority w:val="99"/>
    <w:rPr>
      <w:rFonts w:ascii="Times New Roman" w:hAnsi="Times New Roman"/>
      <w:kern w:val="2"/>
      <w:sz w:val="21"/>
      <w:szCs w:val="24"/>
    </w:rPr>
  </w:style>
  <w:style w:type="character" w:customStyle="1" w:styleId="57">
    <w:name w:val="页脚 字符"/>
    <w:link w:val="23"/>
    <w:autoRedefine/>
    <w:qFormat/>
    <w:uiPriority w:val="99"/>
    <w:rPr>
      <w:sz w:val="18"/>
      <w:szCs w:val="18"/>
    </w:rPr>
  </w:style>
  <w:style w:type="character" w:customStyle="1" w:styleId="58">
    <w:name w:val="页眉 字符"/>
    <w:link w:val="24"/>
    <w:autoRedefine/>
    <w:qFormat/>
    <w:uiPriority w:val="99"/>
    <w:rPr>
      <w:sz w:val="18"/>
      <w:szCs w:val="18"/>
    </w:rPr>
  </w:style>
  <w:style w:type="character" w:customStyle="1" w:styleId="59">
    <w:name w:val="批注主题 字符"/>
    <w:link w:val="28"/>
    <w:autoRedefine/>
    <w:qFormat/>
    <w:uiPriority w:val="99"/>
    <w:rPr>
      <w:rFonts w:ascii="Times New Roman" w:hAnsi="Times New Roman"/>
      <w:b/>
      <w:bCs/>
      <w:kern w:val="2"/>
      <w:sz w:val="21"/>
      <w:szCs w:val="24"/>
    </w:rPr>
  </w:style>
  <w:style w:type="character" w:customStyle="1" w:styleId="60">
    <w:name w:val="redfilenumber"/>
    <w:autoRedefine/>
    <w:qFormat/>
    <w:uiPriority w:val="0"/>
    <w:rPr>
      <w:color w:val="BA2636"/>
      <w:sz w:val="18"/>
      <w:szCs w:val="18"/>
    </w:rPr>
  </w:style>
  <w:style w:type="character" w:customStyle="1" w:styleId="61">
    <w:name w:val="l2"/>
    <w:autoRedefine/>
    <w:qFormat/>
    <w:uiPriority w:val="0"/>
  </w:style>
  <w:style w:type="character" w:customStyle="1" w:styleId="62">
    <w:name w:val="next2"/>
    <w:autoRedefine/>
    <w:qFormat/>
    <w:uiPriority w:val="0"/>
    <w:rPr>
      <w:rFonts w:ascii="微软雅黑" w:hAnsi="微软雅黑" w:eastAsia="微软雅黑" w:cs="微软雅黑"/>
      <w:sz w:val="21"/>
      <w:szCs w:val="21"/>
    </w:rPr>
  </w:style>
  <w:style w:type="character" w:customStyle="1" w:styleId="63">
    <w:name w:val="redfilefwwh"/>
    <w:autoRedefine/>
    <w:qFormat/>
    <w:uiPriority w:val="0"/>
    <w:rPr>
      <w:color w:val="BA2636"/>
      <w:sz w:val="18"/>
      <w:szCs w:val="18"/>
    </w:rPr>
  </w:style>
  <w:style w:type="character" w:customStyle="1" w:styleId="64">
    <w:name w:val="apple-style-span"/>
    <w:autoRedefine/>
    <w:qFormat/>
    <w:uiPriority w:val="0"/>
  </w:style>
  <w:style w:type="character" w:customStyle="1" w:styleId="65">
    <w:name w:val="prev3"/>
    <w:autoRedefine/>
    <w:qFormat/>
    <w:uiPriority w:val="0"/>
    <w:rPr>
      <w:color w:val="888888"/>
    </w:rPr>
  </w:style>
  <w:style w:type="character" w:customStyle="1" w:styleId="66">
    <w:name w:val="批注文字 字符1"/>
    <w:autoRedefine/>
    <w:qFormat/>
    <w:uiPriority w:val="0"/>
    <w:rPr>
      <w:rFonts w:ascii="Times New Roman" w:hAnsi="Times New Roman"/>
      <w:kern w:val="2"/>
      <w:sz w:val="21"/>
      <w:szCs w:val="24"/>
    </w:rPr>
  </w:style>
  <w:style w:type="character" w:customStyle="1" w:styleId="67">
    <w:name w:val="gjfg"/>
    <w:autoRedefine/>
    <w:qFormat/>
    <w:uiPriority w:val="0"/>
  </w:style>
  <w:style w:type="character" w:customStyle="1" w:styleId="68">
    <w:name w:val="next3"/>
    <w:autoRedefine/>
    <w:qFormat/>
    <w:uiPriority w:val="0"/>
    <w:rPr>
      <w:color w:val="888888"/>
    </w:rPr>
  </w:style>
  <w:style w:type="character" w:customStyle="1" w:styleId="69">
    <w:name w:val="r"/>
    <w:autoRedefine/>
    <w:qFormat/>
    <w:uiPriority w:val="0"/>
  </w:style>
  <w:style w:type="character" w:customStyle="1" w:styleId="70">
    <w:name w:val="纯文本 Char"/>
    <w:autoRedefine/>
    <w:qFormat/>
    <w:uiPriority w:val="0"/>
    <w:rPr>
      <w:rFonts w:ascii="宋体" w:hAnsi="Courier New" w:eastAsia="宋体" w:cs="Courier New"/>
      <w:szCs w:val="21"/>
    </w:rPr>
  </w:style>
  <w:style w:type="character" w:customStyle="1" w:styleId="71">
    <w:name w:val="正文文本 Char"/>
    <w:autoRedefine/>
    <w:qFormat/>
    <w:uiPriority w:val="0"/>
    <w:rPr>
      <w:rFonts w:ascii="Times New Roman" w:hAnsi="Times New Roman"/>
      <w:kern w:val="2"/>
      <w:sz w:val="21"/>
      <w:szCs w:val="24"/>
    </w:rPr>
  </w:style>
  <w:style w:type="character" w:customStyle="1" w:styleId="72">
    <w:name w:val="批注文字 Char"/>
    <w:autoRedefine/>
    <w:qFormat/>
    <w:uiPriority w:val="0"/>
    <w:rPr>
      <w:rFonts w:ascii="Times New Roman" w:hAnsi="Times New Roman"/>
      <w:kern w:val="2"/>
      <w:sz w:val="21"/>
      <w:szCs w:val="24"/>
    </w:rPr>
  </w:style>
  <w:style w:type="character" w:customStyle="1" w:styleId="73">
    <w:name w:val="textcontents"/>
    <w:autoRedefine/>
    <w:qFormat/>
    <w:uiPriority w:val="0"/>
  </w:style>
  <w:style w:type="character" w:customStyle="1" w:styleId="74">
    <w:name w:val="纯文本 字符1"/>
    <w:autoRedefine/>
    <w:qFormat/>
    <w:uiPriority w:val="0"/>
    <w:rPr>
      <w:rFonts w:ascii="宋体" w:hAnsi="Courier New"/>
    </w:rPr>
  </w:style>
  <w:style w:type="character" w:customStyle="1" w:styleId="75">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6">
    <w:name w:val="纯文本 字符2"/>
    <w:autoRedefine/>
    <w:qFormat/>
    <w:uiPriority w:val="0"/>
    <w:rPr>
      <w:rFonts w:ascii="宋体" w:hAnsi="Courier New" w:eastAsia="宋体" w:cs="Courier New"/>
      <w:szCs w:val="21"/>
    </w:rPr>
  </w:style>
  <w:style w:type="character" w:customStyle="1" w:styleId="77">
    <w:name w:val="标题 2 Char"/>
    <w:autoRedefine/>
    <w:qFormat/>
    <w:uiPriority w:val="9"/>
    <w:rPr>
      <w:rFonts w:ascii="Cambria" w:hAnsi="Cambria" w:eastAsia="宋体" w:cs="Times New Roman"/>
      <w:b/>
      <w:bCs/>
      <w:kern w:val="2"/>
      <w:sz w:val="32"/>
      <w:szCs w:val="32"/>
    </w:rPr>
  </w:style>
  <w:style w:type="character" w:customStyle="1" w:styleId="78">
    <w:name w:val="标题 8 Char"/>
    <w:autoRedefine/>
    <w:qFormat/>
    <w:uiPriority w:val="0"/>
    <w:rPr>
      <w:rFonts w:ascii="Arial" w:hAnsi="Arial" w:eastAsia="黑体"/>
      <w:kern w:val="2"/>
      <w:sz w:val="24"/>
      <w:szCs w:val="24"/>
    </w:rPr>
  </w:style>
  <w:style w:type="character" w:customStyle="1" w:styleId="79">
    <w:name w:val="NormalCharacter"/>
    <w:autoRedefine/>
    <w:qFormat/>
    <w:uiPriority w:val="0"/>
  </w:style>
  <w:style w:type="character" w:customStyle="1" w:styleId="80">
    <w:name w:val="next"/>
    <w:autoRedefine/>
    <w:qFormat/>
    <w:uiPriority w:val="0"/>
    <w:rPr>
      <w:rFonts w:ascii="微软雅黑" w:hAnsi="微软雅黑" w:eastAsia="微软雅黑" w:cs="微软雅黑"/>
      <w:sz w:val="21"/>
      <w:szCs w:val="21"/>
    </w:rPr>
  </w:style>
  <w:style w:type="character" w:customStyle="1" w:styleId="81">
    <w:name w:val="next1"/>
    <w:autoRedefine/>
    <w:qFormat/>
    <w:uiPriority w:val="0"/>
    <w:rPr>
      <w:color w:val="888888"/>
    </w:rPr>
  </w:style>
  <w:style w:type="character" w:customStyle="1" w:styleId="82">
    <w:name w:val="prev2"/>
    <w:autoRedefine/>
    <w:qFormat/>
    <w:uiPriority w:val="0"/>
    <w:rPr>
      <w:rFonts w:hint="eastAsia" w:ascii="微软雅黑" w:hAnsi="微软雅黑" w:eastAsia="微软雅黑" w:cs="微软雅黑"/>
      <w:sz w:val="21"/>
      <w:szCs w:val="21"/>
    </w:rPr>
  </w:style>
  <w:style w:type="character" w:customStyle="1" w:styleId="83">
    <w:name w:val="displayarti"/>
    <w:autoRedefine/>
    <w:qFormat/>
    <w:uiPriority w:val="0"/>
    <w:rPr>
      <w:color w:val="FFFFFF"/>
      <w:shd w:val="clear" w:color="auto" w:fill="A00000"/>
    </w:rPr>
  </w:style>
  <w:style w:type="character" w:customStyle="1" w:styleId="84">
    <w:name w:val="qxdate"/>
    <w:autoRedefine/>
    <w:qFormat/>
    <w:uiPriority w:val="0"/>
    <w:rPr>
      <w:color w:val="333333"/>
      <w:sz w:val="18"/>
      <w:szCs w:val="18"/>
    </w:rPr>
  </w:style>
  <w:style w:type="character" w:customStyle="1" w:styleId="85">
    <w:name w:val="cfdate"/>
    <w:autoRedefine/>
    <w:qFormat/>
    <w:uiPriority w:val="0"/>
    <w:rPr>
      <w:color w:val="333333"/>
      <w:sz w:val="18"/>
      <w:szCs w:val="18"/>
    </w:rPr>
  </w:style>
  <w:style w:type="paragraph" w:customStyle="1" w:styleId="86">
    <w:name w:val="Default"/>
    <w:autoRedefine/>
    <w:qFormat/>
    <w:uiPriority w:val="0"/>
    <w:pPr>
      <w:widowControl w:val="0"/>
      <w:autoSpaceDE w:val="0"/>
      <w:autoSpaceDN w:val="0"/>
      <w:adjustRightInd w:val="0"/>
    </w:pPr>
    <w:rPr>
      <w:rFonts w:ascii="宋体" w:hAnsi="Calibri" w:eastAsia="Calibri" w:cs="宋体"/>
      <w:color w:val="000000"/>
      <w:sz w:val="24"/>
      <w:szCs w:val="24"/>
      <w:lang w:val="en-US" w:eastAsia="zh-CN" w:bidi="ar-SA"/>
    </w:rPr>
  </w:style>
  <w:style w:type="paragraph" w:customStyle="1" w:styleId="87">
    <w:name w:val="默认段落字体 Para Char Char Char Char Char Char Char Char Char1 Char Char Char Char"/>
    <w:basedOn w:val="1"/>
    <w:autoRedefine/>
    <w:qFormat/>
    <w:uiPriority w:val="0"/>
    <w:rPr>
      <w:rFonts w:ascii="Tahoma" w:hAnsi="Tahoma"/>
      <w:sz w:val="24"/>
      <w:szCs w:val="20"/>
    </w:rPr>
  </w:style>
  <w:style w:type="paragraph" w:customStyle="1" w:styleId="88">
    <w:name w:val="表格文字"/>
    <w:basedOn w:val="1"/>
    <w:autoRedefine/>
    <w:qFormat/>
    <w:uiPriority w:val="0"/>
    <w:pPr>
      <w:spacing w:before="25" w:after="25"/>
      <w:jc w:val="left"/>
    </w:pPr>
    <w:rPr>
      <w:bCs/>
      <w:spacing w:val="10"/>
      <w:kern w:val="0"/>
      <w:sz w:val="24"/>
      <w:szCs w:val="20"/>
    </w:rPr>
  </w:style>
  <w:style w:type="paragraph" w:styleId="89">
    <w:name w:val="List Paragraph"/>
    <w:basedOn w:val="1"/>
    <w:autoRedefine/>
    <w:qFormat/>
    <w:uiPriority w:val="34"/>
    <w:pPr>
      <w:ind w:firstLine="420" w:firstLineChars="200"/>
    </w:pPr>
  </w:style>
  <w:style w:type="paragraph" w:customStyle="1" w:styleId="90">
    <w:name w:val="Table Paragraph"/>
    <w:basedOn w:val="1"/>
    <w:autoRedefine/>
    <w:qFormat/>
    <w:uiPriority w:val="1"/>
    <w:rPr>
      <w:rFonts w:ascii="宋体" w:hAnsi="宋体" w:cs="宋体"/>
      <w:lang w:val="zh-CN" w:bidi="zh-CN"/>
    </w:rPr>
  </w:style>
  <w:style w:type="paragraph" w:customStyle="1" w:styleId="91">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character" w:customStyle="1" w:styleId="92">
    <w:name w:val="15"/>
    <w:basedOn w:val="32"/>
    <w:autoRedefine/>
    <w:qFormat/>
    <w:uiPriority w:val="0"/>
    <w:rPr>
      <w:rFonts w:hint="default" w:ascii="Times New Roman" w:hAnsi="Times New Roman" w:cs="Times New Roman"/>
    </w:rPr>
  </w:style>
  <w:style w:type="paragraph" w:customStyle="1" w:styleId="93">
    <w:name w:val="公文正文"/>
    <w:basedOn w:val="94"/>
    <w:qFormat/>
    <w:uiPriority w:val="0"/>
    <w:pPr>
      <w:spacing w:line="520" w:lineRule="exact"/>
      <w:ind w:firstLine="640" w:firstLineChars="200"/>
    </w:pPr>
    <w:rPr>
      <w:rFonts w:eastAsia="仿宋_GB2312"/>
      <w:sz w:val="28"/>
    </w:rPr>
  </w:style>
  <w:style w:type="paragraph" w:customStyle="1" w:styleId="94">
    <w:name w:val="主送单位"/>
    <w:basedOn w:val="1"/>
    <w:qFormat/>
    <w:uiPriority w:val="0"/>
    <w:pPr>
      <w:spacing w:line="560" w:lineRule="exact"/>
    </w:pPr>
    <w:rPr>
      <w:rFonts w:eastAsia="方正仿宋简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423BFB-22FE-454F-A60E-242A3AB203C3}">
  <ds:schemaRefs/>
</ds:datastoreItem>
</file>

<file path=docProps/app.xml><?xml version="1.0" encoding="utf-8"?>
<Properties xmlns="http://schemas.openxmlformats.org/officeDocument/2006/extended-properties" xmlns:vt="http://schemas.openxmlformats.org/officeDocument/2006/docPropsVTypes">
  <Template>Normal</Template>
  <Pages>73</Pages>
  <Words>17748</Words>
  <Characters>18792</Characters>
  <Lines>348</Lines>
  <Paragraphs>98</Paragraphs>
  <TotalTime>8</TotalTime>
  <ScaleCrop>false</ScaleCrop>
  <LinksUpToDate>false</LinksUpToDate>
  <CharactersWithSpaces>19152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2020-07-13T02:59:00Z</dcterms:created>
  <dc:creator>Home3</dc:creator>
  <cp:lastModifiedBy>NTKO</cp:lastModifiedBy>
  <cp:lastPrinted>2022-05-30T02:01:00Z</cp:lastPrinted>
  <dcterms:modified xsi:type="dcterms:W3CDTF">2025-09-24T08:11:10Z</dcterms:modified>
  <dc:title>竞争性磋商文件规范</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C23BA341430D4466821DEB629D128D17_13</vt:lpwstr>
  </property>
  <property fmtid="{D5CDD505-2E9C-101B-9397-08002B2CF9AE}" pid="4" name="KSOTemplateDocerSaveRecord">
    <vt:lpwstr>eyJoZGlkIjoiOWE5MTAwMDgwNjFiNmE0Njg1NjY2YTBiZTliZGZmZGUiLCJ1c2VySWQiOiIyNDI0NDM4MTgifQ==</vt:lpwstr>
  </property>
</Properties>
</file>