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A6258">
      <w:pPr>
        <w:rPr>
          <w:rFonts w:hint="eastAsia" w:ascii="仿宋" w:hAnsi="仿宋" w:eastAsia="仿宋" w:cs="Times New Roman"/>
          <w:b/>
          <w:bCs/>
          <w:color w:val="000000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27"/>
          <w:szCs w:val="27"/>
          <w:highlight w:val="none"/>
          <w:lang w:val="en-US" w:eastAsia="zh-CN"/>
        </w:rPr>
        <w:t>其他补充事宜：</w:t>
      </w:r>
    </w:p>
    <w:p w14:paraId="75E8CB36">
      <w:pPr>
        <w:rPr>
          <w:rFonts w:hint="eastAsia" w:ascii="仿宋" w:hAnsi="仿宋" w:eastAsia="仿宋" w:cs="Times New Roman"/>
          <w:color w:val="000000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7"/>
          <w:szCs w:val="27"/>
          <w:highlight w:val="none"/>
          <w:lang w:val="en-US" w:eastAsia="zh-CN"/>
        </w:rPr>
        <w:t>1分标中标人北京低碳天下科技有限公司、成都育阳碳环境科技有限公司、浙江清华长三角研究院（联合体）综合得分：95.68分；</w:t>
      </w:r>
    </w:p>
    <w:p w14:paraId="2FF1EBB4">
      <w:pPr>
        <w:rPr>
          <w:rFonts w:hint="eastAsia" w:ascii="仿宋" w:hAnsi="仿宋" w:eastAsia="仿宋" w:cs="Times New Roman"/>
          <w:color w:val="000000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7"/>
          <w:szCs w:val="27"/>
          <w:highlight w:val="none"/>
          <w:lang w:val="en-US" w:eastAsia="zh-CN"/>
        </w:rPr>
        <w:t>2分标中标人广西民族大学综合得分：95.65分；</w:t>
      </w:r>
    </w:p>
    <w:p w14:paraId="0181E102">
      <w:pPr>
        <w:rPr>
          <w:rFonts w:hint="eastAsia" w:ascii="仿宋" w:hAnsi="仿宋" w:eastAsia="仿宋" w:cs="Times New Roman"/>
          <w:color w:val="000000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7"/>
          <w:szCs w:val="27"/>
          <w:highlight w:val="none"/>
          <w:lang w:val="en-US" w:eastAsia="zh-CN"/>
        </w:rPr>
        <w:t>3分标中标人点亮智汇科技（北京）有限公司综合得分：85.24分；</w:t>
      </w:r>
    </w:p>
    <w:p w14:paraId="700521B2">
      <w:pPr>
        <w:rPr>
          <w:rFonts w:hint="eastAsia" w:ascii="仿宋" w:hAnsi="仿宋" w:eastAsia="仿宋" w:cs="Times New Roman"/>
          <w:color w:val="000000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7"/>
          <w:szCs w:val="27"/>
          <w:highlight w:val="none"/>
          <w:lang w:val="en-US" w:eastAsia="zh-CN"/>
        </w:rPr>
        <w:t>4分标中标人广西致协节能技术服务有限公司、广西节能降碳协会（联合体）综合得分：77分；</w:t>
      </w:r>
    </w:p>
    <w:p w14:paraId="6A49D4A7">
      <w:pPr>
        <w:rPr>
          <w:rFonts w:hint="eastAsia" w:ascii="仿宋" w:hAnsi="仿宋" w:eastAsia="仿宋" w:cs="Times New Roman"/>
          <w:color w:val="000000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7"/>
          <w:szCs w:val="27"/>
          <w:highlight w:val="none"/>
          <w:lang w:val="en-US" w:eastAsia="zh-CN"/>
        </w:rPr>
        <w:t>5分标中标人贺州学院综合得分：79.34分；</w:t>
      </w:r>
    </w:p>
    <w:p w14:paraId="3AE15BE1">
      <w:pPr>
        <w:rPr>
          <w:rFonts w:hint="default" w:ascii="仿宋" w:hAnsi="仿宋" w:eastAsia="仿宋" w:cs="Times New Roman"/>
          <w:color w:val="000000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7"/>
          <w:szCs w:val="27"/>
          <w:highlight w:val="none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27"/>
          <w:szCs w:val="27"/>
          <w:highlight w:val="none"/>
          <w:lang w:val="en-US" w:eastAsia="zh-CN"/>
        </w:rPr>
        <w:t>分标中标人广西壮族自治区城乡规划设计院综合得分：94.86分；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043B8"/>
    <w:rsid w:val="03E1582D"/>
    <w:rsid w:val="07336933"/>
    <w:rsid w:val="3FB0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633</Characters>
  <Lines>0</Lines>
  <Paragraphs>0</Paragraphs>
  <TotalTime>205</TotalTime>
  <ScaleCrop>false</ScaleCrop>
  <LinksUpToDate>false</LinksUpToDate>
  <CharactersWithSpaces>633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2025-06-19T08:50:00Z</dcterms:created>
  <dc:creator> 招标代理</dc:creator>
  <cp:lastModifiedBy> 招标代理</cp:lastModifiedBy>
  <dcterms:modified xsi:type="dcterms:W3CDTF">2025-07-30T06:59:46Z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4C476029D1DC41ABA2F781BB60D91F41_11</vt:lpwstr>
  </property>
  <property fmtid="{D5CDD505-2E9C-101B-9397-08002B2CF9AE}" pid="4" name="KSOTemplateDocerSaveRecord">
    <vt:lpwstr>eyJoZGlkIjoiZTRkMTliNGE5NTA4YjRlMTY3ODI5NTUyOWMxZGNiMTciLCJ1c2VySWQiOiIyNzI1NDA0OTgifQ==</vt:lpwstr>
  </property>
</Properties>
</file>