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217446030"/>
      <w:bookmarkStart w:id="1" w:name="_Toc183682338"/>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bookmarkStart w:id="115" w:name="_GoBack"/>
            <w:bookmarkEnd w:id="115"/>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0C5BA457">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254970630"/>
      <w:bookmarkStart w:id="3" w:name="_Toc254970489"/>
      <w:bookmarkStart w:id="4" w:name="_Toc139710077"/>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p>
    <w:p w14:paraId="32BC652A">
      <w:pPr>
        <w:pStyle w:val="33"/>
        <w:ind w:firstLine="241"/>
        <w:rPr>
          <w:rFonts w:ascii="Times New Roman" w:hAnsi="Times New Roman"/>
          <w:b w:val="0"/>
          <w:bCs w:val="0"/>
          <w:caps w:val="0"/>
          <w:color w:val="000000" w:themeColor="text1"/>
          <w:sz w:val="21"/>
          <w:szCs w:val="22"/>
          <w14:textFill>
            <w14:solidFill>
              <w14:schemeClr w14:val="tx1"/>
            </w14:solidFill>
          </w14:textFill>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p>
    <w:p w14:paraId="0081C1A5">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"_Toc139710077" </w:instrText>
      </w:r>
      <w:r>
        <w:fldChar w:fldCharType="separate"/>
      </w:r>
      <w:r>
        <w:rPr>
          <w:rStyle w:val="57"/>
          <w:rFonts w:ascii="Times New Roman" w:hAnsi="Times New Roman"/>
          <w:color w:val="000000" w:themeColor="text1"/>
          <w14:textFill>
            <w14:solidFill>
              <w14:schemeClr w14:val="tx1"/>
            </w14:solidFill>
          </w14:textFill>
        </w:rPr>
        <w:t xml:space="preserve">第一章  </w:t>
      </w:r>
      <w:r>
        <w:rPr>
          <w:rStyle w:val="57"/>
          <w:rFonts w:hint="eastAsia" w:ascii="Times New Roman" w:hAnsi="Times New Roman"/>
          <w:color w:val="000000" w:themeColor="text1"/>
          <w14:textFill>
            <w14:solidFill>
              <w14:schemeClr w14:val="tx1"/>
            </w14:solidFill>
          </w14:textFill>
        </w:rPr>
        <w:t>公开招标</w:t>
      </w:r>
      <w:r>
        <w:rPr>
          <w:rStyle w:val="57"/>
          <w:rFonts w:ascii="Times New Roman" w:hAnsi="Times New Roman"/>
          <w:color w:val="000000" w:themeColor="text1"/>
          <w14:textFill>
            <w14:solidFill>
              <w14:schemeClr w14:val="tx1"/>
            </w14:solidFill>
          </w14:textFill>
        </w:rPr>
        <w:t>公告</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_Toc139710077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0CEE9210">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"_Toc139710078" </w:instrText>
      </w:r>
      <w:r>
        <w:fldChar w:fldCharType="separate"/>
      </w:r>
      <w:r>
        <w:rPr>
          <w:rStyle w:val="57"/>
          <w:rFonts w:ascii="Times New Roman" w:hAnsi="Times New Roman"/>
          <w:color w:val="000000" w:themeColor="text1"/>
          <w14:textFill>
            <w14:solidFill>
              <w14:schemeClr w14:val="tx1"/>
            </w14:solidFill>
          </w14:textFill>
        </w:rPr>
        <w:t>第二章  采购需</w:t>
      </w:r>
      <w:bookmarkStart w:id="7" w:name="_Hlt160632042"/>
      <w:r>
        <w:rPr>
          <w:rStyle w:val="57"/>
          <w:rFonts w:ascii="Times New Roman" w:hAnsi="Times New Roman"/>
          <w:color w:val="000000" w:themeColor="text1"/>
          <w14:textFill>
            <w14:solidFill>
              <w14:schemeClr w14:val="tx1"/>
            </w14:solidFill>
          </w14:textFill>
        </w:rPr>
        <w:t>求</w:t>
      </w:r>
      <w:bookmarkEnd w:id="7"/>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_Toc139710078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37662F5B">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"_Toc139710079" </w:instrText>
      </w:r>
      <w:r>
        <w:fldChar w:fldCharType="separate"/>
      </w:r>
      <w:r>
        <w:rPr>
          <w:rStyle w:val="57"/>
          <w:rFonts w:ascii="Times New Roman" w:hAnsi="Times New Roman"/>
          <w:color w:val="000000" w:themeColor="text1"/>
          <w14:textFill>
            <w14:solidFill>
              <w14:schemeClr w14:val="tx1"/>
            </w14:solidFill>
          </w14:textFill>
        </w:rPr>
        <w:t>第三章  供应商</w:t>
      </w:r>
      <w:bookmarkStart w:id="8" w:name="_Hlt160632038"/>
      <w:r>
        <w:rPr>
          <w:rStyle w:val="57"/>
          <w:rFonts w:ascii="Times New Roman" w:hAnsi="Times New Roman"/>
          <w:color w:val="000000" w:themeColor="text1"/>
          <w14:textFill>
            <w14:solidFill>
              <w14:schemeClr w14:val="tx1"/>
            </w14:solidFill>
          </w14:textFill>
        </w:rPr>
        <w:t>须</w:t>
      </w:r>
      <w:bookmarkEnd w:id="8"/>
      <w:bookmarkStart w:id="9" w:name="_Hlt150943264"/>
      <w:r>
        <w:rPr>
          <w:rStyle w:val="57"/>
          <w:rFonts w:ascii="Times New Roman" w:hAnsi="Times New Roman"/>
          <w:color w:val="000000" w:themeColor="text1"/>
          <w14:textFill>
            <w14:solidFill>
              <w14:schemeClr w14:val="tx1"/>
            </w14:solidFill>
          </w14:textFill>
        </w:rPr>
        <w:t>知</w:t>
      </w:r>
      <w:bookmarkEnd w:id="9"/>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_Toc139710079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6633763C">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"_Toc139710080" </w:instrText>
      </w:r>
      <w:r>
        <w:fldChar w:fldCharType="separate"/>
      </w:r>
      <w:r>
        <w:rPr>
          <w:rStyle w:val="57"/>
          <w:rFonts w:ascii="Times New Roman" w:hAnsi="Times New Roman"/>
          <w:color w:val="000000" w:themeColor="text1"/>
          <w14:textFill>
            <w14:solidFill>
              <w14:schemeClr w14:val="tx1"/>
            </w14:solidFill>
          </w14:textFill>
        </w:rPr>
        <w:t>第四章  评审方法</w:t>
      </w:r>
      <w:bookmarkStart w:id="10" w:name="_Hlt160632033"/>
      <w:r>
        <w:rPr>
          <w:rStyle w:val="57"/>
          <w:rFonts w:ascii="Times New Roman" w:hAnsi="Times New Roman"/>
          <w:color w:val="000000" w:themeColor="text1"/>
          <w14:textFill>
            <w14:solidFill>
              <w14:schemeClr w14:val="tx1"/>
            </w14:solidFill>
          </w14:textFill>
        </w:rPr>
        <w:t>及</w:t>
      </w:r>
      <w:bookmarkEnd w:id="10"/>
      <w:r>
        <w:rPr>
          <w:rStyle w:val="57"/>
          <w:rFonts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_Toc139710080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5F4BB88E">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"_Toc139710081" </w:instrText>
      </w:r>
      <w:r>
        <w:fldChar w:fldCharType="separate"/>
      </w:r>
      <w:r>
        <w:rPr>
          <w:rStyle w:val="57"/>
          <w:rFonts w:ascii="Times New Roman" w:hAnsi="Times New Roman"/>
          <w:color w:val="000000" w:themeColor="text1"/>
          <w14:textFill>
            <w14:solidFill>
              <w14:schemeClr w14:val="tx1"/>
            </w14:solidFill>
          </w14:textFill>
        </w:rPr>
        <w:t>第五章  合同主要条款格</w:t>
      </w:r>
      <w:bookmarkStart w:id="11" w:name="_Hlt160632029"/>
      <w:r>
        <w:rPr>
          <w:rStyle w:val="57"/>
          <w:rFonts w:ascii="Times New Roman" w:hAnsi="Times New Roman"/>
          <w:color w:val="000000" w:themeColor="text1"/>
          <w14:textFill>
            <w14:solidFill>
              <w14:schemeClr w14:val="tx1"/>
            </w14:solidFill>
          </w14:textFill>
        </w:rPr>
        <w:t>式</w:t>
      </w:r>
      <w:bookmarkEnd w:id="11"/>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_Toc139710081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35</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6F41AD7">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"_Toc139710082" </w:instrText>
      </w:r>
      <w:r>
        <w:fldChar w:fldCharType="separate"/>
      </w:r>
      <w:r>
        <w:rPr>
          <w:rStyle w:val="57"/>
          <w:rFonts w:ascii="Times New Roman" w:hAnsi="Times New Roman"/>
          <w:color w:val="000000" w:themeColor="text1"/>
          <w14:textFill>
            <w14:solidFill>
              <w14:schemeClr w14:val="tx1"/>
            </w14:solidFill>
          </w14:textFill>
        </w:rPr>
        <w:t xml:space="preserve">第六章  </w:t>
      </w:r>
      <w:bookmarkStart w:id="12" w:name="_Hlt160632026"/>
      <w:bookmarkStart w:id="13" w:name="_Hlt160632025"/>
      <w:r>
        <w:rPr>
          <w:rStyle w:val="57"/>
          <w:rFonts w:hint="eastAsia" w:ascii="Times New Roman" w:hAnsi="Times New Roman"/>
          <w:color w:val="000000" w:themeColor="text1"/>
          <w14:textFill>
            <w14:solidFill>
              <w14:schemeClr w14:val="tx1"/>
            </w14:solidFill>
          </w14:textFill>
        </w:rPr>
        <w:t>投标文件</w:t>
      </w:r>
      <w:r>
        <w:rPr>
          <w:rStyle w:val="57"/>
          <w:rFonts w:ascii="Times New Roman" w:hAnsi="Times New Roman"/>
          <w:color w:val="000000" w:themeColor="text1"/>
          <w14:textFill>
            <w14:solidFill>
              <w14:schemeClr w14:val="tx1"/>
            </w14:solidFill>
          </w14:textFill>
        </w:rPr>
        <w:t>格</w:t>
      </w:r>
      <w:bookmarkEnd w:id="12"/>
      <w:bookmarkEnd w:id="13"/>
      <w:r>
        <w:rPr>
          <w:rStyle w:val="57"/>
          <w:rFonts w:ascii="Times New Roman" w:hAnsi="Times New Roman"/>
          <w:color w:val="000000" w:themeColor="text1"/>
          <w14:textFill>
            <w14:solidFill>
              <w14:schemeClr w14:val="tx1"/>
            </w14:solidFill>
          </w14:textFill>
        </w:rPr>
        <w:t>式</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_Toc139710082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42</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0DB6A298">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28857B1">
      <w:pPr>
        <w:spacing w:before="120" w:beforeLines="50" w:line="480" w:lineRule="exact"/>
        <w:rPr>
          <w:color w:val="000000" w:themeColor="text1"/>
          <w:sz w:val="28"/>
          <w:szCs w:val="28"/>
          <w14:textFill>
            <w14:solidFill>
              <w14:schemeClr w14:val="tx1"/>
            </w14:solidFill>
          </w14:textFill>
        </w:rPr>
      </w:pPr>
    </w:p>
    <w:p w14:paraId="3398FD2A">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4"/>
    </w:p>
    <w:p w14:paraId="19638969">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4E9EB723">
      <w:pPr>
        <w:spacing w:line="312" w:lineRule="auto"/>
        <w:jc w:val="left"/>
        <w:rPr>
          <w:b/>
          <w:bCs/>
          <w:color w:val="000000" w:themeColor="text1"/>
          <w:kern w:val="0"/>
          <w:sz w:val="22"/>
          <w:szCs w:val="22"/>
          <w:highlight w:val="none"/>
          <w14:textFill>
            <w14:solidFill>
              <w14:schemeClr w14:val="tx1"/>
            </w14:solidFill>
          </w14:textFill>
        </w:rPr>
      </w:pPr>
    </w:p>
    <w:p w14:paraId="64A31CF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13A8A04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5929E22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7E2BB6B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4C6EBAE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27DF357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663C46D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226F000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5B449F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45E28D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97A8D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1C7C37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689A45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C090C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799072F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588BE2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8EF741A">
      <w:pPr>
        <w:spacing w:line="312" w:lineRule="auto"/>
        <w:ind w:firstLine="735" w:firstLineChars="350"/>
        <w:jc w:val="left"/>
        <w:rPr>
          <w:color w:val="000000" w:themeColor="text1"/>
          <w:kern w:val="0"/>
          <w:szCs w:val="21"/>
          <w:highlight w:val="none"/>
          <w14:textFill>
            <w14:solidFill>
              <w14:schemeClr w14:val="tx1"/>
            </w14:solidFill>
          </w14:textFill>
        </w:rPr>
      </w:pPr>
    </w:p>
    <w:p w14:paraId="7F3AE42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6CC1D0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52E7DF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F812B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72C657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4A710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739D65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2BCC605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24A63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64B855">
      <w:pPr>
        <w:spacing w:line="312" w:lineRule="auto"/>
        <w:ind w:firstLine="735" w:firstLineChars="350"/>
        <w:jc w:val="left"/>
        <w:rPr>
          <w:color w:val="000000" w:themeColor="text1"/>
          <w:kern w:val="0"/>
          <w:szCs w:val="21"/>
          <w:highlight w:val="none"/>
          <w14:textFill>
            <w14:solidFill>
              <w14:schemeClr w14:val="tx1"/>
            </w14:solidFill>
          </w14:textFill>
        </w:rPr>
      </w:pPr>
    </w:p>
    <w:p w14:paraId="14B71F8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6A87C4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413E63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B8CF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4CE41EF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FAEDE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FFAEE4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E0B1E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776CD8E">
      <w:pPr>
        <w:spacing w:line="312" w:lineRule="auto"/>
        <w:ind w:firstLine="735" w:firstLineChars="350"/>
        <w:jc w:val="left"/>
        <w:rPr>
          <w:color w:val="000000" w:themeColor="text1"/>
          <w:kern w:val="0"/>
          <w:szCs w:val="21"/>
          <w:highlight w:val="none"/>
          <w14:textFill>
            <w14:solidFill>
              <w14:schemeClr w14:val="tx1"/>
            </w14:solidFill>
          </w14:textFill>
        </w:rPr>
      </w:pPr>
    </w:p>
    <w:p w14:paraId="7BD191A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186E20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732F1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393EA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B1A32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336E9C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8B804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E92F71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DB11B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7F6C819">
      <w:pPr>
        <w:spacing w:line="312" w:lineRule="auto"/>
        <w:ind w:firstLine="735" w:firstLineChars="350"/>
        <w:jc w:val="left"/>
        <w:rPr>
          <w:color w:val="000000" w:themeColor="text1"/>
          <w:kern w:val="0"/>
          <w:szCs w:val="21"/>
          <w:highlight w:val="none"/>
          <w14:textFill>
            <w14:solidFill>
              <w14:schemeClr w14:val="tx1"/>
            </w14:solidFill>
          </w14:textFill>
        </w:rPr>
      </w:pPr>
    </w:p>
    <w:p w14:paraId="04FB5A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2193941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14FDF9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2D3EB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12133F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7F2D86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4476378">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161C4C10">
      <w:pPr>
        <w:spacing w:line="312" w:lineRule="auto"/>
        <w:ind w:firstLine="735" w:firstLineChars="350"/>
        <w:jc w:val="left"/>
        <w:rPr>
          <w:color w:val="000000" w:themeColor="text1"/>
          <w:kern w:val="0"/>
          <w:szCs w:val="21"/>
          <w:highlight w:val="none"/>
          <w14:textFill>
            <w14:solidFill>
              <w14:schemeClr w14:val="tx1"/>
            </w14:solidFill>
          </w14:textFill>
        </w:rPr>
      </w:pPr>
    </w:p>
    <w:p w14:paraId="4B5AA42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7A37F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0A57B42">
      <w:pPr>
        <w:spacing w:line="312" w:lineRule="auto"/>
        <w:ind w:firstLine="735" w:firstLineChars="350"/>
        <w:jc w:val="left"/>
        <w:rPr>
          <w:color w:val="000000" w:themeColor="text1"/>
          <w:kern w:val="0"/>
          <w:szCs w:val="21"/>
          <w:highlight w:val="none"/>
          <w14:textFill>
            <w14:solidFill>
              <w14:schemeClr w14:val="tx1"/>
            </w14:solidFill>
          </w14:textFill>
        </w:rPr>
      </w:pPr>
    </w:p>
    <w:p w14:paraId="6B7B064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40053B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3FEB5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56073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105250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8F3DE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342AA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1EF207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08818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60F8D74">
      <w:pPr>
        <w:spacing w:line="312" w:lineRule="auto"/>
        <w:ind w:firstLine="735" w:firstLineChars="350"/>
        <w:jc w:val="left"/>
        <w:rPr>
          <w:color w:val="000000" w:themeColor="text1"/>
          <w:kern w:val="0"/>
          <w:szCs w:val="21"/>
          <w:highlight w:val="none"/>
          <w14:textFill>
            <w14:solidFill>
              <w14:schemeClr w14:val="tx1"/>
            </w14:solidFill>
          </w14:textFill>
        </w:rPr>
      </w:pPr>
    </w:p>
    <w:p w14:paraId="2964E01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E37B7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57C904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66EAD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A1219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47FC73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1EA38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7CDA7DC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273D50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4A2ADFF">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0620FF70">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04FFB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FF42431">
      <w:pPr>
        <w:spacing w:line="312" w:lineRule="auto"/>
        <w:ind w:firstLine="735" w:firstLineChars="350"/>
        <w:jc w:val="left"/>
        <w:rPr>
          <w:color w:val="000000" w:themeColor="text1"/>
          <w:kern w:val="0"/>
          <w:szCs w:val="21"/>
          <w:highlight w:val="none"/>
          <w14:textFill>
            <w14:solidFill>
              <w14:schemeClr w14:val="tx1"/>
            </w14:solidFill>
          </w14:textFill>
        </w:rPr>
      </w:pPr>
    </w:p>
    <w:p w14:paraId="2C8AB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5A8C53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0219AD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864E5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12333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C873C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38460B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7FA3D37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AB7C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D50C0DE">
      <w:pPr>
        <w:spacing w:line="312" w:lineRule="auto"/>
        <w:ind w:firstLine="735" w:firstLineChars="350"/>
        <w:jc w:val="left"/>
        <w:rPr>
          <w:color w:val="000000" w:themeColor="text1"/>
          <w:kern w:val="0"/>
          <w:szCs w:val="21"/>
          <w:highlight w:val="none"/>
          <w14:textFill>
            <w14:solidFill>
              <w14:schemeClr w14:val="tx1"/>
            </w14:solidFill>
          </w14:textFill>
        </w:rPr>
      </w:pPr>
    </w:p>
    <w:p w14:paraId="6BDFD16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1DEC0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3110CA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96AC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49178C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61CDB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4F60A2DB">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0D86F57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33F7C1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3162030">
      <w:pPr>
        <w:spacing w:line="312" w:lineRule="auto"/>
        <w:ind w:firstLine="735" w:firstLineChars="350"/>
        <w:jc w:val="left"/>
        <w:rPr>
          <w:color w:val="000000" w:themeColor="text1"/>
          <w:kern w:val="0"/>
          <w:szCs w:val="21"/>
          <w:highlight w:val="none"/>
          <w14:textFill>
            <w14:solidFill>
              <w14:schemeClr w14:val="tx1"/>
            </w14:solidFill>
          </w14:textFill>
        </w:rPr>
      </w:pPr>
    </w:p>
    <w:p w14:paraId="7DB8909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02899E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6E9EEB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679745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7A8F978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A6A6D2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0D91C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44DBD7C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967F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C7D70B">
      <w:pPr>
        <w:spacing w:line="312" w:lineRule="auto"/>
        <w:ind w:firstLine="735" w:firstLineChars="350"/>
        <w:jc w:val="left"/>
        <w:rPr>
          <w:color w:val="000000" w:themeColor="text1"/>
          <w:kern w:val="0"/>
          <w:szCs w:val="21"/>
          <w:highlight w:val="none"/>
          <w14:textFill>
            <w14:solidFill>
              <w14:schemeClr w14:val="tx1"/>
            </w14:solidFill>
          </w14:textFill>
        </w:rPr>
      </w:pPr>
    </w:p>
    <w:p w14:paraId="3E75F9A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7487C7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0FCD5C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2740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31D82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F1F3D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6E89F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216F4D4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681EE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DBDF191">
      <w:pPr>
        <w:spacing w:line="312" w:lineRule="auto"/>
        <w:ind w:firstLine="735" w:firstLineChars="350"/>
        <w:jc w:val="left"/>
        <w:rPr>
          <w:color w:val="000000" w:themeColor="text1"/>
          <w:kern w:val="0"/>
          <w:szCs w:val="21"/>
          <w:highlight w:val="none"/>
          <w14:textFill>
            <w14:solidFill>
              <w14:schemeClr w14:val="tx1"/>
            </w14:solidFill>
          </w14:textFill>
        </w:rPr>
      </w:pPr>
    </w:p>
    <w:p w14:paraId="1F4D558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36818C6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1404A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F6039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6357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7ABD20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DC5A4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838747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111F5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F570D7F">
      <w:pPr>
        <w:spacing w:line="312" w:lineRule="auto"/>
        <w:ind w:firstLine="735" w:firstLineChars="350"/>
        <w:jc w:val="left"/>
        <w:rPr>
          <w:color w:val="000000" w:themeColor="text1"/>
          <w:kern w:val="0"/>
          <w:szCs w:val="21"/>
          <w:highlight w:val="none"/>
          <w14:textFill>
            <w14:solidFill>
              <w14:schemeClr w14:val="tx1"/>
            </w14:solidFill>
          </w14:textFill>
        </w:rPr>
      </w:pPr>
    </w:p>
    <w:p w14:paraId="79E96B3A">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152806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14EB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D2DCC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791514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4708192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3B5DC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9429B7D">
      <w:pPr>
        <w:spacing w:line="312" w:lineRule="auto"/>
        <w:ind w:firstLine="735" w:firstLineChars="350"/>
        <w:jc w:val="left"/>
        <w:rPr>
          <w:color w:val="000000" w:themeColor="text1"/>
          <w:kern w:val="0"/>
          <w:szCs w:val="21"/>
          <w:highlight w:val="none"/>
          <w14:textFill>
            <w14:solidFill>
              <w14:schemeClr w14:val="tx1"/>
            </w14:solidFill>
          </w14:textFill>
        </w:rPr>
      </w:pPr>
    </w:p>
    <w:p w14:paraId="6506401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44CF734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179820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5A5FC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E8493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7641CB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348DD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2DD022E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29D68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0B6DFAA">
      <w:pPr>
        <w:spacing w:line="312" w:lineRule="auto"/>
        <w:ind w:firstLine="735" w:firstLineChars="350"/>
        <w:jc w:val="left"/>
        <w:rPr>
          <w:color w:val="000000" w:themeColor="text1"/>
          <w:kern w:val="0"/>
          <w:szCs w:val="21"/>
          <w:highlight w:val="none"/>
          <w14:textFill>
            <w14:solidFill>
              <w14:schemeClr w14:val="tx1"/>
            </w14:solidFill>
          </w14:textFill>
        </w:rPr>
      </w:pPr>
    </w:p>
    <w:p w14:paraId="3AEDC1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0BB71A9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149094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C95F0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3BF8A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340767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6E18D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6D8826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696F579">
      <w:pPr>
        <w:spacing w:line="312" w:lineRule="auto"/>
        <w:ind w:firstLine="735" w:firstLineChars="350"/>
        <w:jc w:val="left"/>
        <w:rPr>
          <w:color w:val="000000" w:themeColor="text1"/>
          <w:kern w:val="0"/>
          <w:szCs w:val="21"/>
          <w:highlight w:val="none"/>
          <w14:textFill>
            <w14:solidFill>
              <w14:schemeClr w14:val="tx1"/>
            </w14:solidFill>
          </w14:textFill>
        </w:rPr>
      </w:pPr>
    </w:p>
    <w:p w14:paraId="2D321A8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2F51EB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D03DA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80549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B197E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3A81A6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20856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6FCB14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5A0C44E">
      <w:pPr>
        <w:spacing w:line="312" w:lineRule="auto"/>
        <w:ind w:firstLine="735" w:firstLineChars="350"/>
        <w:jc w:val="left"/>
        <w:rPr>
          <w:color w:val="000000" w:themeColor="text1"/>
          <w:kern w:val="0"/>
          <w:szCs w:val="21"/>
          <w:highlight w:val="none"/>
          <w14:textFill>
            <w14:solidFill>
              <w14:schemeClr w14:val="tx1"/>
            </w14:solidFill>
          </w14:textFill>
        </w:rPr>
      </w:pPr>
    </w:p>
    <w:p w14:paraId="099FDDD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6DD7FB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3BE639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E8E6A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EAD25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3F2EBD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FC899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6CEFAC7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B3E93BA">
      <w:pPr>
        <w:spacing w:line="312" w:lineRule="auto"/>
        <w:ind w:firstLine="735" w:firstLineChars="350"/>
        <w:jc w:val="left"/>
        <w:rPr>
          <w:color w:val="000000" w:themeColor="text1"/>
          <w:kern w:val="0"/>
          <w:szCs w:val="21"/>
          <w:highlight w:val="none"/>
          <w14:textFill>
            <w14:solidFill>
              <w14:schemeClr w14:val="tx1"/>
            </w14:solidFill>
          </w14:textFill>
        </w:rPr>
      </w:pPr>
    </w:p>
    <w:p w14:paraId="0C058D5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57CFD7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612B54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4034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059F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26AC69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858B3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3818014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B5828AA">
      <w:pPr>
        <w:spacing w:line="312" w:lineRule="auto"/>
        <w:ind w:firstLine="735" w:firstLineChars="350"/>
        <w:jc w:val="left"/>
        <w:rPr>
          <w:color w:val="000000" w:themeColor="text1"/>
          <w:kern w:val="0"/>
          <w:szCs w:val="21"/>
          <w:highlight w:val="none"/>
          <w14:textFill>
            <w14:solidFill>
              <w14:schemeClr w14:val="tx1"/>
            </w14:solidFill>
          </w14:textFill>
        </w:rPr>
      </w:pPr>
    </w:p>
    <w:p w14:paraId="64BADB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533273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529D4D9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EDDB6D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8BA50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06A5C7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70CE8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0F5E8C0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86B633C">
      <w:pPr>
        <w:spacing w:line="312" w:lineRule="auto"/>
        <w:ind w:firstLine="735" w:firstLineChars="350"/>
        <w:jc w:val="left"/>
        <w:rPr>
          <w:color w:val="000000" w:themeColor="text1"/>
          <w:kern w:val="0"/>
          <w:szCs w:val="21"/>
          <w:highlight w:val="none"/>
          <w14:textFill>
            <w14:solidFill>
              <w14:schemeClr w14:val="tx1"/>
            </w14:solidFill>
          </w14:textFill>
        </w:rPr>
      </w:pPr>
    </w:p>
    <w:p w14:paraId="517E7C1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57C8DD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369E98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19FEC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0CB1C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3C61A1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2708F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47ACDB3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B5464F2">
      <w:pPr>
        <w:spacing w:line="312" w:lineRule="auto"/>
        <w:ind w:firstLine="735" w:firstLineChars="350"/>
        <w:jc w:val="left"/>
        <w:rPr>
          <w:color w:val="000000" w:themeColor="text1"/>
          <w:kern w:val="0"/>
          <w:szCs w:val="21"/>
          <w:highlight w:val="none"/>
          <w14:textFill>
            <w14:solidFill>
              <w14:schemeClr w14:val="tx1"/>
            </w14:solidFill>
          </w14:textFill>
        </w:rPr>
      </w:pPr>
    </w:p>
    <w:p w14:paraId="226913D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6C5C2D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4935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8DC95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2460FC9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63E871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2029699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4200D64">
      <w:pPr>
        <w:spacing w:line="312" w:lineRule="auto"/>
        <w:ind w:firstLine="735" w:firstLineChars="350"/>
        <w:jc w:val="left"/>
        <w:rPr>
          <w:color w:val="000000" w:themeColor="text1"/>
          <w:kern w:val="0"/>
          <w:szCs w:val="21"/>
          <w:highlight w:val="none"/>
          <w14:textFill>
            <w14:solidFill>
              <w14:schemeClr w14:val="tx1"/>
            </w14:solidFill>
          </w14:textFill>
        </w:rPr>
      </w:pPr>
    </w:p>
    <w:p w14:paraId="23FF84A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1DD17A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738528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831349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26E168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11CE2A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732896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05CBFF3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C28CF7D">
      <w:pPr>
        <w:spacing w:line="312" w:lineRule="auto"/>
        <w:ind w:firstLine="735" w:firstLineChars="350"/>
        <w:jc w:val="left"/>
        <w:rPr>
          <w:color w:val="000000" w:themeColor="text1"/>
          <w:kern w:val="0"/>
          <w:szCs w:val="21"/>
          <w:highlight w:val="none"/>
          <w14:textFill>
            <w14:solidFill>
              <w14:schemeClr w14:val="tx1"/>
            </w14:solidFill>
          </w14:textFill>
        </w:rPr>
      </w:pPr>
    </w:p>
    <w:p w14:paraId="7A03CAE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4AEE0E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6D09F7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845A3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25582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FD4FC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BDE26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6645AF6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7E8A08D">
      <w:pPr>
        <w:spacing w:line="312" w:lineRule="auto"/>
        <w:ind w:firstLine="735" w:firstLineChars="350"/>
        <w:jc w:val="left"/>
        <w:rPr>
          <w:color w:val="000000" w:themeColor="text1"/>
          <w:kern w:val="0"/>
          <w:szCs w:val="21"/>
          <w:highlight w:val="none"/>
          <w14:textFill>
            <w14:solidFill>
              <w14:schemeClr w14:val="tx1"/>
            </w14:solidFill>
          </w14:textFill>
        </w:rPr>
      </w:pPr>
    </w:p>
    <w:p w14:paraId="1E2B8C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5E8C09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502F49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48F01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81FAF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0C21B5A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B0193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1C84A59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4284E3C">
      <w:pPr>
        <w:spacing w:line="312" w:lineRule="auto"/>
        <w:ind w:firstLine="735" w:firstLineChars="350"/>
        <w:jc w:val="left"/>
        <w:rPr>
          <w:color w:val="000000" w:themeColor="text1"/>
          <w:kern w:val="0"/>
          <w:szCs w:val="21"/>
          <w:highlight w:val="none"/>
          <w14:textFill>
            <w14:solidFill>
              <w14:schemeClr w14:val="tx1"/>
            </w14:solidFill>
          </w14:textFill>
        </w:rPr>
      </w:pPr>
    </w:p>
    <w:p w14:paraId="6DFDC1C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77EF9FE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5D5628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D61F9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05FC5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55BC7D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1653C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71DDC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00C4CD3">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0851F83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352FE7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034D7B3B">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5E2BB57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31BD2DC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3118B1E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15C24D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CB828E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1DEAC93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1B52FEF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1B575F9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03314C64">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4D26B735">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1DB1CD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7B9B634D">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320E7CD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19F4352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2B22DC15">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89DB9F3">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1116D75B">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7BAE282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1CFE02B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477B4E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2CA59F88">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25B38A7F">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56FF76F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5038F2F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F977CF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1857EF15">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2AD7AE3B">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78B4A77A">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683C597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5EEC49B4">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18C4CC5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71891D5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4DA0C4E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420A233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34ACDB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53F53427">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3971B23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73F960E4">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69235B90">
      <w:pPr>
        <w:spacing w:line="312" w:lineRule="auto"/>
        <w:ind w:firstLine="420" w:firstLineChars="200"/>
        <w:jc w:val="right"/>
        <w:rPr>
          <w:color w:val="000000" w:themeColor="text1"/>
          <w:kern w:val="0"/>
          <w:szCs w:val="21"/>
          <w:highlight w:val="none"/>
          <w14:textFill>
            <w14:solidFill>
              <w14:schemeClr w14:val="tx1"/>
            </w14:solidFill>
          </w14:textFill>
        </w:rPr>
      </w:pPr>
    </w:p>
    <w:p w14:paraId="6A6EE3F2">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39DDD9D5">
      <w:pPr>
        <w:jc w:val="right"/>
        <w:rPr>
          <w:highlight w:val="none"/>
        </w:rPr>
      </w:pPr>
    </w:p>
    <w:p w14:paraId="218345E4">
      <w:pPr>
        <w:jc w:val="right"/>
      </w:pPr>
    </w:p>
    <w:p w14:paraId="1513976F">
      <w:pPr>
        <w:spacing w:line="312" w:lineRule="auto"/>
        <w:ind w:firstLine="360" w:firstLineChars="200"/>
        <w:jc w:val="right"/>
        <w:rPr>
          <w:color w:val="000000" w:themeColor="text1"/>
          <w:kern w:val="0"/>
          <w:sz w:val="18"/>
          <w:szCs w:val="18"/>
          <w14:textFill>
            <w14:solidFill>
              <w14:schemeClr w14:val="tx1"/>
            </w14:solidFill>
          </w14:textFill>
        </w:rPr>
      </w:pPr>
    </w:p>
    <w:bookmarkEnd w:id="15"/>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0" w:name="_Toc139710078"/>
      <w:r>
        <w:rPr>
          <w:rFonts w:ascii="Times New Roman" w:hAnsi="Times New Roman" w:cs="Times New Roman"/>
          <w:color w:val="000000" w:themeColor="text1"/>
          <w:sz w:val="32"/>
          <w:szCs w:val="32"/>
          <w14:textFill>
            <w14:solidFill>
              <w14:schemeClr w14:val="tx1"/>
            </w14:solidFill>
          </w14:textFill>
        </w:rPr>
        <w:t>第二章  采购需求</w:t>
      </w:r>
      <w:bookmarkEnd w:id="20"/>
    </w:p>
    <w:p w14:paraId="30F7C731">
      <w:pPr>
        <w:spacing w:before="120"/>
        <w:rPr>
          <w:b/>
          <w:bCs/>
          <w:color w:val="000000" w:themeColor="text1"/>
          <w:sz w:val="28"/>
          <w:szCs w:val="28"/>
          <w14:textFill>
            <w14:solidFill>
              <w14:schemeClr w14:val="tx1"/>
            </w14:solidFill>
          </w14:textFill>
        </w:rPr>
      </w:pPr>
      <w:bookmarkStart w:id="21" w:name="_Toc254970490"/>
      <w:bookmarkStart w:id="22" w:name="_Toc254970631"/>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二</w:t>
      </w:r>
    </w:p>
    <w:p w14:paraId="164CDD8E">
      <w:pPr>
        <w:spacing w:line="360" w:lineRule="auto"/>
        <w:rPr>
          <w:b/>
          <w:color w:val="000000"/>
          <w:kern w:val="0"/>
          <w:sz w:val="28"/>
          <w:szCs w:val="28"/>
        </w:rPr>
      </w:pPr>
      <w:r>
        <w:rPr>
          <w:b/>
          <w:color w:val="000000"/>
          <w:kern w:val="0"/>
          <w:sz w:val="28"/>
          <w:szCs w:val="28"/>
        </w:rPr>
        <w:t>一、总体要求</w:t>
      </w:r>
    </w:p>
    <w:p w14:paraId="5AE85C28">
      <w:pPr>
        <w:spacing w:line="360" w:lineRule="auto"/>
        <w:rPr>
          <w:color w:val="000000"/>
          <w:szCs w:val="21"/>
        </w:rPr>
      </w:pPr>
      <w:r>
        <w:rPr>
          <w:color w:val="000000"/>
          <w:szCs w:val="21"/>
        </w:rPr>
        <w:t>1.政府采购政策的应用</w:t>
      </w:r>
    </w:p>
    <w:p w14:paraId="73F3294E">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56FC7230">
      <w:pPr>
        <w:spacing w:line="360" w:lineRule="auto"/>
        <w:rPr>
          <w:color w:val="000000"/>
          <w:szCs w:val="21"/>
        </w:rPr>
      </w:pPr>
      <w:r>
        <w:rPr>
          <w:color w:val="000000"/>
          <w:szCs w:val="21"/>
        </w:rPr>
        <w:t>2.采购需求要求未尽事宜由采购人与成交供应商在采购合同中约定。</w:t>
      </w:r>
    </w:p>
    <w:p w14:paraId="1126C1C4">
      <w:pPr>
        <w:spacing w:line="360" w:lineRule="auto"/>
        <w:rPr>
          <w:color w:val="000000"/>
          <w:szCs w:val="21"/>
        </w:rPr>
      </w:pPr>
      <w:r>
        <w:rPr>
          <w:color w:val="000000"/>
          <w:szCs w:val="21"/>
        </w:rPr>
        <w:t>3.标注“▲”的条款或要求系指实质性条款或实质性要求，必须满足，如存在负偏离将导致响应被否决。</w:t>
      </w:r>
    </w:p>
    <w:p w14:paraId="03F672D6">
      <w:pPr>
        <w:spacing w:line="360" w:lineRule="auto"/>
        <w:rPr>
          <w:b/>
          <w:color w:val="000000"/>
          <w:kern w:val="0"/>
          <w:sz w:val="28"/>
          <w:szCs w:val="28"/>
        </w:rPr>
      </w:pPr>
      <w:r>
        <w:rPr>
          <w:b/>
          <w:color w:val="000000"/>
          <w:kern w:val="0"/>
          <w:sz w:val="28"/>
          <w:szCs w:val="28"/>
        </w:rPr>
        <w:t>二、技术要求</w:t>
      </w:r>
    </w:p>
    <w:p w14:paraId="09855C6F">
      <w:pPr>
        <w:spacing w:line="360" w:lineRule="auto"/>
        <w:rPr>
          <w:color w:val="000000"/>
          <w:szCs w:val="21"/>
        </w:rPr>
      </w:pPr>
      <w:r>
        <w:rPr>
          <w:color w:val="000000"/>
          <w:szCs w:val="21"/>
        </w:rPr>
        <w:t>1.需实现的功能、目标及应用场景</w:t>
      </w:r>
    </w:p>
    <w:p w14:paraId="7F96FBA9">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2CD419BC">
      <w:pPr>
        <w:spacing w:line="360" w:lineRule="auto"/>
        <w:rPr>
          <w:color w:val="000000"/>
          <w:szCs w:val="21"/>
        </w:rPr>
      </w:pPr>
      <w:bookmarkStart w:id="23" w:name="_Hlk89170486"/>
      <w:r>
        <w:rPr>
          <w:color w:val="000000"/>
          <w:szCs w:val="21"/>
        </w:rPr>
        <w:t>2.需执行的国家相关标准、行业标准、地方标准或者其他标准、规范</w:t>
      </w:r>
    </w:p>
    <w:p w14:paraId="62BCA68E">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23"/>
    <w:p w14:paraId="63303034">
      <w:pPr>
        <w:spacing w:line="360" w:lineRule="auto"/>
        <w:rPr>
          <w:color w:val="000000"/>
          <w:szCs w:val="21"/>
        </w:rPr>
      </w:pPr>
      <w:r>
        <w:rPr>
          <w:color w:val="000000"/>
          <w:szCs w:val="21"/>
        </w:rPr>
        <w:t>3.标的所属行业：</w:t>
      </w:r>
      <w:r>
        <w:rPr>
          <w:rFonts w:hint="eastAsia"/>
          <w:b/>
          <w:bCs/>
          <w:color w:val="000000"/>
          <w:szCs w:val="21"/>
        </w:rPr>
        <w:t>其他未列明行业</w:t>
      </w:r>
    </w:p>
    <w:p w14:paraId="0BA347EC">
      <w:pPr>
        <w:spacing w:line="360" w:lineRule="auto"/>
        <w:rPr>
          <w:color w:val="000000"/>
          <w:szCs w:val="21"/>
        </w:rPr>
      </w:pPr>
      <w:r>
        <w:rPr>
          <w:color w:val="000000"/>
          <w:szCs w:val="21"/>
        </w:rPr>
        <w:t>4.核心产品</w:t>
      </w:r>
    </w:p>
    <w:p w14:paraId="23CE20D8">
      <w:pPr>
        <w:spacing w:line="360" w:lineRule="auto"/>
        <w:rPr>
          <w:color w:val="000000"/>
          <w:szCs w:val="21"/>
        </w:rPr>
      </w:pPr>
      <w:r>
        <w:rPr>
          <w:color w:val="000000"/>
          <w:szCs w:val="21"/>
        </w:rPr>
        <w:t>本项目为服务项目，不适用核心产品规定。</w:t>
      </w:r>
    </w:p>
    <w:p w14:paraId="74D89A5F">
      <w:pPr>
        <w:spacing w:line="360" w:lineRule="auto"/>
        <w:rPr>
          <w:color w:val="000000"/>
          <w:szCs w:val="21"/>
        </w:rPr>
      </w:pPr>
      <w:r>
        <w:rPr>
          <w:color w:val="000000"/>
          <w:szCs w:val="21"/>
        </w:rPr>
        <w:t>5.服务内容和标准</w:t>
      </w:r>
      <w:bookmarkStart w:id="24" w:name="_Hlk132788047"/>
    </w:p>
    <w:bookmarkEnd w:id="24"/>
    <w:p w14:paraId="04977213">
      <w:pPr>
        <w:spacing w:line="360" w:lineRule="auto"/>
        <w:rPr>
          <w:color w:val="000000"/>
          <w:szCs w:val="21"/>
        </w:rPr>
      </w:pPr>
      <w:r>
        <w:rPr>
          <w:color w:val="000000"/>
          <w:szCs w:val="21"/>
        </w:rPr>
        <w:t>5.1服务目标：</w:t>
      </w:r>
    </w:p>
    <w:p w14:paraId="48B944A6">
      <w:pPr>
        <w:spacing w:line="360" w:lineRule="auto"/>
        <w:rPr>
          <w:color w:val="000000"/>
          <w:szCs w:val="21"/>
        </w:rPr>
      </w:pPr>
      <w:r>
        <w:rPr>
          <w:rFonts w:hint="eastAsia"/>
          <w:color w:val="000000"/>
          <w:szCs w:val="21"/>
        </w:rPr>
        <w:t>1.形成《广西制造业智改数转网联赋能新型工业化发展“十五五”规划（2026—2030年）》。</w:t>
      </w:r>
    </w:p>
    <w:p w14:paraId="15916962">
      <w:pPr>
        <w:spacing w:line="360" w:lineRule="auto"/>
        <w:rPr>
          <w:color w:val="000000"/>
          <w:szCs w:val="21"/>
        </w:rPr>
      </w:pPr>
      <w:r>
        <w:rPr>
          <w:rFonts w:hint="eastAsia"/>
          <w:color w:val="000000"/>
          <w:szCs w:val="21"/>
        </w:rPr>
        <w:t>2.形成《广西工业和信息化融合发展“十四五”终期评估报告》。</w:t>
      </w:r>
    </w:p>
    <w:p w14:paraId="7A42F0C0">
      <w:pPr>
        <w:spacing w:line="360" w:lineRule="auto"/>
        <w:rPr>
          <w:color w:val="000000"/>
          <w:szCs w:val="21"/>
        </w:rPr>
      </w:pPr>
      <w:r>
        <w:rPr>
          <w:color w:val="000000"/>
          <w:szCs w:val="21"/>
        </w:rPr>
        <w:t>5.2服务内容：</w:t>
      </w:r>
      <w:r>
        <w:rPr>
          <w:rFonts w:hint="eastAsia"/>
          <w:color w:val="000000"/>
          <w:szCs w:val="21"/>
        </w:rPr>
        <w:t>总结梳理“十四五”期间广西制造业智改数转网联发展背景、现状及存在问题，分析明确“十五五”时期面临的机遇和挑战；对接国家“十五五”制造业智改数转网联有关规划，</w:t>
      </w:r>
      <w:r>
        <w:rPr>
          <w:color w:val="000000"/>
          <w:szCs w:val="21"/>
        </w:rPr>
        <w:t>根据新形势</w:t>
      </w:r>
      <w:r>
        <w:rPr>
          <w:rFonts w:hint="eastAsia"/>
          <w:color w:val="000000"/>
          <w:szCs w:val="21"/>
        </w:rPr>
        <w:t>、新要求</w:t>
      </w:r>
      <w:r>
        <w:rPr>
          <w:color w:val="000000"/>
          <w:szCs w:val="21"/>
        </w:rPr>
        <w:t>，</w:t>
      </w:r>
      <w:r>
        <w:rPr>
          <w:rFonts w:hint="eastAsia"/>
          <w:color w:val="000000"/>
          <w:szCs w:val="21"/>
        </w:rPr>
        <w:t>研究明确“十五五”时期总体工作思路和发展目标，围绕人工智能、智能制造、数字化转型、数据网络安全等主要方面，提出具体的工作任务、重点工程和保障措施，支撑推动规划编制与正式发布</w:t>
      </w:r>
      <w:r>
        <w:rPr>
          <w:color w:val="000000"/>
          <w:szCs w:val="21"/>
        </w:rPr>
        <w:t>。</w:t>
      </w:r>
    </w:p>
    <w:p w14:paraId="4A7DAC3A">
      <w:pPr>
        <w:spacing w:line="360" w:lineRule="auto"/>
        <w:rPr>
          <w:color w:val="000000"/>
          <w:szCs w:val="21"/>
        </w:rPr>
      </w:pPr>
      <w:r>
        <w:rPr>
          <w:color w:val="000000"/>
          <w:szCs w:val="21"/>
        </w:rPr>
        <w:t>5.3拟投入人员要求：项目负责人</w:t>
      </w:r>
      <w:r>
        <w:rPr>
          <w:rFonts w:hint="eastAsia"/>
          <w:color w:val="000000"/>
          <w:szCs w:val="21"/>
        </w:rPr>
        <w:t>具备工业类或经济类或管理类等相关专业的硕士及以上学历，</w:t>
      </w:r>
      <w:r>
        <w:rPr>
          <w:color w:val="000000"/>
          <w:szCs w:val="21"/>
        </w:rPr>
        <w:t>参与过类似工业规划、工业发展课题或专项研究。</w:t>
      </w:r>
      <w:r>
        <w:rPr>
          <w:rFonts w:hint="eastAsia"/>
        </w:rPr>
        <w:t>项目团队人员拟投入团队人员3人及以上，具备工业类或</w:t>
      </w:r>
      <w:r>
        <w:rPr>
          <w:rFonts w:hint="eastAsia"/>
          <w:color w:val="000000"/>
          <w:szCs w:val="21"/>
        </w:rPr>
        <w:t>经济类或管理类等相关专业的本科及以上学历。</w:t>
      </w:r>
    </w:p>
    <w:p w14:paraId="1B4AF665">
      <w:pPr>
        <w:spacing w:line="360" w:lineRule="auto"/>
        <w:rPr>
          <w:b/>
          <w:color w:val="000000"/>
          <w:kern w:val="0"/>
          <w:sz w:val="28"/>
          <w:szCs w:val="28"/>
        </w:rPr>
      </w:pPr>
      <w:r>
        <w:rPr>
          <w:b/>
          <w:color w:val="000000"/>
          <w:kern w:val="0"/>
          <w:sz w:val="28"/>
          <w:szCs w:val="28"/>
        </w:rPr>
        <w:t>三、商务要求</w:t>
      </w:r>
    </w:p>
    <w:p w14:paraId="051D75D9">
      <w:pPr>
        <w:spacing w:line="360" w:lineRule="auto"/>
        <w:rPr>
          <w:color w:val="000000"/>
          <w:szCs w:val="21"/>
        </w:rPr>
      </w:pPr>
      <w:r>
        <w:rPr>
          <w:color w:val="000000"/>
          <w:szCs w:val="21"/>
        </w:rPr>
        <w:t>1．报价要求</w:t>
      </w:r>
    </w:p>
    <w:p w14:paraId="0DF6A92F">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3D1E8B09">
      <w:pPr>
        <w:spacing w:line="360" w:lineRule="auto"/>
        <w:rPr>
          <w:color w:val="000000"/>
          <w:szCs w:val="21"/>
        </w:rPr>
      </w:pPr>
      <w:r>
        <w:rPr>
          <w:color w:val="000000"/>
          <w:szCs w:val="21"/>
        </w:rPr>
        <w:t>2.合同签订日期</w:t>
      </w:r>
    </w:p>
    <w:p w14:paraId="06621F42">
      <w:pPr>
        <w:spacing w:line="360" w:lineRule="auto"/>
        <w:rPr>
          <w:i/>
          <w:color w:val="000000"/>
          <w:sz w:val="28"/>
          <w:szCs w:val="28"/>
        </w:rPr>
      </w:pPr>
      <w:r>
        <w:rPr>
          <w:color w:val="000000"/>
          <w:szCs w:val="21"/>
        </w:rPr>
        <w:t>成交通知书发出后25日内。</w:t>
      </w:r>
    </w:p>
    <w:p w14:paraId="1D3740CF">
      <w:pPr>
        <w:spacing w:line="360" w:lineRule="auto"/>
        <w:rPr>
          <w:color w:val="000000"/>
          <w:szCs w:val="21"/>
        </w:rPr>
      </w:pPr>
      <w:r>
        <w:rPr>
          <w:color w:val="000000"/>
          <w:szCs w:val="21"/>
        </w:rPr>
        <w:t>3.服务（实施）时间</w:t>
      </w:r>
    </w:p>
    <w:p w14:paraId="77709FA4">
      <w:pPr>
        <w:spacing w:line="360" w:lineRule="auto"/>
        <w:rPr>
          <w:color w:val="000000"/>
          <w:szCs w:val="21"/>
        </w:rPr>
      </w:pPr>
      <w:bookmarkStart w:id="25" w:name="_Hlk132878479"/>
      <w:r>
        <w:rPr>
          <w:rFonts w:hint="eastAsia"/>
          <w:color w:val="000000"/>
          <w:kern w:val="0"/>
          <w:szCs w:val="21"/>
        </w:rPr>
        <w:t>自签订合同之日至2025年12月底前：形成规划初稿。2026年6月底前：完成结题验收。</w:t>
      </w:r>
    </w:p>
    <w:bookmarkEnd w:id="25"/>
    <w:p w14:paraId="6DC0A97B">
      <w:pPr>
        <w:spacing w:line="360" w:lineRule="auto"/>
        <w:rPr>
          <w:color w:val="000000"/>
          <w:szCs w:val="21"/>
        </w:rPr>
      </w:pPr>
      <w:r>
        <w:rPr>
          <w:color w:val="000000"/>
          <w:szCs w:val="21"/>
        </w:rPr>
        <w:t>4.服务地点</w:t>
      </w:r>
    </w:p>
    <w:p w14:paraId="5E7AFCAF">
      <w:pPr>
        <w:spacing w:line="360" w:lineRule="auto"/>
        <w:rPr>
          <w:color w:val="000000"/>
          <w:szCs w:val="21"/>
        </w:rPr>
      </w:pPr>
      <w:r>
        <w:rPr>
          <w:color w:val="000000"/>
          <w:szCs w:val="21"/>
        </w:rPr>
        <w:t>采购人指定地点。</w:t>
      </w:r>
    </w:p>
    <w:p w14:paraId="353EB892">
      <w:pPr>
        <w:spacing w:line="360" w:lineRule="auto"/>
        <w:rPr>
          <w:color w:val="000000"/>
          <w:szCs w:val="21"/>
        </w:rPr>
      </w:pPr>
      <w:r>
        <w:rPr>
          <w:color w:val="000000"/>
          <w:szCs w:val="21"/>
        </w:rPr>
        <w:t>5.验收标准</w:t>
      </w:r>
    </w:p>
    <w:p w14:paraId="38A6A0C9">
      <w:pPr>
        <w:spacing w:line="360" w:lineRule="auto"/>
        <w:rPr>
          <w:color w:val="000000"/>
          <w:szCs w:val="21"/>
        </w:rPr>
      </w:pPr>
      <w:bookmarkStart w:id="26"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6"/>
    <w:p w14:paraId="1E6F80CB">
      <w:pPr>
        <w:spacing w:line="360" w:lineRule="auto"/>
        <w:rPr>
          <w:color w:val="000000"/>
          <w:szCs w:val="21"/>
        </w:rPr>
      </w:pPr>
      <w:r>
        <w:rPr>
          <w:color w:val="000000"/>
          <w:szCs w:val="21"/>
        </w:rPr>
        <w:t>6.服务标准、期限、效率</w:t>
      </w:r>
    </w:p>
    <w:p w14:paraId="3F57ED3A">
      <w:pPr>
        <w:spacing w:line="360" w:lineRule="auto"/>
        <w:rPr>
          <w:color w:val="000000"/>
          <w:szCs w:val="21"/>
        </w:rPr>
      </w:pPr>
      <w:r>
        <w:rPr>
          <w:color w:val="000000"/>
          <w:szCs w:val="21"/>
        </w:rPr>
        <w:t>6.1成交供应商在服务期内应当为采购人提供以下技术支持和服务：</w:t>
      </w:r>
    </w:p>
    <w:p w14:paraId="79F827C3">
      <w:pPr>
        <w:spacing w:line="360" w:lineRule="auto"/>
        <w:rPr>
          <w:color w:val="000000"/>
          <w:szCs w:val="21"/>
        </w:rPr>
      </w:pPr>
      <w:r>
        <w:rPr>
          <w:color w:val="000000"/>
          <w:szCs w:val="21"/>
        </w:rPr>
        <w:t>6.1.1电话咨询</w:t>
      </w:r>
    </w:p>
    <w:p w14:paraId="7F7FB0A4">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18595575">
      <w:pPr>
        <w:spacing w:line="360" w:lineRule="auto"/>
        <w:rPr>
          <w:color w:val="000000"/>
          <w:szCs w:val="21"/>
        </w:rPr>
      </w:pPr>
      <w:r>
        <w:rPr>
          <w:color w:val="000000"/>
          <w:szCs w:val="21"/>
        </w:rPr>
        <w:t>6.1.2现场响应</w:t>
      </w:r>
    </w:p>
    <w:p w14:paraId="3B37697F">
      <w:pPr>
        <w:spacing w:line="360" w:lineRule="auto"/>
        <w:rPr>
          <w:color w:val="000000"/>
          <w:szCs w:val="21"/>
        </w:rPr>
      </w:pPr>
      <w:r>
        <w:rPr>
          <w:color w:val="000000"/>
          <w:szCs w:val="21"/>
        </w:rPr>
        <w:t>采购人遇到使用或技术问题，电话咨询不能解决的，成交供应商应在4小时内到达现场进行处理。</w:t>
      </w:r>
    </w:p>
    <w:p w14:paraId="3F4B4FE3">
      <w:pPr>
        <w:spacing w:line="360" w:lineRule="auto"/>
        <w:rPr>
          <w:color w:val="000000"/>
          <w:szCs w:val="21"/>
        </w:rPr>
      </w:pPr>
      <w:r>
        <w:rPr>
          <w:color w:val="000000"/>
          <w:szCs w:val="21"/>
        </w:rPr>
        <w:t>7.培训</w:t>
      </w:r>
    </w:p>
    <w:p w14:paraId="4D75925F">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12F1607E">
      <w:pPr>
        <w:spacing w:line="360" w:lineRule="auto"/>
        <w:rPr>
          <w:color w:val="000000"/>
          <w:szCs w:val="21"/>
        </w:rPr>
      </w:pPr>
      <w:r>
        <w:rPr>
          <w:color w:val="000000"/>
          <w:szCs w:val="21"/>
        </w:rPr>
        <w:t>8.付款方式、时间及条件</w:t>
      </w:r>
    </w:p>
    <w:p w14:paraId="596863B5">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DF786DC">
      <w:pPr>
        <w:spacing w:line="360" w:lineRule="auto"/>
        <w:rPr>
          <w:color w:val="000000"/>
          <w:szCs w:val="21"/>
        </w:rPr>
      </w:pPr>
      <w:r>
        <w:rPr>
          <w:color w:val="000000"/>
          <w:szCs w:val="21"/>
        </w:rPr>
        <w:t>9.履约保证金</w:t>
      </w:r>
    </w:p>
    <w:p w14:paraId="03D42A39">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5F873AF8">
      <w:pPr>
        <w:spacing w:line="360" w:lineRule="auto"/>
        <w:rPr>
          <w:b/>
          <w:color w:val="000000"/>
          <w:kern w:val="0"/>
          <w:sz w:val="28"/>
          <w:szCs w:val="28"/>
        </w:rPr>
      </w:pPr>
      <w:r>
        <w:rPr>
          <w:b/>
          <w:color w:val="000000"/>
          <w:kern w:val="0"/>
          <w:sz w:val="28"/>
          <w:szCs w:val="28"/>
        </w:rPr>
        <w:t>四、其他要求</w:t>
      </w:r>
    </w:p>
    <w:p w14:paraId="2C7E93EA">
      <w:pPr>
        <w:rPr>
          <w:b/>
          <w:color w:val="000000" w:themeColor="text1"/>
          <w14:textFill>
            <w14:solidFill>
              <w14:schemeClr w14:val="tx1"/>
            </w14:solidFill>
          </w14:textFill>
        </w:rPr>
      </w:pPr>
      <w:r>
        <w:rPr>
          <w:b/>
          <w:color w:val="000000"/>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7" w:name="_Toc139710079"/>
      <w:r>
        <w:rPr>
          <w:rFonts w:ascii="Times New Roman" w:hAnsi="Times New Roman" w:cs="Times New Roman"/>
          <w:color w:val="000000" w:themeColor="text1"/>
          <w:sz w:val="32"/>
          <w:szCs w:val="32"/>
          <w14:textFill>
            <w14:solidFill>
              <w14:schemeClr w14:val="tx1"/>
            </w14:solidFill>
          </w14:textFill>
        </w:rPr>
        <w:t>第三章  供应商须知</w:t>
      </w:r>
      <w:bookmarkEnd w:id="27"/>
      <w:bookmarkStart w:id="28" w:name="_Toc254970667"/>
      <w:bookmarkStart w:id="29" w:name="_Toc254970526"/>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8"/>
      <w:bookmarkEnd w:id="29"/>
      <w:bookmarkStart w:id="30" w:name="_投标人须知前附表"/>
      <w:bookmarkEnd w:id="30"/>
      <w:bookmarkStart w:id="31"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32"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32"/>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72547DC">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4E267203">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标项二：人民币伍仟元整（¥5000.00）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31"/>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527"/>
      <w:bookmarkStart w:id="34" w:name="_Toc254970668"/>
      <w:r>
        <w:rPr>
          <w:b/>
          <w:bCs/>
          <w:color w:val="000000" w:themeColor="text1"/>
          <w:kern w:val="0"/>
          <w:szCs w:val="21"/>
          <w14:textFill>
            <w14:solidFill>
              <w14:schemeClr w14:val="tx1"/>
            </w14:solidFill>
          </w14:textFill>
        </w:rPr>
        <w:t>1.1适用范围</w:t>
      </w:r>
      <w:bookmarkEnd w:id="33"/>
      <w:bookmarkEnd w:id="34"/>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5" w:name="_Toc254970528"/>
      <w:bookmarkStart w:id="36" w:name="_Toc254970669"/>
      <w:r>
        <w:rPr>
          <w:b/>
          <w:bCs/>
          <w:color w:val="000000" w:themeColor="text1"/>
          <w:kern w:val="0"/>
          <w:szCs w:val="21"/>
          <w14:textFill>
            <w14:solidFill>
              <w14:schemeClr w14:val="tx1"/>
            </w14:solidFill>
          </w14:textFill>
        </w:rPr>
        <w:t>1.2定义</w:t>
      </w:r>
      <w:bookmarkEnd w:id="35"/>
      <w:bookmarkEnd w:id="36"/>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7"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7"/>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8" w:name="_Toc254970531"/>
      <w:bookmarkStart w:id="39" w:name="_Toc254970672"/>
      <w:r>
        <w:rPr>
          <w:b/>
          <w:bCs/>
          <w:color w:val="000000" w:themeColor="text1"/>
          <w:kern w:val="0"/>
          <w:szCs w:val="21"/>
          <w14:textFill>
            <w14:solidFill>
              <w14:schemeClr w14:val="tx1"/>
            </w14:solidFill>
          </w14:textFill>
        </w:rPr>
        <w:t>1.6现场踏勘及响应费用</w:t>
      </w:r>
      <w:bookmarkEnd w:id="38"/>
      <w:bookmarkEnd w:id="39"/>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40" w:name="_Toc254970673"/>
      <w:bookmarkStart w:id="41" w:name="_Toc254970532"/>
      <w:r>
        <w:rPr>
          <w:b/>
          <w:bCs/>
          <w:color w:val="000000" w:themeColor="text1"/>
          <w:kern w:val="0"/>
          <w:szCs w:val="21"/>
          <w14:textFill>
            <w14:solidFill>
              <w14:schemeClr w14:val="tx1"/>
            </w14:solidFill>
          </w14:textFill>
        </w:rPr>
        <w:t>1.8特别说明</w:t>
      </w:r>
      <w:bookmarkEnd w:id="40"/>
      <w:bookmarkEnd w:id="41"/>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2" w:name="_Toc254970534"/>
      <w:bookmarkStart w:id="43" w:name="_Toc254970675"/>
      <w:r>
        <w:rPr>
          <w:b/>
          <w:bCs/>
          <w:color w:val="000000" w:themeColor="text1"/>
          <w:kern w:val="0"/>
          <w:szCs w:val="21"/>
          <w14:textFill>
            <w14:solidFill>
              <w14:schemeClr w14:val="tx1"/>
            </w14:solidFill>
          </w14:textFill>
        </w:rPr>
        <w:t>2．</w:t>
      </w:r>
      <w:bookmarkEnd w:id="42"/>
      <w:bookmarkEnd w:id="43"/>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4" w:name="_Toc254970676"/>
      <w:bookmarkStart w:id="45" w:name="_Toc254970535"/>
      <w:r>
        <w:rPr>
          <w:b/>
          <w:bCs/>
          <w:color w:val="000000" w:themeColor="text1"/>
          <w:kern w:val="0"/>
          <w:szCs w:val="21"/>
          <w14:textFill>
            <w14:solidFill>
              <w14:schemeClr w14:val="tx1"/>
            </w14:solidFill>
          </w14:textFill>
        </w:rPr>
        <w:t>3．</w:t>
      </w:r>
      <w:bookmarkEnd w:id="44"/>
      <w:bookmarkEnd w:id="45"/>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536"/>
      <w:bookmarkStart w:id="47"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6"/>
      <w:bookmarkEnd w:id="47"/>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537"/>
      <w:bookmarkStart w:id="49"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8"/>
      <w:bookmarkEnd w:id="49"/>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0" w:name="_Toc254970679"/>
      <w:bookmarkStart w:id="51" w:name="_Toc254970538"/>
      <w:r>
        <w:rPr>
          <w:b/>
          <w:bCs/>
          <w:color w:val="000000" w:themeColor="text1"/>
          <w:kern w:val="0"/>
          <w:szCs w:val="21"/>
          <w14:textFill>
            <w14:solidFill>
              <w14:schemeClr w14:val="tx1"/>
            </w14:solidFill>
          </w14:textFill>
        </w:rPr>
        <w:t>3.3响应报价</w:t>
      </w:r>
      <w:bookmarkEnd w:id="50"/>
      <w:bookmarkEnd w:id="51"/>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2" w:name="_Toc254970682"/>
      <w:bookmarkStart w:id="53"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52"/>
      <w:bookmarkEnd w:id="53"/>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4" w:name="_Toc254970683"/>
      <w:bookmarkStart w:id="55"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54"/>
      <w:bookmarkEnd w:id="55"/>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6" w:name="_Toc254970685"/>
      <w:bookmarkStart w:id="57"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8" w:name="_Hlk93046827"/>
      <w:r>
        <w:rPr>
          <w:color w:val="000000" w:themeColor="text1"/>
          <w:szCs w:val="21"/>
          <w14:textFill>
            <w14:solidFill>
              <w14:schemeClr w14:val="tx1"/>
            </w14:solidFill>
          </w14:textFill>
        </w:rPr>
        <w:t>3.7.6</w:t>
      </w:r>
      <w:bookmarkStart w:id="59"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9"/>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8"/>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6"/>
      <w:bookmarkEnd w:id="57"/>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60" w:name="_Hlk106639817"/>
      <w:r>
        <w:rPr>
          <w:color w:val="000000" w:themeColor="text1"/>
          <w14:textFill>
            <w14:solidFill>
              <w14:schemeClr w14:val="tx1"/>
            </w14:solidFill>
          </w14:textFill>
        </w:rPr>
        <w:t>通知后供应商仍未在上述规定时间内解密</w:t>
      </w:r>
      <w:bookmarkEnd w:id="60"/>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61"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61"/>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62" w:name="_Toc254970545"/>
      <w:bookmarkStart w:id="63"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62"/>
    <w:bookmarkEnd w:id="63"/>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64" w:name="_Hlk80956880"/>
      <w:bookmarkStart w:id="65" w:name="_Hlk19175507"/>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64"/>
    <w:bookmarkEnd w:id="65"/>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6" w:name="_Hlk47714684"/>
      <w:r>
        <w:rPr>
          <w:color w:val="000000" w:themeColor="text1"/>
          <w:szCs w:val="21"/>
          <w14:textFill>
            <w14:solidFill>
              <w14:schemeClr w14:val="tx1"/>
            </w14:solidFill>
          </w14:textFill>
        </w:rPr>
        <w:t>（1）</w:t>
      </w:r>
      <w:bookmarkEnd w:id="66"/>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7"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7"/>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8" w:name="_Hlk19122026"/>
      <w:r>
        <w:rPr>
          <w:szCs w:val="21"/>
        </w:rPr>
        <w:t>（1）</w:t>
      </w:r>
      <w:bookmarkEnd w:id="68"/>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9"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9"/>
    <w:p w14:paraId="3706F366">
      <w:pPr>
        <w:spacing w:before="120" w:line="320" w:lineRule="atLeast"/>
        <w:ind w:firstLine="420" w:firstLineChars="200"/>
        <w:rPr>
          <w:szCs w:val="21"/>
        </w:rPr>
      </w:pPr>
      <w:bookmarkStart w:id="70" w:name="_Hlk19122058"/>
      <w:r>
        <w:rPr>
          <w:szCs w:val="21"/>
        </w:rPr>
        <w:t>（2）</w:t>
      </w:r>
      <w:bookmarkEnd w:id="70"/>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71"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71"/>
    <w:p w14:paraId="5620D981">
      <w:pPr>
        <w:spacing w:before="120" w:line="320" w:lineRule="atLeast"/>
        <w:ind w:firstLine="420" w:firstLineChars="200"/>
        <w:rPr>
          <w:szCs w:val="21"/>
        </w:rPr>
      </w:pPr>
      <w:bookmarkStart w:id="72" w:name="_Hlk19122102"/>
      <w:r>
        <w:rPr>
          <w:szCs w:val="21"/>
        </w:rPr>
        <w:t>（3）</w:t>
      </w:r>
      <w:bookmarkEnd w:id="72"/>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73"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73"/>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74"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74"/>
    <w:p w14:paraId="16FA97B5">
      <w:pPr>
        <w:spacing w:before="120" w:line="320" w:lineRule="atLeast"/>
        <w:ind w:firstLine="420" w:firstLineChars="200"/>
        <w:rPr>
          <w:szCs w:val="21"/>
        </w:rPr>
      </w:pPr>
      <w:bookmarkStart w:id="75"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5"/>
    <w:p w14:paraId="03CAE6DF">
      <w:pPr>
        <w:spacing w:before="120" w:line="320" w:lineRule="atLeast"/>
        <w:ind w:firstLine="420" w:firstLineChars="200"/>
        <w:rPr>
          <w:szCs w:val="21"/>
        </w:rPr>
      </w:pPr>
      <w:bookmarkStart w:id="76"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6"/>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7" w:name="_Hlk155170999"/>
      <w:r>
        <w:rPr>
          <w:szCs w:val="21"/>
        </w:rPr>
        <w:t>7.2.5采购人因不可抗力原因迟延签订合同的，应当自不可抗力事由消除之日起7日内完成合同签订事宜。</w:t>
      </w:r>
      <w:bookmarkEnd w:id="77"/>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8"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8"/>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9" w:name="_Toc308164814"/>
      <w:bookmarkStart w:id="80"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9"/>
      <w:bookmarkEnd w:id="80"/>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81" w:name="_Toc254970533"/>
      <w:bookmarkStart w:id="82" w:name="_Toc254970674"/>
      <w:r>
        <w:rPr>
          <w:b/>
          <w:bCs/>
          <w:kern w:val="0"/>
          <w:szCs w:val="21"/>
        </w:rPr>
        <w:t>8．质疑和投诉</w:t>
      </w:r>
      <w:bookmarkEnd w:id="81"/>
      <w:bookmarkEnd w:id="82"/>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39710080"/>
      <w:bookmarkStart w:id="84" w:name="_Toc254970690"/>
      <w:bookmarkStart w:id="85"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83"/>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6" w:name="_Hlk48146640"/>
            <w:bookmarkStart w:id="87" w:name="_Hlk20388968"/>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6"/>
      <w:bookmarkEnd w:id="87"/>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二：</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6C7F3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37CF51C">
            <w:pPr>
              <w:jc w:val="center"/>
              <w:rPr>
                <w:b/>
                <w:szCs w:val="21"/>
              </w:rPr>
            </w:pPr>
            <w:r>
              <w:rPr>
                <w:b/>
                <w:bCs/>
                <w:kern w:val="0"/>
                <w:szCs w:val="21"/>
              </w:rPr>
              <w:br w:type="page"/>
            </w:r>
            <w:r>
              <w:rPr>
                <w:b/>
                <w:szCs w:val="21"/>
              </w:rPr>
              <w:t>序号</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700FB4F3">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1D6C4C14">
            <w:pPr>
              <w:jc w:val="center"/>
              <w:rPr>
                <w:b/>
                <w:szCs w:val="21"/>
              </w:rPr>
            </w:pPr>
            <w:r>
              <w:rPr>
                <w:b/>
                <w:szCs w:val="21"/>
              </w:rPr>
              <w:t>分值</w:t>
            </w:r>
          </w:p>
          <w:p w14:paraId="6A4A4778">
            <w:pPr>
              <w:jc w:val="center"/>
              <w:rPr>
                <w:b/>
                <w:szCs w:val="21"/>
              </w:rPr>
            </w:pPr>
            <w:r>
              <w:rPr>
                <w:b/>
                <w:szCs w:val="21"/>
              </w:rPr>
              <w:t>属性</w:t>
            </w:r>
          </w:p>
        </w:tc>
        <w:tc>
          <w:tcPr>
            <w:tcW w:w="5000" w:type="dxa"/>
            <w:tcBorders>
              <w:top w:val="single" w:color="auto" w:sz="4" w:space="0"/>
              <w:left w:val="single" w:color="auto" w:sz="4" w:space="0"/>
              <w:bottom w:val="single" w:color="auto" w:sz="4" w:space="0"/>
              <w:right w:val="single" w:color="auto" w:sz="4" w:space="0"/>
            </w:tcBorders>
            <w:vAlign w:val="center"/>
          </w:tcPr>
          <w:p w14:paraId="05DF3338">
            <w:pPr>
              <w:jc w:val="center"/>
              <w:rPr>
                <w:b/>
                <w:szCs w:val="21"/>
              </w:rPr>
            </w:pPr>
            <w:r>
              <w:rPr>
                <w:b/>
                <w:szCs w:val="21"/>
              </w:rPr>
              <w:t>评审标准</w:t>
            </w:r>
          </w:p>
        </w:tc>
        <w:tc>
          <w:tcPr>
            <w:tcW w:w="2043" w:type="dxa"/>
            <w:tcBorders>
              <w:top w:val="single" w:color="auto" w:sz="4" w:space="0"/>
              <w:left w:val="single" w:color="auto" w:sz="4" w:space="0"/>
              <w:bottom w:val="single" w:color="auto" w:sz="4" w:space="0"/>
              <w:right w:val="single" w:color="auto" w:sz="4" w:space="0"/>
            </w:tcBorders>
            <w:vAlign w:val="center"/>
          </w:tcPr>
          <w:p w14:paraId="3DE7EAE9">
            <w:pPr>
              <w:jc w:val="center"/>
              <w:rPr>
                <w:b/>
                <w:szCs w:val="21"/>
              </w:rPr>
            </w:pPr>
            <w:r>
              <w:rPr>
                <w:b/>
                <w:szCs w:val="21"/>
              </w:rPr>
              <w:t>说明</w:t>
            </w:r>
          </w:p>
        </w:tc>
      </w:tr>
      <w:tr w14:paraId="792EC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5786FDF">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37C81522">
            <w:pPr>
              <w:tabs>
                <w:tab w:val="center" w:pos="4153"/>
                <w:tab w:val="right" w:pos="8306"/>
              </w:tabs>
              <w:snapToGrid w:val="0"/>
              <w:jc w:val="left"/>
              <w:rPr>
                <w:szCs w:val="21"/>
              </w:rPr>
            </w:pPr>
            <w:r>
              <w:rPr>
                <w:szCs w:val="21"/>
              </w:rPr>
              <w:t>商务部分（50分）</w:t>
            </w:r>
          </w:p>
        </w:tc>
        <w:tc>
          <w:tcPr>
            <w:tcW w:w="1008" w:type="dxa"/>
            <w:tcBorders>
              <w:top w:val="single" w:color="auto" w:sz="4" w:space="0"/>
              <w:left w:val="single" w:color="auto" w:sz="4" w:space="0"/>
              <w:bottom w:val="single" w:color="auto" w:sz="4" w:space="0"/>
              <w:right w:val="single" w:color="auto" w:sz="4" w:space="0"/>
            </w:tcBorders>
            <w:vAlign w:val="center"/>
          </w:tcPr>
          <w:p w14:paraId="06F6E6CC">
            <w:pPr>
              <w:rPr>
                <w:szCs w:val="21"/>
              </w:rPr>
            </w:pPr>
            <w:r>
              <w:rPr>
                <w:szCs w:val="21"/>
              </w:rPr>
              <w:t>信誉业绩（</w:t>
            </w:r>
            <w:r>
              <w:rPr>
                <w:rFonts w:hint="eastAsia"/>
                <w:szCs w:val="21"/>
              </w:rPr>
              <w:t>20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235FCB7E">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63D436BC">
            <w:pPr>
              <w:jc w:val="left"/>
              <w:rPr>
                <w:szCs w:val="21"/>
              </w:rPr>
            </w:pPr>
            <w:r>
              <w:rPr>
                <w:szCs w:val="21"/>
              </w:rPr>
              <w:t>供应商每提供1个有效业绩得</w:t>
            </w:r>
            <w:r>
              <w:rPr>
                <w:rFonts w:hint="eastAsia"/>
                <w:szCs w:val="21"/>
              </w:rPr>
              <w:t>2</w:t>
            </w:r>
            <w:r>
              <w:rPr>
                <w:szCs w:val="21"/>
              </w:rPr>
              <w:t>分，满分</w:t>
            </w:r>
            <w:r>
              <w:rPr>
                <w:rFonts w:hint="eastAsia"/>
                <w:szCs w:val="21"/>
              </w:rPr>
              <w:t>20</w:t>
            </w:r>
            <w:r>
              <w:rPr>
                <w:szCs w:val="21"/>
              </w:rPr>
              <w:t>分。有效业绩定义：指规划编制、课题研究等类型项目业绩。</w:t>
            </w:r>
          </w:p>
        </w:tc>
        <w:tc>
          <w:tcPr>
            <w:tcW w:w="2043" w:type="dxa"/>
            <w:tcBorders>
              <w:top w:val="single" w:color="auto" w:sz="4" w:space="0"/>
              <w:left w:val="single" w:color="auto" w:sz="4" w:space="0"/>
              <w:bottom w:val="single" w:color="auto" w:sz="4" w:space="0"/>
              <w:right w:val="single" w:color="auto" w:sz="4" w:space="0"/>
            </w:tcBorders>
            <w:vAlign w:val="center"/>
          </w:tcPr>
          <w:p w14:paraId="7DEC96EB">
            <w:pPr>
              <w:rPr>
                <w:szCs w:val="21"/>
              </w:rPr>
            </w:pPr>
            <w:r>
              <w:rPr>
                <w:szCs w:val="21"/>
              </w:rPr>
              <w:t>（1）必须提供证明材料。</w:t>
            </w:r>
          </w:p>
          <w:p w14:paraId="35221A8F">
            <w:pPr>
              <w:rPr>
                <w:szCs w:val="21"/>
              </w:rPr>
            </w:pPr>
            <w:r>
              <w:rPr>
                <w:szCs w:val="21"/>
              </w:rPr>
              <w:t>（2）以中标或成交通知书或合同复印件为准。</w:t>
            </w:r>
          </w:p>
        </w:tc>
      </w:tr>
      <w:tr w14:paraId="56EFA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continue"/>
            <w:tcBorders>
              <w:left w:val="single" w:color="auto" w:sz="4" w:space="0"/>
              <w:right w:val="single" w:color="auto" w:sz="4" w:space="0"/>
            </w:tcBorders>
            <w:vAlign w:val="center"/>
          </w:tcPr>
          <w:p w14:paraId="293DC1A1">
            <w:pPr>
              <w:jc w:val="center"/>
              <w:rPr>
                <w:szCs w:val="21"/>
              </w:rPr>
            </w:pPr>
          </w:p>
        </w:tc>
        <w:tc>
          <w:tcPr>
            <w:tcW w:w="666" w:type="dxa"/>
            <w:vMerge w:val="continue"/>
            <w:tcBorders>
              <w:left w:val="single" w:color="auto" w:sz="4" w:space="0"/>
              <w:right w:val="single" w:color="auto" w:sz="4" w:space="0"/>
            </w:tcBorders>
            <w:vAlign w:val="center"/>
          </w:tcPr>
          <w:p w14:paraId="06FA5453">
            <w:pPr>
              <w:tabs>
                <w:tab w:val="center" w:pos="4153"/>
                <w:tab w:val="right" w:pos="8306"/>
              </w:tabs>
              <w:snapToGrid w:val="0"/>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4FC1164D">
            <w:pPr>
              <w:rPr>
                <w:szCs w:val="21"/>
              </w:rPr>
            </w:pPr>
            <w:r>
              <w:rPr>
                <w:rFonts w:hint="eastAsia"/>
                <w:szCs w:val="21"/>
              </w:rPr>
              <w:t>项目负责人（5分）</w:t>
            </w:r>
          </w:p>
        </w:tc>
        <w:tc>
          <w:tcPr>
            <w:tcW w:w="692" w:type="dxa"/>
            <w:tcBorders>
              <w:top w:val="single" w:color="auto" w:sz="4" w:space="0"/>
              <w:left w:val="single" w:color="auto" w:sz="4" w:space="0"/>
              <w:bottom w:val="single" w:color="auto" w:sz="4" w:space="0"/>
              <w:right w:val="single" w:color="auto" w:sz="4" w:space="0"/>
            </w:tcBorders>
            <w:vAlign w:val="center"/>
          </w:tcPr>
          <w:p w14:paraId="7E1413A1">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2CBF38FA">
            <w:pPr>
              <w:rPr>
                <w:color w:val="000000"/>
                <w:szCs w:val="21"/>
              </w:rPr>
            </w:pPr>
            <w:r>
              <w:rPr>
                <w:rFonts w:hint="eastAsia"/>
                <w:color w:val="000000"/>
                <w:szCs w:val="21"/>
              </w:rPr>
              <w:t>一档（1分）：项目负责人具有两化融合、数字化转型、工业互联网平台相关专业领域中级及以上职称，承担过</w:t>
            </w:r>
            <w:r>
              <w:rPr>
                <w:rFonts w:hint="eastAsia"/>
              </w:rPr>
              <w:t>数字化转型、两化融合</w:t>
            </w:r>
            <w:r>
              <w:rPr>
                <w:rFonts w:hint="eastAsia"/>
                <w:color w:val="000000"/>
                <w:szCs w:val="21"/>
              </w:rPr>
              <w:t>领域省部级及以上课题至少2项。</w:t>
            </w:r>
          </w:p>
          <w:p w14:paraId="2A1C84E2">
            <w:pPr>
              <w:rPr>
                <w:color w:val="000000"/>
                <w:szCs w:val="21"/>
              </w:rPr>
            </w:pPr>
            <w:r>
              <w:rPr>
                <w:rFonts w:hint="eastAsia"/>
                <w:color w:val="000000"/>
                <w:szCs w:val="21"/>
              </w:rPr>
              <w:t>二挡（2分）：项目负责人具有两化融合、数字化转型、工业互联网平台相关专业领域副高级及以上职称，承担过</w:t>
            </w:r>
            <w:r>
              <w:rPr>
                <w:rFonts w:hint="eastAsia"/>
              </w:rPr>
              <w:t>数字化转型、两化融合</w:t>
            </w:r>
            <w:r>
              <w:rPr>
                <w:rFonts w:hint="eastAsia"/>
                <w:color w:val="000000"/>
                <w:szCs w:val="21"/>
              </w:rPr>
              <w:t>领域的省部级及以上课题至少4项。</w:t>
            </w:r>
          </w:p>
          <w:p w14:paraId="37EB3A1A">
            <w:pPr>
              <w:rPr>
                <w:color w:val="000000"/>
                <w:szCs w:val="21"/>
              </w:rPr>
            </w:pPr>
            <w:r>
              <w:rPr>
                <w:rFonts w:hint="eastAsia"/>
                <w:color w:val="000000"/>
                <w:szCs w:val="21"/>
              </w:rPr>
              <w:t>三挡（3分）：项目负责人具有两化融合、数字化转型、工业互联网平台相关专业领域副高级及以上职称，承担过</w:t>
            </w:r>
            <w:r>
              <w:rPr>
                <w:rFonts w:hint="eastAsia"/>
              </w:rPr>
              <w:t>数字化转型、两化融合</w:t>
            </w:r>
            <w:r>
              <w:rPr>
                <w:rFonts w:hint="eastAsia"/>
                <w:color w:val="000000"/>
                <w:szCs w:val="21"/>
              </w:rPr>
              <w:t>领域的省部级及以上课题至少6项。</w:t>
            </w:r>
          </w:p>
          <w:p w14:paraId="53C7FF4D">
            <w:pPr>
              <w:rPr>
                <w:szCs w:val="21"/>
              </w:rPr>
            </w:pPr>
            <w:r>
              <w:rPr>
                <w:rFonts w:hint="eastAsia"/>
                <w:color w:val="000000"/>
                <w:szCs w:val="21"/>
              </w:rPr>
              <w:t>四挡（5分）：项目负责人具有两化融合、数字化转型、工业互联网平台相关专业领域副高级及以上职称，承担过</w:t>
            </w:r>
            <w:r>
              <w:rPr>
                <w:rFonts w:hint="eastAsia"/>
              </w:rPr>
              <w:t>数字化转型、两化融合</w:t>
            </w:r>
            <w:r>
              <w:rPr>
                <w:rFonts w:hint="eastAsia"/>
                <w:color w:val="000000"/>
                <w:szCs w:val="21"/>
              </w:rPr>
              <w:t>领域的省部级及以上课题至少8项。</w:t>
            </w:r>
          </w:p>
        </w:tc>
        <w:tc>
          <w:tcPr>
            <w:tcW w:w="2043" w:type="dxa"/>
            <w:tcBorders>
              <w:top w:val="single" w:color="auto" w:sz="4" w:space="0"/>
              <w:left w:val="single" w:color="auto" w:sz="4" w:space="0"/>
              <w:bottom w:val="single" w:color="auto" w:sz="4" w:space="0"/>
              <w:right w:val="single" w:color="auto" w:sz="4" w:space="0"/>
            </w:tcBorders>
            <w:vAlign w:val="center"/>
          </w:tcPr>
          <w:p w14:paraId="6391AE54">
            <w:pPr>
              <w:rPr>
                <w:szCs w:val="21"/>
              </w:rPr>
            </w:pPr>
            <w:r>
              <w:rPr>
                <w:szCs w:val="21"/>
              </w:rPr>
              <w:t>必须提供相关证明材料。</w:t>
            </w:r>
          </w:p>
        </w:tc>
      </w:tr>
      <w:tr w14:paraId="2E16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56941A4">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33657FB6">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17D36A9B">
            <w:pPr>
              <w:rPr>
                <w:szCs w:val="21"/>
              </w:rPr>
            </w:pPr>
            <w:r>
              <w:rPr>
                <w:szCs w:val="21"/>
              </w:rPr>
              <w:t>服务团队人员（</w:t>
            </w:r>
            <w:r>
              <w:rPr>
                <w:rFonts w:hint="eastAsia"/>
                <w:szCs w:val="21"/>
              </w:rPr>
              <w:t>15</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27D7FE54">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69828645">
            <w:pPr>
              <w:spacing w:line="300" w:lineRule="exact"/>
              <w:jc w:val="left"/>
              <w:rPr>
                <w:szCs w:val="21"/>
              </w:rPr>
            </w:pPr>
            <w:r>
              <w:rPr>
                <w:szCs w:val="21"/>
              </w:rPr>
              <w:t>一档（5分）：本项目拟投入课题团队人员仅满足招标文件人员要求，拟投入团队人员3人</w:t>
            </w:r>
            <w:r>
              <w:rPr>
                <w:rFonts w:hint="eastAsia"/>
                <w:szCs w:val="21"/>
              </w:rPr>
              <w:t>及以上</w:t>
            </w:r>
            <w:r>
              <w:rPr>
                <w:szCs w:val="21"/>
              </w:rPr>
              <w:t>，配置基本合理，至少1人具有</w:t>
            </w:r>
            <w:r>
              <w:rPr>
                <w:rFonts w:hint="eastAsia"/>
                <w:szCs w:val="21"/>
              </w:rPr>
              <w:t>产业类</w:t>
            </w:r>
            <w:r>
              <w:rPr>
                <w:rFonts w:hint="eastAsia"/>
                <w:szCs w:val="21"/>
                <w:lang w:val="en-US" w:eastAsia="zh-CN"/>
              </w:rPr>
              <w:t>或</w:t>
            </w:r>
            <w:r>
              <w:rPr>
                <w:rFonts w:hint="eastAsia"/>
                <w:szCs w:val="21"/>
              </w:rPr>
              <w:t>经济类</w:t>
            </w:r>
            <w:r>
              <w:rPr>
                <w:rFonts w:hint="eastAsia"/>
                <w:szCs w:val="21"/>
                <w:lang w:val="en-US" w:eastAsia="zh-CN"/>
              </w:rPr>
              <w:t>或</w:t>
            </w:r>
            <w:r>
              <w:rPr>
                <w:rFonts w:hint="eastAsia"/>
                <w:szCs w:val="21"/>
              </w:rPr>
              <w:t>信息化类或计算机与软件类</w:t>
            </w:r>
            <w:r>
              <w:rPr>
                <w:szCs w:val="21"/>
              </w:rPr>
              <w:t>高级及以上职称。</w:t>
            </w:r>
          </w:p>
          <w:p w14:paraId="3DBBD022">
            <w:pPr>
              <w:spacing w:line="300" w:lineRule="exact"/>
              <w:jc w:val="left"/>
              <w:rPr>
                <w:szCs w:val="21"/>
              </w:rPr>
            </w:pPr>
            <w:r>
              <w:rPr>
                <w:szCs w:val="21"/>
              </w:rPr>
              <w:t>二档（</w:t>
            </w:r>
            <w:r>
              <w:rPr>
                <w:rFonts w:hint="eastAsia"/>
                <w:szCs w:val="21"/>
              </w:rPr>
              <w:t>8</w:t>
            </w:r>
            <w:r>
              <w:rPr>
                <w:szCs w:val="21"/>
              </w:rPr>
              <w:t>分）：本项目拟投入课题团队人员在满足招标文件人员要求下，能投入4人</w:t>
            </w:r>
            <w:r>
              <w:rPr>
                <w:rFonts w:hint="eastAsia"/>
                <w:szCs w:val="21"/>
              </w:rPr>
              <w:t>及以上</w:t>
            </w:r>
            <w:r>
              <w:rPr>
                <w:szCs w:val="21"/>
              </w:rPr>
              <w:t>，配置比较合理，团队人员中拥有工业领域或经济学、管理学领域的本科及以上相关学位3人</w:t>
            </w:r>
            <w:r>
              <w:rPr>
                <w:rFonts w:hint="eastAsia"/>
                <w:szCs w:val="21"/>
              </w:rPr>
              <w:t>及以上</w:t>
            </w:r>
            <w:r>
              <w:rPr>
                <w:szCs w:val="21"/>
              </w:rPr>
              <w:t>，至少3人具有</w:t>
            </w:r>
            <w:r>
              <w:rPr>
                <w:rFonts w:hint="eastAsia"/>
                <w:szCs w:val="21"/>
              </w:rPr>
              <w:t>产业类</w:t>
            </w:r>
            <w:r>
              <w:rPr>
                <w:rFonts w:hint="eastAsia"/>
                <w:szCs w:val="21"/>
                <w:lang w:val="en-US" w:eastAsia="zh-CN"/>
              </w:rPr>
              <w:t>或</w:t>
            </w:r>
            <w:r>
              <w:rPr>
                <w:rFonts w:hint="eastAsia"/>
                <w:szCs w:val="21"/>
              </w:rPr>
              <w:t>经济类</w:t>
            </w:r>
            <w:r>
              <w:rPr>
                <w:rFonts w:hint="eastAsia"/>
                <w:szCs w:val="21"/>
                <w:lang w:val="en-US" w:eastAsia="zh-CN"/>
              </w:rPr>
              <w:t>或</w:t>
            </w:r>
            <w:r>
              <w:rPr>
                <w:rFonts w:hint="eastAsia"/>
                <w:szCs w:val="21"/>
              </w:rPr>
              <w:t>信息化类或计算机与软件类</w:t>
            </w:r>
            <w:r>
              <w:rPr>
                <w:szCs w:val="21"/>
              </w:rPr>
              <w:t>高级及以上职称。</w:t>
            </w:r>
          </w:p>
          <w:p w14:paraId="78C8A0F1">
            <w:pPr>
              <w:spacing w:line="300" w:lineRule="exact"/>
              <w:jc w:val="left"/>
              <w:rPr>
                <w:szCs w:val="21"/>
              </w:rPr>
            </w:pPr>
            <w:r>
              <w:rPr>
                <w:szCs w:val="21"/>
              </w:rPr>
              <w:t>三档（</w:t>
            </w:r>
            <w:r>
              <w:rPr>
                <w:rFonts w:hint="eastAsia"/>
                <w:szCs w:val="21"/>
              </w:rPr>
              <w:t>12</w:t>
            </w:r>
            <w:r>
              <w:rPr>
                <w:szCs w:val="21"/>
              </w:rPr>
              <w:t>分）：本项目拟投入团队人员在满足招标文件人员要求下，能投入7人</w:t>
            </w:r>
            <w:r>
              <w:rPr>
                <w:rFonts w:hint="eastAsia"/>
                <w:color w:val="000000"/>
                <w:szCs w:val="21"/>
              </w:rPr>
              <w:t>及以上</w:t>
            </w:r>
            <w:r>
              <w:rPr>
                <w:szCs w:val="21"/>
              </w:rPr>
              <w:t>的，配置充足，且团队人员中拥有工业领域或经济学、管理学领域的硕士及以上相关学位4人</w:t>
            </w:r>
            <w:r>
              <w:rPr>
                <w:rFonts w:hint="eastAsia"/>
                <w:szCs w:val="21"/>
              </w:rPr>
              <w:t>及以上</w:t>
            </w:r>
            <w:r>
              <w:rPr>
                <w:szCs w:val="21"/>
              </w:rPr>
              <w:t>，至少4人具有</w:t>
            </w:r>
            <w:r>
              <w:rPr>
                <w:rFonts w:hint="eastAsia"/>
                <w:szCs w:val="21"/>
              </w:rPr>
              <w:t>产业类</w:t>
            </w:r>
            <w:r>
              <w:rPr>
                <w:rFonts w:hint="eastAsia"/>
                <w:szCs w:val="21"/>
                <w:lang w:val="en-US" w:eastAsia="zh-CN"/>
              </w:rPr>
              <w:t>或</w:t>
            </w:r>
            <w:r>
              <w:rPr>
                <w:rFonts w:hint="eastAsia"/>
                <w:szCs w:val="21"/>
              </w:rPr>
              <w:t>经济类</w:t>
            </w:r>
            <w:r>
              <w:rPr>
                <w:rFonts w:hint="eastAsia"/>
                <w:szCs w:val="21"/>
                <w:lang w:val="en-US" w:eastAsia="zh-CN"/>
              </w:rPr>
              <w:t>或</w:t>
            </w:r>
            <w:r>
              <w:rPr>
                <w:rFonts w:hint="eastAsia"/>
                <w:szCs w:val="21"/>
              </w:rPr>
              <w:t>信息化类或计算机与软件类</w:t>
            </w:r>
            <w:r>
              <w:rPr>
                <w:szCs w:val="21"/>
              </w:rPr>
              <w:t>高级及以上职称。</w:t>
            </w:r>
          </w:p>
          <w:p w14:paraId="40B36128">
            <w:pPr>
              <w:rPr>
                <w:szCs w:val="21"/>
              </w:rPr>
            </w:pPr>
            <w:r>
              <w:rPr>
                <w:szCs w:val="21"/>
              </w:rPr>
              <w:t>四档（</w:t>
            </w:r>
            <w:r>
              <w:rPr>
                <w:rFonts w:hint="eastAsia"/>
                <w:szCs w:val="21"/>
              </w:rPr>
              <w:t>15</w:t>
            </w:r>
            <w:r>
              <w:rPr>
                <w:szCs w:val="21"/>
              </w:rPr>
              <w:t>分）：本项目拟投入团队人员在满足招标文件人员要求下，能投入10人及以上，配置充足、合理，且团队人员中拥有工业领域或经济学、管理学等相关领域的博士的相关学位5人</w:t>
            </w:r>
            <w:r>
              <w:rPr>
                <w:rFonts w:hint="eastAsia"/>
                <w:szCs w:val="21"/>
              </w:rPr>
              <w:t>及</w:t>
            </w:r>
            <w:r>
              <w:rPr>
                <w:szCs w:val="21"/>
              </w:rPr>
              <w:t>以上，至少5人具有高级</w:t>
            </w:r>
            <w:r>
              <w:rPr>
                <w:rFonts w:hint="eastAsia"/>
                <w:szCs w:val="21"/>
              </w:rPr>
              <w:t>产业类</w:t>
            </w:r>
            <w:r>
              <w:rPr>
                <w:rFonts w:hint="eastAsia"/>
                <w:szCs w:val="21"/>
                <w:lang w:val="en-US" w:eastAsia="zh-CN"/>
              </w:rPr>
              <w:t>或</w:t>
            </w:r>
            <w:r>
              <w:rPr>
                <w:rFonts w:hint="eastAsia"/>
                <w:szCs w:val="21"/>
              </w:rPr>
              <w:t>经济类</w:t>
            </w:r>
            <w:r>
              <w:rPr>
                <w:rFonts w:hint="eastAsia"/>
                <w:szCs w:val="21"/>
                <w:lang w:val="en-US" w:eastAsia="zh-CN"/>
              </w:rPr>
              <w:t>或</w:t>
            </w:r>
            <w:r>
              <w:rPr>
                <w:rFonts w:hint="eastAsia"/>
                <w:szCs w:val="21"/>
              </w:rPr>
              <w:t>信息化类或计算机与软件类</w:t>
            </w:r>
            <w:r>
              <w:rPr>
                <w:rFonts w:hint="eastAsia"/>
                <w:szCs w:val="21"/>
                <w:lang w:val="en-US" w:eastAsia="zh-CN"/>
              </w:rPr>
              <w:t xml:space="preserve"> </w:t>
            </w:r>
            <w:r>
              <w:rPr>
                <w:szCs w:val="21"/>
              </w:rPr>
              <w:t>及以上职称。可以对接国家部委，分析总结全国及各地区的政策、工业经济运行情况等其他信息。</w:t>
            </w:r>
          </w:p>
        </w:tc>
        <w:tc>
          <w:tcPr>
            <w:tcW w:w="2043" w:type="dxa"/>
            <w:tcBorders>
              <w:top w:val="single" w:color="auto" w:sz="4" w:space="0"/>
              <w:left w:val="single" w:color="auto" w:sz="4" w:space="0"/>
              <w:bottom w:val="single" w:color="auto" w:sz="4" w:space="0"/>
              <w:right w:val="single" w:color="auto" w:sz="4" w:space="0"/>
            </w:tcBorders>
            <w:vAlign w:val="center"/>
          </w:tcPr>
          <w:p w14:paraId="1F2781AA">
            <w:pPr>
              <w:rPr>
                <w:szCs w:val="21"/>
              </w:rPr>
            </w:pPr>
            <w:r>
              <w:rPr>
                <w:szCs w:val="21"/>
              </w:rPr>
              <w:t>必须提供相关证明材料。</w:t>
            </w:r>
          </w:p>
        </w:tc>
      </w:tr>
      <w:tr w14:paraId="2BF5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C857781">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0851661F">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030EBB70">
            <w:pPr>
              <w:rPr>
                <w:szCs w:val="21"/>
              </w:rPr>
            </w:pPr>
            <w:r>
              <w:rPr>
                <w:szCs w:val="21"/>
              </w:rPr>
              <w:t>质量保证措施（1</w:t>
            </w:r>
            <w:r>
              <w:rPr>
                <w:rFonts w:hint="eastAsia"/>
                <w:szCs w:val="21"/>
              </w:rPr>
              <w:t>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4989ADB">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2C01552B">
            <w:pPr>
              <w:rPr>
                <w:szCs w:val="21"/>
              </w:rPr>
            </w:pPr>
            <w:r>
              <w:rPr>
                <w:szCs w:val="21"/>
              </w:rPr>
              <w:t>一档（</w:t>
            </w:r>
            <w:r>
              <w:rPr>
                <w:rFonts w:hint="eastAsia"/>
                <w:szCs w:val="21"/>
              </w:rPr>
              <w:t>3</w:t>
            </w:r>
            <w:r>
              <w:rPr>
                <w:szCs w:val="21"/>
              </w:rPr>
              <w:t>分）：供应商为采购人提供有合理的承诺，并包含有项目保障措施，但方案较为简单，缺乏、针对性；</w:t>
            </w:r>
          </w:p>
          <w:p w14:paraId="74A9FAFC">
            <w:pPr>
              <w:rPr>
                <w:szCs w:val="21"/>
              </w:rPr>
            </w:pPr>
            <w:r>
              <w:rPr>
                <w:szCs w:val="21"/>
              </w:rPr>
              <w:t>二档（</w:t>
            </w:r>
            <w:r>
              <w:rPr>
                <w:rFonts w:hint="eastAsia"/>
                <w:szCs w:val="21"/>
              </w:rPr>
              <w:t>6</w:t>
            </w:r>
            <w:r>
              <w:rPr>
                <w:szCs w:val="21"/>
              </w:rPr>
              <w:t>分）：供应商</w:t>
            </w:r>
            <w:r>
              <w:rPr>
                <w:rFonts w:hint="eastAsia"/>
                <w:szCs w:val="21"/>
              </w:rPr>
              <w:t>具备企业“智改数转”服务工作经验，能够</w:t>
            </w:r>
            <w:r>
              <w:rPr>
                <w:szCs w:val="21"/>
              </w:rPr>
              <w:t>为采购人提供有服务质量及成果完成时间承诺，并包含有项目保障措施、保密承诺及廉洁承诺等，且描述了项目保障措施的方法以及实现方式，方案合理可行，具有针对性；</w:t>
            </w:r>
          </w:p>
          <w:p w14:paraId="498F5CF2">
            <w:pPr>
              <w:rPr>
                <w:szCs w:val="21"/>
              </w:rPr>
            </w:pPr>
            <w:r>
              <w:rPr>
                <w:szCs w:val="21"/>
              </w:rPr>
              <w:t>三档（1</w:t>
            </w:r>
            <w:r>
              <w:rPr>
                <w:rFonts w:hint="eastAsia"/>
                <w:szCs w:val="21"/>
              </w:rPr>
              <w:t>0</w:t>
            </w:r>
            <w:r>
              <w:rPr>
                <w:szCs w:val="21"/>
              </w:rPr>
              <w:t>分）：供应商</w:t>
            </w:r>
            <w:r>
              <w:rPr>
                <w:rFonts w:hint="eastAsia"/>
                <w:szCs w:val="21"/>
              </w:rPr>
              <w:t>具备企业“智改数转”服务工作经验，能够</w:t>
            </w:r>
            <w:r>
              <w:rPr>
                <w:szCs w:val="21"/>
              </w:rPr>
              <w:t>为采购人提供优于采购需求的服务质量及成果完成时间承诺，并包含有合理可行并且具有针对性的项目保障措施、保密承诺及廉洁承诺等，且描述了应急保障方案的方法以及实现方式，服务质量承诺方案的联系人等，服务承诺和保障措施考虑周全完整。</w:t>
            </w:r>
          </w:p>
        </w:tc>
        <w:tc>
          <w:tcPr>
            <w:tcW w:w="2043" w:type="dxa"/>
            <w:tcBorders>
              <w:top w:val="single" w:color="auto" w:sz="4" w:space="0"/>
              <w:left w:val="single" w:color="auto" w:sz="4" w:space="0"/>
              <w:bottom w:val="single" w:color="auto" w:sz="4" w:space="0"/>
              <w:right w:val="single" w:color="auto" w:sz="4" w:space="0"/>
            </w:tcBorders>
            <w:vAlign w:val="center"/>
          </w:tcPr>
          <w:p w14:paraId="5C0491C6">
            <w:pPr>
              <w:rPr>
                <w:szCs w:val="21"/>
              </w:rPr>
            </w:pPr>
            <w:r>
              <w:rPr>
                <w:szCs w:val="21"/>
              </w:rPr>
              <w:t>未提供不得分。</w:t>
            </w:r>
          </w:p>
        </w:tc>
      </w:tr>
      <w:tr w14:paraId="468E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55A0EE9A">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6794E98C">
            <w:pPr>
              <w:jc w:val="center"/>
              <w:rPr>
                <w:szCs w:val="21"/>
              </w:rPr>
            </w:pPr>
            <w:r>
              <w:rPr>
                <w:szCs w:val="21"/>
              </w:rPr>
              <w:t>技术部分（40分）</w:t>
            </w:r>
          </w:p>
        </w:tc>
        <w:tc>
          <w:tcPr>
            <w:tcW w:w="1008" w:type="dxa"/>
            <w:tcBorders>
              <w:top w:val="single" w:color="auto" w:sz="4" w:space="0"/>
              <w:left w:val="single" w:color="auto" w:sz="4" w:space="0"/>
              <w:bottom w:val="single" w:color="auto" w:sz="4" w:space="0"/>
              <w:right w:val="single" w:color="auto" w:sz="4" w:space="0"/>
            </w:tcBorders>
            <w:vAlign w:val="center"/>
          </w:tcPr>
          <w:p w14:paraId="503D176C">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612F68CD">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56A45F0C">
            <w:pPr>
              <w:rPr>
                <w:szCs w:val="21"/>
              </w:rPr>
            </w:pPr>
            <w:r>
              <w:rPr>
                <w:szCs w:val="21"/>
              </w:rPr>
              <w:t>一档（8分）：</w:t>
            </w:r>
            <w:r>
              <w:rPr>
                <w:rFonts w:hint="eastAsia"/>
                <w:szCs w:val="21"/>
              </w:rPr>
              <w:t>对</w:t>
            </w:r>
            <w:r>
              <w:rPr>
                <w:rFonts w:hint="eastAsia"/>
                <w:color w:val="000000"/>
                <w:szCs w:val="21"/>
              </w:rPr>
              <w:t>广西制造业智改数转网联赋能新型工业化发展</w:t>
            </w:r>
            <w:r>
              <w:rPr>
                <w:rFonts w:hint="eastAsia"/>
                <w:szCs w:val="21"/>
              </w:rPr>
              <w:t>“十五五”规划</w:t>
            </w:r>
            <w:r>
              <w:rPr>
                <w:szCs w:val="21"/>
              </w:rPr>
              <w:t>工作方案简单，对</w:t>
            </w:r>
            <w:r>
              <w:rPr>
                <w:rFonts w:hint="eastAsia"/>
                <w:szCs w:val="21"/>
              </w:rPr>
              <w:t>规划</w:t>
            </w:r>
            <w:r>
              <w:rPr>
                <w:szCs w:val="21"/>
              </w:rPr>
              <w:t>的总体需求的理解程度、对</w:t>
            </w:r>
            <w:r>
              <w:rPr>
                <w:rFonts w:hint="eastAsia"/>
                <w:szCs w:val="21"/>
              </w:rPr>
              <w:t>规划</w:t>
            </w:r>
            <w:r>
              <w:rPr>
                <w:szCs w:val="21"/>
              </w:rPr>
              <w:t>范围把握不准确，</w:t>
            </w:r>
            <w:r>
              <w:rPr>
                <w:rFonts w:hint="eastAsia"/>
                <w:szCs w:val="21"/>
              </w:rPr>
              <w:t>规划</w:t>
            </w:r>
            <w:r>
              <w:rPr>
                <w:szCs w:val="21"/>
              </w:rPr>
              <w:t>重点难点分析不完整。</w:t>
            </w:r>
          </w:p>
          <w:p w14:paraId="0FB1C883">
            <w:pPr>
              <w:rPr>
                <w:szCs w:val="21"/>
              </w:rPr>
            </w:pPr>
            <w:r>
              <w:rPr>
                <w:szCs w:val="21"/>
              </w:rPr>
              <w:t>二档（16分）：</w:t>
            </w:r>
            <w:r>
              <w:rPr>
                <w:rFonts w:hint="eastAsia" w:ascii="Calibri"/>
                <w:szCs w:val="21"/>
              </w:rPr>
              <w:t>对</w:t>
            </w:r>
            <w:r>
              <w:rPr>
                <w:rFonts w:hint="eastAsia"/>
                <w:color w:val="000000"/>
                <w:szCs w:val="21"/>
              </w:rPr>
              <w:t>广西制造业智改数转网联赋能新型工业化发展</w:t>
            </w:r>
            <w:r>
              <w:rPr>
                <w:rFonts w:hint="eastAsia" w:ascii="Calibri"/>
                <w:szCs w:val="21"/>
              </w:rPr>
              <w:t>“十五五”规划</w:t>
            </w:r>
            <w:r>
              <w:rPr>
                <w:szCs w:val="21"/>
              </w:rPr>
              <w:t>工作方案合理完整，具有针对性，对</w:t>
            </w:r>
            <w:r>
              <w:rPr>
                <w:rFonts w:hint="eastAsia"/>
                <w:szCs w:val="21"/>
              </w:rPr>
              <w:t>规划</w:t>
            </w:r>
            <w:r>
              <w:rPr>
                <w:szCs w:val="21"/>
              </w:rPr>
              <w:t>的总体需求的理解程度、对</w:t>
            </w:r>
            <w:r>
              <w:rPr>
                <w:rFonts w:hint="eastAsia"/>
                <w:szCs w:val="21"/>
              </w:rPr>
              <w:t>规划</w:t>
            </w:r>
            <w:r>
              <w:rPr>
                <w:szCs w:val="21"/>
              </w:rPr>
              <w:t>范围把握准确度较低，</w:t>
            </w:r>
            <w:r>
              <w:rPr>
                <w:rFonts w:hint="eastAsia"/>
                <w:szCs w:val="21"/>
              </w:rPr>
              <w:t>规划</w:t>
            </w:r>
            <w:r>
              <w:rPr>
                <w:szCs w:val="21"/>
              </w:rPr>
              <w:t>重点难点分析简单，应对措施不够具体。</w:t>
            </w:r>
          </w:p>
          <w:p w14:paraId="7CE4FC96">
            <w:pPr>
              <w:rPr>
                <w:szCs w:val="21"/>
              </w:rPr>
            </w:pPr>
            <w:r>
              <w:rPr>
                <w:szCs w:val="21"/>
              </w:rPr>
              <w:t>三档（24分）：</w:t>
            </w:r>
            <w:r>
              <w:rPr>
                <w:rFonts w:hint="eastAsia" w:ascii="Calibri"/>
                <w:szCs w:val="21"/>
              </w:rPr>
              <w:t>对</w:t>
            </w:r>
            <w:r>
              <w:rPr>
                <w:rFonts w:hint="eastAsia"/>
                <w:color w:val="000000"/>
                <w:szCs w:val="21"/>
              </w:rPr>
              <w:t>广西制造业智改数转网联赋能新型工业化发展</w:t>
            </w:r>
            <w:r>
              <w:rPr>
                <w:rFonts w:hint="eastAsia" w:ascii="Calibri"/>
                <w:szCs w:val="21"/>
              </w:rPr>
              <w:t>“十五五”规划</w:t>
            </w:r>
            <w:r>
              <w:rPr>
                <w:szCs w:val="21"/>
              </w:rPr>
              <w:t>工作方案合理完整，具有针对性和先进性，对</w:t>
            </w:r>
            <w:r>
              <w:rPr>
                <w:rFonts w:hint="eastAsia"/>
                <w:szCs w:val="21"/>
              </w:rPr>
              <w:t>规划</w:t>
            </w:r>
            <w:r>
              <w:rPr>
                <w:szCs w:val="21"/>
              </w:rPr>
              <w:t>的总体需求的理解程度、对</w:t>
            </w:r>
            <w:r>
              <w:rPr>
                <w:rFonts w:hint="eastAsia"/>
                <w:szCs w:val="21"/>
              </w:rPr>
              <w:t>规划</w:t>
            </w:r>
            <w:r>
              <w:rPr>
                <w:szCs w:val="21"/>
              </w:rPr>
              <w:t>范围把握准确度好，</w:t>
            </w:r>
            <w:r>
              <w:rPr>
                <w:rFonts w:hint="eastAsia"/>
                <w:szCs w:val="21"/>
              </w:rPr>
              <w:t>规划</w:t>
            </w:r>
            <w:r>
              <w:rPr>
                <w:szCs w:val="21"/>
              </w:rPr>
              <w:t>重点难点分析完善，应对措施具体可行，</w:t>
            </w:r>
            <w:r>
              <w:rPr>
                <w:rFonts w:hint="eastAsia"/>
                <w:szCs w:val="21"/>
              </w:rPr>
              <w:t>能够对</w:t>
            </w:r>
            <w:r>
              <w:rPr>
                <w:rFonts w:hint="eastAsia" w:ascii="Calibri"/>
                <w:szCs w:val="21"/>
              </w:rPr>
              <w:t>智改数转网联</w:t>
            </w:r>
            <w:r>
              <w:rPr>
                <w:rFonts w:hint="eastAsia"/>
                <w:szCs w:val="21"/>
              </w:rPr>
              <w:t>发展现状进行量化监测分析，</w:t>
            </w:r>
            <w:r>
              <w:rPr>
                <w:szCs w:val="21"/>
              </w:rPr>
              <w:t>并附有相关的合理化建议。</w:t>
            </w:r>
          </w:p>
          <w:p w14:paraId="7A70DAFC">
            <w:pPr>
              <w:rPr>
                <w:szCs w:val="21"/>
              </w:rPr>
            </w:pPr>
            <w:r>
              <w:rPr>
                <w:szCs w:val="21"/>
              </w:rPr>
              <w:t>四档（30分）：</w:t>
            </w:r>
            <w:r>
              <w:rPr>
                <w:rFonts w:hint="eastAsia" w:ascii="Calibri"/>
                <w:szCs w:val="21"/>
              </w:rPr>
              <w:t>对</w:t>
            </w:r>
            <w:r>
              <w:rPr>
                <w:rFonts w:hint="eastAsia"/>
                <w:color w:val="000000"/>
                <w:szCs w:val="21"/>
              </w:rPr>
              <w:t>广西制造业智改数转网联赋能新型工业化发展</w:t>
            </w:r>
            <w:r>
              <w:rPr>
                <w:rFonts w:hint="eastAsia" w:ascii="Calibri"/>
                <w:szCs w:val="21"/>
              </w:rPr>
              <w:t>“十五五”规划</w:t>
            </w:r>
            <w:r>
              <w:rPr>
                <w:szCs w:val="21"/>
              </w:rPr>
              <w:t>工作方案合理完整，具有针对性和先进性，对</w:t>
            </w:r>
            <w:r>
              <w:rPr>
                <w:rFonts w:hint="eastAsia"/>
                <w:szCs w:val="21"/>
              </w:rPr>
              <w:t>规划</w:t>
            </w:r>
            <w:r>
              <w:rPr>
                <w:szCs w:val="21"/>
              </w:rPr>
              <w:t>的总体需求的理解程度、对</w:t>
            </w:r>
            <w:r>
              <w:rPr>
                <w:rFonts w:hint="eastAsia"/>
                <w:szCs w:val="21"/>
              </w:rPr>
              <w:t>规划</w:t>
            </w:r>
            <w:r>
              <w:rPr>
                <w:szCs w:val="21"/>
              </w:rPr>
              <w:t>范围把握准确度较高并具有切合的额外建设建议和措施，</w:t>
            </w:r>
            <w:r>
              <w:rPr>
                <w:rFonts w:hint="eastAsia"/>
                <w:szCs w:val="21"/>
              </w:rPr>
              <w:t>规划</w:t>
            </w:r>
            <w:r>
              <w:rPr>
                <w:szCs w:val="21"/>
              </w:rPr>
              <w:t>重点难点分析翔实且有针对性，应对措施具体可行，</w:t>
            </w:r>
            <w:r>
              <w:rPr>
                <w:rFonts w:hint="eastAsia"/>
                <w:szCs w:val="21"/>
              </w:rPr>
              <w:t>能够对智改数转网联发展现状进行量化监测分析，并提供具</w:t>
            </w:r>
            <w:r>
              <w:rPr>
                <w:szCs w:val="21"/>
              </w:rPr>
              <w:t>有可操作性和先进性</w:t>
            </w:r>
            <w:r>
              <w:rPr>
                <w:rFonts w:hint="eastAsia"/>
                <w:szCs w:val="21"/>
              </w:rPr>
              <w:t>的</w:t>
            </w:r>
            <w:r>
              <w:rPr>
                <w:szCs w:val="21"/>
              </w:rPr>
              <w:t>合理化建议，建立完善的组织机构、规范的内部操作规程。</w:t>
            </w:r>
          </w:p>
        </w:tc>
        <w:tc>
          <w:tcPr>
            <w:tcW w:w="2043" w:type="dxa"/>
            <w:tcBorders>
              <w:top w:val="single" w:color="auto" w:sz="4" w:space="0"/>
              <w:left w:val="single" w:color="auto" w:sz="4" w:space="0"/>
              <w:bottom w:val="single" w:color="auto" w:sz="4" w:space="0"/>
              <w:right w:val="single" w:color="auto" w:sz="4" w:space="0"/>
            </w:tcBorders>
            <w:vAlign w:val="center"/>
          </w:tcPr>
          <w:p w14:paraId="4C79C049">
            <w:pPr>
              <w:rPr>
                <w:szCs w:val="21"/>
              </w:rPr>
            </w:pPr>
            <w:r>
              <w:rPr>
                <w:szCs w:val="21"/>
              </w:rPr>
              <w:t>未提供不得分。</w:t>
            </w:r>
          </w:p>
        </w:tc>
      </w:tr>
      <w:tr w14:paraId="226A8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E40B52F">
            <w:pPr>
              <w:widowControl/>
              <w:jc w:val="left"/>
              <w:rPr>
                <w:szCs w:val="21"/>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3727D2C5">
            <w:pPr>
              <w:widowControl/>
              <w:jc w:val="left"/>
              <w:rPr>
                <w:szCs w:val="21"/>
              </w:rPr>
            </w:pPr>
          </w:p>
        </w:tc>
        <w:tc>
          <w:tcPr>
            <w:tcW w:w="1008" w:type="dxa"/>
            <w:tcBorders>
              <w:top w:val="single" w:color="auto" w:sz="4" w:space="0"/>
              <w:left w:val="single" w:color="auto" w:sz="4" w:space="0"/>
              <w:bottom w:val="single" w:color="auto" w:sz="4" w:space="0"/>
              <w:right w:val="single" w:color="auto" w:sz="4" w:space="0"/>
            </w:tcBorders>
            <w:vAlign w:val="center"/>
          </w:tcPr>
          <w:p w14:paraId="0771B8C4">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679577FF">
            <w:pPr>
              <w:jc w:val="center"/>
              <w:rPr>
                <w:szCs w:val="21"/>
              </w:rPr>
            </w:pPr>
            <w:r>
              <w:rPr>
                <w:szCs w:val="21"/>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7845FC47">
            <w:pPr>
              <w:rPr>
                <w:szCs w:val="21"/>
              </w:rPr>
            </w:pPr>
            <w:r>
              <w:rPr>
                <w:szCs w:val="21"/>
              </w:rPr>
              <w:t>一档（4分）：计划安排内容简单；</w:t>
            </w:r>
          </w:p>
          <w:p w14:paraId="62666A1C">
            <w:pPr>
              <w:rPr>
                <w:szCs w:val="21"/>
              </w:rPr>
            </w:pPr>
            <w:r>
              <w:rPr>
                <w:szCs w:val="21"/>
              </w:rPr>
              <w:t>二档（6分）：有工作步骤、对本项目调研计划基本合理，时间安排基本满足招标文件要求；</w:t>
            </w:r>
          </w:p>
          <w:p w14:paraId="234DE794">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549F7B8A">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3" w:type="dxa"/>
            <w:tcBorders>
              <w:top w:val="single" w:color="auto" w:sz="4" w:space="0"/>
              <w:left w:val="single" w:color="auto" w:sz="4" w:space="0"/>
              <w:bottom w:val="single" w:color="auto" w:sz="4" w:space="0"/>
              <w:right w:val="single" w:color="auto" w:sz="4" w:space="0"/>
            </w:tcBorders>
            <w:vAlign w:val="center"/>
          </w:tcPr>
          <w:p w14:paraId="25106EA7">
            <w:pPr>
              <w:rPr>
                <w:szCs w:val="21"/>
              </w:rPr>
            </w:pPr>
            <w:r>
              <w:rPr>
                <w:szCs w:val="21"/>
              </w:rPr>
              <w:t>未提供不得分。</w:t>
            </w:r>
          </w:p>
        </w:tc>
      </w:tr>
      <w:tr w14:paraId="785D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348A973">
            <w:pPr>
              <w:jc w:val="center"/>
              <w:rPr>
                <w:szCs w:val="21"/>
              </w:rPr>
            </w:pPr>
            <w:r>
              <w:rPr>
                <w:szCs w:val="21"/>
              </w:rPr>
              <w:t>3</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797ADBE3">
            <w:pPr>
              <w:jc w:val="center"/>
              <w:rPr>
                <w:szCs w:val="21"/>
              </w:rPr>
            </w:pPr>
            <w:r>
              <w:rPr>
                <w:szCs w:val="21"/>
              </w:rPr>
              <w:t>投标报价分</w:t>
            </w:r>
          </w:p>
          <w:p w14:paraId="16C9BC07">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4699957F">
            <w:pPr>
              <w:jc w:val="center"/>
              <w:rPr>
                <w:szCs w:val="21"/>
              </w:rPr>
            </w:pPr>
            <w:r>
              <w:rPr>
                <w:szCs w:val="21"/>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15B2AB7B">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3" w:type="dxa"/>
            <w:tcBorders>
              <w:top w:val="single" w:color="auto" w:sz="4" w:space="0"/>
              <w:left w:val="single" w:color="auto" w:sz="4" w:space="0"/>
              <w:bottom w:val="single" w:color="auto" w:sz="4" w:space="0"/>
              <w:right w:val="single" w:color="auto" w:sz="4" w:space="0"/>
            </w:tcBorders>
            <w:vAlign w:val="center"/>
          </w:tcPr>
          <w:p w14:paraId="2DA815AE">
            <w:pPr>
              <w:rPr>
                <w:szCs w:val="21"/>
              </w:rPr>
            </w:pPr>
            <w:r>
              <w:rPr>
                <w:rFonts w:hint="eastAsia"/>
                <w:szCs w:val="21"/>
              </w:rPr>
              <w:t>如有价格扣除时，投标报价分均按供应商实际投标报价进行价格扣除后的价格进行计算，最终中标金额＝投标报价。价格扣除计算方法见后。</w:t>
            </w:r>
          </w:p>
        </w:tc>
      </w:tr>
      <w:tr w14:paraId="3708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F6E0D94">
            <w:pPr>
              <w:jc w:val="center"/>
              <w:rPr>
                <w:szCs w:val="21"/>
              </w:rPr>
            </w:pPr>
            <w:r>
              <w:rPr>
                <w:szCs w:val="21"/>
              </w:rPr>
              <w:t>4</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3C14DF66">
            <w:pPr>
              <w:jc w:val="center"/>
              <w:rPr>
                <w:szCs w:val="21"/>
              </w:rPr>
            </w:pPr>
            <w:r>
              <w:rPr>
                <w:szCs w:val="21"/>
              </w:rPr>
              <w:t>综合得分</w:t>
            </w:r>
          </w:p>
        </w:tc>
        <w:tc>
          <w:tcPr>
            <w:tcW w:w="7735" w:type="dxa"/>
            <w:gridSpan w:val="3"/>
            <w:tcBorders>
              <w:top w:val="single" w:color="auto" w:sz="4" w:space="0"/>
              <w:left w:val="single" w:color="auto" w:sz="4" w:space="0"/>
              <w:bottom w:val="single" w:color="auto" w:sz="4" w:space="0"/>
              <w:right w:val="single" w:color="auto" w:sz="4" w:space="0"/>
            </w:tcBorders>
            <w:vAlign w:val="center"/>
          </w:tcPr>
          <w:p w14:paraId="5EA36BDA">
            <w:pPr>
              <w:rPr>
                <w:szCs w:val="21"/>
              </w:rPr>
            </w:pPr>
            <w:r>
              <w:rPr>
                <w:szCs w:val="21"/>
              </w:rPr>
              <w:t>=1+2+3（各项评分分值计算保留小数点后两位，小数点后第三位“四舍五入”）</w:t>
            </w:r>
          </w:p>
        </w:tc>
      </w:tr>
    </w:tbl>
    <w:p w14:paraId="44589E25">
      <w:pPr>
        <w:rPr>
          <w:b/>
          <w:color w:val="000000"/>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3101A583">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rPr>
            </w:pPr>
            <w:r>
              <w:rPr>
                <w:color w:val="000000"/>
                <w:szCs w:val="21"/>
              </w:rPr>
              <w:t>独立响应</w:t>
            </w:r>
          </w:p>
        </w:tc>
        <w:tc>
          <w:tcPr>
            <w:tcW w:w="4962" w:type="dxa"/>
          </w:tcPr>
          <w:p w14:paraId="0CCA3228">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4E10183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rPr>
            </w:pPr>
            <w:r>
              <w:rPr>
                <w:color w:val="000000"/>
                <w:szCs w:val="21"/>
              </w:rPr>
              <w:t>联合体或</w:t>
            </w:r>
          </w:p>
          <w:p w14:paraId="354B65E9">
            <w:pPr>
              <w:spacing w:before="120" w:line="320" w:lineRule="atLeast"/>
              <w:jc w:val="center"/>
              <w:rPr>
                <w:color w:val="000000"/>
                <w:szCs w:val="21"/>
              </w:rPr>
            </w:pPr>
            <w:r>
              <w:rPr>
                <w:color w:val="000000"/>
                <w:szCs w:val="21"/>
              </w:rPr>
              <w:t>分包</w:t>
            </w:r>
          </w:p>
        </w:tc>
        <w:tc>
          <w:tcPr>
            <w:tcW w:w="4962" w:type="dxa"/>
          </w:tcPr>
          <w:p w14:paraId="46B7DCD3">
            <w:pPr>
              <w:spacing w:before="120" w:line="320" w:lineRule="atLeast"/>
              <w:rPr>
                <w:color w:val="000000"/>
                <w:szCs w:val="21"/>
              </w:rPr>
            </w:pPr>
            <w:r>
              <w:rPr>
                <w:color w:val="000000"/>
                <w:szCs w:val="21"/>
              </w:rPr>
              <w:t>小微企业承接的金额比例为100%</w:t>
            </w:r>
          </w:p>
        </w:tc>
        <w:tc>
          <w:tcPr>
            <w:tcW w:w="2551" w:type="dxa"/>
          </w:tcPr>
          <w:p w14:paraId="1D4F2A1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rPr>
            </w:pPr>
          </w:p>
        </w:tc>
        <w:tc>
          <w:tcPr>
            <w:tcW w:w="4962" w:type="dxa"/>
          </w:tcPr>
          <w:p w14:paraId="54CA6BF5">
            <w:pPr>
              <w:spacing w:before="120" w:line="320" w:lineRule="atLeast"/>
              <w:rPr>
                <w:color w:val="000000"/>
                <w:szCs w:val="21"/>
              </w:rPr>
            </w:pPr>
            <w:r>
              <w:rPr>
                <w:color w:val="000000"/>
                <w:szCs w:val="21"/>
              </w:rPr>
              <w:t>小微企业承接的金额比例达到合同总金额30%以上</w:t>
            </w:r>
          </w:p>
        </w:tc>
        <w:tc>
          <w:tcPr>
            <w:tcW w:w="2551" w:type="dxa"/>
          </w:tcPr>
          <w:p w14:paraId="4380968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0D5E707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8" w:name="_Toc139710081"/>
      <w:r>
        <w:rPr>
          <w:rFonts w:ascii="Times New Roman" w:hAnsi="Times New Roman" w:cs="Times New Roman"/>
          <w:color w:val="000000" w:themeColor="text1"/>
          <w:sz w:val="32"/>
          <w:szCs w:val="32"/>
          <w14:textFill>
            <w14:solidFill>
              <w14:schemeClr w14:val="tx1"/>
            </w14:solidFill>
          </w14:textFill>
        </w:rPr>
        <w:t>第五章  合同主要条款格式</w:t>
      </w:r>
      <w:bookmarkEnd w:id="88"/>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9"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9"/>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90"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90"/>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91"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1"/>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92"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2"/>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4"/>
    <w:bookmarkEnd w:id="85"/>
    <w:p w14:paraId="10F4A8C7">
      <w:pPr>
        <w:widowControl/>
        <w:jc w:val="center"/>
        <w:outlineLvl w:val="0"/>
        <w:rPr>
          <w:color w:val="000000" w:themeColor="text1"/>
          <w:sz w:val="32"/>
          <w:szCs w:val="32"/>
          <w14:textFill>
            <w14:solidFill>
              <w14:schemeClr w14:val="tx1"/>
            </w14:solidFill>
          </w14:textFill>
        </w:rPr>
      </w:pPr>
      <w:bookmarkStart w:id="93" w:name="_Toc13971008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93"/>
    </w:p>
    <w:p w14:paraId="14FB9903">
      <w:pPr>
        <w:rPr>
          <w:color w:val="000000" w:themeColor="text1"/>
          <w:sz w:val="28"/>
          <w:szCs w:val="28"/>
          <w14:textFill>
            <w14:solidFill>
              <w14:schemeClr w14:val="tx1"/>
            </w14:solidFill>
          </w14:textFill>
        </w:rPr>
      </w:pPr>
      <w:bookmarkStart w:id="94" w:name="_Toc254970556"/>
      <w:bookmarkStart w:id="95" w:name="_Toc254970697"/>
    </w:p>
    <w:bookmarkEnd w:id="94"/>
    <w:bookmarkEnd w:id="95"/>
    <w:p w14:paraId="1329BCD8">
      <w:pPr>
        <w:rPr>
          <w:color w:val="000000" w:themeColor="text1"/>
          <w:sz w:val="28"/>
          <w:szCs w:val="28"/>
          <w14:textFill>
            <w14:solidFill>
              <w14:schemeClr w14:val="tx1"/>
            </w14:solidFill>
          </w14:textFill>
        </w:rPr>
      </w:pPr>
    </w:p>
    <w:p w14:paraId="433E5926">
      <w:pPr>
        <w:spacing w:line="500" w:lineRule="exact"/>
        <w:ind w:firstLine="560" w:firstLineChars="200"/>
        <w:rPr>
          <w:color w:val="000000" w:themeColor="text1"/>
          <w:sz w:val="24"/>
          <w14:textFill>
            <w14:solidFill>
              <w14:schemeClr w14:val="tx1"/>
            </w14:solidFill>
          </w14:textFill>
        </w:rPr>
      </w:pPr>
      <w:bookmarkStart w:id="96" w:name="_Hlk19199063"/>
      <w:r>
        <w:rPr>
          <w:color w:val="000000" w:themeColor="text1"/>
          <w:sz w:val="28"/>
          <w:szCs w:val="28"/>
          <w14:textFill>
            <w14:solidFill>
              <w14:schemeClr w14:val="tx1"/>
            </w14:solidFill>
          </w14:textFill>
        </w:rPr>
        <w:t>注：有签字、盖章要求的应按要求</w:t>
      </w:r>
      <w:bookmarkEnd w:id="96"/>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14:textFill>
            <w14:solidFill>
              <w14:schemeClr w14:val="tx1"/>
            </w14:solidFill>
          </w14:textFill>
        </w:rPr>
      </w:pPr>
    </w:p>
    <w:p w14:paraId="532C1459">
      <w:pPr>
        <w:snapToGrid w:val="0"/>
        <w:spacing w:before="120" w:beforeLines="50" w:after="50" w:line="360" w:lineRule="exact"/>
        <w:jc w:val="center"/>
        <w:rPr>
          <w:bCs/>
          <w:color w:val="000000" w:themeColor="text1"/>
          <w:sz w:val="24"/>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1E01EC09">
      <w:pPr>
        <w:snapToGrid w:val="0"/>
        <w:spacing w:before="120" w:beforeLines="50" w:after="50" w:line="360" w:lineRule="exact"/>
        <w:rPr>
          <w:bCs/>
          <w:color w:val="000000" w:themeColor="text1"/>
          <w:sz w:val="24"/>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22F843A9">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7" w:name="_Toc254970698"/>
      <w:bookmarkStart w:id="98" w:name="_Toc254970557"/>
      <w:r>
        <w:rPr>
          <w:color w:val="000000" w:themeColor="text1"/>
          <w:sz w:val="24"/>
          <w14:textFill>
            <w14:solidFill>
              <w14:schemeClr w14:val="tx1"/>
            </w14:solidFill>
          </w14:textFill>
        </w:rPr>
        <w:br w:type="page"/>
      </w:r>
      <w:bookmarkEnd w:id="97"/>
      <w:bookmarkEnd w:id="98"/>
    </w:p>
    <w:p w14:paraId="5A318F91">
      <w:pPr>
        <w:snapToGrid w:val="0"/>
        <w:spacing w:before="120" w:beforeLines="50" w:after="50" w:line="440" w:lineRule="exact"/>
        <w:jc w:val="center"/>
        <w:rPr>
          <w:color w:val="000000" w:themeColor="text1"/>
          <w:sz w:val="24"/>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34B3DBA1">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72FD86DA">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14:textFill>
            <w14:solidFill>
              <w14:schemeClr w14:val="tx1"/>
            </w14:solidFill>
          </w14:textFill>
        </w:rPr>
      </w:pPr>
      <w:bookmarkStart w:id="99" w:name="_Hlk19199154"/>
    </w:p>
    <w:p w14:paraId="5BD3136C">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99"/>
    </w:p>
    <w:p w14:paraId="4B9CF5FE">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14:textFill>
            <w14:solidFill>
              <w14:schemeClr w14:val="tx1"/>
            </w14:solidFill>
          </w14:textFill>
        </w:rPr>
      </w:pPr>
    </w:p>
    <w:p w14:paraId="1632C028">
      <w:pPr>
        <w:snapToGrid w:val="0"/>
        <w:spacing w:before="120" w:beforeLines="50" w:after="50" w:line="360" w:lineRule="exact"/>
        <w:rPr>
          <w:color w:val="000000" w:themeColor="text1"/>
          <w:szCs w:val="21"/>
          <w14:textFill>
            <w14:solidFill>
              <w14:schemeClr w14:val="tx1"/>
            </w14:solidFill>
          </w14:textFill>
        </w:rPr>
      </w:pPr>
      <w:bookmarkStart w:id="100"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5F8E695C">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100"/>
    <w:p w14:paraId="632F6547">
      <w:pPr>
        <w:snapToGrid w:val="0"/>
        <w:spacing w:before="120" w:beforeLines="50" w:line="360" w:lineRule="exact"/>
        <w:ind w:firstLine="420" w:firstLineChars="200"/>
        <w:rPr>
          <w:color w:val="000000" w:themeColor="text1"/>
          <w:szCs w:val="21"/>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101"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101"/>
    <w:p w14:paraId="32CD8DFC">
      <w:pPr>
        <w:jc w:val="center"/>
        <w:rPr>
          <w:color w:val="000000" w:themeColor="text1"/>
          <w14:textFill>
            <w14:solidFill>
              <w14:schemeClr w14:val="tx1"/>
            </w14:solidFill>
          </w14:textFill>
        </w:rPr>
      </w:pPr>
      <w:bookmarkStart w:id="102" w:name="_Toc462223472"/>
      <w:bookmarkStart w:id="103" w:name="_Toc462320613"/>
      <w:bookmarkStart w:id="104" w:name="_Toc455309222"/>
    </w:p>
    <w:bookmarkEnd w:id="102"/>
    <w:bookmarkEnd w:id="103"/>
    <w:bookmarkEnd w:id="104"/>
    <w:p w14:paraId="12CCB951">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52EE17D0">
      <w:pPr>
        <w:spacing w:line="360" w:lineRule="auto"/>
        <w:rPr>
          <w:color w:val="000000" w:themeColor="text1"/>
          <w14:textFill>
            <w14:solidFill>
              <w14:schemeClr w14:val="tx1"/>
            </w14:solidFill>
          </w14:textFill>
        </w:rPr>
      </w:pPr>
    </w:p>
    <w:p w14:paraId="13147A08">
      <w:pPr>
        <w:spacing w:line="360" w:lineRule="auto"/>
        <w:rPr>
          <w:color w:val="000000" w:themeColor="text1"/>
          <w14:textFill>
            <w14:solidFill>
              <w14:schemeClr w14:val="tx1"/>
            </w14:solidFill>
          </w14:textFill>
        </w:rPr>
      </w:pPr>
    </w:p>
    <w:p w14:paraId="139A34D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1DEABF5B">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51BBBAF5">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2A002BFC">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63A43A5C">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2E5FD721">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DCCE28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281C4C10">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609EB98F">
      <w:pPr>
        <w:spacing w:line="540" w:lineRule="exact"/>
        <w:rPr>
          <w:color w:val="000000" w:themeColor="text1"/>
          <w:szCs w:val="21"/>
          <w14:textFill>
            <w14:solidFill>
              <w14:schemeClr w14:val="tx1"/>
            </w14:solidFill>
          </w14:textFill>
        </w:rPr>
      </w:pPr>
    </w:p>
    <w:p w14:paraId="4441822F">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202C19BF">
      <w:pPr>
        <w:spacing w:line="540" w:lineRule="exact"/>
        <w:rPr>
          <w:color w:val="000000" w:themeColor="text1"/>
          <w:szCs w:val="21"/>
          <w14:textFill>
            <w14:solidFill>
              <w14:schemeClr w14:val="tx1"/>
            </w14:solidFill>
          </w14:textFill>
        </w:rPr>
      </w:pPr>
    </w:p>
    <w:p w14:paraId="56E4719A">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4E70A2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7E7D082D">
      <w:pPr>
        <w:spacing w:line="540" w:lineRule="exact"/>
        <w:rPr>
          <w:color w:val="000000" w:themeColor="text1"/>
          <w:szCs w:val="21"/>
          <w14:textFill>
            <w14:solidFill>
              <w14:schemeClr w14:val="tx1"/>
            </w14:solidFill>
          </w14:textFill>
        </w:rPr>
      </w:pPr>
    </w:p>
    <w:p w14:paraId="1DAFA547">
      <w:pPr>
        <w:spacing w:line="360" w:lineRule="auto"/>
        <w:rPr>
          <w:color w:val="000000" w:themeColor="text1"/>
          <w:szCs w:val="21"/>
          <w14:textFill>
            <w14:solidFill>
              <w14:schemeClr w14:val="tx1"/>
            </w14:solidFill>
          </w14:textFill>
        </w:rPr>
      </w:pPr>
      <w:bookmarkStart w:id="105" w:name="_Hlk19199756"/>
      <w:r>
        <w:rPr>
          <w:color w:val="000000" w:themeColor="text1"/>
          <w:szCs w:val="21"/>
          <w14:textFill>
            <w14:solidFill>
              <w14:schemeClr w14:val="tx1"/>
            </w14:solidFill>
          </w14:textFill>
        </w:rPr>
        <w:t>附件：法定代表人身份证复印件</w:t>
      </w:r>
    </w:p>
    <w:p w14:paraId="7664633D">
      <w:pPr>
        <w:spacing w:line="360" w:lineRule="auto"/>
        <w:rPr>
          <w:color w:val="000000" w:themeColor="text1"/>
          <w:szCs w:val="21"/>
          <w14:textFill>
            <w14:solidFill>
              <w14:schemeClr w14:val="tx1"/>
            </w14:solidFill>
          </w14:textFill>
        </w:rPr>
      </w:pPr>
    </w:p>
    <w:bookmarkEnd w:id="105"/>
    <w:p w14:paraId="0440222F">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6" w:name="_Hlk19199766"/>
      <w:r>
        <w:rPr>
          <w:b/>
          <w:color w:val="000000" w:themeColor="text1"/>
          <w:szCs w:val="21"/>
          <w14:textFill>
            <w14:solidFill>
              <w14:schemeClr w14:val="tx1"/>
            </w14:solidFill>
          </w14:textFill>
        </w:rPr>
        <w:t>2．授权委托书（有授权代表时提供）：</w:t>
      </w:r>
    </w:p>
    <w:bookmarkEnd w:id="106"/>
    <w:p w14:paraId="2B6C24D7">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14:textFill>
            <w14:solidFill>
              <w14:schemeClr w14:val="tx1"/>
            </w14:solidFill>
          </w14:textFill>
        </w:rPr>
      </w:pPr>
      <w:bookmarkStart w:id="107"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784C7E3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70D1246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226F8F91">
      <w:pPr>
        <w:spacing w:line="360" w:lineRule="auto"/>
        <w:rPr>
          <w:color w:val="000000" w:themeColor="text1"/>
          <w14:textFill>
            <w14:solidFill>
              <w14:schemeClr w14:val="tx1"/>
            </w14:solidFill>
          </w14:textFill>
        </w:rPr>
      </w:pPr>
    </w:p>
    <w:p w14:paraId="2CE36E0A">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7"/>
    </w:p>
    <w:p w14:paraId="2C015099">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14:textFill>
            <w14:solidFill>
              <w14:schemeClr w14:val="tx1"/>
            </w14:solidFill>
          </w14:textFill>
        </w:rPr>
      </w:pPr>
    </w:p>
    <w:p w14:paraId="78EF7C3C">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14:textFill>
                  <w14:solidFill>
                    <w14:schemeClr w14:val="tx1"/>
                  </w14:solidFill>
                </w14:textFill>
              </w:rPr>
            </w:pPr>
          </w:p>
        </w:tc>
      </w:tr>
    </w:tbl>
    <w:p w14:paraId="174BACEC">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D35AACE">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14:textFill>
            <w14:solidFill>
              <w14:schemeClr w14:val="tx1"/>
            </w14:solidFill>
          </w14:textFill>
        </w:rPr>
      </w:pPr>
    </w:p>
    <w:p w14:paraId="40C9A08A">
      <w:pPr>
        <w:snapToGrid w:val="0"/>
        <w:spacing w:line="360" w:lineRule="auto"/>
        <w:jc w:val="left"/>
        <w:rPr>
          <w:color w:val="000000" w:themeColor="text1"/>
          <w:szCs w:val="21"/>
          <w14:textFill>
            <w14:solidFill>
              <w14:schemeClr w14:val="tx1"/>
            </w14:solidFill>
          </w14:textFill>
        </w:rPr>
      </w:pPr>
    </w:p>
    <w:p w14:paraId="1220940B">
      <w:pPr>
        <w:snapToGrid w:val="0"/>
        <w:spacing w:line="360" w:lineRule="auto"/>
        <w:jc w:val="left"/>
        <w:rPr>
          <w:color w:val="000000" w:themeColor="text1"/>
          <w:szCs w:val="21"/>
          <w14:textFill>
            <w14:solidFill>
              <w14:schemeClr w14:val="tx1"/>
            </w14:solidFill>
          </w14:textFill>
        </w:rPr>
      </w:pPr>
    </w:p>
    <w:p w14:paraId="06DC2F89">
      <w:pPr>
        <w:snapToGrid w:val="0"/>
        <w:spacing w:line="360" w:lineRule="auto"/>
        <w:jc w:val="left"/>
        <w:rPr>
          <w:color w:val="000000" w:themeColor="text1"/>
          <w:szCs w:val="21"/>
          <w14:textFill>
            <w14:solidFill>
              <w14:schemeClr w14:val="tx1"/>
            </w14:solidFill>
          </w14:textFill>
        </w:rPr>
      </w:pPr>
    </w:p>
    <w:p w14:paraId="48183D76">
      <w:pPr>
        <w:snapToGrid w:val="0"/>
        <w:spacing w:line="360" w:lineRule="auto"/>
        <w:jc w:val="left"/>
        <w:rPr>
          <w:color w:val="000000" w:themeColor="text1"/>
          <w:szCs w:val="21"/>
          <w14:textFill>
            <w14:solidFill>
              <w14:schemeClr w14:val="tx1"/>
            </w14:solidFill>
          </w14:textFill>
        </w:rPr>
      </w:pPr>
    </w:p>
    <w:p w14:paraId="64FAB587">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4AEECD69">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7D6F2FF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14:textFill>
                  <w14:solidFill>
                    <w14:schemeClr w14:val="tx1"/>
                  </w14:solidFill>
                </w14:textFill>
              </w:rPr>
            </w:pPr>
          </w:p>
        </w:tc>
      </w:tr>
      <w:tr w14:paraId="48B573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14:textFill>
                  <w14:solidFill>
                    <w14:schemeClr w14:val="tx1"/>
                  </w14:solidFill>
                </w14:textFill>
              </w:rPr>
            </w:pPr>
          </w:p>
        </w:tc>
      </w:tr>
      <w:tr w14:paraId="10A9636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14:textFill>
                  <w14:solidFill>
                    <w14:schemeClr w14:val="tx1"/>
                  </w14:solidFill>
                </w14:textFill>
              </w:rPr>
            </w:pPr>
          </w:p>
        </w:tc>
      </w:tr>
    </w:tbl>
    <w:p w14:paraId="4D57171F">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211EDCA7">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14:textFill>
            <w14:solidFill>
              <w14:schemeClr w14:val="tx1"/>
            </w14:solidFill>
          </w14:textFill>
        </w:rPr>
      </w:pPr>
    </w:p>
    <w:p w14:paraId="35E16E9F">
      <w:pPr>
        <w:snapToGrid w:val="0"/>
        <w:spacing w:line="360" w:lineRule="auto"/>
        <w:jc w:val="left"/>
        <w:rPr>
          <w:color w:val="000000" w:themeColor="text1"/>
          <w:szCs w:val="21"/>
          <w14:textFill>
            <w14:solidFill>
              <w14:schemeClr w14:val="tx1"/>
            </w14:solidFill>
          </w14:textFill>
        </w:rPr>
      </w:pPr>
    </w:p>
    <w:p w14:paraId="245D99A4">
      <w:pPr>
        <w:snapToGrid w:val="0"/>
        <w:spacing w:line="360" w:lineRule="auto"/>
        <w:jc w:val="left"/>
        <w:rPr>
          <w:color w:val="000000" w:themeColor="text1"/>
          <w:szCs w:val="21"/>
          <w14:textFill>
            <w14:solidFill>
              <w14:schemeClr w14:val="tx1"/>
            </w14:solidFill>
          </w14:textFill>
        </w:rPr>
      </w:pPr>
    </w:p>
    <w:p w14:paraId="35DBE4D2">
      <w:pPr>
        <w:snapToGrid w:val="0"/>
        <w:spacing w:line="360" w:lineRule="auto"/>
        <w:jc w:val="left"/>
        <w:rPr>
          <w:color w:val="000000" w:themeColor="text1"/>
          <w:szCs w:val="21"/>
          <w14:textFill>
            <w14:solidFill>
              <w14:schemeClr w14:val="tx1"/>
            </w14:solidFill>
          </w14:textFill>
        </w:rPr>
      </w:pPr>
    </w:p>
    <w:p w14:paraId="4FE627A0">
      <w:pPr>
        <w:snapToGrid w:val="0"/>
        <w:spacing w:line="360" w:lineRule="auto"/>
        <w:jc w:val="left"/>
        <w:rPr>
          <w:color w:val="000000" w:themeColor="text1"/>
          <w:szCs w:val="21"/>
          <w14:textFill>
            <w14:solidFill>
              <w14:schemeClr w14:val="tx1"/>
            </w14:solidFill>
          </w14:textFill>
        </w:rPr>
      </w:pPr>
    </w:p>
    <w:p w14:paraId="4B8B0F13">
      <w:pPr>
        <w:snapToGrid w:val="0"/>
        <w:spacing w:line="360" w:lineRule="auto"/>
        <w:jc w:val="left"/>
        <w:rPr>
          <w:color w:val="000000" w:themeColor="text1"/>
          <w:szCs w:val="21"/>
          <w14:textFill>
            <w14:solidFill>
              <w14:schemeClr w14:val="tx1"/>
            </w14:solidFill>
          </w14:textFill>
        </w:rPr>
      </w:pPr>
    </w:p>
    <w:p w14:paraId="30CE1F99">
      <w:pPr>
        <w:snapToGrid w:val="0"/>
        <w:spacing w:line="360" w:lineRule="auto"/>
        <w:jc w:val="left"/>
        <w:rPr>
          <w:color w:val="000000" w:themeColor="text1"/>
          <w:szCs w:val="21"/>
          <w14:textFill>
            <w14:solidFill>
              <w14:schemeClr w14:val="tx1"/>
            </w14:solidFill>
          </w14:textFill>
        </w:rPr>
      </w:pPr>
    </w:p>
    <w:p w14:paraId="6E9F064C">
      <w:pPr>
        <w:snapToGrid w:val="0"/>
        <w:spacing w:line="360" w:lineRule="auto"/>
        <w:jc w:val="left"/>
        <w:rPr>
          <w:color w:val="000000" w:themeColor="text1"/>
          <w:szCs w:val="21"/>
          <w14:textFill>
            <w14:solidFill>
              <w14:schemeClr w14:val="tx1"/>
            </w14:solidFill>
          </w14:textFill>
        </w:rPr>
      </w:pPr>
    </w:p>
    <w:p w14:paraId="65C18A04">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4CD8B7C2">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310E746E">
      <w:pPr>
        <w:pStyle w:val="26"/>
        <w:tabs>
          <w:tab w:val="left" w:pos="2127"/>
        </w:tabs>
        <w:spacing w:line="340" w:lineRule="exact"/>
        <w:rPr>
          <w:rFonts w:ascii="Times New Roman" w:hAnsi="Times New Roman" w:cs="Times New Roman"/>
          <w:color w:val="000000" w:themeColor="text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2D4E4EEE">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3036C3D3">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40033471">
      <w:pPr>
        <w:snapToGrid w:val="0"/>
        <w:spacing w:before="50" w:after="120" w:afterLines="50"/>
        <w:jc w:val="left"/>
        <w:rPr>
          <w:color w:val="000000" w:themeColor="text1"/>
          <w:szCs w:val="21"/>
          <w14:textFill>
            <w14:solidFill>
              <w14:schemeClr w14:val="tx1"/>
            </w14:solidFill>
          </w14:textFill>
        </w:rPr>
      </w:pPr>
    </w:p>
    <w:p w14:paraId="55FFB522">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14:textFill>
                  <w14:solidFill>
                    <w14:schemeClr w14:val="tx1"/>
                  </w14:solidFill>
                </w14:textFill>
              </w:rPr>
            </w:pPr>
          </w:p>
        </w:tc>
      </w:tr>
    </w:tbl>
    <w:p w14:paraId="0CAB4EA0">
      <w:pPr>
        <w:rPr>
          <w:color w:val="000000" w:themeColor="text1"/>
          <w:szCs w:val="21"/>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A7E29FC">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351D9A70">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4BBA981F">
      <w:pPr>
        <w:rPr>
          <w:color w:val="000000" w:themeColor="text1"/>
          <w:szCs w:val="21"/>
          <w14:textFill>
            <w14:solidFill>
              <w14:schemeClr w14:val="tx1"/>
            </w14:solidFill>
          </w14:textFill>
        </w:rPr>
      </w:pPr>
    </w:p>
    <w:p w14:paraId="506ACA82">
      <w:pPr>
        <w:rPr>
          <w:color w:val="000000" w:themeColor="text1"/>
          <w:spacing w:val="20"/>
          <w:szCs w:val="21"/>
          <w:u w:val="single"/>
          <w14:textFill>
            <w14:solidFill>
              <w14:schemeClr w14:val="tx1"/>
            </w14:solidFill>
          </w14:textFill>
        </w:rPr>
      </w:pPr>
    </w:p>
    <w:p w14:paraId="2BE7B0A0">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26FA3F8">
      <w:pPr>
        <w:rPr>
          <w:color w:val="000000" w:themeColor="text1"/>
          <w:spacing w:val="20"/>
          <w:szCs w:val="21"/>
          <w:u w:val="single"/>
          <w14:textFill>
            <w14:solidFill>
              <w14:schemeClr w14:val="tx1"/>
            </w14:solidFill>
          </w14:textFill>
        </w:rPr>
      </w:pPr>
    </w:p>
    <w:p w14:paraId="3FF243A0">
      <w:pPr>
        <w:rPr>
          <w:color w:val="000000" w:themeColor="text1"/>
          <w:spacing w:val="20"/>
          <w:szCs w:val="21"/>
          <w:u w:val="single"/>
          <w14:textFill>
            <w14:solidFill>
              <w14:schemeClr w14:val="tx1"/>
            </w14:solidFill>
          </w14:textFill>
        </w:rPr>
      </w:pPr>
    </w:p>
    <w:p w14:paraId="4C192592">
      <w:pPr>
        <w:rPr>
          <w:color w:val="000000" w:themeColor="text1"/>
          <w:szCs w:val="21"/>
          <w14:textFill>
            <w14:solidFill>
              <w14:schemeClr w14:val="tx1"/>
            </w14:solidFill>
          </w14:textFill>
        </w:rPr>
      </w:pPr>
    </w:p>
    <w:p w14:paraId="7BC320B6">
      <w:pPr>
        <w:snapToGrid w:val="0"/>
        <w:spacing w:before="50" w:after="120" w:afterLines="50"/>
        <w:jc w:val="left"/>
        <w:rPr>
          <w:color w:val="000000" w:themeColor="text1"/>
          <w:szCs w:val="21"/>
          <w14:textFill>
            <w14:solidFill>
              <w14:schemeClr w14:val="tx1"/>
            </w14:solidFill>
          </w14:textFill>
        </w:rPr>
      </w:pPr>
    </w:p>
    <w:p w14:paraId="07CADBA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14:textFill>
                  <w14:solidFill>
                    <w14:schemeClr w14:val="tx1"/>
                  </w14:solidFill>
                </w14:textFill>
              </w:rPr>
            </w:pPr>
          </w:p>
        </w:tc>
      </w:tr>
    </w:tbl>
    <w:p w14:paraId="5D63C247">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29E7EF93">
      <w:pPr>
        <w:rPr>
          <w:color w:val="000000" w:themeColor="text1"/>
          <w:spacing w:val="20"/>
          <w:szCs w:val="21"/>
          <w:u w:val="single"/>
          <w14:textFill>
            <w14:solidFill>
              <w14:schemeClr w14:val="tx1"/>
            </w14:solidFill>
          </w14:textFill>
        </w:rPr>
      </w:pPr>
    </w:p>
    <w:p w14:paraId="41DE92AC">
      <w:pPr>
        <w:rPr>
          <w:color w:val="000000" w:themeColor="text1"/>
          <w:szCs w:val="21"/>
          <w14:textFill>
            <w14:solidFill>
              <w14:schemeClr w14:val="tx1"/>
            </w14:solidFill>
          </w14:textFill>
        </w:rPr>
      </w:pPr>
    </w:p>
    <w:p w14:paraId="12ADBA23">
      <w:pPr>
        <w:rPr>
          <w:color w:val="000000" w:themeColor="text1"/>
          <w:szCs w:val="21"/>
          <w14:textFill>
            <w14:solidFill>
              <w14:schemeClr w14:val="tx1"/>
            </w14:solidFill>
          </w14:textFill>
        </w:rPr>
      </w:pPr>
    </w:p>
    <w:p w14:paraId="2DCA888A">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8" w:name="_Hlk48144603"/>
      <w:r>
        <w:rPr>
          <w:rFonts w:ascii="Times New Roman" w:hAnsi="Times New Roman" w:cs="Times New Roman"/>
          <w:color w:val="000000" w:themeColor="text1"/>
          <w14:textFill>
            <w14:solidFill>
              <w14:schemeClr w14:val="tx1"/>
            </w14:solidFill>
          </w14:textFill>
        </w:rPr>
        <w:t>注：</w:t>
      </w:r>
      <w:bookmarkStart w:id="109"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2139906E">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09"/>
    <w:p w14:paraId="3866988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8"/>
    <w:p w14:paraId="52F6B209">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1DEA2CB7">
      <w:pPr>
        <w:snapToGrid w:val="0"/>
        <w:spacing w:before="50"/>
        <w:jc w:val="left"/>
        <w:rPr>
          <w:color w:val="000000" w:themeColor="text1"/>
          <w:szCs w:val="21"/>
          <w14:textFill>
            <w14:solidFill>
              <w14:schemeClr w14:val="tx1"/>
            </w14:solidFill>
          </w14:textFill>
        </w:rPr>
        <w:sectPr>
          <w:pgSz w:w="11906" w:h="16838"/>
          <w:pgMar w:top="1304" w:right="1418" w:bottom="1304" w:left="1418" w:header="851" w:footer="992" w:gutter="0"/>
          <w:cols w:space="720" w:num="1"/>
          <w:docGrid w:linePitch="312" w:charSpace="0"/>
        </w:sectPr>
      </w:pPr>
      <w:bookmarkStart w:id="110" w:name="_Hlk33625589"/>
    </w:p>
    <w:bookmarkEnd w:id="110"/>
    <w:p w14:paraId="3BC23DC0">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14:textFill>
                  <w14:solidFill>
                    <w14:schemeClr w14:val="tx1"/>
                  </w14:solidFill>
                </w14:textFill>
              </w:rPr>
            </w:pPr>
          </w:p>
          <w:p w14:paraId="7D2F7AD4">
            <w:pPr>
              <w:snapToGrid w:val="0"/>
              <w:spacing w:line="240" w:lineRule="exact"/>
              <w:jc w:val="center"/>
              <w:rPr>
                <w:color w:val="000000" w:themeColor="text1"/>
                <w:szCs w:val="21"/>
                <w14:textFill>
                  <w14:solidFill>
                    <w14:schemeClr w14:val="tx1"/>
                  </w14:solidFill>
                </w14:textFill>
              </w:rPr>
            </w:pPr>
          </w:p>
          <w:p w14:paraId="2188203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237DCFA4">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64F3DAA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190C329B">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03FE3456">
      <w:pPr>
        <w:snapToGrid w:val="0"/>
        <w:spacing w:before="50"/>
        <w:jc w:val="left"/>
        <w:rPr>
          <w:color w:val="000000" w:themeColor="text1"/>
          <w:szCs w:val="21"/>
          <w14:textFill>
            <w14:solidFill>
              <w14:schemeClr w14:val="tx1"/>
            </w14:solidFill>
          </w14:textFill>
        </w:rPr>
      </w:pPr>
    </w:p>
    <w:p w14:paraId="4A2A7A6B">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5AA73708">
      <w:pPr>
        <w:snapToGrid w:val="0"/>
        <w:spacing w:before="50" w:after="120" w:afterLines="50"/>
        <w:jc w:val="left"/>
        <w:rPr>
          <w:color w:val="000000" w:themeColor="text1"/>
          <w:szCs w:val="21"/>
          <w14:textFill>
            <w14:solidFill>
              <w14:schemeClr w14:val="tx1"/>
            </w14:solidFill>
          </w14:textFill>
        </w:rPr>
      </w:pPr>
      <w:bookmarkStart w:id="111" w:name="_Hlk93046716"/>
      <w:bookmarkStart w:id="112" w:name="_Hlk19110561"/>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5BF717C7">
      <w:pPr>
        <w:snapToGrid w:val="0"/>
        <w:spacing w:before="50" w:after="120" w:afterLines="50"/>
        <w:jc w:val="center"/>
        <w:rPr>
          <w:color w:val="000000" w:themeColor="text1"/>
          <w:szCs w:val="21"/>
          <w14:textFill>
            <w14:solidFill>
              <w14:schemeClr w14:val="tx1"/>
            </w14:solidFill>
          </w14:textFill>
        </w:rPr>
      </w:pPr>
    </w:p>
    <w:p w14:paraId="31582062">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14:textFill>
            <w14:solidFill>
              <w14:schemeClr w14:val="tx1"/>
            </w14:solidFill>
          </w14:textFill>
        </w:rPr>
      </w:pPr>
    </w:p>
    <w:p w14:paraId="3845A5B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7AD19AF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678E326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7DB3BE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096A97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1EF1422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0DC00CC7">
      <w:pPr>
        <w:snapToGrid w:val="0"/>
        <w:spacing w:before="50" w:after="120" w:afterLines="50"/>
        <w:jc w:val="center"/>
        <w:rPr>
          <w:color w:val="000000" w:themeColor="text1"/>
          <w:szCs w:val="21"/>
          <w14:textFill>
            <w14:solidFill>
              <w14:schemeClr w14:val="tx1"/>
            </w14:solidFill>
          </w14:textFill>
        </w:rPr>
      </w:pPr>
    </w:p>
    <w:p w14:paraId="1BB6EAD6">
      <w:pPr>
        <w:snapToGrid w:val="0"/>
        <w:spacing w:before="50" w:after="120" w:afterLines="50"/>
        <w:jc w:val="center"/>
        <w:rPr>
          <w:color w:val="000000" w:themeColor="text1"/>
          <w:szCs w:val="21"/>
          <w14:textFill>
            <w14:solidFill>
              <w14:schemeClr w14:val="tx1"/>
            </w14:solidFill>
          </w14:textFill>
        </w:rPr>
      </w:pPr>
    </w:p>
    <w:p w14:paraId="535BE497">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75D4E53">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219274FC">
      <w:pPr>
        <w:snapToGrid w:val="0"/>
        <w:spacing w:before="50" w:after="120" w:afterLines="50"/>
        <w:jc w:val="left"/>
        <w:rPr>
          <w:bCs/>
          <w:color w:val="000000" w:themeColor="text1"/>
          <w:sz w:val="24"/>
          <w14:textFill>
            <w14:solidFill>
              <w14:schemeClr w14:val="tx1"/>
            </w14:solidFill>
          </w14:textFill>
        </w:rPr>
      </w:pPr>
      <w:r>
        <w:rPr>
          <w:color w:val="000000" w:themeColor="text1"/>
          <w:szCs w:val="21"/>
          <w14:textFill>
            <w14:solidFill>
              <w14:schemeClr w14:val="tx1"/>
            </w14:solidFill>
          </w14:textFill>
        </w:rPr>
        <w:br w:type="page"/>
      </w:r>
      <w:bookmarkEnd w:id="111"/>
      <w:bookmarkEnd w:id="112"/>
    </w:p>
    <w:p w14:paraId="19AAE147">
      <w:pPr>
        <w:snapToGrid w:val="0"/>
        <w:spacing w:before="120" w:beforeLines="50" w:after="50" w:line="440" w:lineRule="exact"/>
        <w:jc w:val="center"/>
        <w:outlineLvl w:val="1"/>
        <w:rPr>
          <w:bCs/>
          <w:color w:val="000000" w:themeColor="text1"/>
          <w:sz w:val="24"/>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4533AD20">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70726659">
      <w:pPr>
        <w:spacing w:line="360" w:lineRule="auto"/>
        <w:ind w:firstLine="3584" w:firstLineChars="1700"/>
        <w:rPr>
          <w:b/>
          <w:color w:val="000000" w:themeColor="text1"/>
          <w:szCs w:val="21"/>
          <w14:textFill>
            <w14:solidFill>
              <w14:schemeClr w14:val="tx1"/>
            </w14:solidFill>
          </w14:textFill>
        </w:rPr>
      </w:pPr>
    </w:p>
    <w:p w14:paraId="71DBFBCA">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628A156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5CD6379C">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23574A9A">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75DEE750">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30CA38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5A2181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53981C9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31C9A83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14:textFill>
            <w14:solidFill>
              <w14:schemeClr w14:val="tx1"/>
            </w14:solidFill>
          </w14:textFill>
        </w:rPr>
      </w:pPr>
    </w:p>
    <w:p w14:paraId="2A56A3D2">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14:textFill>
            <w14:solidFill>
              <w14:schemeClr w14:val="tx1"/>
            </w14:solidFill>
          </w14:textFill>
        </w:rPr>
      </w:pPr>
    </w:p>
    <w:p w14:paraId="45FE1B30">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0A3EA040">
      <w:pPr>
        <w:spacing w:line="360" w:lineRule="auto"/>
        <w:jc w:val="center"/>
        <w:rPr>
          <w:b/>
          <w:color w:val="000000" w:themeColor="text1"/>
          <w:szCs w:val="21"/>
          <w14:textFill>
            <w14:solidFill>
              <w14:schemeClr w14:val="tx1"/>
            </w14:solidFill>
          </w14:textFill>
        </w:rPr>
      </w:pPr>
    </w:p>
    <w:p w14:paraId="3B1F91EA">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3D27ABEF">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4C20AA28">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506FE6ED">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04B34411">
      <w:pPr>
        <w:jc w:val="center"/>
        <w:rPr>
          <w:b/>
          <w:bCs/>
          <w:color w:val="000000" w:themeColor="text1"/>
          <w:szCs w:val="21"/>
          <w14:textFill>
            <w14:solidFill>
              <w14:schemeClr w14:val="tx1"/>
            </w14:solidFill>
          </w14:textFill>
        </w:rPr>
      </w:pPr>
    </w:p>
    <w:p w14:paraId="6C46F72C">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79853942">
      <w:pPr>
        <w:rPr>
          <w:b/>
          <w:color w:val="000000" w:themeColor="text1"/>
          <w:szCs w:val="21"/>
          <w14:textFill>
            <w14:solidFill>
              <w14:schemeClr w14:val="tx1"/>
            </w14:solidFill>
          </w14:textFill>
        </w:rPr>
      </w:pPr>
    </w:p>
    <w:p w14:paraId="06F296E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23950F57">
      <w:pPr>
        <w:rPr>
          <w:b/>
          <w:color w:val="000000" w:themeColor="text1"/>
          <w:szCs w:val="21"/>
          <w14:textFill>
            <w14:solidFill>
              <w14:schemeClr w14:val="tx1"/>
            </w14:solidFill>
          </w14:textFill>
        </w:rPr>
      </w:pPr>
    </w:p>
    <w:p w14:paraId="287A3F25">
      <w:pPr>
        <w:spacing w:line="360" w:lineRule="auto"/>
        <w:rPr>
          <w:color w:val="000000" w:themeColor="text1"/>
          <w:szCs w:val="21"/>
          <w14:textFill>
            <w14:solidFill>
              <w14:schemeClr w14:val="tx1"/>
            </w14:solidFill>
          </w14:textFill>
        </w:rPr>
      </w:pPr>
      <w:bookmarkStart w:id="113"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74D52D4E">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13"/>
    <w:p w14:paraId="3137F263">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4A5A8CE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49E7406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479F49B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69B852C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5F4D2E9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F01C9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72A0C661">
      <w:pPr>
        <w:spacing w:line="360" w:lineRule="auto"/>
        <w:rPr>
          <w:color w:val="000000" w:themeColor="text1"/>
          <w:szCs w:val="21"/>
          <w14:textFill>
            <w14:solidFill>
              <w14:schemeClr w14:val="tx1"/>
            </w14:solidFill>
          </w14:textFill>
        </w:rPr>
      </w:pPr>
    </w:p>
    <w:p w14:paraId="1CE76D7A">
      <w:pPr>
        <w:spacing w:line="360" w:lineRule="auto"/>
        <w:rPr>
          <w:color w:val="000000" w:themeColor="text1"/>
          <w:szCs w:val="21"/>
          <w14:textFill>
            <w14:solidFill>
              <w14:schemeClr w14:val="tx1"/>
            </w14:solidFill>
          </w14:textFill>
        </w:rPr>
      </w:pPr>
    </w:p>
    <w:p w14:paraId="755FAD12">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27F7DE0">
      <w:pPr>
        <w:spacing w:line="360" w:lineRule="auto"/>
        <w:rPr>
          <w:color w:val="000000" w:themeColor="text1"/>
          <w:szCs w:val="21"/>
          <w14:textFill>
            <w14:solidFill>
              <w14:schemeClr w14:val="tx1"/>
            </w14:solidFill>
          </w14:textFill>
        </w:rPr>
      </w:pPr>
    </w:p>
    <w:p w14:paraId="200D01C6">
      <w:pPr>
        <w:spacing w:line="360" w:lineRule="auto"/>
        <w:rPr>
          <w:color w:val="000000" w:themeColor="text1"/>
          <w:szCs w:val="21"/>
          <w14:textFill>
            <w14:solidFill>
              <w14:schemeClr w14:val="tx1"/>
            </w14:solidFill>
          </w14:textFill>
        </w:rPr>
      </w:pPr>
    </w:p>
    <w:p w14:paraId="2E09C51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47DB2473">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3D123DD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7FDB8126">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14:textFill>
                  <w14:solidFill>
                    <w14:schemeClr w14:val="tx1"/>
                  </w14:solidFill>
                </w14:textFill>
              </w:rPr>
            </w:pPr>
          </w:p>
        </w:tc>
      </w:tr>
    </w:tbl>
    <w:p w14:paraId="16998866">
      <w:pPr>
        <w:rPr>
          <w:color w:val="000000" w:themeColor="text1"/>
          <w:spacing w:val="20"/>
          <w:szCs w:val="21"/>
          <w:u w:val="single"/>
          <w14:textFill>
            <w14:solidFill>
              <w14:schemeClr w14:val="tx1"/>
            </w14:solidFill>
          </w14:textFill>
        </w:rPr>
      </w:pPr>
    </w:p>
    <w:p w14:paraId="1B127012">
      <w:pPr>
        <w:spacing w:line="360" w:lineRule="auto"/>
        <w:rPr>
          <w:color w:val="000000" w:themeColor="text1"/>
          <w:spacing w:val="20"/>
          <w:szCs w:val="21"/>
          <w14:textFill>
            <w14:solidFill>
              <w14:schemeClr w14:val="tx1"/>
            </w14:solidFill>
          </w14:textFill>
        </w:rPr>
      </w:pPr>
    </w:p>
    <w:p w14:paraId="2D62332A">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2B5196D2">
      <w:pPr>
        <w:jc w:val="left"/>
        <w:rPr>
          <w:color w:val="000000" w:themeColor="text1"/>
          <w:szCs w:val="21"/>
          <w14:textFill>
            <w14:solidFill>
              <w14:schemeClr w14:val="tx1"/>
            </w14:solidFill>
          </w14:textFill>
        </w:rPr>
      </w:pPr>
    </w:p>
    <w:p w14:paraId="7413B17B">
      <w:pPr>
        <w:spacing w:line="360" w:lineRule="auto"/>
        <w:rPr>
          <w:color w:val="000000" w:themeColor="text1"/>
          <w:spacing w:val="20"/>
          <w:szCs w:val="21"/>
          <w14:textFill>
            <w14:solidFill>
              <w14:schemeClr w14:val="tx1"/>
            </w14:solidFill>
          </w14:textFill>
        </w:rPr>
      </w:pPr>
    </w:p>
    <w:p w14:paraId="328CA88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92B2694">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14" w:name="_Hlk65852042"/>
    </w:p>
    <w:p w14:paraId="6773D12F">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14:textFill>
            <w14:solidFill>
              <w14:schemeClr w14:val="tx1"/>
            </w14:solidFill>
          </w14:textFill>
        </w:rPr>
      </w:pPr>
    </w:p>
    <w:p w14:paraId="0FE54B07">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6A7C03A9">
      <w:pPr>
        <w:widowControl/>
        <w:jc w:val="left"/>
        <w:rPr>
          <w:color w:val="000000" w:themeColor="text1"/>
          <w:szCs w:val="21"/>
          <w14:textFill>
            <w14:solidFill>
              <w14:schemeClr w14:val="tx1"/>
            </w14:solidFill>
          </w14:textFill>
        </w:rPr>
      </w:pPr>
    </w:p>
    <w:p w14:paraId="32A56C79">
      <w:pPr>
        <w:widowControl/>
        <w:jc w:val="left"/>
        <w:rPr>
          <w:color w:val="000000" w:themeColor="text1"/>
          <w:szCs w:val="21"/>
          <w14:textFill>
            <w14:solidFill>
              <w14:schemeClr w14:val="tx1"/>
            </w14:solidFill>
          </w14:textFill>
        </w:rPr>
      </w:pPr>
    </w:p>
    <w:p w14:paraId="0F3F1E06">
      <w:pPr>
        <w:widowControl/>
        <w:jc w:val="left"/>
        <w:rPr>
          <w:color w:val="000000" w:themeColor="text1"/>
          <w:szCs w:val="21"/>
          <w14:textFill>
            <w14:solidFill>
              <w14:schemeClr w14:val="tx1"/>
            </w14:solidFill>
          </w14:textFill>
        </w:rPr>
      </w:pPr>
    </w:p>
    <w:p w14:paraId="036F8B46">
      <w:pPr>
        <w:rPr>
          <w:b/>
          <w:color w:val="000000" w:themeColor="text1"/>
          <w:szCs w:val="21"/>
          <w14:textFill>
            <w14:solidFill>
              <w14:schemeClr w14:val="tx1"/>
            </w14:solidFill>
          </w14:textFill>
        </w:rPr>
      </w:pPr>
    </w:p>
    <w:p w14:paraId="693EADA8">
      <w:pPr>
        <w:rPr>
          <w:b/>
          <w:color w:val="000000" w:themeColor="text1"/>
          <w:szCs w:val="21"/>
          <w14:textFill>
            <w14:solidFill>
              <w14:schemeClr w14:val="tx1"/>
            </w14:solidFill>
          </w14:textFill>
        </w:rPr>
      </w:pPr>
    </w:p>
    <w:p w14:paraId="2498ECD6">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14:textFill>
            <w14:solidFill>
              <w14:schemeClr w14:val="tx1"/>
            </w14:solidFill>
          </w14:textFill>
        </w:rPr>
      </w:pPr>
    </w:p>
    <w:bookmarkEnd w:id="114"/>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50243">
    <w:pPr>
      <w:pStyle w:val="32"/>
      <w:jc w:val="left"/>
    </w:pPr>
    <w:r>
      <w:rPr>
        <w:rFonts w:hint="eastAsia"/>
      </w:rPr>
      <w:t xml:space="preserve">广西广咨工程咨询有限公司招标文件                                                               </w:t>
    </w:r>
  </w:p>
  <w:p w14:paraId="7FA47B2F">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B94"/>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1AEF"/>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4F"/>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B05B5"/>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CB2"/>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273"/>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5F8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4F63"/>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7E"/>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1A1B"/>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313D5A"/>
    <w:rsid w:val="014B5B44"/>
    <w:rsid w:val="01821B74"/>
    <w:rsid w:val="018C5F7F"/>
    <w:rsid w:val="01BE4069"/>
    <w:rsid w:val="01BE5800"/>
    <w:rsid w:val="01E46F65"/>
    <w:rsid w:val="024144A6"/>
    <w:rsid w:val="02E536DD"/>
    <w:rsid w:val="031A78A4"/>
    <w:rsid w:val="03E377CE"/>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0540B1F"/>
    <w:rsid w:val="118C2ED5"/>
    <w:rsid w:val="11B83D31"/>
    <w:rsid w:val="12795B29"/>
    <w:rsid w:val="12C4479B"/>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05598B"/>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493925"/>
    <w:rsid w:val="258858A9"/>
    <w:rsid w:val="25A7119C"/>
    <w:rsid w:val="26757E2C"/>
    <w:rsid w:val="26790701"/>
    <w:rsid w:val="268B3125"/>
    <w:rsid w:val="273508EE"/>
    <w:rsid w:val="27483692"/>
    <w:rsid w:val="276F6E45"/>
    <w:rsid w:val="278066D7"/>
    <w:rsid w:val="27827B0F"/>
    <w:rsid w:val="27886287"/>
    <w:rsid w:val="27F53526"/>
    <w:rsid w:val="27FA5E76"/>
    <w:rsid w:val="27FD5B68"/>
    <w:rsid w:val="28690FE5"/>
    <w:rsid w:val="287C362F"/>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2FA278DD"/>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18116A"/>
    <w:rsid w:val="49480BD4"/>
    <w:rsid w:val="499F04DF"/>
    <w:rsid w:val="49CB3BFF"/>
    <w:rsid w:val="4A353E64"/>
    <w:rsid w:val="4AA4619B"/>
    <w:rsid w:val="4B284D77"/>
    <w:rsid w:val="4BEC1507"/>
    <w:rsid w:val="4C1311A1"/>
    <w:rsid w:val="4CD363C9"/>
    <w:rsid w:val="4D7F6702"/>
    <w:rsid w:val="4DAA2A72"/>
    <w:rsid w:val="4E484BF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101956"/>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871B3D"/>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7E48E6"/>
    <w:rsid w:val="70D85BD1"/>
    <w:rsid w:val="715B338A"/>
    <w:rsid w:val="71686ACA"/>
    <w:rsid w:val="716A7ADC"/>
    <w:rsid w:val="71DE2E53"/>
    <w:rsid w:val="72077373"/>
    <w:rsid w:val="721F39FF"/>
    <w:rsid w:val="729E121E"/>
    <w:rsid w:val="72E23A7A"/>
    <w:rsid w:val="72F6179B"/>
    <w:rsid w:val="738003CA"/>
    <w:rsid w:val="73C56EED"/>
    <w:rsid w:val="74244AA7"/>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60</Pages>
  <Words>262</Words>
  <Characters>364</Characters>
  <Lines>310</Lines>
  <Paragraphs>87</Paragraphs>
  <TotalTime>0</TotalTime>
  <ScaleCrop>false</ScaleCrop>
  <LinksUpToDate>false</LinksUpToDate>
  <CharactersWithSpaces>394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2025-05-15T09:44:00Z</dcterms:created>
  <dc:creator>微软用户</dc:creator>
  <cp:lastModifiedBy>27</cp:lastModifiedBy>
  <cp:lastPrinted>2023-12-22T08:31:00Z</cp:lastPrinted>
  <dcterms:modified xsi:type="dcterms:W3CDTF">2025-05-20T12:27:21Z</dcterms:modified>
  <dc:title>桂财采〔2009〕 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