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bookmarkStart w:id="111" w:name="_GoBack"/>
            <w:bookmarkEnd w:id="111"/>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2BF694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B07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14269925">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37899C74">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D310631">
      <w:pPr>
        <w:spacing w:line="312" w:lineRule="auto"/>
        <w:ind w:firstLine="735" w:firstLineChars="350"/>
        <w:jc w:val="left"/>
        <w:rPr>
          <w:color w:val="auto"/>
          <w:kern w:val="0"/>
          <w:szCs w:val="21"/>
          <w:highlight w:val="none"/>
        </w:rPr>
      </w:pPr>
      <w:r>
        <w:rPr>
          <w:color w:val="auto"/>
          <w:kern w:val="0"/>
          <w:szCs w:val="21"/>
          <w:highlight w:val="none"/>
        </w:rPr>
        <w:t>数量：1</w:t>
      </w:r>
    </w:p>
    <w:p w14:paraId="29ACEB28">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111635F">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6EF4C985">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44B414F4">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AED49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34F1C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40FCD0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32B17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172AC2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5E0FF679">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261264BA">
      <w:pPr>
        <w:jc w:val="right"/>
        <w:rPr>
          <w:highlight w:val="none"/>
        </w:rPr>
      </w:pPr>
    </w:p>
    <w:p w14:paraId="0E5AF9BD">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30F7C731">
      <w:pPr>
        <w:spacing w:before="120"/>
        <w:rPr>
          <w:b/>
          <w:bCs/>
          <w:color w:val="000000" w:themeColor="text1"/>
          <w:sz w:val="28"/>
          <w:szCs w:val="28"/>
          <w14:textFill>
            <w14:solidFill>
              <w14:schemeClr w14:val="tx1"/>
            </w14:solidFill>
          </w14:textFill>
        </w:rPr>
      </w:pPr>
      <w:bookmarkStart w:id="15" w:name="_Toc254970490"/>
      <w:bookmarkStart w:id="16" w:name="_Toc254970631"/>
    </w:p>
    <w:p w14:paraId="1C851F0C">
      <w:pPr>
        <w:spacing w:line="360" w:lineRule="auto"/>
        <w:rPr>
          <w:b/>
          <w:color w:val="000000" w:themeColor="text1"/>
          <w:sz w:val="28"/>
          <w:szCs w:val="28"/>
          <w14:textFill>
            <w14:solidFill>
              <w14:schemeClr w14:val="tx1"/>
            </w14:solidFill>
          </w14:textFill>
        </w:rPr>
      </w:pPr>
      <w:r>
        <w:rPr>
          <w:b/>
          <w:sz w:val="28"/>
          <w:szCs w:val="28"/>
        </w:rPr>
        <w:t>标项</w:t>
      </w:r>
      <w:r>
        <w:rPr>
          <w:rFonts w:hint="eastAsia"/>
          <w:b/>
          <w:sz w:val="28"/>
          <w:szCs w:val="28"/>
        </w:rPr>
        <w:t>十六</w:t>
      </w:r>
    </w:p>
    <w:p w14:paraId="7A557170">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一、总体要求</w:t>
      </w:r>
    </w:p>
    <w:p w14:paraId="63B512A8">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1.政府采购政策的应用</w:t>
      </w:r>
    </w:p>
    <w:p w14:paraId="19CF35AB">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详见</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“评审方法及标准/政府采购政策应用说明”。</w:t>
      </w:r>
    </w:p>
    <w:p w14:paraId="2E1C9353">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2.采购需求要求未尽事宜由采购人与成交供应商在采购合同中约定。</w:t>
      </w:r>
    </w:p>
    <w:p w14:paraId="18986972">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3.标注“▲”的条款或要求系指实质性条款或实质性要求，必须满足，如存在负偏离将导致响应被否决。</w:t>
      </w:r>
    </w:p>
    <w:p w14:paraId="5F55F8DF">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二、技术要求</w:t>
      </w:r>
    </w:p>
    <w:p w14:paraId="4D2BD51F">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1.需实现的功能、目标及应用场景</w:t>
      </w:r>
    </w:p>
    <w:p w14:paraId="0E9066E6">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满足</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要求，验收达到合格标准。</w:t>
      </w:r>
    </w:p>
    <w:p w14:paraId="422FB436">
      <w:pPr>
        <w:spacing w:line="360" w:lineRule="auto"/>
        <w:rPr>
          <w:color w:val="000000" w:themeColor="text1"/>
          <w14:textFill>
            <w14:solidFill>
              <w14:schemeClr w14:val="tx1"/>
            </w14:solidFill>
          </w14:textFill>
        </w:rPr>
      </w:pPr>
      <w:bookmarkStart w:id="17" w:name="_Hlk89170486"/>
      <w:r>
        <w:rPr>
          <w:color w:val="000000" w:themeColor="text1"/>
          <w14:textFill>
            <w14:solidFill>
              <w14:schemeClr w14:val="tx1"/>
            </w14:solidFill>
          </w14:textFill>
        </w:rPr>
        <w:t>2.需执行的国家相关标准、行业标准、地方标准或者其他标准、规范</w:t>
      </w:r>
    </w:p>
    <w:p w14:paraId="373E5B70">
      <w:pPr>
        <w:spacing w:line="360" w:lineRule="auto"/>
        <w:rPr>
          <w:i/>
          <w:color w:val="000000" w:themeColor="text1"/>
          <w:u w:val="single"/>
          <w14:textFill>
            <w14:solidFill>
              <w14:schemeClr w14:val="tx1"/>
            </w14:solidFill>
          </w14:textFill>
        </w:rPr>
      </w:pPr>
      <w:r>
        <w:rPr>
          <w:color w:val="000000" w:themeColor="text1"/>
          <w14:textFill>
            <w14:solidFill>
              <w14:schemeClr w14:val="tx1"/>
            </w14:solidFill>
          </w14:textFill>
        </w:rPr>
        <w:t>本项目应执行的国家相关标准、行业标准、地方标准或者其他标准、规范为：</w:t>
      </w:r>
      <w:r>
        <w:rPr>
          <w:i/>
          <w:color w:val="000000" w:themeColor="text1"/>
          <w:u w:val="single"/>
          <w14:textFill>
            <w14:solidFill>
              <w14:schemeClr w14:val="tx1"/>
            </w14:solidFill>
          </w14:textFill>
        </w:rPr>
        <w:t>详见技术指标要求</w:t>
      </w:r>
      <w:bookmarkEnd w:id="17"/>
    </w:p>
    <w:p w14:paraId="3F0BC85C">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3.标的所属行业：</w:t>
      </w:r>
      <w:r>
        <w:rPr>
          <w:rFonts w:hint="eastAsia"/>
          <w:b/>
          <w:color w:val="000000" w:themeColor="text1"/>
          <w14:textFill>
            <w14:solidFill>
              <w14:schemeClr w14:val="tx1"/>
            </w14:solidFill>
          </w14:textFill>
        </w:rPr>
        <w:t>其他未列明行业</w:t>
      </w:r>
    </w:p>
    <w:p w14:paraId="3E234DD0">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4.核心产品</w:t>
      </w:r>
    </w:p>
    <w:p w14:paraId="22229EC2">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本项目为服务项目，不适用核心产品规定。</w:t>
      </w:r>
    </w:p>
    <w:p w14:paraId="42B39701">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5.服务内容和标准</w:t>
      </w:r>
      <w:bookmarkStart w:id="18" w:name="_Hlk132788047"/>
      <w:bookmarkEnd w:id="18"/>
    </w:p>
    <w:p w14:paraId="24E7D502">
      <w:pPr>
        <w:spacing w:line="360" w:lineRule="auto"/>
      </w:pPr>
      <w:r>
        <w:t>5.1服务目标：</w:t>
      </w:r>
      <w:r>
        <w:rPr>
          <w:rFonts w:hint="eastAsia"/>
        </w:rPr>
        <w:t>通过对国家在未来产业发展相关支持政策和我国未来产业发展趋势的分析研究基础上，形成《“十五五”时期广西未来产业新赛道发展策略研究报告》</w:t>
      </w:r>
    </w:p>
    <w:p w14:paraId="25088706">
      <w:pPr>
        <w:spacing w:line="360" w:lineRule="auto"/>
      </w:pPr>
      <w:r>
        <w:t>5.2服务内容：</w:t>
      </w:r>
      <w:r>
        <w:rPr>
          <w:rFonts w:hint="eastAsia"/>
        </w:rPr>
        <w:t>认真梳理国家对支持未来产业发展出台的政策情况，收集整理国内未来产业的发展计划，研究分析未来产业发展趋势，结合广西实际情况和发展规划，通过比较优势分析，提出广西 “十五五”时期重点发展的未来产业发展思路及对策建议，最终形成《“十五五”时期广西未来产业新赛道发展策略研究报告》）</w:t>
      </w:r>
    </w:p>
    <w:p w14:paraId="42FDF514">
      <w:pPr>
        <w:spacing w:line="360" w:lineRule="auto"/>
      </w:pPr>
      <w:r>
        <w:t>5.3拟投入人员要求：项目负责人参与过</w:t>
      </w:r>
      <w:r>
        <w:rPr>
          <w:rFonts w:hint="eastAsia"/>
        </w:rPr>
        <w:t>科研项目</w:t>
      </w:r>
      <w:r>
        <w:t>，拥有</w:t>
      </w:r>
      <w:r>
        <w:rPr>
          <w:rFonts w:hint="eastAsia"/>
        </w:rPr>
        <w:t>相关专业</w:t>
      </w:r>
      <w:r>
        <w:t>高级</w:t>
      </w:r>
      <w:r>
        <w:rPr>
          <w:rFonts w:hint="eastAsia"/>
        </w:rPr>
        <w:t>工程师及</w:t>
      </w:r>
      <w:r>
        <w:t>以上职称，</w:t>
      </w:r>
      <w:r>
        <w:rPr>
          <w:rFonts w:hint="eastAsia"/>
        </w:rPr>
        <w:t>在工业领域</w:t>
      </w:r>
      <w:r>
        <w:t>工作等经历15年（含）以上。</w:t>
      </w:r>
      <w:r>
        <w:rPr>
          <w:rFonts w:hint="eastAsia"/>
        </w:rPr>
        <w:t>拟投入团队人员3人及以上。</w:t>
      </w:r>
    </w:p>
    <w:p w14:paraId="3462888E">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三、商务要求</w:t>
      </w:r>
    </w:p>
    <w:p w14:paraId="730E05FC">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1．报价要求</w:t>
      </w:r>
    </w:p>
    <w:p w14:paraId="61185EDF">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2286CEB">
      <w:pPr>
        <w:spacing w:line="360" w:lineRule="auto"/>
        <w:rPr>
          <w:color w:val="000000"/>
        </w:rPr>
      </w:pPr>
      <w:r>
        <w:rPr>
          <w:color w:val="000000"/>
        </w:rPr>
        <w:t>2.合同签订日期</w:t>
      </w:r>
    </w:p>
    <w:p w14:paraId="500B9827">
      <w:pPr>
        <w:spacing w:line="360" w:lineRule="auto"/>
        <w:rPr>
          <w:i/>
          <w:color w:val="000000"/>
          <w:sz w:val="28"/>
          <w:szCs w:val="28"/>
        </w:rPr>
      </w:pPr>
      <w:r>
        <w:rPr>
          <w:color w:val="000000"/>
        </w:rPr>
        <w:t>成交通知书发出后25日内。</w:t>
      </w:r>
    </w:p>
    <w:p w14:paraId="6D0D319C">
      <w:pPr>
        <w:spacing w:line="360" w:lineRule="auto"/>
        <w:rPr>
          <w:color w:val="000000"/>
        </w:rPr>
      </w:pPr>
      <w:r>
        <w:rPr>
          <w:color w:val="000000"/>
        </w:rPr>
        <w:t>3.服务（实施）时间</w:t>
      </w:r>
    </w:p>
    <w:p w14:paraId="06041EED">
      <w:pPr>
        <w:spacing w:line="360" w:lineRule="auto"/>
        <w:rPr>
          <w:color w:val="000000"/>
        </w:rPr>
      </w:pPr>
      <w:bookmarkStart w:id="19" w:name="_Hlk132878479"/>
      <w:r>
        <w:rPr>
          <w:rFonts w:hint="eastAsia"/>
          <w:color w:val="000000"/>
        </w:rPr>
        <w:t>自签订合同之日起至2025年9月底前结题验收。</w:t>
      </w:r>
      <w:bookmarkEnd w:id="19"/>
    </w:p>
    <w:p w14:paraId="3AC00C91">
      <w:pPr>
        <w:spacing w:line="360" w:lineRule="auto"/>
        <w:rPr>
          <w:color w:val="000000"/>
        </w:rPr>
      </w:pPr>
      <w:r>
        <w:rPr>
          <w:color w:val="000000"/>
        </w:rPr>
        <w:t>4.服务地点</w:t>
      </w:r>
    </w:p>
    <w:p w14:paraId="1A252790">
      <w:pPr>
        <w:spacing w:line="360" w:lineRule="auto"/>
        <w:rPr>
          <w:color w:val="000000"/>
        </w:rPr>
      </w:pPr>
      <w:r>
        <w:rPr>
          <w:color w:val="000000"/>
        </w:rPr>
        <w:t>采购人指定地点。</w:t>
      </w:r>
    </w:p>
    <w:p w14:paraId="2207BF37">
      <w:pPr>
        <w:spacing w:line="360" w:lineRule="auto"/>
        <w:rPr>
          <w:color w:val="000000"/>
        </w:rPr>
      </w:pPr>
      <w:r>
        <w:rPr>
          <w:color w:val="000000"/>
        </w:rPr>
        <w:t>5.验收标准</w:t>
      </w:r>
    </w:p>
    <w:p w14:paraId="148042C2">
      <w:pPr>
        <w:spacing w:line="360" w:lineRule="auto"/>
        <w:rPr>
          <w:color w:val="000000"/>
        </w:rPr>
      </w:pPr>
      <w:bookmarkStart w:id="20" w:name="_Hlk77607553"/>
      <w:r>
        <w:rPr>
          <w:color w:val="000000"/>
        </w:rPr>
        <w:t>详见</w:t>
      </w:r>
      <w:r>
        <w:rPr>
          <w:rFonts w:hint="eastAsia"/>
          <w:color w:val="000000"/>
        </w:rPr>
        <w:t>招标文件</w:t>
      </w:r>
      <w:r>
        <w:rPr>
          <w:color w:val="000000"/>
        </w:rPr>
        <w:t>合同主要条款格式部分</w:t>
      </w:r>
      <w:r>
        <w:rPr>
          <w:rFonts w:hint="eastAsia"/>
          <w:color w:val="000000"/>
        </w:rPr>
        <w:t>。</w:t>
      </w:r>
      <w:bookmarkEnd w:id="20"/>
    </w:p>
    <w:p w14:paraId="0ECCDE20">
      <w:pPr>
        <w:spacing w:line="360" w:lineRule="auto"/>
        <w:rPr>
          <w:color w:val="000000"/>
        </w:rPr>
      </w:pPr>
      <w:r>
        <w:rPr>
          <w:color w:val="000000"/>
        </w:rPr>
        <w:t>6.服务标准、期限、效率</w:t>
      </w:r>
    </w:p>
    <w:p w14:paraId="4B1997EF">
      <w:pPr>
        <w:spacing w:line="360" w:lineRule="auto"/>
        <w:rPr>
          <w:color w:val="000000"/>
        </w:rPr>
      </w:pPr>
      <w:r>
        <w:rPr>
          <w:color w:val="000000"/>
        </w:rPr>
        <w:t>6.1成交供应商在服务期内应当为采购人提供以下技术支持和服务：</w:t>
      </w:r>
    </w:p>
    <w:p w14:paraId="455B1E05">
      <w:pPr>
        <w:spacing w:line="360" w:lineRule="auto"/>
        <w:rPr>
          <w:color w:val="000000"/>
        </w:rPr>
      </w:pPr>
      <w:r>
        <w:rPr>
          <w:color w:val="000000"/>
        </w:rPr>
        <w:t>6.1.1电话咨询</w:t>
      </w:r>
    </w:p>
    <w:p w14:paraId="25CF165A">
      <w:pPr>
        <w:spacing w:line="360" w:lineRule="auto"/>
        <w:rPr>
          <w:color w:val="000000"/>
        </w:rPr>
      </w:pPr>
      <w:r>
        <w:rPr>
          <w:color w:val="000000"/>
        </w:rPr>
        <w:t>成交供应商应当为采购人提供技术援助电话，解答采购人在使用中遇到的问题，及时为采购人提出解决问题的建议。</w:t>
      </w:r>
    </w:p>
    <w:p w14:paraId="1B4C47A4">
      <w:pPr>
        <w:spacing w:line="360" w:lineRule="auto"/>
        <w:rPr>
          <w:color w:val="000000"/>
        </w:rPr>
      </w:pPr>
      <w:r>
        <w:rPr>
          <w:color w:val="000000"/>
        </w:rPr>
        <w:t>6.1.2现场响应</w:t>
      </w:r>
    </w:p>
    <w:p w14:paraId="3A2DE75E">
      <w:pPr>
        <w:spacing w:line="360" w:lineRule="auto"/>
        <w:rPr>
          <w:color w:val="000000"/>
        </w:rPr>
      </w:pPr>
      <w:r>
        <w:rPr>
          <w:color w:val="000000"/>
        </w:rPr>
        <w:t>采购人遇到使用或技术问题，电话咨询不能解决的，成交供应商应在4小时内到达现场进行处理。</w:t>
      </w:r>
    </w:p>
    <w:p w14:paraId="15CFB87B">
      <w:pPr>
        <w:spacing w:line="360" w:lineRule="auto"/>
        <w:rPr>
          <w:color w:val="000000"/>
        </w:rPr>
      </w:pPr>
      <w:r>
        <w:rPr>
          <w:color w:val="000000"/>
        </w:rPr>
        <w:t>7.培训</w:t>
      </w:r>
    </w:p>
    <w:p w14:paraId="796C3817">
      <w:pPr>
        <w:spacing w:line="360" w:lineRule="auto"/>
        <w:rPr>
          <w:color w:val="000000"/>
        </w:rPr>
      </w:pPr>
      <w:r>
        <w:rPr>
          <w:color w:val="000000"/>
        </w:rPr>
        <w:t>供应商对其提供服务应尽培训义务。供应商应提供对采购人的基本培训，使采购人使用人员熟练掌握所培训内容，熟练掌握全部功能，培训的相关费用包括在响应报价中，采购人不再另行支付。</w:t>
      </w:r>
    </w:p>
    <w:p w14:paraId="5AC4EF23">
      <w:pPr>
        <w:spacing w:line="360" w:lineRule="auto"/>
        <w:rPr>
          <w:color w:val="000000"/>
        </w:rPr>
      </w:pPr>
      <w:r>
        <w:rPr>
          <w:color w:val="000000"/>
        </w:rPr>
        <w:t>8.付款方式、时间及条件</w:t>
      </w:r>
    </w:p>
    <w:p w14:paraId="54D6307F">
      <w:pPr>
        <w:spacing w:line="360" w:lineRule="auto"/>
        <w:rPr>
          <w:color w:val="000000"/>
        </w:rPr>
      </w:pPr>
      <w:r>
        <w:rPr>
          <w:color w:val="000000"/>
        </w:rPr>
        <w:t>详见</w:t>
      </w:r>
      <w:r>
        <w:rPr>
          <w:rFonts w:hint="eastAsia"/>
          <w:color w:val="000000"/>
        </w:rPr>
        <w:t>招标文件</w:t>
      </w:r>
      <w:r>
        <w:rPr>
          <w:color w:val="000000"/>
        </w:rPr>
        <w:t>合同主要条款格式部分</w:t>
      </w:r>
      <w:r>
        <w:rPr>
          <w:rFonts w:hint="eastAsia"/>
          <w:color w:val="000000"/>
        </w:rPr>
        <w:t>。</w:t>
      </w:r>
    </w:p>
    <w:p w14:paraId="730537B4">
      <w:pPr>
        <w:spacing w:line="360" w:lineRule="auto"/>
        <w:rPr>
          <w:color w:val="000000"/>
        </w:rPr>
      </w:pPr>
      <w:r>
        <w:rPr>
          <w:color w:val="000000"/>
        </w:rPr>
        <w:t>9.履约保证金</w:t>
      </w:r>
    </w:p>
    <w:p w14:paraId="174982FF">
      <w:pPr>
        <w:spacing w:line="360" w:lineRule="auto"/>
        <w:rPr>
          <w:color w:val="000000" w:themeColor="text1"/>
          <w14:textFill>
            <w14:solidFill>
              <w14:schemeClr w14:val="tx1"/>
            </w14:solidFill>
          </w14:textFill>
        </w:rPr>
      </w:pPr>
      <w:r>
        <w:rPr>
          <w:color w:val="000000"/>
        </w:rPr>
        <w:t>详见</w:t>
      </w:r>
      <w:r>
        <w:rPr>
          <w:rFonts w:hint="eastAsia"/>
          <w:color w:val="000000"/>
        </w:rPr>
        <w:t>招标文件</w:t>
      </w:r>
      <w:r>
        <w:rPr>
          <w:color w:val="000000"/>
        </w:rPr>
        <w:t>合同主要条款格式部分</w:t>
      </w:r>
      <w:r>
        <w:rPr>
          <w:rFonts w:hint="eastAsia"/>
          <w:color w:val="000000"/>
        </w:rPr>
        <w:t>。</w:t>
      </w:r>
    </w:p>
    <w:p w14:paraId="4D99072D">
      <w:pPr>
        <w:spacing w:line="36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四、其他要求</w:t>
      </w:r>
    </w:p>
    <w:p w14:paraId="361245F3">
      <w:pPr>
        <w:rPr>
          <w:b/>
          <w:color w:val="000000" w:themeColor="text1"/>
          <w14:textFill>
            <w14:solidFill>
              <w14:schemeClr w14:val="tx1"/>
            </w14:solidFill>
          </w14:textFill>
        </w:rPr>
      </w:pPr>
      <w:r>
        <w:rPr>
          <w:b/>
          <w:color w:val="000000" w:themeColor="text1"/>
          <w14:textFill>
            <w14:solidFill>
              <w14:schemeClr w14:val="tx1"/>
            </w14:solidFill>
          </w14:textFill>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标项十六：人民币捌佰元整（¥800.00）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5"/>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527"/>
      <w:bookmarkStart w:id="28" w:name="_Toc254970668"/>
      <w:r>
        <w:rPr>
          <w:b/>
          <w:bCs/>
          <w:color w:val="000000" w:themeColor="text1"/>
          <w:kern w:val="0"/>
          <w:szCs w:val="21"/>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669"/>
      <w:bookmarkStart w:id="30" w:name="_Toc254970528"/>
      <w:r>
        <w:rPr>
          <w:b/>
          <w:bCs/>
          <w:color w:val="000000" w:themeColor="text1"/>
          <w:kern w:val="0"/>
          <w:szCs w:val="21"/>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532"/>
      <w:bookmarkStart w:id="35" w:name="_Toc254970673"/>
      <w:r>
        <w:rPr>
          <w:b/>
          <w:bCs/>
          <w:color w:val="000000" w:themeColor="text1"/>
          <w:kern w:val="0"/>
          <w:szCs w:val="21"/>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536"/>
      <w:bookmarkStart w:id="41"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678"/>
      <w:bookmarkStart w:id="43"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679"/>
      <w:bookmarkStart w:id="45" w:name="_Toc254970538"/>
      <w:r>
        <w:rPr>
          <w:b/>
          <w:bCs/>
          <w:color w:val="000000" w:themeColor="text1"/>
          <w:kern w:val="0"/>
          <w:szCs w:val="21"/>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541"/>
      <w:bookmarkStart w:id="47"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542"/>
      <w:bookmarkStart w:id="49"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544"/>
      <w:bookmarkStart w:id="51"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6" w:name="_Toc254970545"/>
      <w:bookmarkStart w:id="57"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19175507"/>
      <w:bookmarkStart w:id="59"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3706F366">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5620D981">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16FA97B5">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rPr>
      </w:pPr>
      <w:bookmarkStart w:id="70"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3"/>
      <w:bookmarkEnd w:id="74"/>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5" w:name="_Toc254970674"/>
      <w:bookmarkStart w:id="76" w:name="_Toc254970533"/>
      <w:r>
        <w:rPr>
          <w:b/>
          <w:bCs/>
          <w:kern w:val="0"/>
          <w:szCs w:val="21"/>
        </w:rPr>
        <w:t>8．质疑和投诉</w:t>
      </w:r>
      <w:bookmarkEnd w:id="75"/>
      <w:bookmarkEnd w:id="76"/>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690"/>
      <w:bookmarkStart w:id="79"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0" w:name="_Hlk20388968"/>
            <w:bookmarkStart w:id="81"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十六：</w:t>
      </w:r>
    </w:p>
    <w:tbl>
      <w:tblPr>
        <w:tblStyle w:val="51"/>
        <w:tblW w:w="98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
        <w:gridCol w:w="666"/>
        <w:gridCol w:w="1009"/>
        <w:gridCol w:w="692"/>
        <w:gridCol w:w="5003"/>
        <w:gridCol w:w="2044"/>
      </w:tblGrid>
      <w:tr w14:paraId="118FA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F226C1F">
            <w:pPr>
              <w:jc w:val="center"/>
              <w:rPr>
                <w:b/>
              </w:rPr>
            </w:pPr>
            <w:r>
              <w:rPr>
                <w:b/>
              </w:rPr>
              <w:t>序号</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80EA640">
            <w:pPr>
              <w:jc w:val="center"/>
              <w:rPr>
                <w:b/>
              </w:rPr>
            </w:pPr>
            <w:r>
              <w:rPr>
                <w:b/>
              </w:rPr>
              <w:t>评审因素及分值</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60F828C">
            <w:pPr>
              <w:jc w:val="center"/>
              <w:rPr>
                <w:b/>
              </w:rPr>
            </w:pPr>
            <w:r>
              <w:rPr>
                <w:b/>
              </w:rPr>
              <w:t>分值</w:t>
            </w:r>
          </w:p>
          <w:p w14:paraId="6B165B0E">
            <w:pPr>
              <w:jc w:val="center"/>
              <w:rPr>
                <w:b/>
              </w:rPr>
            </w:pPr>
            <w:r>
              <w:rPr>
                <w:b/>
              </w:rPr>
              <w:t>属性</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F2E2CE2">
            <w:pPr>
              <w:jc w:val="center"/>
              <w:rPr>
                <w:b/>
              </w:rPr>
            </w:pPr>
            <w:r>
              <w:rPr>
                <w:b/>
              </w:rPr>
              <w:t>评审标准</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355B6AE">
            <w:pPr>
              <w:jc w:val="center"/>
              <w:rPr>
                <w:b/>
              </w:rPr>
            </w:pPr>
            <w:r>
              <w:rPr>
                <w:b/>
              </w:rPr>
              <w:t>说明</w:t>
            </w:r>
          </w:p>
        </w:tc>
      </w:tr>
      <w:tr w14:paraId="78586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E0FFFD7">
            <w:pPr>
              <w:jc w:val="center"/>
            </w:pPr>
            <w:r>
              <w:t>1</w:t>
            </w:r>
          </w:p>
        </w:tc>
        <w:tc>
          <w:tcPr>
            <w:tcW w:w="66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E90E93D">
            <w:pPr>
              <w:tabs>
                <w:tab w:val="center" w:pos="4153"/>
                <w:tab w:val="right" w:pos="8306"/>
              </w:tabs>
              <w:snapToGrid w:val="0"/>
              <w:jc w:val="left"/>
            </w:pPr>
            <w:r>
              <w:t>商务部分（50分）</w:t>
            </w:r>
          </w:p>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CBE07A9">
            <w:r>
              <w:t>信誉业绩（10分）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5D6B828">
            <w:pPr>
              <w:jc w:val="center"/>
            </w:pPr>
            <w: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3071913">
            <w:pPr>
              <w:jc w:val="left"/>
            </w:pPr>
            <w:r>
              <w:t>供应商每提供一个有效业绩得5分，满分10分。有效业绩定义：</w:t>
            </w:r>
            <w:r>
              <w:rPr>
                <w:rFonts w:hint="eastAsia"/>
              </w:rPr>
              <w:t>具有</w:t>
            </w:r>
            <w:r>
              <w:t>技术支持、数据支撑及评审评价服务等类型项目业绩。其中，有效业绩可包含供应商机构调整前整合机构所创项目业绩。</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ADFC3CF">
            <w:pPr>
              <w:rPr>
                <w:color w:val="000000" w:themeColor="text1"/>
                <w14:textFill>
                  <w14:solidFill>
                    <w14:schemeClr w14:val="tx1"/>
                  </w14:solidFill>
                </w14:textFill>
              </w:rPr>
            </w:pPr>
            <w:r>
              <w:rPr>
                <w:color w:val="000000" w:themeColor="text1"/>
                <w14:textFill>
                  <w14:solidFill>
                    <w14:schemeClr w14:val="tx1"/>
                  </w14:solidFill>
                </w14:textFill>
              </w:rPr>
              <w:t>（1）必须提供证明材料。</w:t>
            </w:r>
          </w:p>
          <w:p w14:paraId="649E28D5">
            <w:pPr>
              <w:rPr>
                <w:color w:val="000000" w:themeColor="text1"/>
                <w14:textFill>
                  <w14:solidFill>
                    <w14:schemeClr w14:val="tx1"/>
                  </w14:solidFill>
                </w14:textFill>
              </w:rPr>
            </w:pPr>
            <w:r>
              <w:rPr>
                <w:color w:val="000000" w:themeColor="text1"/>
                <w14:textFill>
                  <w14:solidFill>
                    <w14:schemeClr w14:val="tx1"/>
                  </w14:solidFill>
                </w14:textFill>
              </w:rPr>
              <w:t>（</w:t>
            </w:r>
            <w:r>
              <w:t>2）</w:t>
            </w:r>
            <w:bookmarkStart w:id="82" w:name="OLE_LINK1"/>
            <w:bookmarkStart w:id="83" w:name="OLE_LINK2"/>
            <w:r>
              <w:t>以中标或成交通知书或合同（协议）复印件</w:t>
            </w:r>
            <w:r>
              <w:rPr>
                <w:color w:val="000000" w:themeColor="text1"/>
                <w14:textFill>
                  <w14:solidFill>
                    <w14:schemeClr w14:val="tx1"/>
                  </w14:solidFill>
                </w14:textFill>
              </w:rPr>
              <w:t>为准。</w:t>
            </w:r>
            <w:bookmarkEnd w:id="82"/>
            <w:bookmarkEnd w:id="83"/>
          </w:p>
        </w:tc>
      </w:tr>
      <w:tr w14:paraId="4EA0D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E4C4A82"/>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D603590"/>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4A7832C">
            <w:r>
              <w:t>服务团队人员（24分）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17C06CD">
            <w:pPr>
              <w:jc w:val="center"/>
            </w:pPr>
            <w: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0A015A8">
            <w:pPr>
              <w:spacing w:line="300" w:lineRule="exact"/>
              <w:jc w:val="left"/>
            </w:pPr>
            <w:r>
              <w:t>一档（6分）：本项目拟投入课题团队人员仅满足招标文件人员要求，拟投入团队人员3人</w:t>
            </w:r>
            <w:r>
              <w:rPr>
                <w:rStyle w:val="58"/>
                <w:rFonts w:hint="eastAsia"/>
              </w:rPr>
              <w:t>及以上</w:t>
            </w:r>
            <w:r>
              <w:t>，配置基本合理，至少1人具有</w:t>
            </w:r>
            <w:r>
              <w:rPr>
                <w:rFonts w:hint="eastAsia"/>
              </w:rPr>
              <w:t>相关专业</w:t>
            </w:r>
            <w:r>
              <w:t>高级及以上职称。</w:t>
            </w:r>
          </w:p>
          <w:p w14:paraId="0C59D18E">
            <w:pPr>
              <w:spacing w:line="300" w:lineRule="exact"/>
              <w:jc w:val="left"/>
            </w:pPr>
            <w:r>
              <w:t>二档（12分）：本项目拟投入课题团队人员在满足招标文件人员要求下，能投入4人</w:t>
            </w:r>
            <w:r>
              <w:rPr>
                <w:rFonts w:hint="eastAsia"/>
              </w:rPr>
              <w:t>及以上</w:t>
            </w:r>
            <w:r>
              <w:t>，配置比较合理，团队人员中拥有工业领域本科及以上相关学位3人</w:t>
            </w:r>
            <w:r>
              <w:rPr>
                <w:rFonts w:hint="eastAsia"/>
              </w:rPr>
              <w:t>及以上</w:t>
            </w:r>
            <w:r>
              <w:t>，至少3人具有</w:t>
            </w:r>
            <w:r>
              <w:rPr>
                <w:rFonts w:hint="eastAsia"/>
              </w:rPr>
              <w:t>相关专业</w:t>
            </w:r>
            <w:r>
              <w:t>高级</w:t>
            </w:r>
            <w:r>
              <w:rPr>
                <w:rFonts w:hint="eastAsia"/>
              </w:rPr>
              <w:t>工程师</w:t>
            </w:r>
            <w:r>
              <w:t>及以上职称。</w:t>
            </w:r>
          </w:p>
          <w:p w14:paraId="61C460C7">
            <w:pPr>
              <w:spacing w:line="300" w:lineRule="exact"/>
              <w:jc w:val="left"/>
            </w:pPr>
            <w:r>
              <w:t>三档（18分）：本项目拟投入团队人员在满足招标文件人员要求下，能投入7</w:t>
            </w:r>
            <w:r>
              <w:rPr>
                <w:rFonts w:hint="eastAsia"/>
                <w:lang w:val="en-US" w:eastAsia="zh-CN"/>
              </w:rPr>
              <w:t>人</w:t>
            </w:r>
            <w:r>
              <w:rPr>
                <w:rFonts w:hint="eastAsia"/>
              </w:rPr>
              <w:t>及以上</w:t>
            </w:r>
            <w:r>
              <w:t>的，配置充足，且团队人员中拥有工业领域</w:t>
            </w:r>
            <w:r>
              <w:rPr>
                <w:rFonts w:hint="eastAsia"/>
              </w:rPr>
              <w:t>本科</w:t>
            </w:r>
            <w:r>
              <w:t>及以上相关学位4人</w:t>
            </w:r>
            <w:r>
              <w:rPr>
                <w:rFonts w:hint="eastAsia"/>
              </w:rPr>
              <w:t>及以上</w:t>
            </w:r>
            <w:r>
              <w:t>，至少4人具有</w:t>
            </w:r>
            <w:r>
              <w:rPr>
                <w:rFonts w:hint="eastAsia"/>
              </w:rPr>
              <w:t>相关专业</w:t>
            </w:r>
            <w:r>
              <w:t>高级</w:t>
            </w:r>
            <w:r>
              <w:rPr>
                <w:rFonts w:hint="eastAsia"/>
              </w:rPr>
              <w:t>工程师</w:t>
            </w:r>
            <w:r>
              <w:t>及以上职称。</w:t>
            </w:r>
          </w:p>
          <w:p w14:paraId="425D5376">
            <w:r>
              <w:t>四档（24分）：本项目拟投入团队人员在满足招标文件人员要求下，能投入10人及以上，配置充足、合理，且团队人员中拥有工业领域</w:t>
            </w:r>
            <w:r>
              <w:rPr>
                <w:rFonts w:hint="eastAsia"/>
              </w:rPr>
              <w:t>本科</w:t>
            </w:r>
            <w:r>
              <w:t>及以上相关学位5人</w:t>
            </w:r>
            <w:r>
              <w:rPr>
                <w:rStyle w:val="58"/>
                <w:rFonts w:hint="eastAsia"/>
              </w:rPr>
              <w:t>及</w:t>
            </w:r>
            <w:r>
              <w:t>以上，至少5人具有</w:t>
            </w:r>
            <w:r>
              <w:rPr>
                <w:rFonts w:hint="eastAsia"/>
              </w:rPr>
              <w:t>相关专业</w:t>
            </w:r>
            <w:r>
              <w:t>高级</w:t>
            </w:r>
            <w:r>
              <w:rPr>
                <w:rFonts w:hint="eastAsia"/>
              </w:rPr>
              <w:t>工程师</w:t>
            </w:r>
            <w:r>
              <w:t>及以上职称。</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5DCA7BB">
            <w:r>
              <w:t>必须提供相关证明材料。</w:t>
            </w:r>
          </w:p>
        </w:tc>
      </w:tr>
      <w:tr w14:paraId="13D053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969080B"/>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474CFDA"/>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C498A6E">
            <w:r>
              <w:t>质量保证措施（16分）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CCDDF1D">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84E7382">
            <w:r>
              <w:t>一档（4分）：供应商为采购人提供有合理的承诺，</w:t>
            </w:r>
          </w:p>
          <w:p w14:paraId="434351C6">
            <w:r>
              <w:t>并包含有项目保障措施，但方案较为简单，缺乏针对性；</w:t>
            </w:r>
          </w:p>
          <w:p w14:paraId="36762CAC">
            <w:r>
              <w:t>二档（10分）：供应商为采购人提供有服务质量及成果完成时间承诺，并包含有项目保障措施、保密承诺及廉洁承诺等，且描述了项目保障措施的方法以及实现方式，方案合理可行，具有针对性；</w:t>
            </w:r>
          </w:p>
          <w:p w14:paraId="751CFC6B">
            <w: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4029895">
            <w:r>
              <w:t>未提供不得分。</w:t>
            </w:r>
          </w:p>
        </w:tc>
      </w:tr>
      <w:tr w14:paraId="1E6EF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7ACF2E2">
            <w:pPr>
              <w:jc w:val="center"/>
            </w:pPr>
            <w:r>
              <w:t>2</w:t>
            </w:r>
          </w:p>
        </w:tc>
        <w:tc>
          <w:tcPr>
            <w:tcW w:w="666"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943D6E9">
            <w:pPr>
              <w:jc w:val="center"/>
            </w:pPr>
            <w:r>
              <w:t>技术部分（40分）</w:t>
            </w:r>
          </w:p>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F8DE64E">
            <w:pPr>
              <w:jc w:val="left"/>
            </w:pPr>
            <w:r>
              <w:t>工作方案（30分）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E99818C">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80A68C1">
            <w:r>
              <w:t>一档（8分）：目标工作方案简单，对项目的总体需求的理解程度、对项目范围把握不准确，项目重点难点分析不完整。</w:t>
            </w:r>
          </w:p>
          <w:p w14:paraId="3E31C7BB">
            <w:r>
              <w:t>二档（16分）：目标工作方案合理完整，具有针对性，对项目的总体需求的理解程度、对项目范围把握准确度较低，项目重点难点分析简单，应对措施不够具体。</w:t>
            </w:r>
          </w:p>
          <w:p w14:paraId="04D36521">
            <w:r>
              <w:t>三档（24分）：目标工作方案合理完整，具有针对性和一定的先进性，对项目的总体需求的理解程度、对项目范围把握准确度良好，项目重点难点分析完善，应对措施具体可行，并附有相关的合理化建议，建立完善的组织机构、规范的内部操作规程，技术方案综合评价良好。</w:t>
            </w:r>
          </w:p>
          <w:p w14:paraId="6B2AFAD4">
            <w:r>
              <w:t>四档（30分）：目标工作方案合理完整，具有针对性和一定的先进性，对项目的总体需求的理解程度、对项目范围把握准确度较高并具有切合的额外建设建议和措施，项目重点难点分析翔实且有针对性，应对措施具体可行，相关的合理化建议有可操作性和先进性，建立完善的组织机构、规范的内部操作规程，综合评价优秀。</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BE05D76">
            <w:r>
              <w:t>未提供不得分。</w:t>
            </w:r>
          </w:p>
        </w:tc>
      </w:tr>
      <w:tr w14:paraId="7A313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8FFB5C6"/>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7345542"/>
        </w:tc>
        <w:tc>
          <w:tcPr>
            <w:tcW w:w="100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4BFB5FD">
            <w:pPr>
              <w:jc w:val="left"/>
            </w:pPr>
            <w:r>
              <w:t>实施计划（10分）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DD07A3A">
            <w:pPr>
              <w:jc w:val="center"/>
            </w:pPr>
            <w:r>
              <w:t>主观分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A2A6A5F">
            <w:r>
              <w:t>一档（4分）：计划安排内容简单；</w:t>
            </w:r>
          </w:p>
          <w:p w14:paraId="18418AFE">
            <w:r>
              <w:t>二档（6分）：有工作步骤、对本项目调研计划基本合理，时间安排基本满足招标文件要求；</w:t>
            </w:r>
          </w:p>
          <w:p w14:paraId="5BCB61BF">
            <w:r>
              <w:t>三档（8分）：有工作步骤、对本项目调研计划较合理，时间满足招标文件要求，有参加</w:t>
            </w:r>
            <w:r>
              <w:rPr>
                <w:rFonts w:hint="eastAsia"/>
              </w:rPr>
              <w:t>课题</w:t>
            </w:r>
            <w:r>
              <w:t>前期调研、中期汇报的安排内容；</w:t>
            </w:r>
          </w:p>
          <w:p w14:paraId="4045165C">
            <w:r>
              <w:t>四档（10分）：有工作步骤、对本项目调研计划科学合理，时间安排紧凑且优于招标文件要求，推进步骤清晰明了，参加</w:t>
            </w:r>
            <w:r>
              <w:rPr>
                <w:rFonts w:hint="eastAsia"/>
              </w:rPr>
              <w:t>课题</w:t>
            </w:r>
            <w:r>
              <w:t>前期调研、中期汇报的安排科学合理，保证</w:t>
            </w:r>
            <w:r>
              <w:rPr>
                <w:rFonts w:hint="eastAsia"/>
              </w:rPr>
              <w:t>课题</w:t>
            </w:r>
            <w:r>
              <w:t>质量措施有利于采购人完成项目。</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AF6A92C">
            <w:r>
              <w:t>未提供不得分。</w:t>
            </w:r>
          </w:p>
        </w:tc>
      </w:tr>
      <w:tr w14:paraId="38939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83C9EC5">
            <w:pPr>
              <w:jc w:val="center"/>
            </w:pPr>
            <w:r>
              <w:t>3</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8CA13D1">
            <w:pPr>
              <w:jc w:val="center"/>
              <w:rPr>
                <w:szCs w:val="21"/>
              </w:rPr>
            </w:pPr>
            <w:r>
              <w:rPr>
                <w:szCs w:val="21"/>
              </w:rPr>
              <w:t>投标报价分</w:t>
            </w:r>
          </w:p>
          <w:p w14:paraId="51CB1D4A">
            <w:pPr>
              <w:jc w:val="center"/>
            </w:pPr>
            <w:r>
              <w:rPr>
                <w:szCs w:val="21"/>
              </w:rPr>
              <w:t>（10分）</w:t>
            </w:r>
          </w:p>
        </w:tc>
        <w:tc>
          <w:tcPr>
            <w:tcW w:w="69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E73BC62">
            <w:pPr>
              <w:jc w:val="center"/>
            </w:pPr>
            <w:r>
              <w:rPr>
                <w:szCs w:val="21"/>
              </w:rPr>
              <w:t>客观分</w:t>
            </w:r>
          </w:p>
        </w:tc>
        <w:tc>
          <w:tcPr>
            <w:tcW w:w="5003"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47CAF97">
            <w:pPr>
              <w:jc w:val="left"/>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A7818FC">
            <w:r>
              <w:rPr>
                <w:szCs w:val="21"/>
              </w:rPr>
              <w:t>如有价格扣除时，投标报价分均按供应商实际投标报价进行价格扣除后的价格进行计算，最终中标金额＝投标报价。价格扣除计算方法见后。</w:t>
            </w:r>
          </w:p>
        </w:tc>
      </w:tr>
      <w:tr w14:paraId="5A7DA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426"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147E5A3">
            <w:pPr>
              <w:jc w:val="center"/>
            </w:pPr>
            <w:r>
              <w:t>4</w:t>
            </w:r>
          </w:p>
        </w:tc>
        <w:tc>
          <w:tcPr>
            <w:tcW w:w="167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C9A12F4">
            <w:pPr>
              <w:jc w:val="center"/>
            </w:pPr>
            <w:r>
              <w:t>综合得分</w:t>
            </w:r>
          </w:p>
        </w:tc>
        <w:tc>
          <w:tcPr>
            <w:tcW w:w="7739" w:type="dxa"/>
            <w:gridSpan w:val="3"/>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C0AA0D7">
            <w:r>
              <w:t>=1+2+3（各项评分分值计算保留小数点后两位，小数点后第三位“四舍五入”）</w:t>
            </w:r>
          </w:p>
        </w:tc>
      </w:tr>
    </w:tbl>
    <w:p w14:paraId="107A6C8B">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453D4F6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rPr>
            </w:pPr>
            <w:r>
              <w:rPr>
                <w:color w:val="000000"/>
                <w:szCs w:val="21"/>
              </w:rPr>
              <w:t>独立响应</w:t>
            </w:r>
          </w:p>
        </w:tc>
        <w:tc>
          <w:tcPr>
            <w:tcW w:w="4962" w:type="dxa"/>
          </w:tcPr>
          <w:p w14:paraId="155D8A41">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6476A6E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rPr>
            </w:pPr>
            <w:r>
              <w:rPr>
                <w:color w:val="000000"/>
                <w:szCs w:val="21"/>
              </w:rPr>
              <w:t>联合体或</w:t>
            </w:r>
          </w:p>
          <w:p w14:paraId="4056A421">
            <w:pPr>
              <w:spacing w:before="120" w:line="320" w:lineRule="atLeast"/>
              <w:jc w:val="center"/>
              <w:rPr>
                <w:color w:val="000000"/>
                <w:szCs w:val="21"/>
              </w:rPr>
            </w:pPr>
            <w:r>
              <w:rPr>
                <w:color w:val="000000"/>
                <w:szCs w:val="21"/>
              </w:rPr>
              <w:t>分包</w:t>
            </w:r>
          </w:p>
        </w:tc>
        <w:tc>
          <w:tcPr>
            <w:tcW w:w="4962" w:type="dxa"/>
          </w:tcPr>
          <w:p w14:paraId="6D7B0724">
            <w:pPr>
              <w:spacing w:before="120" w:line="320" w:lineRule="atLeast"/>
              <w:rPr>
                <w:color w:val="000000"/>
                <w:szCs w:val="21"/>
              </w:rPr>
            </w:pPr>
            <w:r>
              <w:rPr>
                <w:color w:val="000000"/>
                <w:szCs w:val="21"/>
              </w:rPr>
              <w:t>小微企业承接的金额比例为100%</w:t>
            </w:r>
          </w:p>
        </w:tc>
        <w:tc>
          <w:tcPr>
            <w:tcW w:w="2551" w:type="dxa"/>
          </w:tcPr>
          <w:p w14:paraId="0CAAAEE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rPr>
            </w:pPr>
          </w:p>
        </w:tc>
        <w:tc>
          <w:tcPr>
            <w:tcW w:w="4962" w:type="dxa"/>
          </w:tcPr>
          <w:p w14:paraId="59F25BD6">
            <w:pPr>
              <w:spacing w:before="120" w:line="320" w:lineRule="atLeast"/>
              <w:rPr>
                <w:color w:val="000000"/>
                <w:szCs w:val="21"/>
              </w:rPr>
            </w:pPr>
            <w:r>
              <w:rPr>
                <w:color w:val="000000"/>
                <w:szCs w:val="21"/>
              </w:rPr>
              <w:t>小微企业承接的金额比例达到合同总金额30%以上</w:t>
            </w:r>
          </w:p>
        </w:tc>
        <w:tc>
          <w:tcPr>
            <w:tcW w:w="2551" w:type="dxa"/>
          </w:tcPr>
          <w:p w14:paraId="0624444F">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011BFB6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4"/>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5"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5"/>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6"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6"/>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7"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7"/>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8"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8"/>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14:textFill>
            <w14:solidFill>
              <w14:schemeClr w14:val="tx1"/>
            </w14:solidFill>
          </w14:textFill>
        </w:rPr>
      </w:pPr>
      <w:bookmarkStart w:id="89"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9"/>
    </w:p>
    <w:p w14:paraId="14FB9903">
      <w:pPr>
        <w:rPr>
          <w:color w:val="000000" w:themeColor="text1"/>
          <w:sz w:val="28"/>
          <w:szCs w:val="28"/>
          <w14:textFill>
            <w14:solidFill>
              <w14:schemeClr w14:val="tx1"/>
            </w14:solidFill>
          </w14:textFill>
        </w:rPr>
      </w:pPr>
      <w:bookmarkStart w:id="90" w:name="_Toc254970697"/>
      <w:bookmarkStart w:id="91" w:name="_Toc254970556"/>
    </w:p>
    <w:bookmarkEnd w:id="90"/>
    <w:bookmarkEnd w:id="91"/>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2" w:name="_Hlk19199063"/>
      <w:r>
        <w:rPr>
          <w:color w:val="000000" w:themeColor="text1"/>
          <w:sz w:val="28"/>
          <w:szCs w:val="28"/>
          <w14:textFill>
            <w14:solidFill>
              <w14:schemeClr w14:val="tx1"/>
            </w14:solidFill>
          </w14:textFill>
        </w:rPr>
        <w:t>注：有签字、盖章要求的应按要求</w:t>
      </w:r>
      <w:bookmarkEnd w:id="92"/>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3" w:name="_Toc254970698"/>
      <w:bookmarkStart w:id="94" w:name="_Toc254970557"/>
      <w:r>
        <w:rPr>
          <w:color w:val="000000" w:themeColor="text1"/>
          <w:sz w:val="24"/>
          <w14:textFill>
            <w14:solidFill>
              <w14:schemeClr w14:val="tx1"/>
            </w14:solidFill>
          </w14:textFill>
        </w:rPr>
        <w:br w:type="page"/>
      </w:r>
      <w:bookmarkEnd w:id="93"/>
      <w:bookmarkEnd w:id="94"/>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95"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5"/>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96"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6"/>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7"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7"/>
    <w:p w14:paraId="32CD8DFC">
      <w:pPr>
        <w:jc w:val="center"/>
        <w:rPr>
          <w:color w:val="000000" w:themeColor="text1"/>
          <w14:textFill>
            <w14:solidFill>
              <w14:schemeClr w14:val="tx1"/>
            </w14:solidFill>
          </w14:textFill>
        </w:rPr>
      </w:pPr>
      <w:bookmarkStart w:id="98" w:name="_Toc455309222"/>
      <w:bookmarkStart w:id="99" w:name="_Toc462320613"/>
      <w:bookmarkStart w:id="100" w:name="_Toc462223472"/>
    </w:p>
    <w:bookmarkEnd w:id="98"/>
    <w:bookmarkEnd w:id="99"/>
    <w:bookmarkEnd w:id="100"/>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1"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1"/>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2" w:name="_Hlk19199766"/>
      <w:r>
        <w:rPr>
          <w:b/>
          <w:color w:val="000000" w:themeColor="text1"/>
          <w:szCs w:val="21"/>
          <w14:textFill>
            <w14:solidFill>
              <w14:schemeClr w14:val="tx1"/>
            </w14:solidFill>
          </w14:textFill>
        </w:rPr>
        <w:t>2．授权委托书（有授权代表时提供）：</w:t>
      </w:r>
    </w:p>
    <w:bookmarkEnd w:id="102"/>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3"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3"/>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13E3778F">
      <w:pPr>
        <w:spacing w:line="360" w:lineRule="auto"/>
        <w:ind w:firstLine="420"/>
        <w:jc w:val="center"/>
        <w:rPr>
          <w:color w:val="000000" w:themeColor="text1"/>
          <w:spacing w:val="6"/>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日期：  年  月   日</w:t>
      </w:r>
    </w:p>
    <w:p w14:paraId="186E6738">
      <w:pPr>
        <w:spacing w:line="360" w:lineRule="auto"/>
        <w:rPr>
          <w:color w:val="000000" w:themeColor="text1"/>
          <w:szCs w:val="21"/>
          <w14:textFill>
            <w14:solidFill>
              <w14:schemeClr w14:val="tx1"/>
            </w14:solidFill>
          </w14:textFill>
        </w:rPr>
      </w:pPr>
    </w:p>
    <w:p w14:paraId="5E7A80A5">
      <w:pPr>
        <w:pStyle w:val="26"/>
        <w:tabs>
          <w:tab w:val="left" w:pos="2127"/>
        </w:tabs>
        <w:spacing w:line="340" w:lineRule="exact"/>
        <w:rPr>
          <w:rFonts w:ascii="Times New Roman" w:hAnsi="Times New Roman" w:cs="Times New Roman"/>
          <w:color w:val="000000" w:themeColor="text1"/>
          <w14:textFill>
            <w14:solidFill>
              <w14:schemeClr w14:val="tx1"/>
            </w14:solidFill>
          </w14:textFill>
        </w:rPr>
      </w:pPr>
    </w:p>
    <w:p w14:paraId="1CA627B7">
      <w:pPr>
        <w:snapToGrid w:val="0"/>
        <w:spacing w:before="50" w:after="120" w:afterLines="50" w:line="440" w:lineRule="exact"/>
        <w:jc w:val="left"/>
        <w:rPr>
          <w:bCs/>
          <w:color w:val="000000" w:themeColor="text1"/>
          <w:sz w:val="24"/>
          <w14:textFill>
            <w14:solidFill>
              <w14:schemeClr w14:val="tx1"/>
            </w14:solidFill>
          </w14:textFill>
        </w:rPr>
      </w:pPr>
      <w:r>
        <w:rPr>
          <w:color w:val="000000" w:themeColor="text1"/>
          <w14:textFill>
            <w14:solidFill>
              <w14:schemeClr w14:val="tx1"/>
            </w14:solidFill>
          </w14:textFill>
        </w:rPr>
        <w:br w:type="page"/>
      </w: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4" w:name="_Hlk48144603"/>
      <w:r>
        <w:rPr>
          <w:rFonts w:ascii="Times New Roman" w:hAnsi="Times New Roman" w:cs="Times New Roman"/>
          <w:color w:val="000000" w:themeColor="text1"/>
          <w14:textFill>
            <w14:solidFill>
              <w14:schemeClr w14:val="tx1"/>
            </w14:solidFill>
          </w14:textFill>
        </w:rPr>
        <w:t>注：</w:t>
      </w:r>
      <w:bookmarkStart w:id="105"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5"/>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4"/>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06" w:name="_Hlk33625589"/>
    </w:p>
    <w:bookmarkEnd w:id="106"/>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07" w:name="_Hlk19110561"/>
      <w:bookmarkStart w:id="108"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7"/>
      <w:bookmarkEnd w:id="108"/>
    </w:p>
    <w:p w14:paraId="67F9B08E">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49E87BB7">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09"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9"/>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0"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10"/>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B7F9B"/>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E78"/>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3F5"/>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22"/>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070C"/>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B70D95"/>
    <w:rsid w:val="0BF958C7"/>
    <w:rsid w:val="0C3F3332"/>
    <w:rsid w:val="0C5A09A9"/>
    <w:rsid w:val="0CAE1635"/>
    <w:rsid w:val="0CDB719E"/>
    <w:rsid w:val="0D322DF8"/>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BF47C1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D0485B"/>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47534"/>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9D22AD6"/>
    <w:rsid w:val="2A922D3E"/>
    <w:rsid w:val="2AAC3644"/>
    <w:rsid w:val="2B8946FF"/>
    <w:rsid w:val="2C0A4741"/>
    <w:rsid w:val="2C757FF4"/>
    <w:rsid w:val="2CA61832"/>
    <w:rsid w:val="2CE550C6"/>
    <w:rsid w:val="2CF86E08"/>
    <w:rsid w:val="2D3D2F89"/>
    <w:rsid w:val="2D9B15EF"/>
    <w:rsid w:val="2DDD6476"/>
    <w:rsid w:val="2E304308"/>
    <w:rsid w:val="2E5F4C31"/>
    <w:rsid w:val="2E6F7E34"/>
    <w:rsid w:val="2EB26D79"/>
    <w:rsid w:val="2F7145F4"/>
    <w:rsid w:val="30580298"/>
    <w:rsid w:val="30646F90"/>
    <w:rsid w:val="30CB0402"/>
    <w:rsid w:val="31B66D5F"/>
    <w:rsid w:val="324D2681"/>
    <w:rsid w:val="338D6061"/>
    <w:rsid w:val="34457450"/>
    <w:rsid w:val="34E70363"/>
    <w:rsid w:val="34FD4189"/>
    <w:rsid w:val="35373F98"/>
    <w:rsid w:val="35E1219E"/>
    <w:rsid w:val="363B7932"/>
    <w:rsid w:val="36D15C2A"/>
    <w:rsid w:val="36F7729B"/>
    <w:rsid w:val="36FA4BBC"/>
    <w:rsid w:val="371D61FE"/>
    <w:rsid w:val="374B5AC3"/>
    <w:rsid w:val="38187E4F"/>
    <w:rsid w:val="3820445B"/>
    <w:rsid w:val="38210467"/>
    <w:rsid w:val="38401B73"/>
    <w:rsid w:val="384B1D2A"/>
    <w:rsid w:val="38C62584"/>
    <w:rsid w:val="39780BBB"/>
    <w:rsid w:val="39B70E0A"/>
    <w:rsid w:val="39D617F2"/>
    <w:rsid w:val="39DA66B4"/>
    <w:rsid w:val="3A242E79"/>
    <w:rsid w:val="3A553E1B"/>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253DE7"/>
    <w:rsid w:val="51B33F45"/>
    <w:rsid w:val="52127D7D"/>
    <w:rsid w:val="52412A63"/>
    <w:rsid w:val="52EA02AE"/>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BFF4CBE"/>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2A69DC"/>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2A3631"/>
    <w:rsid w:val="765941C5"/>
    <w:rsid w:val="773B6CD4"/>
    <w:rsid w:val="77E30949"/>
    <w:rsid w:val="77F16A53"/>
    <w:rsid w:val="783525A0"/>
    <w:rsid w:val="786F12BD"/>
    <w:rsid w:val="786F1AA9"/>
    <w:rsid w:val="7872551D"/>
    <w:rsid w:val="78FA198E"/>
    <w:rsid w:val="7920071D"/>
    <w:rsid w:val="79346040"/>
    <w:rsid w:val="79C52BC7"/>
    <w:rsid w:val="79C747F6"/>
    <w:rsid w:val="7A36659D"/>
    <w:rsid w:val="7A58591C"/>
    <w:rsid w:val="7A6027C1"/>
    <w:rsid w:val="7A854A12"/>
    <w:rsid w:val="7B237820"/>
    <w:rsid w:val="7B974622"/>
    <w:rsid w:val="7CE12540"/>
    <w:rsid w:val="7D4E72F0"/>
    <w:rsid w:val="7E9219F9"/>
    <w:rsid w:val="7EC06764"/>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5282</Words>
  <Characters>6101</Characters>
  <Lines>306</Lines>
  <Paragraphs>86</Paragraphs>
  <TotalTime>0</TotalTime>
  <ScaleCrop>false</ScaleCrop>
  <LinksUpToDate>false</LinksUpToDate>
  <CharactersWithSpaces>6147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2025-05-20T12:31:17Z</dcterms:modified>
  <dc:title>桂财采〔2009〕 号</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4D988A70ACCF459AA9AD9DBFC3756DA9_13</vt:lpwstr>
  </property>
  <property fmtid="{D5CDD505-2E9C-101B-9397-08002B2CF9AE}" pid="14" name="KSOTemplateDocerSaveRecord">
    <vt:lpwstr>eyJoZGlkIjoiZTRkMTliNGE5NTA4YjRlMTY3ODI5NTUyOWMxZGNiMTcifQ==</vt:lpwstr>
  </property>
</Properties>
</file>