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A3ABE">
      <w:pPr>
        <w:jc w:val="center"/>
        <w:rPr>
          <w:rFonts w:ascii="黑体" w:hAnsi="黑体" w:eastAsia="黑体" w:cs="黑体"/>
          <w:b/>
          <w:bCs/>
          <w:color w:val="auto"/>
          <w:spacing w:val="3"/>
          <w:sz w:val="31"/>
          <w:szCs w:val="31"/>
          <w:highlight w:val="none"/>
        </w:rPr>
      </w:pPr>
      <w:r>
        <w:rPr>
          <w:rFonts w:ascii="黑体" w:hAnsi="黑体" w:eastAsia="黑体" w:cs="黑体"/>
          <w:b/>
          <w:bCs/>
          <w:color w:val="auto"/>
          <w:spacing w:val="3"/>
          <w:sz w:val="31"/>
          <w:szCs w:val="31"/>
          <w:highlight w:val="none"/>
        </w:rPr>
        <w:t>附件</w:t>
      </w:r>
      <w:r>
        <w:rPr>
          <w:rFonts w:hint="eastAsia" w:ascii="黑体" w:hAnsi="黑体" w:eastAsia="黑体" w:cs="黑体"/>
          <w:b/>
          <w:bCs/>
          <w:color w:val="auto"/>
          <w:spacing w:val="3"/>
          <w:sz w:val="31"/>
          <w:szCs w:val="31"/>
          <w:highlight w:val="none"/>
          <w:lang w:val="en-US" w:eastAsia="zh-CN"/>
        </w:rPr>
        <w:t>1</w:t>
      </w:r>
      <w:r>
        <w:rPr>
          <w:rFonts w:ascii="黑体" w:hAnsi="黑体" w:eastAsia="黑体" w:cs="黑体"/>
          <w:b/>
          <w:bCs/>
          <w:color w:val="auto"/>
          <w:spacing w:val="3"/>
          <w:sz w:val="31"/>
          <w:szCs w:val="31"/>
          <w:highlight w:val="none"/>
        </w:rPr>
        <w:t>：</w:t>
      </w:r>
      <w:r>
        <w:rPr>
          <w:rFonts w:hint="eastAsia" w:ascii="黑体" w:hAnsi="黑体" w:eastAsia="黑体" w:cs="黑体"/>
          <w:b/>
          <w:bCs/>
          <w:color w:val="auto"/>
          <w:spacing w:val="3"/>
          <w:sz w:val="31"/>
          <w:szCs w:val="31"/>
          <w:highlight w:val="none"/>
          <w:lang w:val="en-US" w:eastAsia="zh-CN"/>
        </w:rPr>
        <w:t>系统采购清单</w:t>
      </w:r>
      <w:bookmarkStart w:id="0" w:name="_GoBack"/>
      <w:bookmarkEnd w:id="0"/>
    </w:p>
    <w:tbl>
      <w:tblPr>
        <w:tblStyle w:val="5"/>
        <w:tblW w:w="78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1"/>
        <w:gridCol w:w="1745"/>
        <w:gridCol w:w="977"/>
        <w:gridCol w:w="1510"/>
        <w:gridCol w:w="2893"/>
      </w:tblGrid>
      <w:tr w14:paraId="55332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jc w:val="center"/>
        </w:trPr>
        <w:tc>
          <w:tcPr>
            <w:tcW w:w="711" w:type="dxa"/>
            <w:noWrap w:val="0"/>
            <w:textDirection w:val="tbRlV"/>
            <w:vAlign w:val="center"/>
          </w:tcPr>
          <w:p w14:paraId="1E8B7123">
            <w:pPr>
              <w:pStyle w:val="4"/>
              <w:spacing w:before="185" w:line="202" w:lineRule="auto"/>
              <w:ind w:left="41"/>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36"/>
                <w:sz w:val="21"/>
                <w:szCs w:val="21"/>
                <w:highlight w:val="none"/>
              </w:rPr>
              <w:t>序号</w:t>
            </w:r>
          </w:p>
        </w:tc>
        <w:tc>
          <w:tcPr>
            <w:tcW w:w="1745" w:type="dxa"/>
            <w:noWrap w:val="0"/>
            <w:vAlign w:val="center"/>
          </w:tcPr>
          <w:p w14:paraId="4A78AD36">
            <w:pPr>
              <w:pStyle w:val="4"/>
              <w:spacing w:before="196" w:line="221" w:lineRule="auto"/>
              <w:ind w:left="620"/>
              <w:jc w:val="both"/>
              <w:rPr>
                <w:rFonts w:hint="eastAsia" w:ascii="宋体" w:hAnsi="宋体" w:eastAsia="宋体" w:cs="宋体"/>
                <w:color w:val="auto"/>
                <w:sz w:val="21"/>
                <w:szCs w:val="21"/>
                <w:highlight w:val="none"/>
              </w:rPr>
            </w:pPr>
            <w:r>
              <w:rPr>
                <w:rFonts w:hint="eastAsia" w:ascii="宋体" w:hAnsi="宋体" w:eastAsia="宋体" w:cs="宋体"/>
                <w:b/>
                <w:bCs/>
                <w:color w:val="auto"/>
                <w:spacing w:val="-11"/>
                <w:sz w:val="21"/>
                <w:szCs w:val="21"/>
                <w:highlight w:val="none"/>
              </w:rPr>
              <w:t>名称</w:t>
            </w:r>
          </w:p>
        </w:tc>
        <w:tc>
          <w:tcPr>
            <w:tcW w:w="977" w:type="dxa"/>
            <w:tcBorders>
              <w:right w:val="single" w:color="auto" w:sz="4" w:space="0"/>
            </w:tcBorders>
            <w:noWrap w:val="0"/>
            <w:vAlign w:val="center"/>
          </w:tcPr>
          <w:p w14:paraId="050BE39A">
            <w:pPr>
              <w:widowControl/>
              <w:spacing w:line="240" w:lineRule="auto"/>
              <w:ind w:firstLine="0" w:firstLineChars="0"/>
              <w:jc w:val="center"/>
              <w:textAlignment w:val="center"/>
              <w:rPr>
                <w:rFonts w:hint="eastAsia" w:ascii="宋体" w:hAnsi="宋体" w:eastAsia="宋体" w:cs="宋体"/>
                <w:b/>
                <w:bCs/>
                <w:color w:val="auto"/>
                <w:spacing w:val="-6"/>
                <w:sz w:val="21"/>
                <w:szCs w:val="21"/>
                <w:highlight w:val="none"/>
              </w:rPr>
            </w:pPr>
            <w:r>
              <w:rPr>
                <w:rFonts w:hint="eastAsia" w:cs="宋体"/>
                <w:color w:val="auto"/>
                <w:kern w:val="0"/>
                <w:highlight w:val="none"/>
                <w:lang w:bidi="ar"/>
              </w:rPr>
              <w:t>数量</w:t>
            </w:r>
          </w:p>
        </w:tc>
        <w:tc>
          <w:tcPr>
            <w:tcW w:w="1510" w:type="dxa"/>
            <w:tcBorders>
              <w:left w:val="single" w:color="auto" w:sz="4" w:space="0"/>
              <w:right w:val="single" w:color="auto" w:sz="4" w:space="0"/>
            </w:tcBorders>
            <w:noWrap w:val="0"/>
            <w:vAlign w:val="center"/>
          </w:tcPr>
          <w:p w14:paraId="21937811">
            <w:pPr>
              <w:widowControl/>
              <w:spacing w:line="240" w:lineRule="auto"/>
              <w:ind w:firstLine="0" w:firstLineChars="0"/>
              <w:jc w:val="center"/>
              <w:textAlignment w:val="center"/>
              <w:rPr>
                <w:rFonts w:hint="eastAsia" w:ascii="宋体" w:hAnsi="宋体" w:eastAsia="宋体" w:cs="宋体"/>
                <w:b/>
                <w:bCs/>
                <w:color w:val="auto"/>
                <w:spacing w:val="-6"/>
                <w:sz w:val="21"/>
                <w:szCs w:val="21"/>
                <w:highlight w:val="none"/>
              </w:rPr>
            </w:pPr>
            <w:r>
              <w:rPr>
                <w:rFonts w:hint="eastAsia" w:cs="宋体"/>
                <w:color w:val="auto"/>
                <w:kern w:val="0"/>
                <w:highlight w:val="none"/>
                <w:lang w:bidi="ar"/>
              </w:rPr>
              <w:t>单位</w:t>
            </w:r>
          </w:p>
        </w:tc>
        <w:tc>
          <w:tcPr>
            <w:tcW w:w="2893" w:type="dxa"/>
            <w:tcBorders>
              <w:left w:val="single" w:color="auto" w:sz="4" w:space="0"/>
            </w:tcBorders>
            <w:noWrap w:val="0"/>
            <w:vAlign w:val="center"/>
          </w:tcPr>
          <w:p w14:paraId="481E3BD4">
            <w:pPr>
              <w:widowControl/>
              <w:spacing w:line="240" w:lineRule="auto"/>
              <w:ind w:firstLine="0" w:firstLineChars="0"/>
              <w:jc w:val="center"/>
              <w:textAlignment w:val="center"/>
              <w:rPr>
                <w:rFonts w:hint="eastAsia" w:ascii="宋体" w:hAnsi="宋体" w:eastAsia="宋体" w:cs="宋体"/>
                <w:b/>
                <w:bCs/>
                <w:color w:val="auto"/>
                <w:spacing w:val="-6"/>
                <w:sz w:val="21"/>
                <w:szCs w:val="21"/>
                <w:highlight w:val="none"/>
              </w:rPr>
            </w:pPr>
            <w:r>
              <w:rPr>
                <w:rFonts w:hint="eastAsia" w:ascii="Times New Roman" w:hAnsi="Times New Roman" w:eastAsia="宋体" w:cs="宋体"/>
                <w:color w:val="auto"/>
                <w:kern w:val="0"/>
                <w:highlight w:val="none"/>
                <w:lang w:bidi="ar"/>
              </w:rPr>
              <w:t>备注</w:t>
            </w:r>
          </w:p>
        </w:tc>
      </w:tr>
      <w:tr w14:paraId="348F4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jc w:val="center"/>
        </w:trPr>
        <w:tc>
          <w:tcPr>
            <w:tcW w:w="711" w:type="dxa"/>
            <w:noWrap w:val="0"/>
            <w:vAlign w:val="top"/>
          </w:tcPr>
          <w:p w14:paraId="08C8A8D9">
            <w:pPr>
              <w:pStyle w:val="4"/>
              <w:spacing w:before="281" w:line="181" w:lineRule="auto"/>
              <w:ind w:left="2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745" w:type="dxa"/>
            <w:noWrap w:val="0"/>
            <w:vAlign w:val="center"/>
          </w:tcPr>
          <w:p w14:paraId="104C79C0">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sz w:val="21"/>
                <w:szCs w:val="21"/>
                <w:highlight w:val="none"/>
                <w:lang w:bidi="ar"/>
              </w:rPr>
              <w:t>基础数据平台</w:t>
            </w:r>
          </w:p>
        </w:tc>
        <w:tc>
          <w:tcPr>
            <w:tcW w:w="977" w:type="dxa"/>
            <w:noWrap w:val="0"/>
            <w:vAlign w:val="center"/>
          </w:tcPr>
          <w:p w14:paraId="608CC55D">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4F01BCEB">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65B767DD">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无</w:t>
            </w:r>
          </w:p>
        </w:tc>
      </w:tr>
      <w:tr w14:paraId="0E9FD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jc w:val="center"/>
        </w:trPr>
        <w:tc>
          <w:tcPr>
            <w:tcW w:w="711" w:type="dxa"/>
            <w:noWrap w:val="0"/>
            <w:vAlign w:val="center"/>
          </w:tcPr>
          <w:p w14:paraId="3A2E05EE">
            <w:pPr>
              <w:pStyle w:val="4"/>
              <w:spacing w:before="78" w:line="1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45" w:type="dxa"/>
            <w:noWrap w:val="0"/>
            <w:vAlign w:val="center"/>
          </w:tcPr>
          <w:p w14:paraId="4E86BAD5">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sz w:val="21"/>
                <w:szCs w:val="21"/>
                <w:highlight w:val="none"/>
                <w:lang w:bidi="ar"/>
              </w:rPr>
              <w:t>慢病管理平台</w:t>
            </w:r>
          </w:p>
        </w:tc>
        <w:tc>
          <w:tcPr>
            <w:tcW w:w="977" w:type="dxa"/>
            <w:noWrap w:val="0"/>
            <w:vAlign w:val="center"/>
          </w:tcPr>
          <w:p w14:paraId="5DA23366">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7DA24FFF">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7864DD94">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无</w:t>
            </w:r>
          </w:p>
        </w:tc>
      </w:tr>
      <w:tr w14:paraId="3F9B1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jc w:val="center"/>
        </w:trPr>
        <w:tc>
          <w:tcPr>
            <w:tcW w:w="711" w:type="dxa"/>
            <w:noWrap w:val="0"/>
            <w:vAlign w:val="top"/>
          </w:tcPr>
          <w:p w14:paraId="5EB119E5">
            <w:pPr>
              <w:spacing w:line="324" w:lineRule="auto"/>
              <w:rPr>
                <w:rFonts w:hint="eastAsia" w:ascii="宋体" w:hAnsi="宋体" w:eastAsia="宋体" w:cs="宋体"/>
                <w:color w:val="auto"/>
                <w:sz w:val="21"/>
                <w:szCs w:val="21"/>
                <w:highlight w:val="none"/>
              </w:rPr>
            </w:pPr>
          </w:p>
          <w:p w14:paraId="67B2F175">
            <w:pPr>
              <w:pStyle w:val="4"/>
              <w:spacing w:before="78" w:line="180" w:lineRule="auto"/>
              <w:ind w:left="25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45" w:type="dxa"/>
            <w:noWrap w:val="0"/>
            <w:vAlign w:val="center"/>
          </w:tcPr>
          <w:p w14:paraId="5474EE86">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运营管理平台-综合统计</w:t>
            </w:r>
          </w:p>
        </w:tc>
        <w:tc>
          <w:tcPr>
            <w:tcW w:w="977" w:type="dxa"/>
            <w:noWrap w:val="0"/>
            <w:vAlign w:val="center"/>
          </w:tcPr>
          <w:p w14:paraId="4B521F4F">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78444265">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14129006">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无</w:t>
            </w:r>
          </w:p>
        </w:tc>
      </w:tr>
      <w:tr w14:paraId="63F18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jc w:val="center"/>
        </w:trPr>
        <w:tc>
          <w:tcPr>
            <w:tcW w:w="711" w:type="dxa"/>
            <w:noWrap w:val="0"/>
            <w:vAlign w:val="top"/>
          </w:tcPr>
          <w:p w14:paraId="3048A703">
            <w:pPr>
              <w:spacing w:line="308" w:lineRule="auto"/>
              <w:rPr>
                <w:rFonts w:hint="eastAsia" w:ascii="宋体" w:hAnsi="宋体" w:eastAsia="宋体" w:cs="宋体"/>
                <w:color w:val="auto"/>
                <w:sz w:val="21"/>
                <w:szCs w:val="21"/>
                <w:highlight w:val="none"/>
              </w:rPr>
            </w:pPr>
          </w:p>
          <w:p w14:paraId="49694DB3">
            <w:pPr>
              <w:pStyle w:val="4"/>
              <w:spacing w:before="78" w:line="180" w:lineRule="auto"/>
              <w:ind w:left="25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745" w:type="dxa"/>
            <w:noWrap w:val="0"/>
            <w:vAlign w:val="center"/>
          </w:tcPr>
          <w:p w14:paraId="436797A7">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运营管理平台-工作量统计</w:t>
            </w:r>
          </w:p>
        </w:tc>
        <w:tc>
          <w:tcPr>
            <w:tcW w:w="977" w:type="dxa"/>
            <w:noWrap w:val="0"/>
            <w:vAlign w:val="center"/>
          </w:tcPr>
          <w:p w14:paraId="49C46C0A">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7BA6DC2E">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5A5F627A">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无</w:t>
            </w:r>
          </w:p>
        </w:tc>
      </w:tr>
      <w:tr w14:paraId="2734C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11" w:type="dxa"/>
            <w:noWrap w:val="0"/>
            <w:vAlign w:val="top"/>
          </w:tcPr>
          <w:p w14:paraId="5D38DAAA">
            <w:pPr>
              <w:spacing w:line="327" w:lineRule="auto"/>
              <w:rPr>
                <w:rFonts w:hint="eastAsia" w:ascii="宋体" w:hAnsi="宋体" w:eastAsia="宋体" w:cs="宋体"/>
                <w:color w:val="auto"/>
                <w:sz w:val="21"/>
                <w:szCs w:val="21"/>
                <w:highlight w:val="none"/>
              </w:rPr>
            </w:pPr>
          </w:p>
          <w:p w14:paraId="1CDF9448">
            <w:pPr>
              <w:pStyle w:val="4"/>
              <w:spacing w:before="78" w:line="179" w:lineRule="auto"/>
              <w:ind w:left="25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745" w:type="dxa"/>
            <w:noWrap w:val="0"/>
            <w:vAlign w:val="center"/>
          </w:tcPr>
          <w:p w14:paraId="733DFC85">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运营管理平台-业务监测</w:t>
            </w:r>
          </w:p>
        </w:tc>
        <w:tc>
          <w:tcPr>
            <w:tcW w:w="977" w:type="dxa"/>
            <w:noWrap w:val="0"/>
            <w:vAlign w:val="center"/>
          </w:tcPr>
          <w:p w14:paraId="74E38BCE">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642794F8">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1CAFD079">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无</w:t>
            </w:r>
          </w:p>
        </w:tc>
      </w:tr>
      <w:tr w14:paraId="150E2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jc w:val="center"/>
        </w:trPr>
        <w:tc>
          <w:tcPr>
            <w:tcW w:w="711" w:type="dxa"/>
            <w:noWrap w:val="0"/>
            <w:vAlign w:val="top"/>
          </w:tcPr>
          <w:p w14:paraId="1B1584D4">
            <w:pPr>
              <w:spacing w:line="325" w:lineRule="auto"/>
              <w:rPr>
                <w:rFonts w:hint="eastAsia" w:ascii="宋体" w:hAnsi="宋体" w:eastAsia="宋体" w:cs="宋体"/>
                <w:color w:val="auto"/>
                <w:sz w:val="21"/>
                <w:szCs w:val="21"/>
                <w:highlight w:val="none"/>
              </w:rPr>
            </w:pPr>
          </w:p>
          <w:p w14:paraId="50BC738E">
            <w:pPr>
              <w:pStyle w:val="4"/>
              <w:spacing w:before="78" w:line="180" w:lineRule="auto"/>
              <w:ind w:left="25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745" w:type="dxa"/>
            <w:noWrap w:val="0"/>
            <w:vAlign w:val="center"/>
          </w:tcPr>
          <w:p w14:paraId="09308BC0">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sz w:val="21"/>
                <w:szCs w:val="21"/>
                <w:highlight w:val="none"/>
                <w:lang w:bidi="ar"/>
              </w:rPr>
              <w:t>居民移动应用</w:t>
            </w:r>
          </w:p>
        </w:tc>
        <w:tc>
          <w:tcPr>
            <w:tcW w:w="977" w:type="dxa"/>
            <w:noWrap w:val="0"/>
            <w:vAlign w:val="center"/>
          </w:tcPr>
          <w:p w14:paraId="1527121A">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2272E964">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7412E7FF">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与慢病管理平台互联互通</w:t>
            </w:r>
          </w:p>
        </w:tc>
      </w:tr>
      <w:tr w14:paraId="08A67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jc w:val="center"/>
        </w:trPr>
        <w:tc>
          <w:tcPr>
            <w:tcW w:w="711" w:type="dxa"/>
            <w:noWrap w:val="0"/>
            <w:vAlign w:val="top"/>
          </w:tcPr>
          <w:p w14:paraId="28B09644">
            <w:pPr>
              <w:pStyle w:val="4"/>
              <w:spacing w:before="286" w:line="179" w:lineRule="auto"/>
              <w:ind w:left="2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1745" w:type="dxa"/>
            <w:noWrap w:val="0"/>
            <w:vAlign w:val="center"/>
          </w:tcPr>
          <w:p w14:paraId="62202888">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sz w:val="21"/>
                <w:szCs w:val="21"/>
                <w:highlight w:val="none"/>
                <w:lang w:bidi="ar"/>
              </w:rPr>
              <w:t>医生移动应用</w:t>
            </w:r>
          </w:p>
        </w:tc>
        <w:tc>
          <w:tcPr>
            <w:tcW w:w="977" w:type="dxa"/>
            <w:noWrap w:val="0"/>
            <w:vAlign w:val="center"/>
          </w:tcPr>
          <w:p w14:paraId="065425F1">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1</w:t>
            </w:r>
          </w:p>
        </w:tc>
        <w:tc>
          <w:tcPr>
            <w:tcW w:w="1510" w:type="dxa"/>
            <w:tcBorders>
              <w:right w:val="single" w:color="auto" w:sz="4" w:space="0"/>
            </w:tcBorders>
            <w:noWrap w:val="0"/>
            <w:vAlign w:val="center"/>
          </w:tcPr>
          <w:p w14:paraId="30470594">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套</w:t>
            </w:r>
          </w:p>
        </w:tc>
        <w:tc>
          <w:tcPr>
            <w:tcW w:w="2893" w:type="dxa"/>
            <w:tcBorders>
              <w:left w:val="single" w:color="auto" w:sz="4" w:space="0"/>
            </w:tcBorders>
            <w:noWrap w:val="0"/>
            <w:vAlign w:val="center"/>
          </w:tcPr>
          <w:p w14:paraId="5D6C0ACC">
            <w:pPr>
              <w:widowControl/>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cs="宋体"/>
                <w:color w:val="auto"/>
                <w:kern w:val="0"/>
                <w:highlight w:val="none"/>
                <w:lang w:bidi="ar"/>
              </w:rPr>
              <w:t>与慢病管理平台互联互通</w:t>
            </w:r>
          </w:p>
        </w:tc>
      </w:tr>
    </w:tbl>
    <w:p w14:paraId="2F823C0B">
      <w:pPr>
        <w:jc w:val="left"/>
        <w:rPr>
          <w:rFonts w:hint="eastAsia" w:ascii="Arial Unicode MS" w:hAnsi="Arial Unicode MS" w:eastAsia="Arial Unicode MS" w:cs="Arial Unicode MS"/>
          <w:color w:val="auto"/>
          <w:sz w:val="32"/>
          <w:szCs w:val="32"/>
          <w:highlight w:val="none"/>
        </w:rPr>
      </w:pPr>
    </w:p>
    <w:p w14:paraId="1098AF73">
      <w:pPr>
        <w:jc w:val="center"/>
        <w:rPr>
          <w:rFonts w:hint="eastAsia" w:ascii="黑体" w:hAnsi="黑体" w:eastAsia="黑体" w:cs="黑体"/>
          <w:b/>
          <w:bCs/>
          <w:color w:val="auto"/>
          <w:spacing w:val="3"/>
          <w:sz w:val="31"/>
          <w:szCs w:val="31"/>
          <w:highlight w:val="none"/>
          <w:lang w:val="en-US" w:eastAsia="zh-CN"/>
        </w:rPr>
      </w:pPr>
      <w:r>
        <w:rPr>
          <w:rFonts w:ascii="黑体" w:hAnsi="黑体" w:eastAsia="黑体" w:cs="黑体"/>
          <w:b/>
          <w:bCs/>
          <w:color w:val="auto"/>
          <w:spacing w:val="3"/>
          <w:sz w:val="31"/>
          <w:szCs w:val="31"/>
          <w:highlight w:val="none"/>
        </w:rPr>
        <w:t>附件</w:t>
      </w:r>
      <w:r>
        <w:rPr>
          <w:rFonts w:hint="eastAsia" w:ascii="黑体" w:hAnsi="黑体" w:eastAsia="黑体" w:cs="黑体"/>
          <w:b/>
          <w:bCs/>
          <w:color w:val="auto"/>
          <w:spacing w:val="3"/>
          <w:sz w:val="31"/>
          <w:szCs w:val="31"/>
          <w:highlight w:val="none"/>
          <w:lang w:val="en-US" w:eastAsia="zh-CN"/>
        </w:rPr>
        <w:t>2</w:t>
      </w:r>
      <w:r>
        <w:rPr>
          <w:rFonts w:ascii="黑体" w:hAnsi="黑体" w:eastAsia="黑体" w:cs="黑体"/>
          <w:b/>
          <w:bCs/>
          <w:color w:val="auto"/>
          <w:spacing w:val="3"/>
          <w:sz w:val="31"/>
          <w:szCs w:val="31"/>
          <w:highlight w:val="none"/>
        </w:rPr>
        <w:t>：</w:t>
      </w:r>
      <w:r>
        <w:rPr>
          <w:rFonts w:hint="eastAsia" w:ascii="黑体" w:hAnsi="黑体" w:eastAsia="黑体" w:cs="黑体"/>
          <w:b/>
          <w:bCs/>
          <w:color w:val="auto"/>
          <w:spacing w:val="3"/>
          <w:sz w:val="31"/>
          <w:szCs w:val="31"/>
          <w:highlight w:val="none"/>
          <w:lang w:val="en-US" w:eastAsia="zh-CN"/>
        </w:rPr>
        <w:t>功能参数要求</w:t>
      </w:r>
    </w:p>
    <w:tbl>
      <w:tblPr>
        <w:tblStyle w:val="2"/>
        <w:tblW w:w="465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8"/>
        <w:gridCol w:w="1721"/>
        <w:gridCol w:w="5512"/>
      </w:tblGrid>
      <w:tr w14:paraId="3F4A30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jc w:val="center"/>
        </w:trPr>
        <w:tc>
          <w:tcPr>
            <w:tcW w:w="439" w:type="pct"/>
            <w:tcBorders>
              <w:tl2br w:val="nil"/>
              <w:tr2bl w:val="nil"/>
            </w:tcBorders>
            <w:noWrap/>
            <w:vAlign w:val="center"/>
          </w:tcPr>
          <w:p w14:paraId="660C9B5E">
            <w:pPr>
              <w:widowControl/>
              <w:spacing w:line="360" w:lineRule="auto"/>
              <w:ind w:firstLine="0" w:firstLineChars="0"/>
              <w:jc w:val="center"/>
              <w:textAlignment w:val="center"/>
              <w:rPr>
                <w:rFonts w:ascii="宋体" w:hAnsi="宋体" w:eastAsia="宋体" w:cs="宋体"/>
                <w:b/>
                <w:bCs/>
                <w:color w:val="auto"/>
                <w:highlight w:val="none"/>
              </w:rPr>
            </w:pPr>
            <w:r>
              <w:rPr>
                <w:rFonts w:hint="eastAsia" w:ascii="宋体" w:hAnsi="宋体" w:eastAsia="宋体" w:cs="宋体"/>
                <w:b/>
                <w:bCs/>
                <w:color w:val="auto"/>
                <w:kern w:val="0"/>
                <w:highlight w:val="none"/>
                <w:lang w:bidi="ar"/>
              </w:rPr>
              <w:t>序号</w:t>
            </w:r>
          </w:p>
        </w:tc>
        <w:tc>
          <w:tcPr>
            <w:tcW w:w="1085" w:type="pct"/>
            <w:tcBorders>
              <w:tl2br w:val="nil"/>
              <w:tr2bl w:val="nil"/>
            </w:tcBorders>
            <w:noWrap/>
            <w:vAlign w:val="center"/>
          </w:tcPr>
          <w:p w14:paraId="6324CD63">
            <w:pPr>
              <w:widowControl/>
              <w:spacing w:line="360" w:lineRule="auto"/>
              <w:ind w:firstLine="0" w:firstLineChars="0"/>
              <w:jc w:val="center"/>
              <w:textAlignment w:val="center"/>
              <w:rPr>
                <w:rFonts w:ascii="宋体" w:hAnsi="宋体" w:eastAsia="宋体" w:cs="宋体"/>
                <w:b/>
                <w:bCs/>
                <w:color w:val="auto"/>
                <w:highlight w:val="none"/>
              </w:rPr>
            </w:pPr>
            <w:r>
              <w:rPr>
                <w:rFonts w:hint="eastAsia" w:ascii="宋体" w:hAnsi="宋体" w:eastAsia="宋体" w:cs="宋体"/>
                <w:b/>
                <w:bCs/>
                <w:color w:val="auto"/>
                <w:kern w:val="0"/>
                <w:highlight w:val="none"/>
                <w:lang w:bidi="ar"/>
              </w:rPr>
              <w:t>名称</w:t>
            </w:r>
          </w:p>
        </w:tc>
        <w:tc>
          <w:tcPr>
            <w:tcW w:w="3475" w:type="pct"/>
            <w:tcBorders>
              <w:tl2br w:val="nil"/>
              <w:tr2bl w:val="nil"/>
            </w:tcBorders>
            <w:noWrap/>
            <w:vAlign w:val="center"/>
          </w:tcPr>
          <w:p w14:paraId="6930C3C1">
            <w:pPr>
              <w:widowControl/>
              <w:spacing w:line="360" w:lineRule="auto"/>
              <w:ind w:firstLine="0" w:firstLineChars="0"/>
              <w:jc w:val="center"/>
              <w:textAlignment w:val="center"/>
              <w:rPr>
                <w:rFonts w:ascii="宋体" w:hAnsi="宋体" w:eastAsia="宋体" w:cs="宋体"/>
                <w:b/>
                <w:bCs/>
                <w:color w:val="auto"/>
                <w:highlight w:val="none"/>
              </w:rPr>
            </w:pPr>
            <w:r>
              <w:rPr>
                <w:rFonts w:hint="eastAsia" w:ascii="宋体" w:hAnsi="宋体" w:eastAsia="宋体" w:cs="宋体"/>
                <w:b/>
                <w:bCs/>
                <w:color w:val="auto"/>
                <w:kern w:val="0"/>
                <w:highlight w:val="none"/>
                <w:lang w:bidi="ar"/>
              </w:rPr>
              <w:t>技术功能要求</w:t>
            </w:r>
          </w:p>
        </w:tc>
      </w:tr>
      <w:tr w14:paraId="3B9FE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jc w:val="center"/>
        </w:trPr>
        <w:tc>
          <w:tcPr>
            <w:tcW w:w="439" w:type="pct"/>
            <w:vMerge w:val="restart"/>
            <w:tcBorders>
              <w:tl2br w:val="nil"/>
              <w:tr2bl w:val="nil"/>
            </w:tcBorders>
            <w:noWrap/>
            <w:vAlign w:val="center"/>
          </w:tcPr>
          <w:p w14:paraId="6A5E9863">
            <w:pPr>
              <w:widowControl/>
              <w:spacing w:line="360" w:lineRule="auto"/>
              <w:ind w:firstLine="0" w:firstLineChars="0"/>
              <w:jc w:val="center"/>
              <w:textAlignment w:val="center"/>
              <w:rPr>
                <w:rFonts w:ascii="宋体" w:hAnsi="宋体" w:eastAsia="宋体" w:cs="宋体"/>
                <w:b/>
                <w:bCs/>
                <w:color w:val="auto"/>
                <w:highlight w:val="none"/>
              </w:rPr>
            </w:pPr>
            <w:r>
              <w:rPr>
                <w:rFonts w:hint="eastAsia" w:ascii="宋体" w:hAnsi="宋体" w:eastAsia="宋体" w:cs="宋体"/>
                <w:b/>
                <w:bCs/>
                <w:color w:val="auto"/>
                <w:kern w:val="0"/>
                <w:highlight w:val="none"/>
                <w:lang w:bidi="ar"/>
              </w:rPr>
              <w:t>1</w:t>
            </w:r>
          </w:p>
        </w:tc>
        <w:tc>
          <w:tcPr>
            <w:tcW w:w="1085" w:type="pct"/>
            <w:vMerge w:val="restart"/>
            <w:tcBorders>
              <w:tl2br w:val="nil"/>
              <w:tr2bl w:val="nil"/>
            </w:tcBorders>
            <w:noWrap/>
            <w:vAlign w:val="center"/>
          </w:tcPr>
          <w:p w14:paraId="12DDE343">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基础数据平台</w:t>
            </w:r>
          </w:p>
        </w:tc>
        <w:tc>
          <w:tcPr>
            <w:tcW w:w="3475" w:type="pct"/>
            <w:tcBorders>
              <w:tl2br w:val="nil"/>
              <w:tr2bl w:val="nil"/>
            </w:tcBorders>
            <w:noWrap w:val="0"/>
            <w:vAlign w:val="center"/>
          </w:tcPr>
          <w:p w14:paraId="1F5FE7BA">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val="en-US" w:eastAsia="zh-CN" w:bidi="ar"/>
              </w:rPr>
              <w:t>1.</w:t>
            </w:r>
            <w:r>
              <w:rPr>
                <w:rFonts w:hint="eastAsia" w:ascii="宋体" w:hAnsi="宋体" w:eastAsia="宋体" w:cs="宋体"/>
                <w:color w:val="auto"/>
                <w:kern w:val="0"/>
                <w:highlight w:val="none"/>
                <w:lang w:bidi="ar"/>
              </w:rPr>
              <w:t>数据采集与交换</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数据采集与交换，是为慢病管理平台提供数据交互共享和集成的基础。数据采集平台主要是通过不同接入方式，不同交互方式和不同的终端来获取健康人群、高危人群、患病人群的健康信息。所采集的数据被整合进入到慢病系统中，作为基础数据用于慢病的监控和指导等业务工作。</w:t>
            </w:r>
          </w:p>
        </w:tc>
      </w:tr>
      <w:tr w14:paraId="550DD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439" w:type="pct"/>
            <w:vMerge w:val="continue"/>
            <w:tcBorders>
              <w:tl2br w:val="nil"/>
              <w:tr2bl w:val="nil"/>
            </w:tcBorders>
            <w:noWrap/>
            <w:vAlign w:val="center"/>
          </w:tcPr>
          <w:p w14:paraId="25B6C36F">
            <w:pPr>
              <w:widowControl/>
              <w:spacing w:line="360" w:lineRule="auto"/>
              <w:ind w:firstLine="0" w:firstLineChars="0"/>
              <w:jc w:val="center"/>
              <w:rPr>
                <w:rFonts w:ascii="宋体" w:hAnsi="宋体" w:eastAsia="宋体" w:cs="宋体"/>
                <w:b/>
                <w:bCs/>
                <w:color w:val="auto"/>
                <w:highlight w:val="none"/>
              </w:rPr>
            </w:pPr>
          </w:p>
        </w:tc>
        <w:tc>
          <w:tcPr>
            <w:tcW w:w="1085" w:type="pct"/>
            <w:vMerge w:val="continue"/>
            <w:tcBorders>
              <w:tl2br w:val="nil"/>
              <w:tr2bl w:val="nil"/>
            </w:tcBorders>
            <w:noWrap/>
            <w:vAlign w:val="center"/>
          </w:tcPr>
          <w:p w14:paraId="09BE68FA">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1C2A3802">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val="en-US" w:eastAsia="zh-CN" w:bidi="ar"/>
              </w:rPr>
              <w:t>2.</w:t>
            </w:r>
            <w:r>
              <w:rPr>
                <w:rFonts w:hint="eastAsia" w:ascii="宋体" w:hAnsi="宋体" w:eastAsia="宋体" w:cs="宋体"/>
                <w:color w:val="auto"/>
                <w:kern w:val="0"/>
                <w:highlight w:val="none"/>
                <w:lang w:bidi="ar"/>
              </w:rPr>
              <w:t>数据质控管理</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在数据处理过程中，采取一系列的措施和方法来确保数据的质量达到预定的标准和要求。数据质控管理通常是在数据采集、清洗、整合、分析等环节中进行。</w:t>
            </w:r>
          </w:p>
        </w:tc>
      </w:tr>
      <w:tr w14:paraId="14A87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439" w:type="pct"/>
            <w:vMerge w:val="continue"/>
            <w:tcBorders>
              <w:tl2br w:val="nil"/>
              <w:tr2bl w:val="nil"/>
            </w:tcBorders>
            <w:noWrap/>
            <w:vAlign w:val="center"/>
          </w:tcPr>
          <w:p w14:paraId="302A705C">
            <w:pPr>
              <w:widowControl/>
              <w:spacing w:line="360" w:lineRule="auto"/>
              <w:ind w:firstLine="0" w:firstLineChars="0"/>
              <w:jc w:val="center"/>
              <w:rPr>
                <w:rFonts w:ascii="宋体" w:hAnsi="宋体" w:eastAsia="宋体" w:cs="宋体"/>
                <w:b/>
                <w:bCs/>
                <w:color w:val="auto"/>
                <w:highlight w:val="none"/>
              </w:rPr>
            </w:pPr>
          </w:p>
        </w:tc>
        <w:tc>
          <w:tcPr>
            <w:tcW w:w="1085" w:type="pct"/>
            <w:vMerge w:val="continue"/>
            <w:tcBorders>
              <w:tl2br w:val="nil"/>
              <w:tr2bl w:val="nil"/>
            </w:tcBorders>
            <w:noWrap/>
            <w:vAlign w:val="center"/>
          </w:tcPr>
          <w:p w14:paraId="60B7EE44">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7DA6F795">
            <w:pPr>
              <w:widowControl/>
              <w:spacing w:line="360" w:lineRule="auto"/>
              <w:ind w:firstLine="0" w:firstLineChars="0"/>
              <w:jc w:val="left"/>
              <w:textAlignment w:val="center"/>
              <w:rPr>
                <w:rFonts w:hint="eastAsia" w:ascii="宋体" w:hAnsi="宋体" w:eastAsia="宋体" w:cs="宋体"/>
                <w:color w:val="auto"/>
                <w:highlight w:val="none"/>
                <w:lang w:eastAsia="zh-CN"/>
              </w:rPr>
            </w:pPr>
            <w:r>
              <w:rPr>
                <w:rFonts w:hint="eastAsia" w:ascii="宋体" w:hAnsi="宋体" w:eastAsia="宋体" w:cs="宋体"/>
                <w:color w:val="auto"/>
                <w:kern w:val="0"/>
                <w:highlight w:val="none"/>
                <w:lang w:val="en-US" w:eastAsia="zh-CN" w:bidi="ar"/>
              </w:rPr>
              <w:t>3.</w:t>
            </w:r>
            <w:r>
              <w:rPr>
                <w:rFonts w:hint="eastAsia" w:ascii="宋体" w:hAnsi="宋体" w:eastAsia="宋体" w:cs="宋体"/>
                <w:color w:val="auto"/>
                <w:kern w:val="0"/>
                <w:highlight w:val="none"/>
                <w:lang w:bidi="ar"/>
              </w:rPr>
              <w:t>统一集成管理</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对接医院集成平台或HIS、LIS等相关业务系统。</w:t>
            </w:r>
            <w:r>
              <w:rPr>
                <w:rFonts w:hint="eastAsia" w:ascii="宋体" w:hAnsi="宋体" w:eastAsia="宋体" w:cs="宋体"/>
                <w:b/>
                <w:bCs/>
                <w:strike w:val="0"/>
                <w:dstrike w:val="0"/>
                <w:color w:val="auto"/>
                <w:sz w:val="21"/>
                <w:szCs w:val="21"/>
                <w:highlight w:val="none"/>
                <w:lang w:eastAsia="zh-CN"/>
              </w:rPr>
              <w:t>（</w:t>
            </w:r>
            <w:r>
              <w:rPr>
                <w:rFonts w:hint="eastAsia" w:ascii="宋体" w:hAnsi="宋体" w:eastAsia="宋体" w:cs="宋体"/>
                <w:b/>
                <w:bCs/>
                <w:strike w:val="0"/>
                <w:dstrike w:val="0"/>
                <w:color w:val="auto"/>
                <w:sz w:val="21"/>
                <w:szCs w:val="21"/>
                <w:highlight w:val="none"/>
                <w:lang w:val="en-US" w:eastAsia="zh-CN"/>
              </w:rPr>
              <w:t>因</w:t>
            </w:r>
            <w:r>
              <w:rPr>
                <w:rFonts w:hint="eastAsia" w:ascii="宋体" w:hAnsi="宋体" w:eastAsia="宋体" w:cs="宋体"/>
                <w:b/>
                <w:bCs/>
                <w:strike w:val="0"/>
                <w:dstrike w:val="0"/>
                <w:color w:val="auto"/>
                <w:sz w:val="21"/>
                <w:szCs w:val="21"/>
                <w:highlight w:val="none"/>
              </w:rPr>
              <w:t>“集成平台或HIS、LIS”等业务系统</w:t>
            </w:r>
            <w:r>
              <w:rPr>
                <w:rFonts w:hint="eastAsia" w:ascii="宋体" w:hAnsi="宋体" w:eastAsia="宋体" w:cs="宋体"/>
                <w:b/>
                <w:bCs/>
                <w:strike w:val="0"/>
                <w:dstrike w:val="0"/>
                <w:color w:val="auto"/>
                <w:sz w:val="21"/>
                <w:szCs w:val="21"/>
                <w:highlight w:val="none"/>
                <w:lang w:val="en-US" w:eastAsia="zh-CN"/>
              </w:rPr>
              <w:t>接口文档涉及专利技术，在此不便于公布，待确定成交供应商后，由成交供应商与采购人签订保密协议后采购人为成交供应商提供</w:t>
            </w:r>
            <w:r>
              <w:rPr>
                <w:rFonts w:hint="eastAsia" w:ascii="宋体" w:hAnsi="宋体" w:eastAsia="宋体" w:cs="宋体"/>
                <w:b/>
                <w:bCs/>
                <w:strike w:val="0"/>
                <w:dstrike w:val="0"/>
                <w:color w:val="auto"/>
                <w:sz w:val="21"/>
                <w:szCs w:val="21"/>
                <w:highlight w:val="none"/>
              </w:rPr>
              <w:t>医院现有“集成平台或HIS、LIS”等业务系统</w:t>
            </w:r>
            <w:r>
              <w:rPr>
                <w:rFonts w:hint="eastAsia" w:ascii="宋体" w:hAnsi="宋体" w:eastAsia="宋体" w:cs="宋体"/>
                <w:b/>
                <w:bCs/>
                <w:strike w:val="0"/>
                <w:dstrike w:val="0"/>
                <w:color w:val="auto"/>
                <w:sz w:val="21"/>
                <w:szCs w:val="21"/>
                <w:highlight w:val="none"/>
                <w:lang w:val="en-US" w:eastAsia="zh-CN"/>
              </w:rPr>
              <w:t>接口文档，因此供应商应慎重考虑自身经营情况后进行合理报价。</w:t>
            </w:r>
            <w:r>
              <w:rPr>
                <w:rFonts w:hint="eastAsia" w:ascii="宋体" w:hAnsi="宋体" w:eastAsia="宋体" w:cs="宋体"/>
                <w:b/>
                <w:bCs/>
                <w:strike w:val="0"/>
                <w:dstrike w:val="0"/>
                <w:color w:val="auto"/>
                <w:sz w:val="21"/>
                <w:szCs w:val="21"/>
                <w:highlight w:val="none"/>
                <w:lang w:eastAsia="zh-CN"/>
              </w:rPr>
              <w:t>）</w:t>
            </w:r>
          </w:p>
        </w:tc>
      </w:tr>
      <w:tr w14:paraId="4E306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439" w:type="pct"/>
            <w:vMerge w:val="continue"/>
            <w:tcBorders>
              <w:tl2br w:val="nil"/>
              <w:tr2bl w:val="nil"/>
            </w:tcBorders>
            <w:noWrap/>
            <w:vAlign w:val="center"/>
          </w:tcPr>
          <w:p w14:paraId="3546C9F7">
            <w:pPr>
              <w:widowControl/>
              <w:spacing w:line="360" w:lineRule="auto"/>
              <w:ind w:firstLine="0" w:firstLineChars="0"/>
              <w:jc w:val="left"/>
              <w:textAlignment w:val="center"/>
              <w:rPr>
                <w:color w:val="auto"/>
                <w:highlight w:val="none"/>
              </w:rPr>
            </w:pPr>
          </w:p>
        </w:tc>
        <w:tc>
          <w:tcPr>
            <w:tcW w:w="1085" w:type="pct"/>
            <w:vMerge w:val="continue"/>
            <w:tcBorders>
              <w:tl2br w:val="nil"/>
              <w:tr2bl w:val="nil"/>
            </w:tcBorders>
            <w:noWrap/>
            <w:vAlign w:val="center"/>
          </w:tcPr>
          <w:p w14:paraId="785902AC">
            <w:pPr>
              <w:widowControl/>
              <w:spacing w:line="360" w:lineRule="auto"/>
              <w:ind w:firstLine="0" w:firstLineChars="0"/>
              <w:jc w:val="left"/>
              <w:textAlignment w:val="center"/>
              <w:rPr>
                <w:color w:val="auto"/>
                <w:highlight w:val="none"/>
              </w:rPr>
            </w:pPr>
          </w:p>
        </w:tc>
        <w:tc>
          <w:tcPr>
            <w:tcW w:w="3475" w:type="pct"/>
            <w:tcBorders>
              <w:tl2br w:val="nil"/>
              <w:tr2bl w:val="nil"/>
            </w:tcBorders>
            <w:noWrap w:val="0"/>
            <w:vAlign w:val="center"/>
          </w:tcPr>
          <w:p w14:paraId="3A575885">
            <w:pPr>
              <w:widowControl/>
              <w:spacing w:line="360" w:lineRule="auto"/>
              <w:ind w:firstLine="0" w:firstLineChars="0"/>
              <w:jc w:val="left"/>
              <w:textAlignment w:val="center"/>
              <w:rPr>
                <w:rFonts w:hint="default" w:ascii="宋体" w:hAnsi="宋体" w:eastAsia="宋体" w:cs="宋体"/>
                <w:color w:val="auto"/>
                <w:kern w:val="0"/>
                <w:highlight w:val="none"/>
                <w:lang w:val="en-US" w:eastAsia="zh-CN" w:bidi="ar"/>
              </w:rPr>
            </w:pPr>
            <w:r>
              <w:rPr>
                <w:rFonts w:hint="eastAsia" w:ascii="宋体" w:hAnsi="宋体" w:eastAsia="宋体" w:cs="宋体"/>
                <w:color w:val="auto"/>
                <w:kern w:val="0"/>
                <w:highlight w:val="none"/>
                <w:lang w:val="en-US" w:eastAsia="zh-CN" w:bidi="ar"/>
              </w:rPr>
              <w:t>4.平台数据互联互通</w:t>
            </w:r>
          </w:p>
          <w:p w14:paraId="7890FBA2">
            <w:pPr>
              <w:widowControl/>
              <w:spacing w:line="360" w:lineRule="auto"/>
              <w:ind w:firstLine="0" w:firstLineChars="0"/>
              <w:jc w:val="left"/>
              <w:textAlignment w:val="center"/>
              <w:rPr>
                <w:rFonts w:hint="eastAsia" w:ascii="宋体" w:hAnsi="宋体" w:eastAsia="宋体" w:cs="宋体"/>
                <w:color w:val="auto"/>
                <w:kern w:val="0"/>
                <w:highlight w:val="none"/>
                <w:lang w:bidi="ar"/>
              </w:rPr>
            </w:pPr>
            <w:r>
              <w:rPr>
                <w:rFonts w:hint="eastAsia" w:ascii="宋体" w:hAnsi="宋体" w:eastAsia="宋体" w:cs="宋体"/>
                <w:color w:val="auto"/>
                <w:kern w:val="0"/>
                <w:highlight w:val="none"/>
                <w:lang w:val="en-US" w:eastAsia="zh-CN" w:bidi="ar"/>
              </w:rPr>
              <w:t>根据需要对接上级部门信息平台，如广西全民健康信息平台、基本公卫等区域信息平台系统，实现数据交互。</w:t>
            </w:r>
            <w:r>
              <w:rPr>
                <w:rFonts w:hint="eastAsia" w:ascii="宋体" w:hAnsi="宋体" w:eastAsia="宋体" w:cs="宋体"/>
                <w:b/>
                <w:bCs/>
                <w:strike w:val="0"/>
                <w:dstrike w:val="0"/>
                <w:color w:val="auto"/>
                <w:sz w:val="21"/>
                <w:szCs w:val="21"/>
                <w:highlight w:val="none"/>
                <w:lang w:eastAsia="zh-CN"/>
              </w:rPr>
              <w:t>（</w:t>
            </w:r>
            <w:r>
              <w:rPr>
                <w:rFonts w:hint="eastAsia" w:ascii="宋体" w:hAnsi="宋体" w:eastAsia="宋体" w:cs="宋体"/>
                <w:b/>
                <w:bCs/>
                <w:strike w:val="0"/>
                <w:dstrike w:val="0"/>
                <w:color w:val="auto"/>
                <w:sz w:val="21"/>
                <w:szCs w:val="21"/>
                <w:highlight w:val="none"/>
                <w:lang w:val="en-US" w:eastAsia="zh-CN"/>
              </w:rPr>
              <w:t>根据项目需要，待确定成交供应商后，由成交供应商与采购人签订保密协议后采购人为成交供应商向上级部门申请相关平台、系统接口文档，因此供应商应慎重考虑自身经营情况后进行合理报价。</w:t>
            </w:r>
            <w:r>
              <w:rPr>
                <w:rFonts w:hint="eastAsia" w:ascii="宋体" w:hAnsi="宋体" w:eastAsia="宋体" w:cs="宋体"/>
                <w:b/>
                <w:bCs/>
                <w:strike w:val="0"/>
                <w:dstrike w:val="0"/>
                <w:color w:val="auto"/>
                <w:sz w:val="21"/>
                <w:szCs w:val="21"/>
                <w:highlight w:val="none"/>
                <w:lang w:eastAsia="zh-CN"/>
              </w:rPr>
              <w:t>）</w:t>
            </w:r>
          </w:p>
        </w:tc>
      </w:tr>
      <w:tr w14:paraId="3BA92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39" w:type="pct"/>
            <w:vMerge w:val="restart"/>
            <w:tcBorders>
              <w:tl2br w:val="nil"/>
              <w:tr2bl w:val="nil"/>
            </w:tcBorders>
            <w:noWrap/>
            <w:vAlign w:val="center"/>
          </w:tcPr>
          <w:p w14:paraId="162E63E0">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2</w:t>
            </w:r>
          </w:p>
        </w:tc>
        <w:tc>
          <w:tcPr>
            <w:tcW w:w="1085" w:type="pct"/>
            <w:vMerge w:val="restart"/>
            <w:tcBorders>
              <w:tl2br w:val="nil"/>
              <w:tr2bl w:val="nil"/>
            </w:tcBorders>
            <w:noWrap/>
            <w:vAlign w:val="center"/>
          </w:tcPr>
          <w:p w14:paraId="2D7C404B">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慢病管理平台</w:t>
            </w:r>
          </w:p>
        </w:tc>
        <w:tc>
          <w:tcPr>
            <w:tcW w:w="3475" w:type="pct"/>
            <w:tcBorders>
              <w:tl2br w:val="nil"/>
              <w:tr2bl w:val="nil"/>
            </w:tcBorders>
            <w:noWrap w:val="0"/>
            <w:vAlign w:val="center"/>
          </w:tcPr>
          <w:p w14:paraId="6BD0F369">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val="en-US" w:eastAsia="zh-CN" w:bidi="ar"/>
              </w:rPr>
              <w:t>1.</w:t>
            </w:r>
            <w:r>
              <w:rPr>
                <w:rFonts w:hint="eastAsia" w:ascii="宋体" w:hAnsi="宋体" w:eastAsia="宋体" w:cs="宋体"/>
                <w:color w:val="auto"/>
                <w:kern w:val="0"/>
                <w:highlight w:val="none"/>
                <w:lang w:bidi="ar"/>
              </w:rPr>
              <w:t>个人首页</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系统需支持用户工作内容的统一展现，通过统一便捷的操作入口，用户可随时了解最新待办事项。应支持待办工作提醒功能、支持纳管人群概览以及随访管理等功能。</w:t>
            </w:r>
          </w:p>
        </w:tc>
      </w:tr>
      <w:tr w14:paraId="282D4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439" w:type="pct"/>
            <w:vMerge w:val="continue"/>
            <w:tcBorders>
              <w:tl2br w:val="nil"/>
              <w:tr2bl w:val="nil"/>
            </w:tcBorders>
            <w:noWrap/>
            <w:vAlign w:val="center"/>
          </w:tcPr>
          <w:p w14:paraId="45ED60FF">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07EEC643">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6BDF1C1A">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val="en-US" w:eastAsia="zh-CN" w:bidi="ar"/>
              </w:rPr>
              <w:t>2.</w:t>
            </w:r>
            <w:r>
              <w:rPr>
                <w:rFonts w:hint="eastAsia" w:ascii="宋体" w:hAnsi="宋体" w:eastAsia="宋体" w:cs="宋体"/>
                <w:color w:val="auto"/>
                <w:kern w:val="0"/>
                <w:highlight w:val="none"/>
                <w:lang w:bidi="ar"/>
              </w:rPr>
              <w:t>筛查中心</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利用数据抓取与慢病筛查条件匹配，为居民提供一般人群、六病高危人群、慢性病人群的精准定位，同时系统应将筛查结果提交给医生，提示医生将其纳入患者管理，形成慢性病筛查服务闭环管理。应支持数据筛查、居民普查、数据筛查统计三种筛查模式的功能。</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1AB5A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60ED5A15">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78E604DC">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3B93A9D8">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3</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服务中心</w:t>
            </w:r>
          </w:p>
          <w:p w14:paraId="57532FF2">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系统需支持辅助医护人员对辖区内慢病相关的患者进行统一管理。需支持医生工作台、群体宣教工作台、群体宣教内容审核、随访管理等多种管理功能。</w:t>
            </w:r>
          </w:p>
        </w:tc>
      </w:tr>
      <w:tr w14:paraId="33990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1CDD3953">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7FFAD024">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7237F896">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4</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协同中心</w:t>
            </w:r>
          </w:p>
          <w:p w14:paraId="24665EF2">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系统需支持将基层机构无法治疗的患者上转给慢病中心，由慢病中心进行确诊或者高危判断处理，并治疗确诊后下转给基层机构。需支持患者转出管理、患者转入管理、转诊接诊记录、转出申请审核等功能。</w:t>
            </w:r>
          </w:p>
        </w:tc>
      </w:tr>
      <w:tr w14:paraId="47CC9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5F8A48A4">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2F81DB79">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0DB2B0F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5</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档案中心</w:t>
            </w:r>
          </w:p>
          <w:p w14:paraId="6501C72A">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系统需支持建立慢病档案中心，整合患者健康数据资源，为慢病人群提供全方位、全周期的健康管理服务。需支持慢病档案、档案迁移记录、档案迁移审核等功能。</w:t>
            </w:r>
          </w:p>
        </w:tc>
      </w:tr>
      <w:tr w14:paraId="3563D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410097F1">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03EDE323">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2A196374">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highlight w:val="none"/>
              </w:rPr>
              <w:t>6</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专病管理</w:t>
            </w:r>
          </w:p>
          <w:p w14:paraId="19DD1021">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highlight w:val="none"/>
              </w:rPr>
              <w:t>系统需支持对辖区内慢病相关的患者进行统一纳管。依据主要慢病筛查因素、专病诊断检查等标准，辅助医护人员对人群慢病进行分类、分级重点管理。需支持一般人群、六病高危人群、高危人群管理及确诊患者管理等功能。</w:t>
            </w:r>
          </w:p>
        </w:tc>
      </w:tr>
      <w:tr w14:paraId="36835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0B7A2ABB">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329FBE98">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0150E4A5">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7</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督导培训</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用于为慢病管理中心提供对下级进行督导、培训的相关信息登记记录，应支持培训课程、培训时长、培训时间等内容的配置等。</w:t>
            </w:r>
          </w:p>
        </w:tc>
      </w:tr>
      <w:tr w14:paraId="190D8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0AB20333">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7FA48150">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7EF5B30E">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8</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字典管理</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需支持慢病管理中心统一维护药品信息和治疗方案信息的功能。</w:t>
            </w:r>
          </w:p>
        </w:tc>
      </w:tr>
      <w:tr w14:paraId="68D40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ign w:val="center"/>
          </w:tcPr>
          <w:p w14:paraId="683E75FE">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1985AC37">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34346177">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bidi="ar"/>
              </w:rPr>
              <w:t>9</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智能管理</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系统需支持智能服务、表单管理、预警管理、智能分类等功能，辅助医生在慢病管理过程中的相关工作。</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0638B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3" w:hRule="atLeast"/>
          <w:jc w:val="center"/>
        </w:trPr>
        <w:tc>
          <w:tcPr>
            <w:tcW w:w="439" w:type="pct"/>
            <w:vMerge w:val="continue"/>
            <w:tcBorders>
              <w:tl2br w:val="nil"/>
              <w:tr2bl w:val="nil"/>
            </w:tcBorders>
            <w:noWrap/>
            <w:vAlign w:val="center"/>
          </w:tcPr>
          <w:p w14:paraId="35D162A5">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ign w:val="center"/>
          </w:tcPr>
          <w:p w14:paraId="128A631B">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2AF4E78B">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10）系统设置</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应支持慢病管理中心的后台配置，包括：机构管辖范围设置、管辖区域人数设置、机构参数设置、系统参数设置、指标管理。</w:t>
            </w:r>
          </w:p>
        </w:tc>
      </w:tr>
      <w:tr w14:paraId="5FCE4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5" w:hRule="atLeast"/>
          <w:jc w:val="center"/>
        </w:trPr>
        <w:tc>
          <w:tcPr>
            <w:tcW w:w="439" w:type="pct"/>
            <w:vMerge w:val="restart"/>
            <w:tcBorders>
              <w:tl2br w:val="nil"/>
              <w:tr2bl w:val="nil"/>
            </w:tcBorders>
            <w:noWrap/>
            <w:vAlign w:val="center"/>
          </w:tcPr>
          <w:p w14:paraId="22A6A8A7">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3</w:t>
            </w:r>
          </w:p>
        </w:tc>
        <w:tc>
          <w:tcPr>
            <w:tcW w:w="1085" w:type="pct"/>
            <w:vMerge w:val="restart"/>
            <w:tcBorders>
              <w:tl2br w:val="nil"/>
              <w:tr2bl w:val="nil"/>
            </w:tcBorders>
            <w:noWrap/>
            <w:vAlign w:val="center"/>
          </w:tcPr>
          <w:p w14:paraId="2EC2DF98">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运营管理平台-综合统计</w:t>
            </w:r>
          </w:p>
        </w:tc>
        <w:tc>
          <w:tcPr>
            <w:tcW w:w="3475" w:type="pct"/>
            <w:tcBorders>
              <w:tl2br w:val="nil"/>
              <w:tr2bl w:val="nil"/>
            </w:tcBorders>
            <w:noWrap w:val="0"/>
            <w:vAlign w:val="center"/>
          </w:tcPr>
          <w:p w14:paraId="5B3CEA5B">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bidi="ar"/>
              </w:rPr>
              <w:t>1</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认证指标总体分析</w:t>
            </w:r>
          </w:p>
          <w:p w14:paraId="04651105">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应支持展示慢病认证中心认证考核指标的可视化图表功能，例如患者管理质控指标、主要慢性病患者指标等。</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55F5E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jc w:val="center"/>
        </w:trPr>
        <w:tc>
          <w:tcPr>
            <w:tcW w:w="439" w:type="pct"/>
            <w:vMerge w:val="continue"/>
            <w:tcBorders>
              <w:tl2br w:val="nil"/>
              <w:tr2bl w:val="nil"/>
            </w:tcBorders>
            <w:noWrap/>
            <w:vAlign w:val="center"/>
          </w:tcPr>
          <w:p w14:paraId="5E0424FC">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5DF8C172">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4D15F2D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bidi="ar"/>
              </w:rPr>
              <w:t>2</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认证指标总体报表</w:t>
            </w:r>
          </w:p>
          <w:p w14:paraId="05DA8C40">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应支持展示管理机构关于慢病认证中心的认证指标报表功能。如六病患者管理质量质控指标、主要慢性病高危人群的生活方式管理效果指标、主要慢性病患者的生活方式管理效果指标、主要慢性病患者建档等。</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78EA6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439" w:type="pct"/>
            <w:vMerge w:val="continue"/>
            <w:tcBorders>
              <w:tl2br w:val="nil"/>
              <w:tr2bl w:val="nil"/>
            </w:tcBorders>
            <w:noWrap/>
            <w:vAlign w:val="center"/>
          </w:tcPr>
          <w:p w14:paraId="7A8F2EF3">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6CF2EF8C">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521C942B">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3</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基线数据报表</w:t>
            </w:r>
          </w:p>
          <w:p w14:paraId="4170253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应支持对所采集的慢病人群数据进行多维度分析，如各病种主要患者数量、主要慢病患者管理数量、慢病筛查记录情况、就诊人数与就诊率、各病种复诊情况等。</w:t>
            </w:r>
          </w:p>
        </w:tc>
      </w:tr>
      <w:tr w14:paraId="644D4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jc w:val="center"/>
        </w:trPr>
        <w:tc>
          <w:tcPr>
            <w:tcW w:w="439" w:type="pct"/>
            <w:vMerge w:val="continue"/>
            <w:tcBorders>
              <w:tl2br w:val="nil"/>
              <w:tr2bl w:val="nil"/>
            </w:tcBorders>
            <w:noWrap/>
            <w:vAlign w:val="center"/>
          </w:tcPr>
          <w:p w14:paraId="7A49B618">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3A2A55D1">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363416C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4</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效果指标－就诊花费</w:t>
            </w:r>
          </w:p>
          <w:p w14:paraId="72AEB0E4">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应支持展示县域内慢病人群就诊花费情况，如慢病人群总费用、各慢病人群门诊、住院花费等分析。</w:t>
            </w:r>
          </w:p>
        </w:tc>
      </w:tr>
      <w:tr w14:paraId="01E70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jc w:val="center"/>
        </w:trPr>
        <w:tc>
          <w:tcPr>
            <w:tcW w:w="439" w:type="pct"/>
            <w:vMerge w:val="continue"/>
            <w:tcBorders>
              <w:tl2br w:val="nil"/>
              <w:tr2bl w:val="nil"/>
            </w:tcBorders>
            <w:noWrap/>
            <w:vAlign w:val="center"/>
          </w:tcPr>
          <w:p w14:paraId="0C0D129B">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34169B1E">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282F2618">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5</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效果指标－生活方式指导</w:t>
            </w:r>
          </w:p>
          <w:p w14:paraId="2EC70386">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应支持展示县域内对慢病人群的生活方式指导情况，包括吸烟、心理、教育等指导的情况分析。</w:t>
            </w:r>
          </w:p>
        </w:tc>
      </w:tr>
      <w:tr w14:paraId="376F9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39" w:type="pct"/>
            <w:vMerge w:val="continue"/>
            <w:tcBorders>
              <w:tl2br w:val="nil"/>
              <w:tr2bl w:val="nil"/>
            </w:tcBorders>
            <w:noWrap/>
            <w:vAlign w:val="center"/>
          </w:tcPr>
          <w:p w14:paraId="67391F47">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4FA1E31A">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5E85C486">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6</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效果指标－就诊人数</w:t>
            </w:r>
          </w:p>
          <w:p w14:paraId="21D33ABC">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应支持展示县域内慢病人群就诊情况，如总慢病人群的数据统计、各病种的慢病人群统计、门诊次数、住院次数、随诊频次分析等。</w:t>
            </w:r>
          </w:p>
        </w:tc>
      </w:tr>
      <w:tr w14:paraId="5DF31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jc w:val="center"/>
        </w:trPr>
        <w:tc>
          <w:tcPr>
            <w:tcW w:w="439" w:type="pct"/>
            <w:vMerge w:val="continue"/>
            <w:tcBorders>
              <w:tl2br w:val="nil"/>
              <w:tr2bl w:val="nil"/>
            </w:tcBorders>
            <w:noWrap/>
            <w:vAlign w:val="center"/>
          </w:tcPr>
          <w:p w14:paraId="25AE3E6F">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577141E6">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245D8510">
            <w:pPr>
              <w:widowControl/>
              <w:numPr>
                <w:ilvl w:val="0"/>
                <w:numId w:val="0"/>
              </w:numPr>
              <w:spacing w:line="360" w:lineRule="auto"/>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val="en-US" w:eastAsia="zh-CN" w:bidi="ar"/>
              </w:rPr>
              <w:t>7.</w:t>
            </w:r>
            <w:r>
              <w:rPr>
                <w:rFonts w:hint="eastAsia" w:ascii="宋体" w:hAnsi="宋体" w:eastAsia="宋体" w:cs="宋体"/>
                <w:color w:val="auto"/>
                <w:kern w:val="0"/>
                <w:highlight w:val="none"/>
                <w:lang w:bidi="ar"/>
              </w:rPr>
              <w:t>效果指标－检验检查</w:t>
            </w:r>
          </w:p>
          <w:p w14:paraId="379EE789">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应支持展示县域内慢病人群检查检验情况，如血糖、血压达标率、各病种的基础性检查、特定检查的情况分析等。</w:t>
            </w:r>
          </w:p>
        </w:tc>
      </w:tr>
      <w:tr w14:paraId="78224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1" w:hRule="atLeast"/>
          <w:jc w:val="center"/>
        </w:trPr>
        <w:tc>
          <w:tcPr>
            <w:tcW w:w="439" w:type="pct"/>
            <w:vMerge w:val="continue"/>
            <w:tcBorders>
              <w:tl2br w:val="nil"/>
              <w:tr2bl w:val="nil"/>
            </w:tcBorders>
            <w:noWrap/>
            <w:vAlign w:val="center"/>
          </w:tcPr>
          <w:p w14:paraId="312CB335">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ign w:val="center"/>
          </w:tcPr>
          <w:p w14:paraId="64335BC1">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1F8B5DD6">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8</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其他统计分析</w:t>
            </w:r>
          </w:p>
          <w:p w14:paraId="273610BE">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系统应支持患者状态统计、患者集中统计、医患互动统计、专病管理分析、注册居民分析等功能。</w:t>
            </w:r>
          </w:p>
        </w:tc>
      </w:tr>
      <w:tr w14:paraId="1A56F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restart"/>
            <w:tcBorders>
              <w:tl2br w:val="nil"/>
              <w:tr2bl w:val="nil"/>
            </w:tcBorders>
            <w:noWrap w:val="0"/>
            <w:vAlign w:val="center"/>
          </w:tcPr>
          <w:p w14:paraId="1F3719B4">
            <w:pPr>
              <w:widowControl/>
              <w:spacing w:line="360" w:lineRule="auto"/>
              <w:ind w:firstLine="0" w:firstLineChars="0"/>
              <w:jc w:val="center"/>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4</w:t>
            </w:r>
          </w:p>
        </w:tc>
        <w:tc>
          <w:tcPr>
            <w:tcW w:w="1085" w:type="pct"/>
            <w:vMerge w:val="restart"/>
            <w:tcBorders>
              <w:tl2br w:val="nil"/>
              <w:tr2bl w:val="nil"/>
            </w:tcBorders>
            <w:noWrap w:val="0"/>
            <w:vAlign w:val="center"/>
          </w:tcPr>
          <w:p w14:paraId="6240595C">
            <w:pPr>
              <w:widowControl/>
              <w:spacing w:line="360" w:lineRule="auto"/>
              <w:ind w:firstLine="0" w:firstLineChars="0"/>
              <w:jc w:val="center"/>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运营管理平台-工作量统计</w:t>
            </w:r>
          </w:p>
        </w:tc>
        <w:tc>
          <w:tcPr>
            <w:tcW w:w="3475" w:type="pct"/>
            <w:tcBorders>
              <w:tl2br w:val="nil"/>
              <w:tr2bl w:val="nil"/>
            </w:tcBorders>
            <w:noWrap w:val="0"/>
            <w:vAlign w:val="center"/>
          </w:tcPr>
          <w:p w14:paraId="6E714103">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1</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机构管理工作量</w:t>
            </w:r>
          </w:p>
          <w:p w14:paraId="22A7493F">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应支持统计本级机构和下级机构管理、筛查、随访、推送方案等环节的工作量。</w:t>
            </w:r>
          </w:p>
        </w:tc>
      </w:tr>
      <w:tr w14:paraId="1D14F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26C433D6">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1D509C25">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138FCA48">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2</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机构筛查工作量</w:t>
            </w:r>
          </w:p>
          <w:p w14:paraId="6DACE90B">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应支持统计本级机构和下级机构筛查环节的工作量。</w:t>
            </w:r>
          </w:p>
        </w:tc>
      </w:tr>
      <w:tr w14:paraId="2F53A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05A3F405">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7CA57170">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02C7984C">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3</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医生筛查工作量</w:t>
            </w:r>
          </w:p>
          <w:p w14:paraId="26CA2200">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应支持统计本级机构和下级机构医生在筛查环节的工作量。</w:t>
            </w:r>
          </w:p>
        </w:tc>
      </w:tr>
      <w:tr w14:paraId="64924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6875736B">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666C2678">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198120B1">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4</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医生管理工作量</w:t>
            </w:r>
          </w:p>
          <w:p w14:paraId="005A2DB8">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应支持统计本级机构和下级机构医生在管理、筛查、随访、推送方案等环节的工作量。</w:t>
            </w:r>
          </w:p>
        </w:tc>
      </w:tr>
      <w:tr w14:paraId="5DA78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restart"/>
            <w:tcBorders>
              <w:tl2br w:val="nil"/>
              <w:tr2bl w:val="nil"/>
            </w:tcBorders>
            <w:noWrap w:val="0"/>
            <w:vAlign w:val="center"/>
          </w:tcPr>
          <w:p w14:paraId="03320AB3">
            <w:pPr>
              <w:widowControl/>
              <w:spacing w:line="360" w:lineRule="auto"/>
              <w:ind w:firstLine="0" w:firstLineChars="0"/>
              <w:jc w:val="center"/>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5</w:t>
            </w:r>
          </w:p>
        </w:tc>
        <w:tc>
          <w:tcPr>
            <w:tcW w:w="1085" w:type="pct"/>
            <w:vMerge w:val="restart"/>
            <w:tcBorders>
              <w:tl2br w:val="nil"/>
              <w:tr2bl w:val="nil"/>
            </w:tcBorders>
            <w:noWrap w:val="0"/>
            <w:vAlign w:val="center"/>
          </w:tcPr>
          <w:p w14:paraId="50361EA2">
            <w:pPr>
              <w:widowControl/>
              <w:spacing w:line="360" w:lineRule="auto"/>
              <w:ind w:firstLine="0" w:firstLineChars="0"/>
              <w:jc w:val="center"/>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运营管理平台-业务监测</w:t>
            </w:r>
          </w:p>
        </w:tc>
        <w:tc>
          <w:tcPr>
            <w:tcW w:w="3475" w:type="pct"/>
            <w:tcBorders>
              <w:tl2br w:val="nil"/>
              <w:tr2bl w:val="nil"/>
            </w:tcBorders>
            <w:noWrap w:val="0"/>
            <w:vAlign w:val="center"/>
          </w:tcPr>
          <w:p w14:paraId="4154EF5A">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1</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机构服务监管</w:t>
            </w:r>
          </w:p>
          <w:p w14:paraId="09463F4F">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应支持查看机构服务过程关键服务指标情况，包括未完成的任务分析。</w:t>
            </w:r>
          </w:p>
        </w:tc>
      </w:tr>
      <w:tr w14:paraId="1A991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5FA8DB7D">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73CE5B38">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7E576C65">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2</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监测大屏</w:t>
            </w:r>
          </w:p>
          <w:p w14:paraId="193B072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为县域慢病中心打造全景展现可视化监测大屏，集成慢病信息化相关数据功能。</w:t>
            </w:r>
          </w:p>
        </w:tc>
      </w:tr>
      <w:tr w14:paraId="350A0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restart"/>
            <w:tcBorders>
              <w:tl2br w:val="nil"/>
              <w:tr2bl w:val="nil"/>
            </w:tcBorders>
            <w:noWrap w:val="0"/>
            <w:vAlign w:val="center"/>
          </w:tcPr>
          <w:p w14:paraId="542687DC">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6</w:t>
            </w:r>
          </w:p>
        </w:tc>
        <w:tc>
          <w:tcPr>
            <w:tcW w:w="1085" w:type="pct"/>
            <w:vMerge w:val="restart"/>
            <w:tcBorders>
              <w:tl2br w:val="nil"/>
              <w:tr2bl w:val="nil"/>
            </w:tcBorders>
            <w:noWrap w:val="0"/>
            <w:vAlign w:val="center"/>
          </w:tcPr>
          <w:p w14:paraId="07403332">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居民移动应用</w:t>
            </w:r>
          </w:p>
        </w:tc>
        <w:tc>
          <w:tcPr>
            <w:tcW w:w="3475" w:type="pct"/>
            <w:tcBorders>
              <w:tl2br w:val="nil"/>
              <w:tr2bl w:val="nil"/>
            </w:tcBorders>
            <w:noWrap w:val="0"/>
            <w:vAlign w:val="center"/>
          </w:tcPr>
          <w:p w14:paraId="30560ADA">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1</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注册</w:t>
            </w:r>
          </w:p>
          <w:p w14:paraId="239B2E72">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应支持居民注册及绑定个人信息的功能。</w:t>
            </w:r>
          </w:p>
        </w:tc>
      </w:tr>
      <w:tr w14:paraId="360BBF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4FA56F5C">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29CE38FF">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4670F8D5">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2</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待办提醒</w:t>
            </w:r>
          </w:p>
          <w:p w14:paraId="0956652A">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应支持提醒居民当前需完成的慢病服务事项，包括待查看的治疗方案、待查看的健康宣教、待反馈的移动随访等。</w:t>
            </w:r>
          </w:p>
        </w:tc>
      </w:tr>
      <w:tr w14:paraId="5DF78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58EBA57D">
            <w:pPr>
              <w:widowControl/>
              <w:spacing w:line="360" w:lineRule="auto"/>
              <w:ind w:firstLine="0" w:firstLineChars="0"/>
              <w:jc w:val="center"/>
              <w:textAlignment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66E38BA7">
            <w:pPr>
              <w:widowControl/>
              <w:spacing w:line="360" w:lineRule="auto"/>
              <w:ind w:firstLine="0" w:firstLineChars="0"/>
              <w:jc w:val="center"/>
              <w:textAlignment w:val="center"/>
              <w:rPr>
                <w:rFonts w:ascii="宋体" w:hAnsi="宋体" w:eastAsia="宋体" w:cs="宋体"/>
                <w:color w:val="auto"/>
                <w:highlight w:val="none"/>
              </w:rPr>
            </w:pPr>
          </w:p>
        </w:tc>
        <w:tc>
          <w:tcPr>
            <w:tcW w:w="3475" w:type="pct"/>
            <w:tcBorders>
              <w:tl2br w:val="nil"/>
              <w:tr2bl w:val="nil"/>
            </w:tcBorders>
            <w:noWrap w:val="0"/>
            <w:vAlign w:val="center"/>
          </w:tcPr>
          <w:p w14:paraId="3D6375B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bidi="ar"/>
              </w:rPr>
              <w:t>3</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慢病档案</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需支持居民查询慢病服务过程中的全周期服务档案，包括历次诊疗信息（就诊记录、门诊诊断、用药记录、检验、检查等）</w:t>
            </w:r>
            <w:r>
              <w:rPr>
                <w:rFonts w:hint="eastAsia" w:ascii="宋体" w:hAnsi="宋体" w:eastAsia="宋体" w:cs="宋体"/>
                <w:color w:val="auto"/>
                <w:kern w:val="0"/>
                <w:highlight w:val="none"/>
                <w:lang w:eastAsia="zh-CN" w:bidi="ar"/>
              </w:rPr>
              <w:t>、</w:t>
            </w:r>
            <w:r>
              <w:rPr>
                <w:rFonts w:hint="eastAsia" w:ascii="宋体" w:hAnsi="宋体" w:eastAsia="宋体" w:cs="宋体"/>
                <w:color w:val="auto"/>
                <w:kern w:val="0"/>
                <w:highlight w:val="none"/>
                <w:lang w:bidi="ar"/>
              </w:rPr>
              <w:t>随访服务信息，智能设备监测信息等。</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65F5E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594CA275">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6EEC3700">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1D5C1557">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4</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跟踪监测</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患者将自己的健康监测结果如实在系统中进行记录，系统自动生成相关身体检查指标的曲线图。并与慢性病健康档案相结合，为慢性病的诊疗和救治提供有益的支持。包含血压跟踪、血氧跟踪、血糖跟踪、BMI跟踪、体重跟踪、体脂率跟踪、血压报告、心率报告、血氧报告、血糖报告、BMI报告、体重报告、体脂率报告、指标异常提示、家属监督等项目。</w:t>
            </w:r>
          </w:p>
        </w:tc>
      </w:tr>
      <w:tr w14:paraId="1794D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0E9C51A3">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5FF058BD">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14727CA0">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5</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随访服务</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系统需支持接收医生发送的随访问卷、随访表单，患者在手机移动端提交答卷或表单之后，医生可查看问卷、患者反馈。</w:t>
            </w:r>
          </w:p>
        </w:tc>
      </w:tr>
      <w:tr w14:paraId="1DF5D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63EA6AAA">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65F2EAD5">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5D8C0DA3">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6</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在线咨询</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系统需支持居民可通过移动端的在线咨询功能，与纳管机构进行沟通留言。</w:t>
            </w:r>
          </w:p>
        </w:tc>
      </w:tr>
      <w:tr w14:paraId="0302B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45A650F9">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700FA032">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6423090D">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7</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宣教记录</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需支持居民通过移动端，查看医务人员推送的健康宣教信息。</w:t>
            </w:r>
          </w:p>
        </w:tc>
      </w:tr>
      <w:tr w14:paraId="03F99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5BA2BD7F">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6DA88524">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5A863A34">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8</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健康日历</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系统需支持接收医生制定的随访计划，并生成健康日历，产生慢病管理中随访待办日程，及时提醒居民关于健康管理的待办事项的功能。</w:t>
            </w:r>
          </w:p>
        </w:tc>
      </w:tr>
      <w:tr w14:paraId="6EC4A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45E74908">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16BCEFDA">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10F7B682">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9</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治疗方案</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需支持居民查看医务人员推送的治疗方案信息。包括用药指导、生活方式指导、随访周期等。</w:t>
            </w:r>
          </w:p>
        </w:tc>
      </w:tr>
      <w:tr w14:paraId="67CC8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5" w:hRule="atLeast"/>
          <w:jc w:val="center"/>
        </w:trPr>
        <w:tc>
          <w:tcPr>
            <w:tcW w:w="439" w:type="pct"/>
            <w:vMerge w:val="continue"/>
            <w:tcBorders>
              <w:tl2br w:val="nil"/>
              <w:tr2bl w:val="nil"/>
            </w:tcBorders>
            <w:noWrap w:val="0"/>
            <w:vAlign w:val="center"/>
          </w:tcPr>
          <w:p w14:paraId="6F4DEFC4">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3A78205A">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4A8D6B03">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10</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个人中心</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系统需支持维护个人信息、健康服务码、家人管理等功能。</w:t>
            </w:r>
          </w:p>
        </w:tc>
      </w:tr>
      <w:tr w14:paraId="690C5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restart"/>
            <w:tcBorders>
              <w:tl2br w:val="nil"/>
              <w:tr2bl w:val="nil"/>
            </w:tcBorders>
            <w:noWrap w:val="0"/>
            <w:vAlign w:val="center"/>
          </w:tcPr>
          <w:p w14:paraId="3A704F71">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7</w:t>
            </w:r>
          </w:p>
        </w:tc>
        <w:tc>
          <w:tcPr>
            <w:tcW w:w="1085" w:type="pct"/>
            <w:vMerge w:val="restart"/>
            <w:tcBorders>
              <w:tl2br w:val="nil"/>
              <w:tr2bl w:val="nil"/>
            </w:tcBorders>
            <w:noWrap w:val="0"/>
            <w:vAlign w:val="center"/>
          </w:tcPr>
          <w:p w14:paraId="43A36F7A">
            <w:pPr>
              <w:widowControl/>
              <w:spacing w:line="360" w:lineRule="auto"/>
              <w:ind w:firstLine="0" w:firstLineChars="0"/>
              <w:jc w:val="center"/>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医生移动应用</w:t>
            </w:r>
          </w:p>
        </w:tc>
        <w:tc>
          <w:tcPr>
            <w:tcW w:w="3475" w:type="pct"/>
            <w:tcBorders>
              <w:tl2br w:val="nil"/>
              <w:tr2bl w:val="nil"/>
            </w:tcBorders>
            <w:noWrap w:val="0"/>
            <w:vAlign w:val="center"/>
          </w:tcPr>
          <w:p w14:paraId="7AE8AB76">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1</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在管居民</w:t>
            </w:r>
          </w:p>
          <w:p w14:paraId="26B725AF">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应辅助医生对在管的慢性病患者进行管理，包括查询居民详细信息，推送随访任务、健康宣教内容和管理方案，记录随访记录等功能。</w:t>
            </w:r>
          </w:p>
        </w:tc>
      </w:tr>
      <w:tr w14:paraId="72EE4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7D0B0232">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1085" w:type="pct"/>
            <w:vMerge w:val="continue"/>
            <w:tcBorders>
              <w:tl2br w:val="nil"/>
              <w:tr2bl w:val="nil"/>
            </w:tcBorders>
            <w:noWrap w:val="0"/>
            <w:vAlign w:val="center"/>
          </w:tcPr>
          <w:p w14:paraId="4ABF1BFC">
            <w:pPr>
              <w:widowControl/>
              <w:spacing w:line="360" w:lineRule="auto"/>
              <w:ind w:firstLine="0" w:firstLineChars="0"/>
              <w:jc w:val="center"/>
              <w:textAlignment w:val="center"/>
              <w:rPr>
                <w:rFonts w:ascii="宋体" w:hAnsi="宋体" w:eastAsia="宋体" w:cs="宋体"/>
                <w:color w:val="auto"/>
                <w:kern w:val="0"/>
                <w:highlight w:val="none"/>
                <w:lang w:bidi="ar"/>
              </w:rPr>
            </w:pPr>
          </w:p>
        </w:tc>
        <w:tc>
          <w:tcPr>
            <w:tcW w:w="3475" w:type="pct"/>
            <w:tcBorders>
              <w:tl2br w:val="nil"/>
              <w:tr2bl w:val="nil"/>
            </w:tcBorders>
            <w:noWrap w:val="0"/>
            <w:vAlign w:val="center"/>
          </w:tcPr>
          <w:p w14:paraId="2EA9FA83">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2</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咨询回复</w:t>
            </w:r>
          </w:p>
          <w:p w14:paraId="51D88110">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应支持查看已管居民的关于就医、疾病、政策等方面留言，以及线上回复。</w:t>
            </w:r>
          </w:p>
        </w:tc>
      </w:tr>
      <w:tr w14:paraId="22F75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043A59EB">
            <w:pPr>
              <w:widowControl/>
              <w:spacing w:line="360" w:lineRule="auto"/>
              <w:ind w:firstLine="0" w:firstLineChars="0"/>
              <w:jc w:val="center"/>
              <w:textAlignment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478D6B47">
            <w:pPr>
              <w:widowControl/>
              <w:spacing w:line="360" w:lineRule="auto"/>
              <w:ind w:firstLine="0" w:firstLineChars="0"/>
              <w:jc w:val="center"/>
              <w:textAlignment w:val="center"/>
              <w:rPr>
                <w:rFonts w:ascii="宋体" w:hAnsi="宋体" w:eastAsia="宋体" w:cs="宋体"/>
                <w:color w:val="auto"/>
                <w:highlight w:val="none"/>
              </w:rPr>
            </w:pPr>
          </w:p>
        </w:tc>
        <w:tc>
          <w:tcPr>
            <w:tcW w:w="3475" w:type="pct"/>
            <w:tcBorders>
              <w:tl2br w:val="nil"/>
              <w:tr2bl w:val="nil"/>
            </w:tcBorders>
            <w:noWrap w:val="0"/>
            <w:vAlign w:val="center"/>
          </w:tcPr>
          <w:p w14:paraId="36E13CA0">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b/>
                <w:bCs/>
                <w:color w:val="auto"/>
                <w:szCs w:val="21"/>
                <w:highlight w:val="none"/>
              </w:rPr>
              <w:t>▲</w:t>
            </w:r>
            <w:r>
              <w:rPr>
                <w:rFonts w:hint="eastAsia" w:ascii="宋体" w:hAnsi="宋体" w:eastAsia="宋体" w:cs="宋体"/>
                <w:color w:val="auto"/>
                <w:kern w:val="0"/>
                <w:highlight w:val="none"/>
                <w:lang w:bidi="ar"/>
              </w:rPr>
              <w:t>3</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登记筛查</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医生需能够通过手机移动端，对慢病人群进行筛查登记，系统需支持根据筛查规则对居民进行自动化分类。筛查、分类结果可自动同步至慢病管理平台PC端。</w:t>
            </w:r>
            <w:r>
              <w:rPr>
                <w:rFonts w:hint="eastAsia" w:ascii="宋体" w:hAnsi="宋体" w:eastAsia="宋体" w:cs="宋体"/>
                <w:b/>
                <w:bCs/>
                <w:color w:val="auto"/>
                <w:kern w:val="0"/>
                <w:highlight w:val="none"/>
                <w:lang w:eastAsia="zh-CN" w:bidi="ar"/>
              </w:rPr>
              <w:t>（</w:t>
            </w:r>
            <w:r>
              <w:rPr>
                <w:rFonts w:hint="eastAsia" w:ascii="宋体" w:hAnsi="宋体" w:eastAsia="宋体" w:cs="宋体"/>
                <w:b/>
                <w:bCs/>
                <w:color w:val="auto"/>
                <w:kern w:val="0"/>
                <w:highlight w:val="none"/>
                <w:lang w:val="en-US" w:eastAsia="zh-CN" w:bidi="ar"/>
              </w:rPr>
              <w:t>需在首次</w:t>
            </w:r>
            <w:r>
              <w:rPr>
                <w:rFonts w:hint="eastAsia" w:eastAsia="宋体"/>
                <w:b/>
                <w:bCs/>
                <w:color w:val="auto"/>
                <w:highlight w:val="none"/>
                <w:lang w:val="en-US" w:eastAsia="zh-CN"/>
              </w:rPr>
              <w:t>响应文件</w:t>
            </w:r>
            <w:r>
              <w:rPr>
                <w:b/>
                <w:bCs/>
                <w:color w:val="auto"/>
                <w:highlight w:val="none"/>
              </w:rPr>
              <w:t>中提供</w:t>
            </w:r>
            <w:r>
              <w:rPr>
                <w:rFonts w:hint="eastAsia"/>
                <w:b/>
                <w:bCs/>
                <w:color w:val="auto"/>
                <w:highlight w:val="none"/>
                <w:lang w:val="en-US" w:eastAsia="zh-CN"/>
              </w:rPr>
              <w:t>相应</w:t>
            </w:r>
            <w:r>
              <w:rPr>
                <w:b/>
                <w:bCs/>
                <w:color w:val="auto"/>
                <w:highlight w:val="none"/>
              </w:rPr>
              <w:t>证明材料</w:t>
            </w:r>
            <w:r>
              <w:rPr>
                <w:rFonts w:hint="eastAsia"/>
                <w:b/>
                <w:bCs/>
                <w:color w:val="auto"/>
                <w:highlight w:val="none"/>
                <w:lang w:val="en-US" w:eastAsia="zh-CN"/>
              </w:rPr>
              <w:t>复印件，并</w:t>
            </w:r>
            <w:r>
              <w:rPr>
                <w:rFonts w:hint="eastAsia" w:ascii="宋体" w:hAnsi="宋体" w:eastAsia="宋体" w:cs="宋体"/>
                <w:b/>
                <w:bCs/>
                <w:color w:val="auto"/>
                <w:szCs w:val="21"/>
                <w:highlight w:val="none"/>
              </w:rPr>
              <w:t>加盖供应商公章，否则响应文件按无效响应处理。</w:t>
            </w:r>
            <w:r>
              <w:rPr>
                <w:rFonts w:hint="eastAsia" w:ascii="宋体" w:hAnsi="宋体" w:eastAsia="宋体" w:cs="宋体"/>
                <w:b/>
                <w:bCs/>
                <w:color w:val="auto"/>
                <w:kern w:val="0"/>
                <w:highlight w:val="none"/>
                <w:lang w:eastAsia="zh-CN" w:bidi="ar"/>
              </w:rPr>
              <w:t>）</w:t>
            </w:r>
          </w:p>
        </w:tc>
      </w:tr>
      <w:tr w14:paraId="057B0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3DCC5AF2">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41C77503">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08A1F3A0">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4</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扫码筛查</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系统需支持医生扫描居民的健康服务码，进行慢病人群筛查扫码登记，同时系统应能够根据内置筛查引擎分析指标，对居民进行自动分类。</w:t>
            </w:r>
          </w:p>
        </w:tc>
      </w:tr>
      <w:tr w14:paraId="62A1B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76C00C03">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5949E3F9">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2CFE5542">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5</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健康登记</w:t>
            </w:r>
          </w:p>
          <w:p w14:paraId="5A71F83F">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需支持增加血压/血糖仪器设备绑定、测量和上传功能，应支持医生绑定设备登记居民信息后上传测量结果。</w:t>
            </w:r>
          </w:p>
        </w:tc>
      </w:tr>
      <w:tr w14:paraId="04F5C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439" w:type="pct"/>
            <w:vMerge w:val="continue"/>
            <w:tcBorders>
              <w:tl2br w:val="nil"/>
              <w:tr2bl w:val="nil"/>
            </w:tcBorders>
            <w:noWrap w:val="0"/>
            <w:vAlign w:val="center"/>
          </w:tcPr>
          <w:p w14:paraId="3D00C7D5">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0701D8A4">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7C807D7B">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6</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转诊申请统计</w:t>
            </w:r>
          </w:p>
          <w:p w14:paraId="05367BF9">
            <w:pPr>
              <w:widowControl/>
              <w:spacing w:line="360" w:lineRule="auto"/>
              <w:ind w:firstLine="0" w:firstLineChars="0"/>
              <w:jc w:val="left"/>
              <w:textAlignment w:val="center"/>
              <w:rPr>
                <w:rFonts w:ascii="宋体" w:hAnsi="宋体" w:eastAsia="宋体" w:cs="宋体"/>
                <w:color w:val="auto"/>
                <w:kern w:val="0"/>
                <w:highlight w:val="none"/>
                <w:lang w:bidi="ar"/>
              </w:rPr>
            </w:pPr>
            <w:r>
              <w:rPr>
                <w:rFonts w:hint="eastAsia" w:ascii="宋体" w:hAnsi="宋体" w:eastAsia="宋体" w:cs="宋体"/>
                <w:color w:val="auto"/>
                <w:kern w:val="0"/>
                <w:highlight w:val="none"/>
                <w:lang w:bidi="ar"/>
              </w:rPr>
              <w:t>应支持统计其他机构转入本机构的申请，以及查看、处理申请等功能。</w:t>
            </w:r>
          </w:p>
        </w:tc>
      </w:tr>
      <w:tr w14:paraId="4624D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67387D82">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334BB53A">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069A7A9C">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7</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筛查人数统计</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系统需能够自动统计医生的筛查工作量，包括：筛查总人数、今日筛查总人数。</w:t>
            </w:r>
          </w:p>
        </w:tc>
      </w:tr>
      <w:tr w14:paraId="20C8E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439" w:type="pct"/>
            <w:vMerge w:val="continue"/>
            <w:tcBorders>
              <w:tl2br w:val="nil"/>
              <w:tr2bl w:val="nil"/>
            </w:tcBorders>
            <w:noWrap w:val="0"/>
            <w:vAlign w:val="center"/>
          </w:tcPr>
          <w:p w14:paraId="65AD34C9">
            <w:pPr>
              <w:widowControl/>
              <w:spacing w:line="360" w:lineRule="auto"/>
              <w:ind w:firstLine="0" w:firstLineChars="0"/>
              <w:jc w:val="center"/>
              <w:rPr>
                <w:rFonts w:ascii="宋体" w:hAnsi="宋体" w:eastAsia="宋体" w:cs="宋体"/>
                <w:color w:val="auto"/>
                <w:highlight w:val="none"/>
              </w:rPr>
            </w:pPr>
          </w:p>
        </w:tc>
        <w:tc>
          <w:tcPr>
            <w:tcW w:w="1085" w:type="pct"/>
            <w:vMerge w:val="continue"/>
            <w:tcBorders>
              <w:tl2br w:val="nil"/>
              <w:tr2bl w:val="nil"/>
            </w:tcBorders>
            <w:noWrap w:val="0"/>
            <w:vAlign w:val="center"/>
          </w:tcPr>
          <w:p w14:paraId="3E5E594D">
            <w:pPr>
              <w:widowControl/>
              <w:spacing w:line="360" w:lineRule="auto"/>
              <w:ind w:firstLine="0" w:firstLineChars="0"/>
              <w:jc w:val="center"/>
              <w:rPr>
                <w:rFonts w:ascii="宋体" w:hAnsi="宋体" w:eastAsia="宋体" w:cs="宋体"/>
                <w:color w:val="auto"/>
                <w:highlight w:val="none"/>
              </w:rPr>
            </w:pPr>
          </w:p>
        </w:tc>
        <w:tc>
          <w:tcPr>
            <w:tcW w:w="3475" w:type="pct"/>
            <w:tcBorders>
              <w:tl2br w:val="nil"/>
              <w:tr2bl w:val="nil"/>
            </w:tcBorders>
            <w:noWrap w:val="0"/>
            <w:vAlign w:val="center"/>
          </w:tcPr>
          <w:p w14:paraId="563C7BFA">
            <w:pPr>
              <w:widowControl/>
              <w:spacing w:line="360" w:lineRule="auto"/>
              <w:ind w:firstLine="0" w:firstLineChars="0"/>
              <w:jc w:val="left"/>
              <w:textAlignment w:val="center"/>
              <w:rPr>
                <w:rFonts w:ascii="宋体" w:hAnsi="宋体" w:eastAsia="宋体" w:cs="宋体"/>
                <w:color w:val="auto"/>
                <w:highlight w:val="none"/>
              </w:rPr>
            </w:pPr>
            <w:r>
              <w:rPr>
                <w:rFonts w:hint="eastAsia" w:ascii="宋体" w:hAnsi="宋体" w:eastAsia="宋体" w:cs="宋体"/>
                <w:color w:val="auto"/>
                <w:kern w:val="0"/>
                <w:highlight w:val="none"/>
                <w:lang w:bidi="ar"/>
              </w:rPr>
              <w:t>8</w:t>
            </w:r>
            <w:r>
              <w:rPr>
                <w:rFonts w:hint="eastAsia" w:ascii="宋体" w:hAnsi="宋体" w:eastAsia="宋体" w:cs="宋体"/>
                <w:color w:val="auto"/>
                <w:kern w:val="0"/>
                <w:highlight w:val="none"/>
                <w:lang w:val="en-US" w:eastAsia="zh-CN" w:bidi="ar"/>
              </w:rPr>
              <w:t>.</w:t>
            </w:r>
            <w:r>
              <w:rPr>
                <w:rFonts w:hint="eastAsia" w:ascii="宋体" w:hAnsi="宋体" w:eastAsia="宋体" w:cs="宋体"/>
                <w:color w:val="auto"/>
                <w:kern w:val="0"/>
                <w:highlight w:val="none"/>
                <w:lang w:bidi="ar"/>
              </w:rPr>
              <w:t>筛查结果统计</w:t>
            </w:r>
            <w:r>
              <w:rPr>
                <w:rFonts w:hint="eastAsia" w:ascii="宋体" w:hAnsi="宋体" w:eastAsia="宋体" w:cs="宋体"/>
                <w:color w:val="auto"/>
                <w:kern w:val="0"/>
                <w:highlight w:val="none"/>
                <w:lang w:bidi="ar"/>
              </w:rPr>
              <w:br w:type="textWrapping"/>
            </w:r>
            <w:r>
              <w:rPr>
                <w:rFonts w:hint="eastAsia" w:ascii="宋体" w:hAnsi="宋体" w:eastAsia="宋体" w:cs="宋体"/>
                <w:color w:val="auto"/>
                <w:kern w:val="0"/>
                <w:highlight w:val="none"/>
                <w:lang w:bidi="ar"/>
              </w:rPr>
              <w:t>系统需能支持自动统计本次筛查工作中，不同人群的占比情况。</w:t>
            </w:r>
          </w:p>
        </w:tc>
      </w:tr>
    </w:tbl>
    <w:p w14:paraId="0958E8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ou25rAo0NkqhrcJtsJ2856kKkoI=" w:salt="onetVU5oqvUA44Jt+ICSt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F02F53"/>
    <w:rsid w:val="5CD5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Text"/>
    <w:basedOn w:val="1"/>
    <w:semiHidden/>
    <w:qFormat/>
    <w:uiPriority w:val="0"/>
    <w:rPr>
      <w:rFonts w:ascii="仿宋" w:hAnsi="仿宋" w:eastAsia="仿宋" w:cs="仿宋"/>
      <w:sz w:val="24"/>
      <w:szCs w:val="24"/>
      <w:lang w:val="en-US" w:eastAsia="en-US" w:bidi="ar-SA"/>
    </w:rPr>
  </w:style>
  <w:style w:type="table" w:customStyle="1" w:styleId="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2025-08-27T08:23:57Z</dcterms:created>
  <dc:creator>Administrator</dc:creator>
  <cp:lastModifiedBy>a@1012</cp:lastModifiedBy>
  <dcterms:modified xsi:type="dcterms:W3CDTF">2025-08-27T08:24:50Z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eyJoZGlkIjoiOWQ0M2JlNWVmMTVmN2QyYzQwYTY5OWM3YjNjMzFkNjUiLCJ1c2VySWQiOiIyMzI4NjUwMDMifQ==</vt:lpwstr>
  </property>
  <property fmtid="{D5CDD505-2E9C-101B-9397-08002B2CF9AE}" pid="4" name="ICV">
    <vt:lpwstr>0D241F6DE7FC47018C0DADFE456A9A59_12</vt:lpwstr>
  </property>
</Properties>
</file>